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EE398">
      <w:pPr>
        <w:pStyle w:val="5"/>
        <w:bidi w:val="0"/>
        <w:ind w:left="0" w:leftChars="0" w:firstLine="0" w:firstLineChars="0"/>
        <w:jc w:val="center"/>
        <w:rPr>
          <w:rFonts w:hint="eastAsia" w:ascii="黑体" w:hAnsi="黑体" w:eastAsia="黑体" w:cs="黑体"/>
          <w:sz w:val="36"/>
          <w:szCs w:val="21"/>
        </w:rPr>
      </w:pPr>
      <w:bookmarkStart w:id="0" w:name="_Toc1933"/>
      <w:bookmarkStart w:id="1" w:name="_Toc16719"/>
      <w:r>
        <w:rPr>
          <w:rFonts w:hint="eastAsia" w:ascii="黑体" w:hAnsi="黑体" w:eastAsia="黑体" w:cs="黑体"/>
          <w:b/>
          <w:bCs w:val="0"/>
          <w:sz w:val="44"/>
          <w:szCs w:val="24"/>
          <w:lang w:val="en-US" w:eastAsia="zh-CN"/>
        </w:rPr>
        <w:t>伽师县2025年水库移民后期扶持项目卧里托格拉克镇英巴格村防渗渠建设工程</w:t>
      </w:r>
      <w:bookmarkEnd w:id="0"/>
      <w:bookmarkEnd w:id="1"/>
    </w:p>
    <w:p w14:paraId="43DA3D41">
      <w:pPr>
        <w:pStyle w:val="5"/>
        <w:bidi w:val="0"/>
        <w:ind w:left="0" w:leftChars="0" w:firstLine="0" w:firstLineChars="0"/>
        <w:jc w:val="center"/>
        <w:rPr>
          <w:rFonts w:hint="eastAsia" w:ascii="黑体" w:hAnsi="黑体" w:eastAsia="黑体" w:cs="黑体"/>
          <w:color w:val="auto"/>
          <w:lang w:eastAsia="zh-CN"/>
        </w:rPr>
      </w:pPr>
      <w:bookmarkStart w:id="2" w:name="_Toc23349"/>
      <w:bookmarkStart w:id="3" w:name="_Toc20774"/>
      <w:r>
        <w:rPr>
          <w:rFonts w:hint="eastAsia" w:ascii="黑体" w:hAnsi="黑体" w:eastAsia="黑体" w:cs="黑体"/>
        </w:rPr>
        <w:t>竞争性磋商文件</w:t>
      </w:r>
      <w:bookmarkEnd w:id="2"/>
      <w:bookmarkEnd w:id="3"/>
    </w:p>
    <w:p w14:paraId="24C6753D">
      <w:pPr>
        <w:spacing w:line="480" w:lineRule="auto"/>
        <w:ind w:left="0" w:leftChars="0" w:firstLine="0" w:firstLineChars="0"/>
        <w:jc w:val="center"/>
        <w:rPr>
          <w:rFonts w:hint="eastAsia" w:ascii="黑体" w:hAnsi="黑体" w:eastAsia="黑体" w:cs="黑体"/>
          <w:b/>
          <w:bCs/>
          <w:color w:val="auto"/>
          <w:sz w:val="32"/>
          <w:szCs w:val="32"/>
          <w:lang w:val="en-US" w:eastAsia="zh-CN"/>
        </w:rPr>
      </w:pPr>
    </w:p>
    <w:p w14:paraId="6DF7FAB8">
      <w:pPr>
        <w:pStyle w:val="27"/>
        <w:ind w:left="0" w:leftChars="0" w:firstLine="0" w:firstLineChars="0"/>
        <w:jc w:val="center"/>
        <w:outlineLvl w:val="0"/>
        <w:rPr>
          <w:rFonts w:hint="eastAsia" w:ascii="黑体" w:hAnsi="黑体" w:eastAsia="黑体" w:cs="黑体"/>
          <w:b/>
          <w:color w:val="auto"/>
          <w:sz w:val="32"/>
          <w:szCs w:val="32"/>
          <w:highlight w:val="none"/>
          <w:lang w:val="en-US" w:eastAsia="zh-CN"/>
        </w:rPr>
      </w:pPr>
      <w:bookmarkStart w:id="4" w:name="_Toc31360"/>
      <w:bookmarkStart w:id="5" w:name="_Toc30149"/>
      <w:r>
        <w:rPr>
          <w:rFonts w:hint="eastAsia" w:ascii="黑体" w:hAnsi="黑体" w:eastAsia="黑体" w:cs="黑体"/>
          <w:b/>
          <w:bCs/>
          <w:color w:val="auto"/>
          <w:sz w:val="32"/>
          <w:szCs w:val="32"/>
          <w:lang w:val="en-US" w:eastAsia="zh-CN"/>
        </w:rPr>
        <w:t>项目</w:t>
      </w:r>
      <w:r>
        <w:rPr>
          <w:rFonts w:hint="eastAsia" w:ascii="黑体" w:hAnsi="黑体" w:eastAsia="黑体" w:cs="黑体"/>
          <w:b/>
          <w:bCs/>
          <w:color w:val="auto"/>
          <w:sz w:val="32"/>
          <w:szCs w:val="32"/>
        </w:rPr>
        <w:t>编号：</w:t>
      </w:r>
      <w:bookmarkEnd w:id="4"/>
      <w:bookmarkEnd w:id="5"/>
      <w:r>
        <w:rPr>
          <w:rFonts w:hint="eastAsia" w:ascii="黑体" w:hAnsi="黑体" w:eastAsia="黑体" w:cs="黑体"/>
          <w:b/>
          <w:bCs/>
          <w:color w:val="auto"/>
          <w:sz w:val="32"/>
          <w:szCs w:val="32"/>
          <w:lang w:eastAsia="zh-CN"/>
        </w:rPr>
        <w:t>ZBGJJSX(CS)2025-01</w:t>
      </w:r>
    </w:p>
    <w:p w14:paraId="150096C6">
      <w:pPr>
        <w:pStyle w:val="14"/>
        <w:tabs>
          <w:tab w:val="left" w:pos="567"/>
        </w:tabs>
        <w:ind w:left="0" w:leftChars="0" w:firstLine="0" w:firstLineChars="0"/>
        <w:rPr>
          <w:rFonts w:hint="eastAsia" w:ascii="黑体" w:hAnsi="黑体" w:eastAsia="黑体" w:cs="黑体"/>
          <w:b/>
          <w:color w:val="auto"/>
          <w:sz w:val="32"/>
          <w:szCs w:val="32"/>
          <w:highlight w:val="none"/>
          <w:lang w:val="en-US" w:eastAsia="zh-CN"/>
        </w:rPr>
      </w:pPr>
    </w:p>
    <w:p w14:paraId="1D5E0438">
      <w:pPr>
        <w:ind w:left="0" w:leftChars="0" w:firstLine="0" w:firstLineChars="0"/>
        <w:rPr>
          <w:rFonts w:hint="eastAsia" w:ascii="黑体" w:hAnsi="黑体" w:eastAsia="黑体" w:cs="黑体"/>
          <w:b/>
          <w:color w:val="auto"/>
          <w:sz w:val="32"/>
          <w:szCs w:val="32"/>
          <w:highlight w:val="none"/>
          <w:lang w:val="en-US" w:eastAsia="zh-CN"/>
        </w:rPr>
      </w:pPr>
    </w:p>
    <w:p w14:paraId="3C1F9E7C">
      <w:pPr>
        <w:pStyle w:val="27"/>
        <w:ind w:left="0" w:leftChars="0" w:firstLine="0" w:firstLineChars="0"/>
        <w:rPr>
          <w:rFonts w:hint="eastAsia" w:ascii="黑体" w:hAnsi="黑体" w:eastAsia="黑体" w:cs="黑体"/>
          <w:b/>
          <w:color w:val="auto"/>
          <w:sz w:val="32"/>
          <w:szCs w:val="32"/>
          <w:highlight w:val="none"/>
          <w:lang w:val="en-US" w:eastAsia="zh-CN"/>
        </w:rPr>
      </w:pPr>
    </w:p>
    <w:p w14:paraId="6FB9F1F8">
      <w:pPr>
        <w:spacing w:line="480" w:lineRule="auto"/>
        <w:ind w:left="0" w:leftChars="0" w:firstLine="2527" w:firstLineChars="839"/>
        <w:jc w:val="left"/>
        <w:outlineLvl w:val="0"/>
        <w:rPr>
          <w:rFonts w:hint="eastAsia" w:ascii="黑体" w:hAnsi="黑体" w:eastAsia="黑体" w:cs="黑体"/>
          <w:b/>
          <w:bCs/>
          <w:color w:val="auto"/>
          <w:sz w:val="30"/>
          <w:highlight w:val="none"/>
          <w:lang w:eastAsia="zh-CN"/>
        </w:rPr>
      </w:pPr>
      <w:bookmarkStart w:id="6" w:name="_Toc9600"/>
      <w:bookmarkStart w:id="7" w:name="_Toc6121"/>
      <w:r>
        <w:rPr>
          <w:rFonts w:hint="eastAsia" w:ascii="黑体" w:hAnsi="黑体" w:eastAsia="黑体" w:cs="黑体"/>
          <w:b/>
          <w:bCs/>
          <w:color w:val="auto"/>
          <w:sz w:val="30"/>
          <w:highlight w:val="none"/>
        </w:rPr>
        <w:t>招标</w:t>
      </w:r>
      <w:r>
        <w:rPr>
          <w:rFonts w:hint="eastAsia" w:ascii="黑体" w:hAnsi="黑体" w:eastAsia="黑体" w:cs="黑体"/>
          <w:b/>
          <w:bCs/>
          <w:color w:val="auto"/>
          <w:sz w:val="30"/>
          <w:highlight w:val="none"/>
          <w:lang w:eastAsia="zh-CN"/>
        </w:rPr>
        <w:t>人：</w:t>
      </w:r>
      <w:bookmarkEnd w:id="6"/>
      <w:bookmarkEnd w:id="7"/>
      <w:r>
        <w:rPr>
          <w:rFonts w:hint="eastAsia" w:ascii="黑体" w:hAnsi="黑体" w:eastAsia="黑体" w:cs="黑体"/>
          <w:b/>
          <w:bCs/>
          <w:color w:val="auto"/>
          <w:sz w:val="30"/>
          <w:highlight w:val="none"/>
          <w:lang w:eastAsia="zh-CN"/>
        </w:rPr>
        <w:t>伽师县水利局（伽师县水管总站）</w:t>
      </w:r>
    </w:p>
    <w:p w14:paraId="0A1430AD">
      <w:pPr>
        <w:spacing w:line="480" w:lineRule="auto"/>
        <w:ind w:left="0" w:leftChars="0" w:firstLine="2527" w:firstLineChars="839"/>
        <w:jc w:val="left"/>
        <w:rPr>
          <w:rFonts w:hint="eastAsia" w:ascii="黑体" w:hAnsi="黑体" w:eastAsia="黑体" w:cs="黑体"/>
          <w:b/>
          <w:bCs/>
          <w:color w:val="auto"/>
          <w:sz w:val="30"/>
          <w:highlight w:val="none"/>
          <w:lang w:val="en-US" w:eastAsia="zh-CN"/>
        </w:rPr>
      </w:pPr>
      <w:r>
        <w:rPr>
          <w:rFonts w:hint="eastAsia" w:ascii="黑体" w:hAnsi="黑体" w:eastAsia="黑体" w:cs="黑体"/>
          <w:b/>
          <w:bCs/>
          <w:color w:val="auto"/>
          <w:sz w:val="30"/>
          <w:highlight w:val="none"/>
          <w:lang w:val="en-US" w:eastAsia="zh-CN"/>
        </w:rPr>
        <w:t>联 系 人：李福生</w:t>
      </w:r>
    </w:p>
    <w:p w14:paraId="4265EA4B">
      <w:pPr>
        <w:spacing w:line="480" w:lineRule="auto"/>
        <w:ind w:left="0" w:leftChars="0" w:firstLine="2527" w:firstLineChars="839"/>
        <w:jc w:val="left"/>
        <w:outlineLvl w:val="0"/>
        <w:rPr>
          <w:rFonts w:hint="eastAsia" w:ascii="黑体" w:hAnsi="黑体" w:eastAsia="黑体" w:cs="黑体"/>
          <w:b/>
          <w:bCs/>
          <w:color w:val="auto"/>
          <w:sz w:val="30"/>
          <w:highlight w:val="none"/>
          <w:lang w:eastAsia="zh-CN"/>
        </w:rPr>
      </w:pPr>
      <w:bookmarkStart w:id="8" w:name="_Toc23111"/>
      <w:bookmarkStart w:id="9" w:name="_Toc1206"/>
      <w:r>
        <w:rPr>
          <w:rFonts w:hint="eastAsia" w:ascii="黑体" w:hAnsi="黑体" w:eastAsia="黑体" w:cs="黑体"/>
          <w:b/>
          <w:bCs/>
          <w:color w:val="auto"/>
          <w:sz w:val="30"/>
          <w:highlight w:val="none"/>
        </w:rPr>
        <w:t>采购代理机构：</w:t>
      </w:r>
      <w:bookmarkEnd w:id="8"/>
      <w:bookmarkEnd w:id="9"/>
      <w:r>
        <w:rPr>
          <w:rFonts w:hint="eastAsia" w:ascii="黑体" w:hAnsi="黑体" w:eastAsia="黑体" w:cs="黑体"/>
          <w:b/>
          <w:bCs/>
          <w:color w:val="auto"/>
          <w:sz w:val="30"/>
          <w:highlight w:val="none"/>
          <w:lang w:eastAsia="zh-CN"/>
        </w:rPr>
        <w:t>智博国际工程咨询有限公司</w:t>
      </w:r>
    </w:p>
    <w:p w14:paraId="18A41BFD">
      <w:pPr>
        <w:spacing w:line="480" w:lineRule="auto"/>
        <w:ind w:left="0" w:leftChars="0" w:firstLine="2527" w:firstLineChars="839"/>
        <w:jc w:val="left"/>
        <w:rPr>
          <w:rFonts w:hint="eastAsia" w:ascii="黑体" w:hAnsi="黑体" w:eastAsia="黑体" w:cs="黑体"/>
          <w:b/>
          <w:bCs/>
          <w:color w:val="auto"/>
          <w:sz w:val="30"/>
          <w:szCs w:val="30"/>
          <w:highlight w:val="none"/>
          <w:u w:val="single"/>
          <w:lang w:val="en-US" w:eastAsia="zh-CN"/>
        </w:rPr>
      </w:pPr>
      <w:r>
        <w:rPr>
          <w:rFonts w:hint="eastAsia" w:ascii="黑体" w:hAnsi="黑体" w:eastAsia="黑体" w:cs="黑体"/>
          <w:b/>
          <w:bCs/>
          <w:color w:val="auto"/>
          <w:sz w:val="30"/>
          <w:szCs w:val="30"/>
          <w:highlight w:val="none"/>
        </w:rPr>
        <w:t>联   系   人：</w:t>
      </w:r>
      <w:r>
        <w:rPr>
          <w:rFonts w:hint="eastAsia" w:ascii="黑体" w:hAnsi="黑体" w:eastAsia="黑体" w:cs="黑体"/>
          <w:b/>
          <w:bCs/>
          <w:color w:val="auto"/>
          <w:sz w:val="30"/>
          <w:szCs w:val="30"/>
          <w:highlight w:val="none"/>
          <w:lang w:val="en-US" w:eastAsia="zh-CN"/>
        </w:rPr>
        <w:t>刘静</w:t>
      </w:r>
    </w:p>
    <w:p w14:paraId="0554A8CD">
      <w:pPr>
        <w:spacing w:line="480" w:lineRule="auto"/>
        <w:ind w:left="0" w:leftChars="0" w:firstLine="2527" w:firstLineChars="839"/>
        <w:jc w:val="left"/>
        <w:rPr>
          <w:rFonts w:hint="eastAsia" w:ascii="黑体" w:hAnsi="黑体" w:eastAsia="黑体" w:cs="黑体"/>
          <w:b/>
          <w:bCs/>
          <w:color w:val="auto"/>
          <w:sz w:val="30"/>
          <w:szCs w:val="30"/>
          <w:highlight w:val="none"/>
          <w:lang w:eastAsia="zh-CN"/>
        </w:rPr>
      </w:pPr>
      <w:r>
        <w:rPr>
          <w:rFonts w:hint="eastAsia" w:ascii="黑体" w:hAnsi="黑体" w:eastAsia="黑体" w:cs="黑体"/>
          <w:b/>
          <w:bCs/>
          <w:color w:val="auto"/>
          <w:sz w:val="30"/>
          <w:szCs w:val="30"/>
          <w:highlight w:val="none"/>
        </w:rPr>
        <w:t>联  系 电 话：</w:t>
      </w:r>
      <w:r>
        <w:rPr>
          <w:rFonts w:hint="eastAsia" w:ascii="黑体" w:hAnsi="黑体" w:eastAsia="黑体" w:cs="黑体"/>
          <w:b/>
          <w:bCs/>
          <w:color w:val="auto"/>
          <w:sz w:val="30"/>
          <w:szCs w:val="30"/>
          <w:highlight w:val="none"/>
          <w:lang w:eastAsia="zh-CN"/>
        </w:rPr>
        <w:t>18197668299</w:t>
      </w:r>
    </w:p>
    <w:p w14:paraId="673BAD8B">
      <w:pPr>
        <w:spacing w:line="480" w:lineRule="auto"/>
        <w:ind w:firstLine="341" w:firstLineChars="100"/>
        <w:jc w:val="center"/>
        <w:rPr>
          <w:rFonts w:hint="eastAsia" w:ascii="黑体" w:hAnsi="黑体" w:eastAsia="黑体" w:cs="黑体"/>
          <w:b/>
          <w:color w:val="auto"/>
          <w:spacing w:val="20"/>
          <w:sz w:val="30"/>
          <w:szCs w:val="28"/>
          <w:lang w:val="en-US" w:eastAsia="zh-CN"/>
        </w:rPr>
      </w:pPr>
    </w:p>
    <w:p w14:paraId="39D54BD6">
      <w:pPr>
        <w:spacing w:line="480" w:lineRule="auto"/>
        <w:ind w:firstLine="341" w:firstLineChars="100"/>
        <w:jc w:val="center"/>
        <w:rPr>
          <w:rFonts w:hint="eastAsia" w:ascii="黑体" w:hAnsi="黑体" w:eastAsia="黑体" w:cs="黑体"/>
          <w:b/>
          <w:color w:val="auto"/>
          <w:spacing w:val="20"/>
          <w:sz w:val="30"/>
          <w:szCs w:val="28"/>
        </w:rPr>
      </w:pPr>
      <w:r>
        <w:rPr>
          <w:rFonts w:hint="eastAsia" w:ascii="黑体" w:hAnsi="黑体" w:eastAsia="黑体" w:cs="黑体"/>
          <w:b/>
          <w:color w:val="auto"/>
          <w:spacing w:val="20"/>
          <w:sz w:val="30"/>
          <w:szCs w:val="28"/>
          <w:lang w:val="en-US" w:eastAsia="zh-CN"/>
        </w:rPr>
        <w:t>2025</w:t>
      </w:r>
      <w:r>
        <w:rPr>
          <w:rFonts w:hint="eastAsia" w:ascii="黑体" w:hAnsi="黑体" w:eastAsia="黑体" w:cs="黑体"/>
          <w:b/>
          <w:color w:val="auto"/>
          <w:spacing w:val="20"/>
          <w:sz w:val="30"/>
          <w:szCs w:val="28"/>
        </w:rPr>
        <w:t>年</w:t>
      </w:r>
      <w:r>
        <w:rPr>
          <w:rFonts w:hint="eastAsia" w:ascii="黑体" w:hAnsi="黑体" w:eastAsia="黑体" w:cs="黑体"/>
          <w:b/>
          <w:color w:val="auto"/>
          <w:spacing w:val="20"/>
          <w:sz w:val="30"/>
          <w:szCs w:val="28"/>
          <w:lang w:val="en-US" w:eastAsia="zh-CN"/>
        </w:rPr>
        <w:t>01</w:t>
      </w:r>
      <w:r>
        <w:rPr>
          <w:rFonts w:hint="eastAsia" w:ascii="黑体" w:hAnsi="黑体" w:eastAsia="黑体" w:cs="黑体"/>
          <w:b/>
          <w:color w:val="auto"/>
          <w:spacing w:val="20"/>
          <w:sz w:val="30"/>
          <w:szCs w:val="28"/>
        </w:rPr>
        <w:t>月</w:t>
      </w:r>
    </w:p>
    <w:p w14:paraId="1B7DE465">
      <w:pPr>
        <w:spacing w:line="360" w:lineRule="auto"/>
        <w:jc w:val="both"/>
        <w:rPr>
          <w:rFonts w:hint="eastAsia" w:ascii="黑体" w:hAnsi="黑体" w:eastAsia="黑体" w:cs="黑体"/>
          <w:b/>
          <w:bCs/>
          <w:color w:val="auto"/>
          <w:sz w:val="24"/>
        </w:rPr>
        <w:sectPr>
          <w:headerReference r:id="rId3" w:type="default"/>
          <w:footerReference r:id="rId4" w:type="default"/>
          <w:pgSz w:w="11906" w:h="16838"/>
          <w:pgMar w:top="1440" w:right="1080" w:bottom="1440" w:left="1080" w:header="851" w:footer="992" w:gutter="0"/>
          <w:pgNumType w:start="1"/>
          <w:cols w:space="720" w:num="1"/>
          <w:docGrid w:linePitch="312" w:charSpace="0"/>
        </w:sectPr>
      </w:pPr>
    </w:p>
    <w:p w14:paraId="6279C55A">
      <w:pPr>
        <w:spacing w:line="240" w:lineRule="atLeast"/>
        <w:rPr>
          <w:rFonts w:hint="eastAsia" w:ascii="黑体" w:hAnsi="黑体" w:eastAsia="黑体" w:cs="黑体"/>
          <w:b/>
          <w:color w:val="auto"/>
          <w:sz w:val="28"/>
        </w:rPr>
      </w:pPr>
    </w:p>
    <w:p w14:paraId="76EEFDDF">
      <w:pPr>
        <w:jc w:val="center"/>
        <w:outlineLvl w:val="0"/>
        <w:rPr>
          <w:rFonts w:hint="eastAsia" w:ascii="黑体" w:hAnsi="黑体" w:eastAsia="黑体" w:cs="黑体"/>
          <w:b/>
          <w:bCs/>
          <w:color w:val="auto"/>
          <w:sz w:val="32"/>
          <w:szCs w:val="32"/>
        </w:rPr>
      </w:pPr>
      <w:bookmarkStart w:id="10" w:name="_Toc22992"/>
      <w:bookmarkStart w:id="11" w:name="_Toc2707"/>
      <w:bookmarkStart w:id="12" w:name="_Toc9228"/>
      <w:bookmarkStart w:id="13" w:name="_Toc216582804"/>
      <w:r>
        <w:rPr>
          <w:rFonts w:hint="eastAsia" w:ascii="黑体" w:hAnsi="黑体" w:eastAsia="黑体" w:cs="黑体"/>
          <w:b/>
          <w:bCs/>
          <w:color w:val="auto"/>
          <w:sz w:val="32"/>
          <w:szCs w:val="32"/>
        </w:rPr>
        <w:t>目</w:t>
      </w:r>
      <w:r>
        <w:rPr>
          <w:rFonts w:hint="eastAsia" w:ascii="黑体" w:hAnsi="黑体" w:eastAsia="黑体" w:cs="黑体"/>
          <w:b/>
          <w:bCs/>
          <w:color w:val="auto"/>
          <w:sz w:val="32"/>
          <w:szCs w:val="32"/>
          <w:lang w:val="en-US" w:eastAsia="zh-CN"/>
        </w:rPr>
        <w:t xml:space="preserve">  </w:t>
      </w:r>
      <w:r>
        <w:rPr>
          <w:rFonts w:hint="eastAsia" w:ascii="黑体" w:hAnsi="黑体" w:eastAsia="黑体" w:cs="黑体"/>
          <w:b/>
          <w:bCs/>
          <w:color w:val="auto"/>
          <w:sz w:val="32"/>
          <w:szCs w:val="32"/>
        </w:rPr>
        <w:t>录</w:t>
      </w:r>
      <w:bookmarkEnd w:id="10"/>
      <w:bookmarkEnd w:id="11"/>
    </w:p>
    <w:sdt>
      <w:sdtPr>
        <w:rPr>
          <w:rFonts w:ascii="宋体" w:hAnsi="宋体" w:eastAsia="宋体" w:cstheme="minorBidi"/>
          <w:b/>
          <w:bCs/>
          <w:kern w:val="2"/>
          <w:sz w:val="24"/>
          <w:szCs w:val="24"/>
          <w:lang w:val="en-US" w:eastAsia="zh-CN" w:bidi="ar-SA"/>
        </w:rPr>
        <w:id w:val="147469243"/>
        <w15:color w:val="DBDBDB"/>
        <w:docPartObj>
          <w:docPartGallery w:val="Table of Contents"/>
          <w:docPartUnique/>
        </w:docPartObj>
      </w:sdtPr>
      <w:sdtEndPr>
        <w:rPr>
          <w:rFonts w:ascii="宋体" w:hAnsi="宋体" w:eastAsia="宋体" w:cstheme="minorBidi"/>
          <w:b/>
          <w:bCs/>
          <w:kern w:val="2"/>
          <w:sz w:val="24"/>
          <w:szCs w:val="24"/>
          <w:lang w:val="en-US" w:eastAsia="zh-CN" w:bidi="ar-SA"/>
        </w:rPr>
      </w:sdtEndPr>
      <w:sdtContent>
        <w:p w14:paraId="5E956363">
          <w:pPr>
            <w:spacing w:before="0" w:beforeLines="0" w:after="0" w:afterLines="0" w:line="240" w:lineRule="auto"/>
            <w:ind w:left="0" w:leftChars="0" w:right="0" w:rightChars="0" w:firstLine="0" w:firstLineChars="0"/>
            <w:jc w:val="center"/>
            <w:rPr>
              <w:b/>
              <w:bCs/>
              <w:sz w:val="24"/>
              <w:szCs w:val="24"/>
            </w:rPr>
          </w:pPr>
          <w:r>
            <w:rPr>
              <w:b/>
              <w:bCs/>
              <w:sz w:val="24"/>
              <w:szCs w:val="24"/>
            </w:rPr>
            <w:fldChar w:fldCharType="begin"/>
          </w:r>
          <w:r>
            <w:rPr>
              <w:b/>
              <w:bCs/>
              <w:sz w:val="24"/>
              <w:szCs w:val="24"/>
            </w:rPr>
            <w:instrText xml:space="preserve">TOC \o "1-1" \h \u </w:instrText>
          </w:r>
          <w:r>
            <w:rPr>
              <w:b/>
              <w:bCs/>
              <w:sz w:val="24"/>
              <w:szCs w:val="24"/>
            </w:rPr>
            <w:fldChar w:fldCharType="separate"/>
          </w:r>
        </w:p>
        <w:p w14:paraId="1913F873">
          <w:pPr>
            <w:pStyle w:val="3"/>
            <w:tabs>
              <w:tab w:val="right" w:leader="dot" w:pos="9746"/>
            </w:tabs>
            <w:spacing w:line="480" w:lineRule="auto"/>
            <w:rPr>
              <w:b/>
              <w:bCs/>
              <w:sz w:val="24"/>
              <w:szCs w:val="24"/>
            </w:rPr>
          </w:pPr>
          <w:r>
            <w:rPr>
              <w:b/>
              <w:bCs/>
              <w:sz w:val="24"/>
              <w:szCs w:val="24"/>
            </w:rPr>
            <w:fldChar w:fldCharType="begin"/>
          </w:r>
          <w:r>
            <w:rPr>
              <w:b/>
              <w:bCs/>
              <w:sz w:val="24"/>
              <w:szCs w:val="24"/>
            </w:rPr>
            <w:instrText xml:space="preserve"> HYPERLINK \l _Toc1034 </w:instrText>
          </w:r>
          <w:r>
            <w:rPr>
              <w:b/>
              <w:bCs/>
              <w:sz w:val="24"/>
              <w:szCs w:val="24"/>
            </w:rPr>
            <w:fldChar w:fldCharType="separate"/>
          </w:r>
          <w:r>
            <w:rPr>
              <w:rFonts w:hint="eastAsia" w:ascii="黑体" w:hAnsi="黑体" w:eastAsia="黑体" w:cs="黑体"/>
              <w:b/>
              <w:bCs/>
              <w:sz w:val="24"/>
              <w:szCs w:val="24"/>
              <w:lang w:val="en-US" w:eastAsia="zh-CN"/>
            </w:rPr>
            <w:t>第</w:t>
          </w:r>
          <w:r>
            <w:rPr>
              <w:rFonts w:hint="eastAsia" w:ascii="黑体" w:hAnsi="黑体" w:eastAsia="黑体" w:cs="黑体"/>
              <w:b/>
              <w:bCs/>
              <w:sz w:val="24"/>
              <w:szCs w:val="24"/>
            </w:rPr>
            <w:t>一章</w:t>
          </w:r>
          <w:r>
            <w:rPr>
              <w:rFonts w:hint="eastAsia" w:ascii="黑体" w:hAnsi="黑体" w:eastAsia="黑体" w:cs="黑体"/>
              <w:b/>
              <w:bCs/>
              <w:sz w:val="24"/>
              <w:szCs w:val="24"/>
              <w:lang w:eastAsia="zh-CN"/>
            </w:rPr>
            <w:t>供应商</w:t>
          </w:r>
          <w:r>
            <w:rPr>
              <w:rFonts w:hint="eastAsia" w:ascii="黑体" w:hAnsi="黑体" w:eastAsia="黑体" w:cs="黑体"/>
              <w:b/>
              <w:bCs/>
              <w:sz w:val="24"/>
              <w:szCs w:val="24"/>
            </w:rPr>
            <w:t>须知</w:t>
          </w:r>
          <w:r>
            <w:rPr>
              <w:b/>
              <w:bCs/>
              <w:sz w:val="24"/>
              <w:szCs w:val="24"/>
            </w:rPr>
            <w:tab/>
          </w:r>
          <w:r>
            <w:rPr>
              <w:b/>
              <w:bCs/>
              <w:sz w:val="24"/>
              <w:szCs w:val="24"/>
            </w:rPr>
            <w:fldChar w:fldCharType="begin"/>
          </w:r>
          <w:r>
            <w:rPr>
              <w:b/>
              <w:bCs/>
              <w:sz w:val="24"/>
              <w:szCs w:val="24"/>
            </w:rPr>
            <w:instrText xml:space="preserve"> PAGEREF _Toc1034 \h </w:instrText>
          </w:r>
          <w:r>
            <w:rPr>
              <w:b/>
              <w:bCs/>
              <w:sz w:val="24"/>
              <w:szCs w:val="24"/>
            </w:rPr>
            <w:fldChar w:fldCharType="separate"/>
          </w:r>
          <w:r>
            <w:rPr>
              <w:b/>
              <w:bCs/>
              <w:sz w:val="24"/>
              <w:szCs w:val="24"/>
            </w:rPr>
            <w:t>1</w:t>
          </w:r>
          <w:r>
            <w:rPr>
              <w:b/>
              <w:bCs/>
              <w:sz w:val="24"/>
              <w:szCs w:val="24"/>
            </w:rPr>
            <w:fldChar w:fldCharType="end"/>
          </w:r>
          <w:r>
            <w:rPr>
              <w:b/>
              <w:bCs/>
              <w:sz w:val="24"/>
              <w:szCs w:val="24"/>
            </w:rPr>
            <w:fldChar w:fldCharType="end"/>
          </w:r>
        </w:p>
        <w:p w14:paraId="617B86F0">
          <w:pPr>
            <w:pStyle w:val="3"/>
            <w:tabs>
              <w:tab w:val="right" w:leader="dot" w:pos="9746"/>
            </w:tabs>
            <w:spacing w:line="480" w:lineRule="auto"/>
            <w:rPr>
              <w:b/>
              <w:bCs/>
              <w:sz w:val="24"/>
              <w:szCs w:val="24"/>
            </w:rPr>
          </w:pPr>
          <w:r>
            <w:rPr>
              <w:b/>
              <w:bCs/>
              <w:sz w:val="24"/>
              <w:szCs w:val="24"/>
            </w:rPr>
            <w:fldChar w:fldCharType="begin"/>
          </w:r>
          <w:r>
            <w:rPr>
              <w:b/>
              <w:bCs/>
              <w:sz w:val="24"/>
              <w:szCs w:val="24"/>
            </w:rPr>
            <w:instrText xml:space="preserve"> HYPERLINK \l _Toc17289 </w:instrText>
          </w:r>
          <w:r>
            <w:rPr>
              <w:b/>
              <w:bCs/>
              <w:sz w:val="24"/>
              <w:szCs w:val="24"/>
            </w:rPr>
            <w:fldChar w:fldCharType="separate"/>
          </w:r>
          <w:r>
            <w:rPr>
              <w:rFonts w:hint="eastAsia" w:ascii="黑体" w:hAnsi="黑体" w:eastAsia="黑体" w:cs="黑体"/>
              <w:b/>
              <w:bCs/>
              <w:sz w:val="24"/>
              <w:szCs w:val="24"/>
            </w:rPr>
            <w:t>第二章 响应文件格式</w:t>
          </w:r>
          <w:r>
            <w:rPr>
              <w:b/>
              <w:bCs/>
              <w:sz w:val="24"/>
              <w:szCs w:val="24"/>
            </w:rPr>
            <w:tab/>
          </w:r>
          <w:r>
            <w:rPr>
              <w:b/>
              <w:bCs/>
              <w:sz w:val="24"/>
              <w:szCs w:val="24"/>
            </w:rPr>
            <w:fldChar w:fldCharType="begin"/>
          </w:r>
          <w:r>
            <w:rPr>
              <w:b/>
              <w:bCs/>
              <w:sz w:val="24"/>
              <w:szCs w:val="24"/>
            </w:rPr>
            <w:instrText xml:space="preserve"> PAGEREF _Toc17289 \h </w:instrText>
          </w:r>
          <w:r>
            <w:rPr>
              <w:b/>
              <w:bCs/>
              <w:sz w:val="24"/>
              <w:szCs w:val="24"/>
            </w:rPr>
            <w:fldChar w:fldCharType="separate"/>
          </w:r>
          <w:r>
            <w:rPr>
              <w:b/>
              <w:bCs/>
              <w:sz w:val="24"/>
              <w:szCs w:val="24"/>
            </w:rPr>
            <w:t>18</w:t>
          </w:r>
          <w:r>
            <w:rPr>
              <w:b/>
              <w:bCs/>
              <w:sz w:val="24"/>
              <w:szCs w:val="24"/>
            </w:rPr>
            <w:fldChar w:fldCharType="end"/>
          </w:r>
          <w:r>
            <w:rPr>
              <w:b/>
              <w:bCs/>
              <w:sz w:val="24"/>
              <w:szCs w:val="24"/>
            </w:rPr>
            <w:fldChar w:fldCharType="end"/>
          </w:r>
        </w:p>
        <w:p w14:paraId="70B07839">
          <w:pPr>
            <w:pStyle w:val="3"/>
            <w:tabs>
              <w:tab w:val="right" w:leader="dot" w:pos="9746"/>
            </w:tabs>
            <w:spacing w:line="480" w:lineRule="auto"/>
            <w:rPr>
              <w:b/>
              <w:bCs/>
              <w:sz w:val="24"/>
              <w:szCs w:val="24"/>
            </w:rPr>
          </w:pPr>
          <w:r>
            <w:rPr>
              <w:b/>
              <w:bCs/>
              <w:sz w:val="24"/>
              <w:szCs w:val="24"/>
            </w:rPr>
            <w:fldChar w:fldCharType="begin"/>
          </w:r>
          <w:r>
            <w:rPr>
              <w:b/>
              <w:bCs/>
              <w:sz w:val="24"/>
              <w:szCs w:val="24"/>
            </w:rPr>
            <w:instrText xml:space="preserve"> HYPERLINK \l _Toc24693 </w:instrText>
          </w:r>
          <w:r>
            <w:rPr>
              <w:b/>
              <w:bCs/>
              <w:sz w:val="24"/>
              <w:szCs w:val="24"/>
            </w:rPr>
            <w:fldChar w:fldCharType="separate"/>
          </w:r>
          <w:r>
            <w:rPr>
              <w:rFonts w:hint="eastAsia" w:ascii="黑体" w:hAnsi="黑体" w:eastAsia="黑体" w:cs="黑体"/>
              <w:b/>
              <w:bCs/>
              <w:kern w:val="44"/>
              <w:sz w:val="24"/>
              <w:szCs w:val="24"/>
              <w:lang w:val="en-US" w:eastAsia="zh-CN" w:bidi="ar-SA"/>
            </w:rPr>
            <w:t>第三章磋商邀请</w:t>
          </w:r>
          <w:r>
            <w:rPr>
              <w:b/>
              <w:bCs/>
              <w:sz w:val="24"/>
              <w:szCs w:val="24"/>
            </w:rPr>
            <w:tab/>
          </w:r>
          <w:r>
            <w:rPr>
              <w:b/>
              <w:bCs/>
              <w:sz w:val="24"/>
              <w:szCs w:val="24"/>
            </w:rPr>
            <w:fldChar w:fldCharType="begin"/>
          </w:r>
          <w:r>
            <w:rPr>
              <w:b/>
              <w:bCs/>
              <w:sz w:val="24"/>
              <w:szCs w:val="24"/>
            </w:rPr>
            <w:instrText xml:space="preserve"> PAGEREF _Toc24693 \h </w:instrText>
          </w:r>
          <w:r>
            <w:rPr>
              <w:b/>
              <w:bCs/>
              <w:sz w:val="24"/>
              <w:szCs w:val="24"/>
            </w:rPr>
            <w:fldChar w:fldCharType="separate"/>
          </w:r>
          <w:r>
            <w:rPr>
              <w:b/>
              <w:bCs/>
              <w:sz w:val="24"/>
              <w:szCs w:val="24"/>
            </w:rPr>
            <w:t>45</w:t>
          </w:r>
          <w:r>
            <w:rPr>
              <w:b/>
              <w:bCs/>
              <w:sz w:val="24"/>
              <w:szCs w:val="24"/>
            </w:rPr>
            <w:fldChar w:fldCharType="end"/>
          </w:r>
          <w:r>
            <w:rPr>
              <w:b/>
              <w:bCs/>
              <w:sz w:val="24"/>
              <w:szCs w:val="24"/>
            </w:rPr>
            <w:fldChar w:fldCharType="end"/>
          </w:r>
        </w:p>
        <w:p w14:paraId="30BE3306">
          <w:pPr>
            <w:pStyle w:val="3"/>
            <w:tabs>
              <w:tab w:val="right" w:leader="dot" w:pos="9746"/>
            </w:tabs>
            <w:spacing w:line="480" w:lineRule="auto"/>
            <w:rPr>
              <w:b/>
              <w:bCs/>
              <w:sz w:val="24"/>
              <w:szCs w:val="24"/>
            </w:rPr>
          </w:pPr>
          <w:r>
            <w:rPr>
              <w:b/>
              <w:bCs/>
              <w:sz w:val="24"/>
              <w:szCs w:val="24"/>
            </w:rPr>
            <w:fldChar w:fldCharType="begin"/>
          </w:r>
          <w:r>
            <w:rPr>
              <w:b/>
              <w:bCs/>
              <w:sz w:val="24"/>
              <w:szCs w:val="24"/>
            </w:rPr>
            <w:instrText xml:space="preserve"> HYPERLINK \l _Toc30116 </w:instrText>
          </w:r>
          <w:r>
            <w:rPr>
              <w:b/>
              <w:bCs/>
              <w:sz w:val="24"/>
              <w:szCs w:val="24"/>
            </w:rPr>
            <w:fldChar w:fldCharType="separate"/>
          </w:r>
          <w:r>
            <w:rPr>
              <w:rFonts w:hint="eastAsia" w:ascii="黑体" w:hAnsi="黑体" w:eastAsia="黑体" w:cs="黑体"/>
              <w:b/>
              <w:bCs/>
              <w:sz w:val="24"/>
              <w:szCs w:val="24"/>
            </w:rPr>
            <w:t>第</w:t>
          </w:r>
          <w:r>
            <w:rPr>
              <w:rFonts w:hint="eastAsia" w:ascii="黑体" w:hAnsi="黑体" w:eastAsia="黑体" w:cs="黑体"/>
              <w:b/>
              <w:bCs/>
              <w:sz w:val="24"/>
              <w:szCs w:val="24"/>
              <w:lang w:val="en-US" w:eastAsia="zh-CN"/>
            </w:rPr>
            <w:t>四</w:t>
          </w:r>
          <w:r>
            <w:rPr>
              <w:rFonts w:hint="eastAsia" w:ascii="黑体" w:hAnsi="黑体" w:eastAsia="黑体" w:cs="黑体"/>
              <w:b/>
              <w:bCs/>
              <w:sz w:val="24"/>
              <w:szCs w:val="24"/>
            </w:rPr>
            <w:t xml:space="preserve">章 </w:t>
          </w:r>
          <w:r>
            <w:rPr>
              <w:rFonts w:hint="eastAsia" w:ascii="黑体" w:hAnsi="黑体" w:eastAsia="黑体" w:cs="黑体"/>
              <w:b/>
              <w:bCs/>
              <w:sz w:val="24"/>
              <w:szCs w:val="24"/>
              <w:lang w:eastAsia="zh-CN"/>
            </w:rPr>
            <w:t>供应商</w:t>
          </w:r>
          <w:r>
            <w:rPr>
              <w:rFonts w:hint="eastAsia" w:ascii="黑体" w:hAnsi="黑体" w:eastAsia="黑体" w:cs="黑体"/>
              <w:b/>
              <w:bCs/>
              <w:sz w:val="24"/>
              <w:szCs w:val="24"/>
            </w:rPr>
            <w:t>须知资料表</w:t>
          </w:r>
          <w:r>
            <w:rPr>
              <w:b/>
              <w:bCs/>
              <w:sz w:val="24"/>
              <w:szCs w:val="24"/>
            </w:rPr>
            <w:tab/>
          </w:r>
          <w:r>
            <w:rPr>
              <w:b/>
              <w:bCs/>
              <w:sz w:val="24"/>
              <w:szCs w:val="24"/>
            </w:rPr>
            <w:fldChar w:fldCharType="begin"/>
          </w:r>
          <w:r>
            <w:rPr>
              <w:b/>
              <w:bCs/>
              <w:sz w:val="24"/>
              <w:szCs w:val="24"/>
            </w:rPr>
            <w:instrText xml:space="preserve"> PAGEREF _Toc30116 \h </w:instrText>
          </w:r>
          <w:r>
            <w:rPr>
              <w:b/>
              <w:bCs/>
              <w:sz w:val="24"/>
              <w:szCs w:val="24"/>
            </w:rPr>
            <w:fldChar w:fldCharType="separate"/>
          </w:r>
          <w:r>
            <w:rPr>
              <w:b/>
              <w:bCs/>
              <w:sz w:val="24"/>
              <w:szCs w:val="24"/>
            </w:rPr>
            <w:t>49</w:t>
          </w:r>
          <w:r>
            <w:rPr>
              <w:b/>
              <w:bCs/>
              <w:sz w:val="24"/>
              <w:szCs w:val="24"/>
            </w:rPr>
            <w:fldChar w:fldCharType="end"/>
          </w:r>
          <w:r>
            <w:rPr>
              <w:b/>
              <w:bCs/>
              <w:sz w:val="24"/>
              <w:szCs w:val="24"/>
            </w:rPr>
            <w:fldChar w:fldCharType="end"/>
          </w:r>
        </w:p>
        <w:p w14:paraId="3619BB4C">
          <w:pPr>
            <w:pStyle w:val="3"/>
            <w:tabs>
              <w:tab w:val="right" w:leader="dot" w:pos="9746"/>
            </w:tabs>
            <w:spacing w:line="480" w:lineRule="auto"/>
            <w:rPr>
              <w:b/>
              <w:bCs/>
              <w:sz w:val="24"/>
              <w:szCs w:val="24"/>
            </w:rPr>
          </w:pPr>
          <w:r>
            <w:rPr>
              <w:b/>
              <w:bCs/>
              <w:sz w:val="24"/>
              <w:szCs w:val="24"/>
            </w:rPr>
            <w:fldChar w:fldCharType="begin"/>
          </w:r>
          <w:r>
            <w:rPr>
              <w:b/>
              <w:bCs/>
              <w:sz w:val="24"/>
              <w:szCs w:val="24"/>
            </w:rPr>
            <w:instrText xml:space="preserve"> HYPERLINK \l _Toc14255 </w:instrText>
          </w:r>
          <w:r>
            <w:rPr>
              <w:b/>
              <w:bCs/>
              <w:sz w:val="24"/>
              <w:szCs w:val="24"/>
            </w:rPr>
            <w:fldChar w:fldCharType="separate"/>
          </w:r>
          <w:r>
            <w:rPr>
              <w:rFonts w:hint="eastAsia" w:ascii="黑体" w:hAnsi="黑体" w:eastAsia="黑体" w:cs="黑体"/>
              <w:b/>
              <w:bCs/>
              <w:sz w:val="24"/>
              <w:szCs w:val="24"/>
              <w:lang w:val="en-US" w:eastAsia="zh-CN"/>
            </w:rPr>
            <w:t xml:space="preserve">第五章 </w:t>
          </w:r>
          <w:r>
            <w:rPr>
              <w:rFonts w:hint="eastAsia" w:ascii="黑体" w:hAnsi="黑体" w:eastAsia="黑体" w:cs="黑体"/>
              <w:b/>
              <w:bCs/>
              <w:sz w:val="24"/>
              <w:szCs w:val="24"/>
              <w:highlight w:val="none"/>
              <w:lang w:val="en-US" w:eastAsia="zh-CN"/>
            </w:rPr>
            <w:t>采购需求</w:t>
          </w:r>
          <w:r>
            <w:rPr>
              <w:rFonts w:hint="eastAsia" w:ascii="黑体" w:hAnsi="黑体" w:eastAsia="黑体" w:cs="黑体"/>
              <w:b/>
              <w:bCs/>
              <w:sz w:val="24"/>
              <w:szCs w:val="24"/>
              <w:highlight w:val="none"/>
            </w:rPr>
            <w:t>及技术规</w:t>
          </w:r>
          <w:r>
            <w:rPr>
              <w:rFonts w:hint="eastAsia" w:ascii="黑体" w:hAnsi="黑体" w:eastAsia="黑体" w:cs="黑体"/>
              <w:b/>
              <w:bCs/>
              <w:sz w:val="24"/>
              <w:szCs w:val="24"/>
              <w:highlight w:val="none"/>
              <w:lang w:val="en-US" w:eastAsia="zh-CN"/>
            </w:rPr>
            <w:t>格</w:t>
          </w:r>
          <w:r>
            <w:rPr>
              <w:b/>
              <w:bCs/>
              <w:sz w:val="24"/>
              <w:szCs w:val="24"/>
            </w:rPr>
            <w:tab/>
          </w:r>
          <w:r>
            <w:rPr>
              <w:b/>
              <w:bCs/>
              <w:sz w:val="24"/>
              <w:szCs w:val="24"/>
            </w:rPr>
            <w:fldChar w:fldCharType="begin"/>
          </w:r>
          <w:r>
            <w:rPr>
              <w:b/>
              <w:bCs/>
              <w:sz w:val="24"/>
              <w:szCs w:val="24"/>
            </w:rPr>
            <w:instrText xml:space="preserve"> PAGEREF _Toc14255 \h </w:instrText>
          </w:r>
          <w:r>
            <w:rPr>
              <w:b/>
              <w:bCs/>
              <w:sz w:val="24"/>
              <w:szCs w:val="24"/>
            </w:rPr>
            <w:fldChar w:fldCharType="separate"/>
          </w:r>
          <w:r>
            <w:rPr>
              <w:b/>
              <w:bCs/>
              <w:sz w:val="24"/>
              <w:szCs w:val="24"/>
            </w:rPr>
            <w:t>54</w:t>
          </w:r>
          <w:r>
            <w:rPr>
              <w:b/>
              <w:bCs/>
              <w:sz w:val="24"/>
              <w:szCs w:val="24"/>
            </w:rPr>
            <w:fldChar w:fldCharType="end"/>
          </w:r>
          <w:r>
            <w:rPr>
              <w:b/>
              <w:bCs/>
              <w:sz w:val="24"/>
              <w:szCs w:val="24"/>
            </w:rPr>
            <w:fldChar w:fldCharType="end"/>
          </w:r>
        </w:p>
        <w:p w14:paraId="73E2CCFE">
          <w:pPr>
            <w:pStyle w:val="3"/>
            <w:tabs>
              <w:tab w:val="right" w:leader="dot" w:pos="9746"/>
            </w:tabs>
            <w:spacing w:line="480" w:lineRule="auto"/>
            <w:rPr>
              <w:b/>
              <w:bCs/>
              <w:sz w:val="24"/>
              <w:szCs w:val="24"/>
            </w:rPr>
          </w:pPr>
          <w:r>
            <w:rPr>
              <w:b/>
              <w:bCs/>
              <w:sz w:val="24"/>
              <w:szCs w:val="24"/>
            </w:rPr>
            <w:fldChar w:fldCharType="begin"/>
          </w:r>
          <w:r>
            <w:rPr>
              <w:b/>
              <w:bCs/>
              <w:sz w:val="24"/>
              <w:szCs w:val="24"/>
            </w:rPr>
            <w:instrText xml:space="preserve"> HYPERLINK \l _Toc23671 </w:instrText>
          </w:r>
          <w:r>
            <w:rPr>
              <w:b/>
              <w:bCs/>
              <w:sz w:val="24"/>
              <w:szCs w:val="24"/>
            </w:rPr>
            <w:fldChar w:fldCharType="separate"/>
          </w:r>
          <w:r>
            <w:rPr>
              <w:rFonts w:hint="eastAsia" w:ascii="黑体" w:hAnsi="黑体" w:eastAsia="黑体" w:cs="黑体"/>
              <w:b/>
              <w:bCs/>
              <w:sz w:val="24"/>
              <w:szCs w:val="24"/>
            </w:rPr>
            <w:t>第</w:t>
          </w:r>
          <w:r>
            <w:rPr>
              <w:rFonts w:hint="eastAsia" w:ascii="黑体" w:hAnsi="黑体" w:eastAsia="黑体" w:cs="黑体"/>
              <w:b/>
              <w:bCs/>
              <w:sz w:val="24"/>
              <w:szCs w:val="24"/>
              <w:lang w:val="en-US" w:eastAsia="zh-CN"/>
            </w:rPr>
            <w:t>六</w:t>
          </w:r>
          <w:r>
            <w:rPr>
              <w:rFonts w:hint="eastAsia" w:ascii="黑体" w:hAnsi="黑体" w:eastAsia="黑体" w:cs="黑体"/>
              <w:b/>
              <w:bCs/>
              <w:sz w:val="24"/>
              <w:szCs w:val="24"/>
            </w:rPr>
            <w:t>章  评</w:t>
          </w:r>
          <w:r>
            <w:rPr>
              <w:rFonts w:hint="eastAsia" w:ascii="黑体" w:hAnsi="黑体" w:eastAsia="黑体" w:cs="黑体"/>
              <w:b/>
              <w:bCs/>
              <w:sz w:val="24"/>
              <w:szCs w:val="24"/>
              <w:lang w:eastAsia="zh-CN"/>
            </w:rPr>
            <w:t>审</w:t>
          </w:r>
          <w:r>
            <w:rPr>
              <w:rFonts w:hint="eastAsia" w:ascii="黑体" w:hAnsi="黑体" w:eastAsia="黑体" w:cs="黑体"/>
              <w:b/>
              <w:bCs/>
              <w:sz w:val="24"/>
              <w:szCs w:val="24"/>
            </w:rPr>
            <w:t>方法和标准</w:t>
          </w:r>
          <w:r>
            <w:rPr>
              <w:b/>
              <w:bCs/>
              <w:sz w:val="24"/>
              <w:szCs w:val="24"/>
            </w:rPr>
            <w:tab/>
          </w:r>
          <w:r>
            <w:rPr>
              <w:b/>
              <w:bCs/>
              <w:sz w:val="24"/>
              <w:szCs w:val="24"/>
            </w:rPr>
            <w:fldChar w:fldCharType="begin"/>
          </w:r>
          <w:r>
            <w:rPr>
              <w:b/>
              <w:bCs/>
              <w:sz w:val="24"/>
              <w:szCs w:val="24"/>
            </w:rPr>
            <w:instrText xml:space="preserve"> PAGEREF _Toc23671 \h </w:instrText>
          </w:r>
          <w:r>
            <w:rPr>
              <w:b/>
              <w:bCs/>
              <w:sz w:val="24"/>
              <w:szCs w:val="24"/>
            </w:rPr>
            <w:fldChar w:fldCharType="separate"/>
          </w:r>
          <w:r>
            <w:rPr>
              <w:b/>
              <w:bCs/>
              <w:sz w:val="24"/>
              <w:szCs w:val="24"/>
            </w:rPr>
            <w:t>57</w:t>
          </w:r>
          <w:r>
            <w:rPr>
              <w:b/>
              <w:bCs/>
              <w:sz w:val="24"/>
              <w:szCs w:val="24"/>
            </w:rPr>
            <w:fldChar w:fldCharType="end"/>
          </w:r>
          <w:r>
            <w:rPr>
              <w:b/>
              <w:bCs/>
              <w:sz w:val="24"/>
              <w:szCs w:val="24"/>
            </w:rPr>
            <w:fldChar w:fldCharType="end"/>
          </w:r>
        </w:p>
        <w:p w14:paraId="1118750B">
          <w:pPr>
            <w:pStyle w:val="3"/>
            <w:tabs>
              <w:tab w:val="right" w:leader="dot" w:pos="9746"/>
            </w:tabs>
            <w:spacing w:line="480" w:lineRule="auto"/>
            <w:rPr>
              <w:b/>
              <w:bCs/>
              <w:sz w:val="24"/>
              <w:szCs w:val="24"/>
            </w:rPr>
          </w:pPr>
          <w:r>
            <w:rPr>
              <w:b/>
              <w:bCs/>
              <w:sz w:val="24"/>
              <w:szCs w:val="24"/>
            </w:rPr>
            <w:fldChar w:fldCharType="begin"/>
          </w:r>
          <w:r>
            <w:rPr>
              <w:b/>
              <w:bCs/>
              <w:sz w:val="24"/>
              <w:szCs w:val="24"/>
            </w:rPr>
            <w:instrText xml:space="preserve"> HYPERLINK \l _Toc447 </w:instrText>
          </w:r>
          <w:r>
            <w:rPr>
              <w:b/>
              <w:bCs/>
              <w:sz w:val="24"/>
              <w:szCs w:val="24"/>
            </w:rPr>
            <w:fldChar w:fldCharType="separate"/>
          </w:r>
          <w:r>
            <w:rPr>
              <w:rFonts w:hint="eastAsia" w:ascii="黑体" w:hAnsi="黑体" w:eastAsia="黑体" w:cs="黑体"/>
              <w:b/>
              <w:bCs/>
              <w:sz w:val="24"/>
              <w:szCs w:val="24"/>
              <w:highlight w:val="none"/>
            </w:rPr>
            <w:t>综合评分法评分标准</w:t>
          </w:r>
          <w:r>
            <w:rPr>
              <w:b/>
              <w:bCs/>
              <w:sz w:val="24"/>
              <w:szCs w:val="24"/>
            </w:rPr>
            <w:tab/>
          </w:r>
          <w:r>
            <w:rPr>
              <w:b/>
              <w:bCs/>
              <w:sz w:val="24"/>
              <w:szCs w:val="24"/>
            </w:rPr>
            <w:fldChar w:fldCharType="begin"/>
          </w:r>
          <w:r>
            <w:rPr>
              <w:b/>
              <w:bCs/>
              <w:sz w:val="24"/>
              <w:szCs w:val="24"/>
            </w:rPr>
            <w:instrText xml:space="preserve"> PAGEREF _Toc447 \h </w:instrText>
          </w:r>
          <w:r>
            <w:rPr>
              <w:b/>
              <w:bCs/>
              <w:sz w:val="24"/>
              <w:szCs w:val="24"/>
            </w:rPr>
            <w:fldChar w:fldCharType="separate"/>
          </w:r>
          <w:r>
            <w:rPr>
              <w:b/>
              <w:bCs/>
              <w:sz w:val="24"/>
              <w:szCs w:val="24"/>
            </w:rPr>
            <w:t>67</w:t>
          </w:r>
          <w:r>
            <w:rPr>
              <w:b/>
              <w:bCs/>
              <w:sz w:val="24"/>
              <w:szCs w:val="24"/>
            </w:rPr>
            <w:fldChar w:fldCharType="end"/>
          </w:r>
          <w:r>
            <w:rPr>
              <w:b/>
              <w:bCs/>
              <w:sz w:val="24"/>
              <w:szCs w:val="24"/>
            </w:rPr>
            <w:fldChar w:fldCharType="end"/>
          </w:r>
        </w:p>
        <w:p w14:paraId="6A8834C7">
          <w:pPr>
            <w:pStyle w:val="3"/>
            <w:tabs>
              <w:tab w:val="right" w:leader="dot" w:pos="9746"/>
            </w:tabs>
            <w:spacing w:line="480" w:lineRule="auto"/>
            <w:rPr>
              <w:b/>
              <w:bCs/>
              <w:sz w:val="24"/>
              <w:szCs w:val="24"/>
            </w:rPr>
          </w:pPr>
          <w:r>
            <w:rPr>
              <w:b/>
              <w:bCs/>
              <w:sz w:val="24"/>
              <w:szCs w:val="24"/>
            </w:rPr>
            <w:fldChar w:fldCharType="begin"/>
          </w:r>
          <w:r>
            <w:rPr>
              <w:b/>
              <w:bCs/>
              <w:sz w:val="24"/>
              <w:szCs w:val="24"/>
            </w:rPr>
            <w:instrText xml:space="preserve"> HYPERLINK \l _Toc9958 </w:instrText>
          </w:r>
          <w:r>
            <w:rPr>
              <w:b/>
              <w:bCs/>
              <w:sz w:val="24"/>
              <w:szCs w:val="24"/>
            </w:rPr>
            <w:fldChar w:fldCharType="separate"/>
          </w:r>
          <w:r>
            <w:rPr>
              <w:rFonts w:hint="eastAsia" w:ascii="黑体" w:hAnsi="黑体" w:eastAsia="黑体" w:cs="黑体"/>
              <w:b/>
              <w:bCs/>
              <w:sz w:val="24"/>
              <w:szCs w:val="24"/>
            </w:rPr>
            <w:t>第</w:t>
          </w:r>
          <w:r>
            <w:rPr>
              <w:rFonts w:hint="eastAsia" w:ascii="黑体" w:hAnsi="黑体" w:eastAsia="黑体" w:cs="黑体"/>
              <w:b/>
              <w:bCs/>
              <w:sz w:val="24"/>
              <w:szCs w:val="24"/>
              <w:lang w:val="en-US" w:eastAsia="zh-CN"/>
            </w:rPr>
            <w:t>七</w:t>
          </w:r>
          <w:r>
            <w:rPr>
              <w:rFonts w:hint="eastAsia" w:ascii="黑体" w:hAnsi="黑体" w:eastAsia="黑体" w:cs="黑体"/>
              <w:b/>
              <w:bCs/>
              <w:sz w:val="24"/>
              <w:szCs w:val="24"/>
            </w:rPr>
            <w:t>章 合同条款及格式</w:t>
          </w:r>
          <w:r>
            <w:rPr>
              <w:b/>
              <w:bCs/>
              <w:sz w:val="24"/>
              <w:szCs w:val="24"/>
            </w:rPr>
            <w:tab/>
          </w:r>
          <w:r>
            <w:rPr>
              <w:b/>
              <w:bCs/>
              <w:sz w:val="24"/>
              <w:szCs w:val="24"/>
            </w:rPr>
            <w:fldChar w:fldCharType="begin"/>
          </w:r>
          <w:r>
            <w:rPr>
              <w:b/>
              <w:bCs/>
              <w:sz w:val="24"/>
              <w:szCs w:val="24"/>
            </w:rPr>
            <w:instrText xml:space="preserve"> PAGEREF _Toc9958 \h </w:instrText>
          </w:r>
          <w:r>
            <w:rPr>
              <w:b/>
              <w:bCs/>
              <w:sz w:val="24"/>
              <w:szCs w:val="24"/>
            </w:rPr>
            <w:fldChar w:fldCharType="separate"/>
          </w:r>
          <w:r>
            <w:rPr>
              <w:b/>
              <w:bCs/>
              <w:sz w:val="24"/>
              <w:szCs w:val="24"/>
            </w:rPr>
            <w:t>69</w:t>
          </w:r>
          <w:r>
            <w:rPr>
              <w:b/>
              <w:bCs/>
              <w:sz w:val="24"/>
              <w:szCs w:val="24"/>
            </w:rPr>
            <w:fldChar w:fldCharType="end"/>
          </w:r>
          <w:r>
            <w:rPr>
              <w:b/>
              <w:bCs/>
              <w:sz w:val="24"/>
              <w:szCs w:val="24"/>
            </w:rPr>
            <w:fldChar w:fldCharType="end"/>
          </w:r>
        </w:p>
        <w:p w14:paraId="7B63DEB2">
          <w:pPr>
            <w:pStyle w:val="3"/>
            <w:tabs>
              <w:tab w:val="right" w:leader="dot" w:pos="9746"/>
            </w:tabs>
            <w:spacing w:line="480" w:lineRule="auto"/>
            <w:rPr>
              <w:b/>
              <w:bCs/>
              <w:sz w:val="24"/>
              <w:szCs w:val="24"/>
            </w:rPr>
          </w:pPr>
          <w:r>
            <w:rPr>
              <w:b/>
              <w:bCs/>
              <w:sz w:val="24"/>
              <w:szCs w:val="24"/>
            </w:rPr>
            <w:fldChar w:fldCharType="begin"/>
          </w:r>
          <w:r>
            <w:rPr>
              <w:b/>
              <w:bCs/>
              <w:sz w:val="24"/>
              <w:szCs w:val="24"/>
            </w:rPr>
            <w:instrText xml:space="preserve"> HYPERLINK \l _Toc6306 </w:instrText>
          </w:r>
          <w:r>
            <w:rPr>
              <w:b/>
              <w:bCs/>
              <w:sz w:val="24"/>
              <w:szCs w:val="24"/>
            </w:rPr>
            <w:fldChar w:fldCharType="separate"/>
          </w:r>
          <w:r>
            <w:rPr>
              <w:rFonts w:hint="eastAsia" w:ascii="黑体" w:hAnsi="黑体" w:eastAsia="黑体" w:cs="黑体"/>
              <w:b/>
              <w:bCs/>
              <w:sz w:val="24"/>
              <w:szCs w:val="24"/>
            </w:rPr>
            <w:t>第</w:t>
          </w:r>
          <w:r>
            <w:rPr>
              <w:rFonts w:hint="eastAsia" w:ascii="黑体" w:hAnsi="黑体" w:eastAsia="黑体" w:cs="黑体"/>
              <w:b/>
              <w:bCs/>
              <w:sz w:val="24"/>
              <w:szCs w:val="24"/>
              <w:lang w:val="en-US" w:eastAsia="zh-CN"/>
            </w:rPr>
            <w:t>一部分</w:t>
          </w:r>
          <w:r>
            <w:rPr>
              <w:rFonts w:hint="eastAsia" w:ascii="黑体" w:hAnsi="黑体" w:eastAsia="黑体" w:cs="黑体"/>
              <w:b/>
              <w:bCs/>
              <w:sz w:val="24"/>
              <w:szCs w:val="24"/>
            </w:rPr>
            <w:t xml:space="preserve">  通用合同条款</w:t>
          </w:r>
          <w:r>
            <w:rPr>
              <w:b/>
              <w:bCs/>
              <w:sz w:val="24"/>
              <w:szCs w:val="24"/>
            </w:rPr>
            <w:tab/>
          </w:r>
          <w:r>
            <w:rPr>
              <w:b/>
              <w:bCs/>
              <w:sz w:val="24"/>
              <w:szCs w:val="24"/>
            </w:rPr>
            <w:fldChar w:fldCharType="begin"/>
          </w:r>
          <w:r>
            <w:rPr>
              <w:b/>
              <w:bCs/>
              <w:sz w:val="24"/>
              <w:szCs w:val="24"/>
            </w:rPr>
            <w:instrText xml:space="preserve"> PAGEREF _Toc6306 \h </w:instrText>
          </w:r>
          <w:r>
            <w:rPr>
              <w:b/>
              <w:bCs/>
              <w:sz w:val="24"/>
              <w:szCs w:val="24"/>
            </w:rPr>
            <w:fldChar w:fldCharType="separate"/>
          </w:r>
          <w:r>
            <w:rPr>
              <w:b/>
              <w:bCs/>
              <w:sz w:val="24"/>
              <w:szCs w:val="24"/>
            </w:rPr>
            <w:t>70</w:t>
          </w:r>
          <w:r>
            <w:rPr>
              <w:b/>
              <w:bCs/>
              <w:sz w:val="24"/>
              <w:szCs w:val="24"/>
            </w:rPr>
            <w:fldChar w:fldCharType="end"/>
          </w:r>
          <w:r>
            <w:rPr>
              <w:b/>
              <w:bCs/>
              <w:sz w:val="24"/>
              <w:szCs w:val="24"/>
            </w:rPr>
            <w:fldChar w:fldCharType="end"/>
          </w:r>
        </w:p>
        <w:p w14:paraId="5F26366A">
          <w:pPr>
            <w:pStyle w:val="3"/>
            <w:tabs>
              <w:tab w:val="right" w:leader="dot" w:pos="9746"/>
            </w:tabs>
            <w:spacing w:line="480" w:lineRule="auto"/>
            <w:rPr>
              <w:b/>
              <w:bCs/>
              <w:sz w:val="24"/>
              <w:szCs w:val="24"/>
            </w:rPr>
          </w:pPr>
          <w:r>
            <w:rPr>
              <w:b/>
              <w:bCs/>
              <w:sz w:val="24"/>
              <w:szCs w:val="24"/>
            </w:rPr>
            <w:fldChar w:fldCharType="begin"/>
          </w:r>
          <w:r>
            <w:rPr>
              <w:b/>
              <w:bCs/>
              <w:sz w:val="24"/>
              <w:szCs w:val="24"/>
            </w:rPr>
            <w:instrText xml:space="preserve"> HYPERLINK \l _Toc32586 </w:instrText>
          </w:r>
          <w:r>
            <w:rPr>
              <w:b/>
              <w:bCs/>
              <w:sz w:val="24"/>
              <w:szCs w:val="24"/>
            </w:rPr>
            <w:fldChar w:fldCharType="separate"/>
          </w:r>
          <w:r>
            <w:rPr>
              <w:rFonts w:hint="eastAsia" w:ascii="黑体" w:hAnsi="黑体" w:eastAsia="黑体" w:cs="黑体"/>
              <w:b/>
              <w:bCs/>
              <w:sz w:val="24"/>
              <w:szCs w:val="24"/>
            </w:rPr>
            <w:t>第</w:t>
          </w:r>
          <w:r>
            <w:rPr>
              <w:rFonts w:hint="eastAsia" w:ascii="黑体" w:hAnsi="黑体" w:eastAsia="黑体" w:cs="黑体"/>
              <w:b/>
              <w:bCs/>
              <w:sz w:val="24"/>
              <w:szCs w:val="24"/>
              <w:lang w:val="en-US"/>
            </w:rPr>
            <w:t>二部分</w:t>
          </w:r>
          <w:r>
            <w:rPr>
              <w:rFonts w:hint="eastAsia" w:ascii="黑体" w:hAnsi="黑体" w:eastAsia="黑体" w:cs="黑体"/>
              <w:b/>
              <w:bCs/>
              <w:sz w:val="24"/>
              <w:szCs w:val="24"/>
            </w:rPr>
            <w:t xml:space="preserve"> </w:t>
          </w:r>
          <w:r>
            <w:rPr>
              <w:rFonts w:hint="eastAsia" w:ascii="黑体" w:hAnsi="黑体" w:eastAsia="黑体" w:cs="黑体"/>
              <w:b/>
              <w:bCs/>
              <w:sz w:val="24"/>
              <w:szCs w:val="24"/>
              <w:lang w:val="en-US"/>
            </w:rPr>
            <w:t xml:space="preserve"> </w:t>
          </w:r>
          <w:r>
            <w:rPr>
              <w:rFonts w:hint="eastAsia" w:ascii="黑体" w:hAnsi="黑体" w:eastAsia="黑体" w:cs="黑体"/>
              <w:b/>
              <w:bCs/>
              <w:sz w:val="24"/>
              <w:szCs w:val="24"/>
            </w:rPr>
            <w:t>专用合同条款</w:t>
          </w:r>
          <w:r>
            <w:rPr>
              <w:b/>
              <w:bCs/>
              <w:sz w:val="24"/>
              <w:szCs w:val="24"/>
            </w:rPr>
            <w:tab/>
          </w:r>
          <w:r>
            <w:rPr>
              <w:b/>
              <w:bCs/>
              <w:sz w:val="24"/>
              <w:szCs w:val="24"/>
            </w:rPr>
            <w:fldChar w:fldCharType="begin"/>
          </w:r>
          <w:r>
            <w:rPr>
              <w:b/>
              <w:bCs/>
              <w:sz w:val="24"/>
              <w:szCs w:val="24"/>
            </w:rPr>
            <w:instrText xml:space="preserve"> PAGEREF _Toc32586 \h </w:instrText>
          </w:r>
          <w:r>
            <w:rPr>
              <w:b/>
              <w:bCs/>
              <w:sz w:val="24"/>
              <w:szCs w:val="24"/>
            </w:rPr>
            <w:fldChar w:fldCharType="separate"/>
          </w:r>
          <w:r>
            <w:rPr>
              <w:b/>
              <w:bCs/>
              <w:sz w:val="24"/>
              <w:szCs w:val="24"/>
            </w:rPr>
            <w:t>119</w:t>
          </w:r>
          <w:r>
            <w:rPr>
              <w:b/>
              <w:bCs/>
              <w:sz w:val="24"/>
              <w:szCs w:val="24"/>
            </w:rPr>
            <w:fldChar w:fldCharType="end"/>
          </w:r>
          <w:r>
            <w:rPr>
              <w:b/>
              <w:bCs/>
              <w:sz w:val="24"/>
              <w:szCs w:val="24"/>
            </w:rPr>
            <w:fldChar w:fldCharType="end"/>
          </w:r>
        </w:p>
        <w:p w14:paraId="14C2A014">
          <w:pPr>
            <w:pStyle w:val="3"/>
            <w:tabs>
              <w:tab w:val="right" w:leader="dot" w:pos="9746"/>
            </w:tabs>
            <w:spacing w:line="480" w:lineRule="auto"/>
            <w:rPr>
              <w:b/>
              <w:bCs/>
              <w:sz w:val="24"/>
              <w:szCs w:val="24"/>
            </w:rPr>
          </w:pPr>
          <w:r>
            <w:rPr>
              <w:b/>
              <w:bCs/>
              <w:sz w:val="24"/>
              <w:szCs w:val="24"/>
            </w:rPr>
            <w:fldChar w:fldCharType="begin"/>
          </w:r>
          <w:r>
            <w:rPr>
              <w:b/>
              <w:bCs/>
              <w:sz w:val="24"/>
              <w:szCs w:val="24"/>
            </w:rPr>
            <w:instrText xml:space="preserve"> HYPERLINK \l _Toc14699 </w:instrText>
          </w:r>
          <w:r>
            <w:rPr>
              <w:b/>
              <w:bCs/>
              <w:sz w:val="24"/>
              <w:szCs w:val="24"/>
            </w:rPr>
            <w:fldChar w:fldCharType="separate"/>
          </w:r>
          <w:r>
            <w:rPr>
              <w:rFonts w:hint="eastAsia" w:ascii="黑体" w:hAnsi="黑体" w:eastAsia="黑体" w:cs="黑体"/>
              <w:b/>
              <w:bCs/>
              <w:sz w:val="24"/>
              <w:szCs w:val="24"/>
            </w:rPr>
            <w:t>第</w:t>
          </w:r>
          <w:r>
            <w:rPr>
              <w:rFonts w:hint="eastAsia" w:ascii="黑体" w:hAnsi="黑体" w:eastAsia="黑体" w:cs="黑体"/>
              <w:b/>
              <w:bCs/>
              <w:sz w:val="24"/>
              <w:szCs w:val="24"/>
              <w:lang w:val="en-US"/>
            </w:rPr>
            <w:t>三部分</w:t>
          </w:r>
          <w:r>
            <w:rPr>
              <w:rFonts w:hint="eastAsia" w:ascii="黑体" w:hAnsi="黑体" w:eastAsia="黑体" w:cs="黑体"/>
              <w:b/>
              <w:bCs/>
              <w:sz w:val="24"/>
              <w:szCs w:val="24"/>
            </w:rPr>
            <w:t xml:space="preserve">  合同附件格式</w:t>
          </w:r>
          <w:r>
            <w:rPr>
              <w:b/>
              <w:bCs/>
              <w:sz w:val="24"/>
              <w:szCs w:val="24"/>
            </w:rPr>
            <w:tab/>
          </w:r>
          <w:r>
            <w:rPr>
              <w:b/>
              <w:bCs/>
              <w:sz w:val="24"/>
              <w:szCs w:val="24"/>
            </w:rPr>
            <w:fldChar w:fldCharType="begin"/>
          </w:r>
          <w:r>
            <w:rPr>
              <w:b/>
              <w:bCs/>
              <w:sz w:val="24"/>
              <w:szCs w:val="24"/>
            </w:rPr>
            <w:instrText xml:space="preserve"> PAGEREF _Toc14699 \h </w:instrText>
          </w:r>
          <w:r>
            <w:rPr>
              <w:b/>
              <w:bCs/>
              <w:sz w:val="24"/>
              <w:szCs w:val="24"/>
            </w:rPr>
            <w:fldChar w:fldCharType="separate"/>
          </w:r>
          <w:r>
            <w:rPr>
              <w:b/>
              <w:bCs/>
              <w:sz w:val="24"/>
              <w:szCs w:val="24"/>
            </w:rPr>
            <w:t>128</w:t>
          </w:r>
          <w:r>
            <w:rPr>
              <w:b/>
              <w:bCs/>
              <w:sz w:val="24"/>
              <w:szCs w:val="24"/>
            </w:rPr>
            <w:fldChar w:fldCharType="end"/>
          </w:r>
          <w:r>
            <w:rPr>
              <w:b/>
              <w:bCs/>
              <w:sz w:val="24"/>
              <w:szCs w:val="24"/>
            </w:rPr>
            <w:fldChar w:fldCharType="end"/>
          </w:r>
        </w:p>
        <w:p w14:paraId="367AB00C">
          <w:pPr>
            <w:spacing w:line="480" w:lineRule="auto"/>
            <w:rPr>
              <w:b/>
              <w:bCs/>
              <w:sz w:val="24"/>
              <w:szCs w:val="24"/>
            </w:rPr>
          </w:pPr>
          <w:r>
            <w:rPr>
              <w:b/>
              <w:bCs/>
              <w:sz w:val="24"/>
              <w:szCs w:val="24"/>
            </w:rPr>
            <w:fldChar w:fldCharType="end"/>
          </w:r>
        </w:p>
      </w:sdtContent>
    </w:sdt>
    <w:p w14:paraId="64AEADDE"/>
    <w:p w14:paraId="6EAD2BCC">
      <w:pPr>
        <w:spacing w:line="360" w:lineRule="auto"/>
        <w:jc w:val="center"/>
        <w:outlineLvl w:val="0"/>
        <w:rPr>
          <w:rFonts w:hint="eastAsia" w:ascii="黑体" w:hAnsi="黑体" w:eastAsia="黑体" w:cs="黑体"/>
          <w:b/>
          <w:color w:val="auto"/>
          <w:sz w:val="28"/>
          <w:szCs w:val="28"/>
          <w:lang w:val="en-US" w:eastAsia="zh-CN"/>
        </w:rPr>
        <w:sectPr>
          <w:footerReference r:id="rId5" w:type="default"/>
          <w:pgSz w:w="11906" w:h="16838"/>
          <w:pgMar w:top="1440" w:right="1080" w:bottom="1440" w:left="1080" w:header="851" w:footer="992" w:gutter="0"/>
          <w:pgNumType w:fmt="decimal" w:start="1"/>
          <w:cols w:space="720" w:num="1"/>
          <w:docGrid w:type="linesAndChars" w:linePitch="312" w:charSpace="0"/>
        </w:sectPr>
      </w:pPr>
      <w:bookmarkStart w:id="14" w:name="_Toc1034"/>
    </w:p>
    <w:p w14:paraId="40A99232">
      <w:pPr>
        <w:spacing w:line="360" w:lineRule="auto"/>
        <w:jc w:val="center"/>
        <w:outlineLvl w:val="0"/>
        <w:rPr>
          <w:rFonts w:hint="eastAsia" w:ascii="黑体" w:hAnsi="黑体" w:eastAsia="黑体" w:cs="黑体"/>
          <w:b/>
          <w:color w:val="auto"/>
          <w:sz w:val="28"/>
          <w:szCs w:val="28"/>
        </w:rPr>
      </w:pPr>
      <w:r>
        <w:rPr>
          <w:rFonts w:hint="eastAsia" w:ascii="黑体" w:hAnsi="黑体" w:eastAsia="黑体" w:cs="黑体"/>
          <w:b/>
          <w:color w:val="auto"/>
          <w:sz w:val="28"/>
          <w:szCs w:val="28"/>
          <w:lang w:val="en-US" w:eastAsia="zh-CN"/>
        </w:rPr>
        <w:t>第</w:t>
      </w:r>
      <w:r>
        <w:rPr>
          <w:rFonts w:hint="eastAsia" w:ascii="黑体" w:hAnsi="黑体" w:eastAsia="黑体" w:cs="黑体"/>
          <w:b/>
          <w:color w:val="auto"/>
          <w:sz w:val="28"/>
          <w:szCs w:val="28"/>
        </w:rPr>
        <w:t>一章</w:t>
      </w:r>
      <w:bookmarkStart w:id="15" w:name="_Toc16197"/>
      <w:bookmarkStart w:id="16" w:name="_Toc518923059"/>
      <w:r>
        <w:rPr>
          <w:rFonts w:hint="eastAsia" w:ascii="黑体" w:hAnsi="黑体" w:eastAsia="黑体" w:cs="黑体"/>
          <w:b/>
          <w:color w:val="auto"/>
          <w:sz w:val="28"/>
          <w:szCs w:val="28"/>
          <w:lang w:eastAsia="zh-CN"/>
        </w:rPr>
        <w:t>供应商</w:t>
      </w:r>
      <w:r>
        <w:rPr>
          <w:rFonts w:hint="eastAsia" w:ascii="黑体" w:hAnsi="黑体" w:eastAsia="黑体" w:cs="黑体"/>
          <w:b/>
          <w:color w:val="auto"/>
          <w:sz w:val="28"/>
          <w:szCs w:val="28"/>
        </w:rPr>
        <w:t>须知</w:t>
      </w:r>
      <w:bookmarkEnd w:id="12"/>
      <w:bookmarkEnd w:id="13"/>
      <w:bookmarkEnd w:id="14"/>
      <w:bookmarkEnd w:id="15"/>
      <w:bookmarkEnd w:id="16"/>
    </w:p>
    <w:p w14:paraId="2A64D94F">
      <w:pPr>
        <w:pStyle w:val="6"/>
        <w:spacing w:before="0" w:after="0" w:line="360" w:lineRule="auto"/>
        <w:jc w:val="center"/>
        <w:rPr>
          <w:rFonts w:hint="eastAsia" w:ascii="黑体" w:hAnsi="黑体" w:eastAsia="黑体" w:cs="黑体"/>
          <w:color w:val="auto"/>
          <w:sz w:val="24"/>
          <w:szCs w:val="24"/>
        </w:rPr>
      </w:pPr>
      <w:bookmarkStart w:id="17" w:name="_Toc520356143"/>
      <w:bookmarkStart w:id="18" w:name="_Toc216582805"/>
      <w:bookmarkStart w:id="19" w:name="_Toc518923060"/>
      <w:bookmarkStart w:id="20" w:name="_Toc29867"/>
      <w:bookmarkStart w:id="21" w:name="_Toc9485"/>
      <w:bookmarkStart w:id="22" w:name="_Toc25430_WPSOffice_Level1"/>
      <w:r>
        <w:rPr>
          <w:rFonts w:hint="eastAsia" w:ascii="黑体" w:hAnsi="黑体" w:eastAsia="黑体" w:cs="黑体"/>
          <w:color w:val="auto"/>
          <w:sz w:val="24"/>
          <w:szCs w:val="24"/>
        </w:rPr>
        <w:t>一</w:t>
      </w:r>
      <w:bookmarkEnd w:id="17"/>
      <w:bookmarkEnd w:id="18"/>
      <w:r>
        <w:rPr>
          <w:rFonts w:hint="eastAsia" w:ascii="黑体" w:hAnsi="黑体" w:eastAsia="黑体" w:cs="黑体"/>
          <w:color w:val="auto"/>
          <w:sz w:val="24"/>
          <w:szCs w:val="24"/>
        </w:rPr>
        <w:t>总则</w:t>
      </w:r>
      <w:bookmarkEnd w:id="19"/>
      <w:bookmarkEnd w:id="20"/>
      <w:bookmarkEnd w:id="21"/>
      <w:bookmarkEnd w:id="22"/>
    </w:p>
    <w:p w14:paraId="21433620">
      <w:pPr>
        <w:pStyle w:val="7"/>
        <w:spacing w:before="0" w:after="0" w:line="360" w:lineRule="auto"/>
        <w:rPr>
          <w:rFonts w:hint="eastAsia" w:ascii="黑体" w:hAnsi="黑体" w:eastAsia="黑体" w:cs="黑体"/>
          <w:color w:val="auto"/>
          <w:sz w:val="28"/>
          <w:szCs w:val="28"/>
          <w:u w:val="none"/>
          <w:lang w:eastAsia="zh-CN"/>
        </w:rPr>
      </w:pPr>
      <w:bookmarkStart w:id="23" w:name="_Toc4676_WPSOffice_Level2"/>
      <w:bookmarkStart w:id="24" w:name="_Toc520356144"/>
      <w:bookmarkStart w:id="25" w:name="_Toc518923061"/>
      <w:bookmarkStart w:id="26" w:name="_Toc12013"/>
      <w:bookmarkStart w:id="27" w:name="_Toc16905_WPSOffice_Level2"/>
      <w:r>
        <w:rPr>
          <w:rFonts w:hint="eastAsia" w:ascii="黑体" w:hAnsi="黑体" w:eastAsia="黑体" w:cs="黑体"/>
          <w:color w:val="auto"/>
          <w:sz w:val="24"/>
          <w:szCs w:val="24"/>
          <w:u w:val="none"/>
        </w:rPr>
        <w:t>1.采购人、采购代理机构及</w:t>
      </w:r>
      <w:bookmarkEnd w:id="23"/>
      <w:bookmarkEnd w:id="24"/>
      <w:bookmarkEnd w:id="25"/>
      <w:bookmarkEnd w:id="26"/>
      <w:bookmarkEnd w:id="27"/>
      <w:r>
        <w:rPr>
          <w:rFonts w:hint="eastAsia" w:ascii="黑体" w:hAnsi="黑体" w:eastAsia="黑体" w:cs="黑体"/>
          <w:color w:val="auto"/>
          <w:sz w:val="24"/>
          <w:szCs w:val="24"/>
          <w:u w:val="none"/>
          <w:lang w:eastAsia="zh-CN"/>
        </w:rPr>
        <w:t>供应商</w:t>
      </w:r>
    </w:p>
    <w:p w14:paraId="28E604DB">
      <w:pPr>
        <w:numPr>
          <w:ilvl w:val="1"/>
          <w:numId w:val="2"/>
        </w:numPr>
        <w:tabs>
          <w:tab w:val="left" w:pos="0"/>
          <w:tab w:val="clear" w:pos="900"/>
        </w:tabs>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采购人：是指依法开展政府采购活动的国家机关、事业单位、团体组织。</w:t>
      </w:r>
    </w:p>
    <w:p w14:paraId="308C75CB">
      <w:pPr>
        <w:tabs>
          <w:tab w:val="left" w:pos="0"/>
        </w:tabs>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本项目的采购人见</w:t>
      </w:r>
      <w:r>
        <w:rPr>
          <w:rFonts w:hint="eastAsia" w:ascii="黑体" w:hAnsi="黑体" w:eastAsia="黑体" w:cs="黑体"/>
          <w:color w:val="auto"/>
          <w:sz w:val="24"/>
          <w:u w:val="single"/>
          <w:lang w:eastAsia="zh-CN"/>
        </w:rPr>
        <w:t>供应商</w:t>
      </w:r>
      <w:r>
        <w:rPr>
          <w:rFonts w:hint="eastAsia" w:ascii="黑体" w:hAnsi="黑体" w:eastAsia="黑体" w:cs="黑体"/>
          <w:color w:val="auto"/>
          <w:sz w:val="24"/>
          <w:u w:val="single"/>
        </w:rPr>
        <w:t>须知资料表</w:t>
      </w:r>
      <w:r>
        <w:rPr>
          <w:rFonts w:hint="eastAsia" w:ascii="黑体" w:hAnsi="黑体" w:eastAsia="黑体" w:cs="黑体"/>
          <w:color w:val="auto"/>
          <w:sz w:val="24"/>
        </w:rPr>
        <w:t>。</w:t>
      </w:r>
    </w:p>
    <w:p w14:paraId="6CB0E535">
      <w:pPr>
        <w:numPr>
          <w:ilvl w:val="1"/>
          <w:numId w:val="2"/>
        </w:numPr>
        <w:tabs>
          <w:tab w:val="left" w:pos="0"/>
          <w:tab w:val="clear" w:pos="900"/>
        </w:tabs>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采购代理机构：是指集中采购机构或从事采购代理业务的社会中介机构。本项目的采购代理机构见</w:t>
      </w:r>
      <w:r>
        <w:rPr>
          <w:rFonts w:hint="eastAsia" w:ascii="黑体" w:hAnsi="黑体" w:eastAsia="黑体" w:cs="黑体"/>
          <w:color w:val="auto"/>
          <w:sz w:val="24"/>
          <w:u w:val="single"/>
          <w:lang w:eastAsia="zh-CN"/>
        </w:rPr>
        <w:t>供应商</w:t>
      </w:r>
      <w:r>
        <w:rPr>
          <w:rFonts w:hint="eastAsia" w:ascii="黑体" w:hAnsi="黑体" w:eastAsia="黑体" w:cs="黑体"/>
          <w:color w:val="auto"/>
          <w:sz w:val="24"/>
          <w:u w:val="single"/>
        </w:rPr>
        <w:t>须知资料表</w:t>
      </w:r>
      <w:r>
        <w:rPr>
          <w:rFonts w:hint="eastAsia" w:ascii="黑体" w:hAnsi="黑体" w:eastAsia="黑体" w:cs="黑体"/>
          <w:color w:val="auto"/>
          <w:sz w:val="24"/>
        </w:rPr>
        <w:t>。</w:t>
      </w:r>
    </w:p>
    <w:p w14:paraId="0B2983C8">
      <w:pPr>
        <w:numPr>
          <w:ilvl w:val="1"/>
          <w:numId w:val="2"/>
        </w:num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lang w:eastAsia="zh-CN"/>
        </w:rPr>
        <w:t>供应商</w:t>
      </w:r>
      <w:r>
        <w:rPr>
          <w:rFonts w:hint="eastAsia" w:ascii="黑体" w:hAnsi="黑体" w:eastAsia="黑体" w:cs="黑体"/>
          <w:color w:val="auto"/>
          <w:sz w:val="24"/>
        </w:rPr>
        <w:t>：是指向采购人提供货物、工程或者服务的法人、非法人组织或者自然人。本项目的</w:t>
      </w:r>
      <w:r>
        <w:rPr>
          <w:rFonts w:hint="eastAsia" w:ascii="黑体" w:hAnsi="黑体" w:eastAsia="黑体" w:cs="黑体"/>
          <w:color w:val="auto"/>
          <w:sz w:val="24"/>
          <w:lang w:eastAsia="zh-CN"/>
        </w:rPr>
        <w:t>供应商</w:t>
      </w:r>
      <w:r>
        <w:rPr>
          <w:rFonts w:hint="eastAsia" w:ascii="黑体" w:hAnsi="黑体" w:eastAsia="黑体" w:cs="黑体"/>
          <w:color w:val="auto"/>
          <w:sz w:val="24"/>
        </w:rPr>
        <w:t>须满足以下条件：</w:t>
      </w:r>
    </w:p>
    <w:p w14:paraId="495515CA">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1.3.1</w:t>
      </w:r>
      <w:r>
        <w:rPr>
          <w:rFonts w:hint="eastAsia" w:ascii="黑体" w:hAnsi="黑体" w:eastAsia="黑体" w:cs="黑体"/>
          <w:color w:val="auto"/>
          <w:sz w:val="24"/>
        </w:rPr>
        <w:tab/>
      </w:r>
      <w:r>
        <w:rPr>
          <w:rFonts w:hint="eastAsia" w:ascii="黑体" w:hAnsi="黑体" w:eastAsia="黑体" w:cs="黑体"/>
          <w:color w:val="auto"/>
          <w:sz w:val="24"/>
        </w:rPr>
        <w:t>在中华人民共和国境内注册，能够独立承担民事责任，有生产或供应能力的本国</w:t>
      </w:r>
      <w:r>
        <w:rPr>
          <w:rFonts w:hint="eastAsia" w:ascii="黑体" w:hAnsi="黑体" w:eastAsia="黑体" w:cs="黑体"/>
          <w:color w:val="auto"/>
          <w:sz w:val="24"/>
          <w:lang w:eastAsia="zh-CN"/>
        </w:rPr>
        <w:t>供应商</w:t>
      </w:r>
      <w:r>
        <w:rPr>
          <w:rFonts w:hint="eastAsia" w:ascii="黑体" w:hAnsi="黑体" w:eastAsia="黑体" w:cs="黑体"/>
          <w:color w:val="auto"/>
          <w:sz w:val="24"/>
        </w:rPr>
        <w:t>。</w:t>
      </w:r>
    </w:p>
    <w:p w14:paraId="3DE25EC2">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1.3.2具备《中华人民共和国政府采购法》第二十二条关于</w:t>
      </w:r>
      <w:r>
        <w:rPr>
          <w:rFonts w:hint="eastAsia" w:ascii="黑体" w:hAnsi="黑体" w:eastAsia="黑体" w:cs="黑体"/>
          <w:color w:val="auto"/>
          <w:sz w:val="24"/>
          <w:lang w:eastAsia="zh-CN"/>
        </w:rPr>
        <w:t>供应商</w:t>
      </w:r>
      <w:r>
        <w:rPr>
          <w:rFonts w:hint="eastAsia" w:ascii="黑体" w:hAnsi="黑体" w:eastAsia="黑体" w:cs="黑体"/>
          <w:color w:val="auto"/>
          <w:sz w:val="24"/>
        </w:rPr>
        <w:t>条件的规定，遵守本项目采购人本级和上级财政部门政府采购的有关规定。</w:t>
      </w:r>
    </w:p>
    <w:p w14:paraId="4522561B">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1.3.3以采购代理机构认可的方式获得了本项目的磋商文件。</w:t>
      </w:r>
    </w:p>
    <w:p w14:paraId="011271A2">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1.3.4符合</w:t>
      </w:r>
      <w:r>
        <w:rPr>
          <w:rFonts w:hint="eastAsia" w:ascii="黑体" w:hAnsi="黑体" w:eastAsia="黑体" w:cs="黑体"/>
          <w:color w:val="auto"/>
          <w:sz w:val="24"/>
          <w:u w:val="single"/>
          <w:lang w:eastAsia="zh-CN"/>
        </w:rPr>
        <w:t>供应商</w:t>
      </w:r>
      <w:r>
        <w:rPr>
          <w:rFonts w:hint="eastAsia" w:ascii="黑体" w:hAnsi="黑体" w:eastAsia="黑体" w:cs="黑体"/>
          <w:color w:val="auto"/>
          <w:sz w:val="24"/>
          <w:u w:val="single"/>
        </w:rPr>
        <w:t>须知资料表</w:t>
      </w:r>
      <w:r>
        <w:rPr>
          <w:rFonts w:hint="eastAsia" w:ascii="黑体" w:hAnsi="黑体" w:eastAsia="黑体" w:cs="黑体"/>
          <w:color w:val="auto"/>
          <w:sz w:val="24"/>
        </w:rPr>
        <w:t>中规定的其他要求。</w:t>
      </w:r>
    </w:p>
    <w:p w14:paraId="010A164B">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1.3.5若</w:t>
      </w:r>
      <w:r>
        <w:rPr>
          <w:rFonts w:hint="eastAsia" w:ascii="黑体" w:hAnsi="黑体" w:eastAsia="黑体" w:cs="黑体"/>
          <w:color w:val="auto"/>
          <w:sz w:val="24"/>
          <w:u w:val="single"/>
          <w:lang w:eastAsia="zh-CN"/>
        </w:rPr>
        <w:t>供应商</w:t>
      </w:r>
      <w:r>
        <w:rPr>
          <w:rFonts w:hint="eastAsia" w:ascii="黑体" w:hAnsi="黑体" w:eastAsia="黑体" w:cs="黑体"/>
          <w:color w:val="auto"/>
          <w:sz w:val="24"/>
          <w:u w:val="single"/>
        </w:rPr>
        <w:t>须知资料表</w:t>
      </w:r>
      <w:r>
        <w:rPr>
          <w:rFonts w:hint="eastAsia" w:ascii="黑体" w:hAnsi="黑体" w:eastAsia="黑体" w:cs="黑体"/>
          <w:color w:val="auto"/>
          <w:sz w:val="24"/>
        </w:rPr>
        <w:t>中写明专门面向中小企业采购的，如</w:t>
      </w:r>
      <w:r>
        <w:rPr>
          <w:rFonts w:hint="eastAsia" w:ascii="黑体" w:hAnsi="黑体" w:eastAsia="黑体" w:cs="黑体"/>
          <w:color w:val="auto"/>
          <w:sz w:val="24"/>
          <w:lang w:eastAsia="zh-CN"/>
        </w:rPr>
        <w:t>供应商</w:t>
      </w:r>
      <w:r>
        <w:rPr>
          <w:rFonts w:hint="eastAsia" w:ascii="黑体" w:hAnsi="黑体" w:eastAsia="黑体" w:cs="黑体"/>
          <w:color w:val="auto"/>
          <w:sz w:val="24"/>
        </w:rPr>
        <w:t>为非中小企业，其</w:t>
      </w:r>
      <w:r>
        <w:rPr>
          <w:rFonts w:hint="eastAsia" w:ascii="黑体" w:hAnsi="黑体" w:eastAsia="黑体" w:cs="黑体"/>
          <w:color w:val="auto"/>
          <w:sz w:val="24"/>
          <w:lang w:eastAsia="zh-CN"/>
        </w:rPr>
        <w:t>响应</w:t>
      </w:r>
      <w:r>
        <w:rPr>
          <w:rFonts w:hint="eastAsia" w:ascii="黑体" w:hAnsi="黑体" w:eastAsia="黑体" w:cs="黑体"/>
          <w:color w:val="auto"/>
          <w:sz w:val="24"/>
        </w:rPr>
        <w:t>将被认定为</w:t>
      </w:r>
      <w:r>
        <w:rPr>
          <w:rFonts w:hint="eastAsia" w:ascii="黑体" w:hAnsi="黑体" w:eastAsia="黑体" w:cs="黑体"/>
          <w:color w:val="auto"/>
          <w:sz w:val="24"/>
          <w:lang w:eastAsia="zh-CN"/>
        </w:rPr>
        <w:t>响应</w:t>
      </w:r>
      <w:r>
        <w:rPr>
          <w:rFonts w:hint="eastAsia" w:ascii="黑体" w:hAnsi="黑体" w:eastAsia="黑体" w:cs="黑体"/>
          <w:color w:val="auto"/>
          <w:sz w:val="24"/>
        </w:rPr>
        <w:t>无效。</w:t>
      </w:r>
    </w:p>
    <w:p w14:paraId="2CBF6F18">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1.4如</w:t>
      </w:r>
      <w:r>
        <w:rPr>
          <w:rFonts w:hint="eastAsia" w:ascii="黑体" w:hAnsi="黑体" w:eastAsia="黑体" w:cs="黑体"/>
          <w:color w:val="auto"/>
          <w:sz w:val="24"/>
          <w:u w:val="single"/>
          <w:lang w:eastAsia="zh-CN"/>
        </w:rPr>
        <w:t>供应商</w:t>
      </w:r>
      <w:r>
        <w:rPr>
          <w:rFonts w:hint="eastAsia" w:ascii="黑体" w:hAnsi="黑体" w:eastAsia="黑体" w:cs="黑体"/>
          <w:color w:val="auto"/>
          <w:sz w:val="24"/>
          <w:u w:val="single"/>
        </w:rPr>
        <w:t>须知资料表</w:t>
      </w:r>
      <w:r>
        <w:rPr>
          <w:rFonts w:hint="eastAsia" w:ascii="黑体" w:hAnsi="黑体" w:eastAsia="黑体" w:cs="黑体"/>
          <w:color w:val="auto"/>
          <w:sz w:val="24"/>
        </w:rPr>
        <w:t>中允许联合体</w:t>
      </w:r>
      <w:r>
        <w:rPr>
          <w:rFonts w:hint="eastAsia" w:ascii="黑体" w:hAnsi="黑体" w:eastAsia="黑体" w:cs="黑体"/>
          <w:color w:val="auto"/>
          <w:sz w:val="24"/>
          <w:lang w:eastAsia="zh-CN"/>
        </w:rPr>
        <w:t>递交响应文件</w:t>
      </w:r>
      <w:r>
        <w:rPr>
          <w:rFonts w:hint="eastAsia" w:ascii="黑体" w:hAnsi="黑体" w:eastAsia="黑体" w:cs="黑体"/>
          <w:color w:val="auto"/>
          <w:sz w:val="24"/>
        </w:rPr>
        <w:t>，对联合体规定如下：</w:t>
      </w:r>
    </w:p>
    <w:p w14:paraId="2685A203">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1.4.1两个以上</w:t>
      </w:r>
      <w:r>
        <w:rPr>
          <w:rFonts w:hint="eastAsia" w:ascii="黑体" w:hAnsi="黑体" w:eastAsia="黑体" w:cs="黑体"/>
          <w:color w:val="auto"/>
          <w:sz w:val="24"/>
          <w:lang w:eastAsia="zh-CN"/>
        </w:rPr>
        <w:t>供应商</w:t>
      </w:r>
      <w:r>
        <w:rPr>
          <w:rFonts w:hint="eastAsia" w:ascii="黑体" w:hAnsi="黑体" w:eastAsia="黑体" w:cs="黑体"/>
          <w:color w:val="auto"/>
          <w:sz w:val="24"/>
        </w:rPr>
        <w:t>可以组成一个联合体，以一个</w:t>
      </w:r>
      <w:r>
        <w:rPr>
          <w:rFonts w:hint="eastAsia" w:ascii="黑体" w:hAnsi="黑体" w:eastAsia="黑体" w:cs="黑体"/>
          <w:color w:val="auto"/>
          <w:sz w:val="24"/>
          <w:lang w:eastAsia="zh-CN"/>
        </w:rPr>
        <w:t>供应商</w:t>
      </w:r>
      <w:r>
        <w:rPr>
          <w:rFonts w:hint="eastAsia" w:ascii="黑体" w:hAnsi="黑体" w:eastAsia="黑体" w:cs="黑体"/>
          <w:color w:val="auto"/>
          <w:sz w:val="24"/>
        </w:rPr>
        <w:t>的身份</w:t>
      </w:r>
      <w:r>
        <w:rPr>
          <w:rFonts w:hint="eastAsia" w:ascii="黑体" w:hAnsi="黑体" w:eastAsia="黑体" w:cs="黑体"/>
          <w:color w:val="auto"/>
          <w:sz w:val="24"/>
          <w:lang w:eastAsia="zh-CN"/>
        </w:rPr>
        <w:t>递交响应文件</w:t>
      </w:r>
      <w:r>
        <w:rPr>
          <w:rFonts w:hint="eastAsia" w:ascii="黑体" w:hAnsi="黑体" w:eastAsia="黑体" w:cs="黑体"/>
          <w:color w:val="auto"/>
          <w:sz w:val="24"/>
        </w:rPr>
        <w:t>。</w:t>
      </w:r>
    </w:p>
    <w:p w14:paraId="29454EE7">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1.4.2联合体各方均应符合《中华人民共和国政府采购法》第二十二条规定的条件。</w:t>
      </w:r>
    </w:p>
    <w:p w14:paraId="43BDF39E">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1.4.3采购人根据采购项目对</w:t>
      </w:r>
      <w:r>
        <w:rPr>
          <w:rFonts w:hint="eastAsia" w:ascii="黑体" w:hAnsi="黑体" w:eastAsia="黑体" w:cs="黑体"/>
          <w:color w:val="auto"/>
          <w:sz w:val="24"/>
          <w:lang w:eastAsia="zh-CN"/>
        </w:rPr>
        <w:t>供应商</w:t>
      </w:r>
      <w:r>
        <w:rPr>
          <w:rFonts w:hint="eastAsia" w:ascii="黑体" w:hAnsi="黑体" w:eastAsia="黑体" w:cs="黑体"/>
          <w:color w:val="auto"/>
          <w:sz w:val="24"/>
        </w:rPr>
        <w:t>的特殊要求，联合体中至少应当有一方符合相关规定。</w:t>
      </w:r>
    </w:p>
    <w:p w14:paraId="40743368">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1.4.4联合体各方应签订共同</w:t>
      </w:r>
      <w:r>
        <w:rPr>
          <w:rFonts w:hint="eastAsia" w:ascii="黑体" w:hAnsi="黑体" w:eastAsia="黑体" w:cs="黑体"/>
          <w:color w:val="auto"/>
          <w:sz w:val="24"/>
          <w:lang w:eastAsia="zh-CN"/>
        </w:rPr>
        <w:t>响应本磋商文件</w:t>
      </w:r>
      <w:r>
        <w:rPr>
          <w:rFonts w:hint="eastAsia" w:ascii="黑体" w:hAnsi="黑体" w:eastAsia="黑体" w:cs="黑体"/>
          <w:color w:val="auto"/>
          <w:sz w:val="24"/>
        </w:rPr>
        <w:t>协议，明确约定联合体各方承担的工作和相应的责任，并将共同</w:t>
      </w:r>
      <w:r>
        <w:rPr>
          <w:rFonts w:hint="eastAsia" w:ascii="黑体" w:hAnsi="黑体" w:eastAsia="黑体" w:cs="黑体"/>
          <w:color w:val="auto"/>
          <w:sz w:val="24"/>
          <w:lang w:eastAsia="zh-CN"/>
        </w:rPr>
        <w:t>响应</w:t>
      </w:r>
      <w:r>
        <w:rPr>
          <w:rFonts w:hint="eastAsia" w:ascii="黑体" w:hAnsi="黑体" w:eastAsia="黑体" w:cs="黑体"/>
          <w:color w:val="auto"/>
          <w:sz w:val="24"/>
        </w:rPr>
        <w:t>协议连同响应文件一并提交采购单位。</w:t>
      </w:r>
    </w:p>
    <w:p w14:paraId="2C927A00">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1.4.5大中型企业、其他自然人、法人或者非法人组织与小型、微型企业组成联合体共同参加</w:t>
      </w:r>
      <w:r>
        <w:rPr>
          <w:rFonts w:hint="eastAsia" w:ascii="黑体" w:hAnsi="黑体" w:eastAsia="黑体" w:cs="黑体"/>
          <w:color w:val="auto"/>
          <w:sz w:val="24"/>
          <w:lang w:eastAsia="zh-CN"/>
        </w:rPr>
        <w:t>磋商</w:t>
      </w:r>
      <w:r>
        <w:rPr>
          <w:rFonts w:hint="eastAsia" w:ascii="黑体" w:hAnsi="黑体" w:eastAsia="黑体" w:cs="黑体"/>
          <w:color w:val="auto"/>
          <w:sz w:val="24"/>
        </w:rPr>
        <w:t>，共同</w:t>
      </w:r>
      <w:r>
        <w:rPr>
          <w:rFonts w:hint="eastAsia" w:ascii="黑体" w:hAnsi="黑体" w:eastAsia="黑体" w:cs="黑体"/>
          <w:color w:val="auto"/>
          <w:sz w:val="24"/>
          <w:lang w:eastAsia="zh-CN"/>
        </w:rPr>
        <w:t>响应</w:t>
      </w:r>
      <w:r>
        <w:rPr>
          <w:rFonts w:hint="eastAsia" w:ascii="黑体" w:hAnsi="黑体" w:eastAsia="黑体" w:cs="黑体"/>
          <w:color w:val="auto"/>
          <w:sz w:val="24"/>
        </w:rPr>
        <w:t>协议中应写明小型、微型企业的协议合同金额占到共同</w:t>
      </w:r>
      <w:r>
        <w:rPr>
          <w:rFonts w:hint="eastAsia" w:ascii="黑体" w:hAnsi="黑体" w:eastAsia="黑体" w:cs="黑体"/>
          <w:color w:val="auto"/>
          <w:sz w:val="24"/>
          <w:lang w:eastAsia="zh-CN"/>
        </w:rPr>
        <w:t>响应</w:t>
      </w:r>
      <w:r>
        <w:rPr>
          <w:rFonts w:hint="eastAsia" w:ascii="黑体" w:hAnsi="黑体" w:eastAsia="黑体" w:cs="黑体"/>
          <w:color w:val="auto"/>
          <w:sz w:val="24"/>
        </w:rPr>
        <w:t>协议</w:t>
      </w:r>
      <w:r>
        <w:rPr>
          <w:rFonts w:hint="eastAsia" w:ascii="黑体" w:hAnsi="黑体" w:eastAsia="黑体" w:cs="黑体"/>
          <w:color w:val="auto"/>
          <w:sz w:val="24"/>
          <w:lang w:eastAsia="zh-CN"/>
        </w:rPr>
        <w:t>报价</w:t>
      </w:r>
      <w:r>
        <w:rPr>
          <w:rFonts w:hint="eastAsia" w:ascii="黑体" w:hAnsi="黑体" w:eastAsia="黑体" w:cs="黑体"/>
          <w:color w:val="auto"/>
          <w:sz w:val="24"/>
        </w:rPr>
        <w:t>总金额的比例。</w:t>
      </w:r>
    </w:p>
    <w:p w14:paraId="7833E7B4">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1.4.6联合体中有同类资质的</w:t>
      </w:r>
      <w:r>
        <w:rPr>
          <w:rFonts w:hint="eastAsia" w:ascii="黑体" w:hAnsi="黑体" w:eastAsia="黑体" w:cs="黑体"/>
          <w:color w:val="auto"/>
          <w:sz w:val="24"/>
          <w:lang w:eastAsia="zh-CN"/>
        </w:rPr>
        <w:t>供应商</w:t>
      </w:r>
      <w:r>
        <w:rPr>
          <w:rFonts w:hint="eastAsia" w:ascii="黑体" w:hAnsi="黑体" w:eastAsia="黑体" w:cs="黑体"/>
          <w:color w:val="auto"/>
          <w:sz w:val="24"/>
        </w:rPr>
        <w:t>按照联合体分工承担相同工作的，按照资质等级较低的</w:t>
      </w:r>
      <w:r>
        <w:rPr>
          <w:rFonts w:hint="eastAsia" w:ascii="黑体" w:hAnsi="黑体" w:eastAsia="黑体" w:cs="黑体"/>
          <w:color w:val="auto"/>
          <w:sz w:val="24"/>
          <w:lang w:eastAsia="zh-CN"/>
        </w:rPr>
        <w:t>供应商</w:t>
      </w:r>
      <w:r>
        <w:rPr>
          <w:rFonts w:hint="eastAsia" w:ascii="黑体" w:hAnsi="黑体" w:eastAsia="黑体" w:cs="黑体"/>
          <w:color w:val="auto"/>
          <w:sz w:val="24"/>
        </w:rPr>
        <w:t>确定资质等级。</w:t>
      </w:r>
    </w:p>
    <w:p w14:paraId="67BE5B46">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1.4.7以联合体形式参加政府采购活动的，联合体各方不得再单独参加或者与其他</w:t>
      </w:r>
      <w:r>
        <w:rPr>
          <w:rFonts w:hint="eastAsia" w:ascii="黑体" w:hAnsi="黑体" w:eastAsia="黑体" w:cs="黑体"/>
          <w:color w:val="auto"/>
          <w:sz w:val="24"/>
          <w:lang w:eastAsia="zh-CN"/>
        </w:rPr>
        <w:t>供应商</w:t>
      </w:r>
      <w:r>
        <w:rPr>
          <w:rFonts w:hint="eastAsia" w:ascii="黑体" w:hAnsi="黑体" w:eastAsia="黑体" w:cs="黑体"/>
          <w:color w:val="auto"/>
          <w:sz w:val="24"/>
        </w:rPr>
        <w:t>另外组成联合体参加本项目</w:t>
      </w:r>
      <w:r>
        <w:rPr>
          <w:rFonts w:hint="eastAsia" w:ascii="黑体" w:hAnsi="黑体" w:eastAsia="黑体" w:cs="黑体"/>
          <w:color w:val="auto"/>
          <w:sz w:val="24"/>
          <w:lang w:eastAsia="zh-CN"/>
        </w:rPr>
        <w:t>磋商</w:t>
      </w:r>
      <w:r>
        <w:rPr>
          <w:rFonts w:hint="eastAsia" w:ascii="黑体" w:hAnsi="黑体" w:eastAsia="黑体" w:cs="黑体"/>
          <w:color w:val="auto"/>
          <w:sz w:val="24"/>
        </w:rPr>
        <w:t>，否则相关</w:t>
      </w:r>
      <w:r>
        <w:rPr>
          <w:rFonts w:hint="eastAsia" w:ascii="黑体" w:hAnsi="黑体" w:eastAsia="黑体" w:cs="黑体"/>
          <w:color w:val="auto"/>
          <w:sz w:val="24"/>
          <w:lang w:eastAsia="zh-CN"/>
        </w:rPr>
        <w:t>磋商</w:t>
      </w:r>
      <w:r>
        <w:rPr>
          <w:rFonts w:hint="eastAsia" w:ascii="黑体" w:hAnsi="黑体" w:eastAsia="黑体" w:cs="黑体"/>
          <w:color w:val="auto"/>
          <w:sz w:val="24"/>
        </w:rPr>
        <w:t>将被认定为</w:t>
      </w:r>
      <w:r>
        <w:rPr>
          <w:rFonts w:hint="eastAsia" w:ascii="黑体" w:hAnsi="黑体" w:eastAsia="黑体" w:cs="黑体"/>
          <w:color w:val="auto"/>
          <w:sz w:val="24"/>
          <w:lang w:eastAsia="zh-CN"/>
        </w:rPr>
        <w:t>响应</w:t>
      </w:r>
      <w:r>
        <w:rPr>
          <w:rFonts w:hint="eastAsia" w:ascii="黑体" w:hAnsi="黑体" w:eastAsia="黑体" w:cs="黑体"/>
          <w:color w:val="auto"/>
          <w:sz w:val="24"/>
        </w:rPr>
        <w:t>无效。</w:t>
      </w:r>
    </w:p>
    <w:p w14:paraId="488DDCFF">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1.4.8对联合体</w:t>
      </w:r>
      <w:r>
        <w:rPr>
          <w:rFonts w:hint="eastAsia" w:ascii="黑体" w:hAnsi="黑体" w:eastAsia="黑体" w:cs="黑体"/>
          <w:color w:val="auto"/>
          <w:sz w:val="24"/>
          <w:lang w:eastAsia="zh-CN"/>
        </w:rPr>
        <w:t>提交响应文件</w:t>
      </w:r>
      <w:r>
        <w:rPr>
          <w:rFonts w:hint="eastAsia" w:ascii="黑体" w:hAnsi="黑体" w:eastAsia="黑体" w:cs="黑体"/>
          <w:color w:val="auto"/>
          <w:sz w:val="24"/>
        </w:rPr>
        <w:t>的其他资格要求见</w:t>
      </w:r>
      <w:r>
        <w:rPr>
          <w:rFonts w:hint="eastAsia" w:ascii="黑体" w:hAnsi="黑体" w:eastAsia="黑体" w:cs="黑体"/>
          <w:color w:val="auto"/>
          <w:sz w:val="24"/>
          <w:u w:val="single"/>
          <w:lang w:eastAsia="zh-CN"/>
        </w:rPr>
        <w:t>供应商</w:t>
      </w:r>
      <w:r>
        <w:rPr>
          <w:rFonts w:hint="eastAsia" w:ascii="黑体" w:hAnsi="黑体" w:eastAsia="黑体" w:cs="黑体"/>
          <w:color w:val="auto"/>
          <w:sz w:val="24"/>
          <w:u w:val="single"/>
        </w:rPr>
        <w:t>须知资料表</w:t>
      </w:r>
      <w:r>
        <w:rPr>
          <w:rFonts w:hint="eastAsia" w:ascii="黑体" w:hAnsi="黑体" w:eastAsia="黑体" w:cs="黑体"/>
          <w:color w:val="auto"/>
          <w:sz w:val="24"/>
        </w:rPr>
        <w:t>。</w:t>
      </w:r>
    </w:p>
    <w:p w14:paraId="21493FFD">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1.5单位负责人为同一人或者存在直接控股、管理关系的不同</w:t>
      </w:r>
      <w:r>
        <w:rPr>
          <w:rFonts w:hint="eastAsia" w:ascii="黑体" w:hAnsi="黑体" w:eastAsia="黑体" w:cs="黑体"/>
          <w:color w:val="auto"/>
          <w:sz w:val="24"/>
          <w:lang w:eastAsia="zh-CN"/>
        </w:rPr>
        <w:t>供应商</w:t>
      </w:r>
      <w:r>
        <w:rPr>
          <w:rFonts w:hint="eastAsia" w:ascii="黑体" w:hAnsi="黑体" w:eastAsia="黑体" w:cs="黑体"/>
          <w:color w:val="auto"/>
          <w:sz w:val="24"/>
        </w:rPr>
        <w:t>，其相关</w:t>
      </w:r>
      <w:r>
        <w:rPr>
          <w:rFonts w:hint="eastAsia" w:ascii="黑体" w:hAnsi="黑体" w:eastAsia="黑体" w:cs="黑体"/>
          <w:color w:val="auto"/>
          <w:sz w:val="24"/>
          <w:lang w:eastAsia="zh-CN"/>
        </w:rPr>
        <w:t>磋商</w:t>
      </w:r>
      <w:r>
        <w:rPr>
          <w:rFonts w:hint="eastAsia" w:ascii="黑体" w:hAnsi="黑体" w:eastAsia="黑体" w:cs="黑体"/>
          <w:color w:val="auto"/>
          <w:sz w:val="24"/>
        </w:rPr>
        <w:t>将被认定为</w:t>
      </w:r>
      <w:r>
        <w:rPr>
          <w:rFonts w:hint="eastAsia" w:ascii="黑体" w:hAnsi="黑体" w:eastAsia="黑体" w:cs="黑体"/>
          <w:color w:val="auto"/>
          <w:sz w:val="24"/>
          <w:lang w:eastAsia="zh-CN"/>
        </w:rPr>
        <w:t>响应</w:t>
      </w:r>
      <w:r>
        <w:rPr>
          <w:rFonts w:hint="eastAsia" w:ascii="黑体" w:hAnsi="黑体" w:eastAsia="黑体" w:cs="黑体"/>
          <w:color w:val="auto"/>
          <w:sz w:val="24"/>
        </w:rPr>
        <w:t>无效</w:t>
      </w:r>
    </w:p>
    <w:p w14:paraId="2B75204E">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1.6为本项目提供过整体设计、规范编制或者项目管理、监理、检测等服务的</w:t>
      </w:r>
      <w:r>
        <w:rPr>
          <w:rFonts w:hint="eastAsia" w:ascii="黑体" w:hAnsi="黑体" w:eastAsia="黑体" w:cs="黑体"/>
          <w:color w:val="auto"/>
          <w:sz w:val="24"/>
          <w:lang w:eastAsia="zh-CN"/>
        </w:rPr>
        <w:t>供应商</w:t>
      </w:r>
      <w:r>
        <w:rPr>
          <w:rFonts w:hint="eastAsia" w:ascii="黑体" w:hAnsi="黑体" w:eastAsia="黑体" w:cs="黑体"/>
          <w:color w:val="auto"/>
          <w:sz w:val="24"/>
        </w:rPr>
        <w:t>，不得再参加本项目上述服务以外的其他采购活动。否则其</w:t>
      </w:r>
      <w:r>
        <w:rPr>
          <w:rFonts w:hint="eastAsia" w:ascii="黑体" w:hAnsi="黑体" w:eastAsia="黑体" w:cs="黑体"/>
          <w:color w:val="auto"/>
          <w:sz w:val="24"/>
          <w:lang w:eastAsia="zh-CN"/>
        </w:rPr>
        <w:t>磋商</w:t>
      </w:r>
      <w:r>
        <w:rPr>
          <w:rFonts w:hint="eastAsia" w:ascii="黑体" w:hAnsi="黑体" w:eastAsia="黑体" w:cs="黑体"/>
          <w:color w:val="auto"/>
          <w:sz w:val="24"/>
        </w:rPr>
        <w:t>将被认定为</w:t>
      </w:r>
      <w:r>
        <w:rPr>
          <w:rFonts w:hint="eastAsia" w:ascii="黑体" w:hAnsi="黑体" w:eastAsia="黑体" w:cs="黑体"/>
          <w:color w:val="auto"/>
          <w:sz w:val="24"/>
          <w:lang w:eastAsia="zh-CN"/>
        </w:rPr>
        <w:t>响应</w:t>
      </w:r>
      <w:r>
        <w:rPr>
          <w:rFonts w:hint="eastAsia" w:ascii="黑体" w:hAnsi="黑体" w:eastAsia="黑体" w:cs="黑体"/>
          <w:color w:val="auto"/>
          <w:sz w:val="24"/>
        </w:rPr>
        <w:t>无效。</w:t>
      </w:r>
    </w:p>
    <w:p w14:paraId="4C3E8B43">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1.7</w:t>
      </w:r>
      <w:r>
        <w:rPr>
          <w:rFonts w:hint="eastAsia" w:ascii="黑体" w:hAnsi="黑体" w:eastAsia="黑体" w:cs="黑体"/>
          <w:color w:val="auto"/>
          <w:sz w:val="24"/>
        </w:rPr>
        <w:tab/>
      </w:r>
      <w:r>
        <w:rPr>
          <w:rFonts w:hint="eastAsia" w:ascii="黑体" w:hAnsi="黑体" w:eastAsia="黑体" w:cs="黑体"/>
          <w:color w:val="auto"/>
          <w:sz w:val="24"/>
          <w:lang w:eastAsia="zh-CN"/>
        </w:rPr>
        <w:t>供应商</w:t>
      </w:r>
      <w:r>
        <w:rPr>
          <w:rFonts w:hint="eastAsia" w:ascii="黑体" w:hAnsi="黑体" w:eastAsia="黑体" w:cs="黑体"/>
          <w:color w:val="auto"/>
          <w:sz w:val="24"/>
        </w:rPr>
        <w:t>在</w:t>
      </w:r>
      <w:r>
        <w:rPr>
          <w:rFonts w:hint="eastAsia" w:ascii="黑体" w:hAnsi="黑体" w:eastAsia="黑体" w:cs="黑体"/>
          <w:color w:val="auto"/>
          <w:sz w:val="24"/>
          <w:lang w:eastAsia="zh-CN"/>
        </w:rPr>
        <w:t>磋商响应</w:t>
      </w:r>
      <w:r>
        <w:rPr>
          <w:rFonts w:hint="eastAsia" w:ascii="黑体" w:hAnsi="黑体" w:eastAsia="黑体" w:cs="黑体"/>
          <w:color w:val="auto"/>
          <w:sz w:val="24"/>
        </w:rPr>
        <w:t>过程中不得向采购人提供或给予影响其正常决策行为的任何有价值物品或服务。一经发现，其</w:t>
      </w:r>
      <w:r>
        <w:rPr>
          <w:rFonts w:hint="eastAsia" w:ascii="黑体" w:hAnsi="黑体" w:eastAsia="黑体" w:cs="黑体"/>
          <w:color w:val="auto"/>
          <w:sz w:val="24"/>
          <w:lang w:eastAsia="zh-CN"/>
        </w:rPr>
        <w:t>磋商</w:t>
      </w:r>
      <w:r>
        <w:rPr>
          <w:rFonts w:hint="eastAsia" w:ascii="黑体" w:hAnsi="黑体" w:eastAsia="黑体" w:cs="黑体"/>
          <w:color w:val="auto"/>
          <w:sz w:val="24"/>
        </w:rPr>
        <w:t>将被认定为</w:t>
      </w:r>
      <w:r>
        <w:rPr>
          <w:rFonts w:hint="eastAsia" w:ascii="黑体" w:hAnsi="黑体" w:eastAsia="黑体" w:cs="黑体"/>
          <w:color w:val="auto"/>
          <w:sz w:val="24"/>
          <w:lang w:eastAsia="zh-CN"/>
        </w:rPr>
        <w:t>响应</w:t>
      </w:r>
      <w:r>
        <w:rPr>
          <w:rFonts w:hint="eastAsia" w:ascii="黑体" w:hAnsi="黑体" w:eastAsia="黑体" w:cs="黑体"/>
          <w:color w:val="auto"/>
          <w:sz w:val="24"/>
        </w:rPr>
        <w:t>无效。</w:t>
      </w:r>
    </w:p>
    <w:p w14:paraId="6584F515">
      <w:pPr>
        <w:pStyle w:val="7"/>
        <w:spacing w:before="0" w:after="0" w:line="360" w:lineRule="auto"/>
        <w:rPr>
          <w:rFonts w:hint="eastAsia" w:ascii="黑体" w:hAnsi="黑体" w:eastAsia="黑体" w:cs="黑体"/>
          <w:color w:val="auto"/>
          <w:sz w:val="24"/>
          <w:szCs w:val="21"/>
          <w:u w:val="none"/>
        </w:rPr>
      </w:pPr>
      <w:bookmarkStart w:id="28" w:name="_Toc518923062"/>
      <w:bookmarkStart w:id="29" w:name="_Toc11482_WPSOffice_Level2"/>
      <w:bookmarkStart w:id="30" w:name="_Toc11813_WPSOffice_Level2"/>
      <w:bookmarkStart w:id="31" w:name="_Toc2643"/>
      <w:r>
        <w:rPr>
          <w:rFonts w:hint="eastAsia" w:ascii="黑体" w:hAnsi="黑体" w:eastAsia="黑体" w:cs="黑体"/>
          <w:color w:val="auto"/>
          <w:sz w:val="24"/>
          <w:szCs w:val="21"/>
          <w:u w:val="none"/>
        </w:rPr>
        <w:t>2.资金来源</w:t>
      </w:r>
      <w:bookmarkEnd w:id="28"/>
      <w:bookmarkEnd w:id="29"/>
      <w:bookmarkEnd w:id="30"/>
      <w:bookmarkEnd w:id="31"/>
    </w:p>
    <w:p w14:paraId="7D9B8C0D">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2.1</w:t>
      </w:r>
      <w:r>
        <w:rPr>
          <w:rFonts w:hint="eastAsia" w:ascii="黑体" w:hAnsi="黑体" w:eastAsia="黑体" w:cs="黑体"/>
          <w:color w:val="auto"/>
          <w:sz w:val="24"/>
        </w:rPr>
        <w:tab/>
      </w:r>
      <w:r>
        <w:rPr>
          <w:rFonts w:hint="eastAsia" w:ascii="黑体" w:hAnsi="黑体" w:eastAsia="黑体" w:cs="黑体"/>
          <w:color w:val="auto"/>
          <w:sz w:val="24"/>
        </w:rPr>
        <w:t>本项目的采购人已获得足以支付本次</w:t>
      </w:r>
      <w:r>
        <w:rPr>
          <w:rFonts w:hint="eastAsia" w:ascii="黑体" w:hAnsi="黑体" w:eastAsia="黑体" w:cs="黑体"/>
          <w:color w:val="auto"/>
          <w:sz w:val="24"/>
          <w:lang w:eastAsia="zh-CN"/>
        </w:rPr>
        <w:t>磋商</w:t>
      </w:r>
      <w:r>
        <w:rPr>
          <w:rFonts w:hint="eastAsia" w:ascii="黑体" w:hAnsi="黑体" w:eastAsia="黑体" w:cs="黑体"/>
          <w:color w:val="auto"/>
          <w:sz w:val="24"/>
        </w:rPr>
        <w:t>后所签订的合同项下的资金（包括财政性资金和本项目采购中无法与财政性资金分割的非财政性资金）。</w:t>
      </w:r>
    </w:p>
    <w:p w14:paraId="30A9FEF4">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2.2项目预算金额和分项或分包最高限价</w:t>
      </w:r>
      <w:r>
        <w:rPr>
          <w:rFonts w:hint="eastAsia" w:ascii="黑体" w:hAnsi="黑体" w:eastAsia="黑体" w:cs="黑体"/>
          <w:color w:val="auto"/>
          <w:sz w:val="24"/>
          <w:u w:val="single"/>
        </w:rPr>
        <w:t>见</w:t>
      </w:r>
      <w:r>
        <w:rPr>
          <w:rFonts w:hint="eastAsia" w:ascii="黑体" w:hAnsi="黑体" w:eastAsia="黑体" w:cs="黑体"/>
          <w:color w:val="auto"/>
          <w:sz w:val="24"/>
          <w:u w:val="single"/>
          <w:lang w:eastAsia="zh-CN"/>
        </w:rPr>
        <w:t>供应商</w:t>
      </w:r>
      <w:r>
        <w:rPr>
          <w:rFonts w:hint="eastAsia" w:ascii="黑体" w:hAnsi="黑体" w:eastAsia="黑体" w:cs="黑体"/>
          <w:color w:val="auto"/>
          <w:sz w:val="24"/>
          <w:u w:val="single"/>
        </w:rPr>
        <w:t>须知资料表</w:t>
      </w:r>
      <w:r>
        <w:rPr>
          <w:rFonts w:hint="eastAsia" w:ascii="黑体" w:hAnsi="黑体" w:eastAsia="黑体" w:cs="黑体"/>
          <w:color w:val="auto"/>
          <w:sz w:val="24"/>
        </w:rPr>
        <w:t>。</w:t>
      </w:r>
    </w:p>
    <w:p w14:paraId="6BE5C55E">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2.3</w:t>
      </w:r>
      <w:r>
        <w:rPr>
          <w:rFonts w:hint="eastAsia" w:ascii="黑体" w:hAnsi="黑体" w:eastAsia="黑体" w:cs="黑体"/>
          <w:color w:val="auto"/>
          <w:sz w:val="24"/>
          <w:lang w:eastAsia="zh-CN"/>
        </w:rPr>
        <w:t>供应商</w:t>
      </w:r>
      <w:r>
        <w:rPr>
          <w:rFonts w:hint="eastAsia" w:ascii="黑体" w:hAnsi="黑体" w:eastAsia="黑体" w:cs="黑体"/>
          <w:color w:val="auto"/>
          <w:sz w:val="24"/>
        </w:rPr>
        <w:t>报价超过磋商文件规定的预算金额或者分项、分包最高限价的，其报价将被认定为无效。</w:t>
      </w:r>
    </w:p>
    <w:p w14:paraId="695D8660">
      <w:pPr>
        <w:pStyle w:val="7"/>
        <w:spacing w:before="0" w:after="0" w:line="360" w:lineRule="auto"/>
        <w:rPr>
          <w:rFonts w:hint="eastAsia" w:ascii="黑体" w:hAnsi="黑体" w:eastAsia="黑体" w:cs="黑体"/>
          <w:color w:val="auto"/>
          <w:sz w:val="24"/>
          <w:szCs w:val="21"/>
          <w:u w:val="none"/>
        </w:rPr>
      </w:pPr>
      <w:bookmarkStart w:id="32" w:name="_Toc518923063"/>
      <w:bookmarkStart w:id="33" w:name="_Toc8601_WPSOffice_Level2"/>
      <w:bookmarkStart w:id="34" w:name="_Toc8946_WPSOffice_Level2"/>
      <w:bookmarkStart w:id="35" w:name="_Toc28166"/>
      <w:bookmarkStart w:id="36" w:name="_Toc520356145"/>
      <w:r>
        <w:rPr>
          <w:rFonts w:hint="eastAsia" w:ascii="黑体" w:hAnsi="黑体" w:eastAsia="黑体" w:cs="黑体"/>
          <w:color w:val="auto"/>
          <w:sz w:val="24"/>
          <w:szCs w:val="21"/>
          <w:u w:val="none"/>
        </w:rPr>
        <w:t>3.磋商费用</w:t>
      </w:r>
      <w:bookmarkEnd w:id="32"/>
      <w:bookmarkEnd w:id="33"/>
      <w:bookmarkEnd w:id="34"/>
      <w:bookmarkEnd w:id="35"/>
      <w:bookmarkEnd w:id="36"/>
    </w:p>
    <w:p w14:paraId="12FE4B4D">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不论磋商的结果如何，</w:t>
      </w:r>
      <w:r>
        <w:rPr>
          <w:rFonts w:hint="eastAsia" w:ascii="黑体" w:hAnsi="黑体" w:eastAsia="黑体" w:cs="黑体"/>
          <w:color w:val="auto"/>
          <w:sz w:val="24"/>
          <w:lang w:eastAsia="zh-CN"/>
        </w:rPr>
        <w:t>供应商</w:t>
      </w:r>
      <w:r>
        <w:rPr>
          <w:rFonts w:hint="eastAsia" w:ascii="黑体" w:hAnsi="黑体" w:eastAsia="黑体" w:cs="黑体"/>
          <w:color w:val="auto"/>
          <w:sz w:val="24"/>
        </w:rPr>
        <w:t>应承担所有与准备和参加磋商有关的费用。</w:t>
      </w:r>
    </w:p>
    <w:p w14:paraId="679AF7BD">
      <w:pPr>
        <w:pStyle w:val="7"/>
        <w:spacing w:before="0" w:after="0" w:line="360" w:lineRule="auto"/>
        <w:rPr>
          <w:rFonts w:hint="eastAsia" w:ascii="黑体" w:hAnsi="黑体" w:eastAsia="黑体" w:cs="黑体"/>
          <w:color w:val="auto"/>
          <w:sz w:val="24"/>
          <w:szCs w:val="21"/>
          <w:u w:val="none"/>
        </w:rPr>
      </w:pPr>
      <w:bookmarkStart w:id="37" w:name="_Toc8368_WPSOffice_Level2"/>
      <w:bookmarkStart w:id="38" w:name="_Toc32365"/>
      <w:bookmarkStart w:id="39" w:name="_Toc1523_WPSOffice_Level2"/>
      <w:bookmarkStart w:id="40" w:name="_Toc518923064"/>
      <w:r>
        <w:rPr>
          <w:rFonts w:hint="eastAsia" w:ascii="黑体" w:hAnsi="黑体" w:eastAsia="黑体" w:cs="黑体"/>
          <w:color w:val="auto"/>
          <w:sz w:val="24"/>
          <w:szCs w:val="21"/>
          <w:u w:val="none"/>
        </w:rPr>
        <w:t>4.适用法律</w:t>
      </w:r>
      <w:bookmarkEnd w:id="37"/>
      <w:bookmarkEnd w:id="38"/>
      <w:bookmarkEnd w:id="39"/>
      <w:bookmarkEnd w:id="40"/>
    </w:p>
    <w:p w14:paraId="2D92252D">
      <w:pPr>
        <w:pStyle w:val="57"/>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本项目采购人、采购代理机构、</w:t>
      </w:r>
      <w:r>
        <w:rPr>
          <w:rFonts w:hint="eastAsia" w:ascii="黑体" w:hAnsi="黑体" w:eastAsia="黑体" w:cs="黑体"/>
          <w:color w:val="auto"/>
          <w:sz w:val="24"/>
          <w:lang w:eastAsia="zh-CN"/>
        </w:rPr>
        <w:t>供应商</w:t>
      </w:r>
      <w:r>
        <w:rPr>
          <w:rFonts w:hint="eastAsia" w:ascii="黑体" w:hAnsi="黑体" w:eastAsia="黑体" w:cs="黑体"/>
          <w:color w:val="auto"/>
          <w:sz w:val="24"/>
        </w:rPr>
        <w:t>、评审委员会的相关行为均受《中华人民共和国政府采购法》、《中华人民共和国政府采购法实施条例》</w:t>
      </w:r>
      <w:r>
        <w:rPr>
          <w:rFonts w:hint="eastAsia" w:ascii="黑体" w:hAnsi="黑体" w:eastAsia="黑体" w:cs="黑体"/>
          <w:color w:val="auto"/>
          <w:sz w:val="24"/>
          <w:lang w:eastAsia="zh-CN"/>
        </w:rPr>
        <w:t>、《政府采购竞争性磋商采购方式管理暂行办法》</w:t>
      </w:r>
      <w:r>
        <w:rPr>
          <w:rFonts w:hint="eastAsia" w:ascii="黑体" w:hAnsi="黑体" w:eastAsia="黑体" w:cs="黑体"/>
          <w:color w:val="auto"/>
          <w:sz w:val="24"/>
        </w:rPr>
        <w:t>及本项目本级和上级财政部门政府采购有关规定的约束，其权利受到上述法律法规的保护。</w:t>
      </w:r>
      <w:bookmarkStart w:id="41" w:name="_Toc809"/>
      <w:bookmarkStart w:id="42" w:name="_Toc518923065"/>
      <w:bookmarkStart w:id="43" w:name="_Toc216582806"/>
      <w:bookmarkStart w:id="44" w:name="_Toc520356146"/>
      <w:bookmarkStart w:id="45" w:name="_Toc23787"/>
      <w:bookmarkStart w:id="46" w:name="_Toc10894_WPSOffice_Level1"/>
    </w:p>
    <w:p w14:paraId="5EF1C746">
      <w:pPr>
        <w:pStyle w:val="57"/>
        <w:spacing w:line="360" w:lineRule="auto"/>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二</w:t>
      </w:r>
      <w:bookmarkEnd w:id="41"/>
      <w:bookmarkEnd w:id="42"/>
      <w:bookmarkEnd w:id="43"/>
      <w:bookmarkEnd w:id="44"/>
      <w:r>
        <w:rPr>
          <w:rFonts w:hint="eastAsia" w:ascii="黑体" w:hAnsi="黑体" w:eastAsia="黑体" w:cs="黑体"/>
          <w:b/>
          <w:bCs/>
          <w:color w:val="auto"/>
          <w:sz w:val="24"/>
          <w:szCs w:val="24"/>
        </w:rPr>
        <w:t>磋商文件</w:t>
      </w:r>
      <w:bookmarkEnd w:id="45"/>
      <w:bookmarkEnd w:id="46"/>
    </w:p>
    <w:p w14:paraId="0B24E628">
      <w:pPr>
        <w:pStyle w:val="7"/>
        <w:spacing w:before="0" w:after="0" w:line="360" w:lineRule="auto"/>
        <w:rPr>
          <w:rFonts w:hint="eastAsia" w:ascii="黑体" w:hAnsi="黑体" w:eastAsia="黑体" w:cs="黑体"/>
          <w:color w:val="auto"/>
          <w:sz w:val="28"/>
          <w:szCs w:val="22"/>
          <w:u w:val="none"/>
        </w:rPr>
      </w:pPr>
      <w:bookmarkStart w:id="47" w:name="_Toc520356147"/>
      <w:bookmarkStart w:id="48" w:name="_Toc22990"/>
      <w:bookmarkStart w:id="49" w:name="_Toc15218_WPSOffice_Level2"/>
      <w:bookmarkStart w:id="50" w:name="_Toc518923066"/>
      <w:bookmarkStart w:id="51" w:name="_Toc15303_WPSOffice_Level2"/>
      <w:r>
        <w:rPr>
          <w:rFonts w:hint="eastAsia" w:ascii="黑体" w:hAnsi="黑体" w:eastAsia="黑体" w:cs="黑体"/>
          <w:color w:val="auto"/>
          <w:sz w:val="28"/>
          <w:szCs w:val="22"/>
          <w:u w:val="none"/>
        </w:rPr>
        <w:t>5.磋商文件构成</w:t>
      </w:r>
      <w:bookmarkEnd w:id="47"/>
      <w:bookmarkEnd w:id="48"/>
      <w:bookmarkEnd w:id="49"/>
      <w:bookmarkEnd w:id="50"/>
      <w:bookmarkEnd w:id="51"/>
    </w:p>
    <w:p w14:paraId="06C84FA7">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5.</w:t>
      </w:r>
      <w:r>
        <w:rPr>
          <w:rFonts w:hint="eastAsia" w:ascii="黑体" w:hAnsi="黑体" w:eastAsia="黑体" w:cs="黑体"/>
          <w:color w:val="auto"/>
          <w:sz w:val="24"/>
          <w:lang w:val="en-US" w:eastAsia="zh-CN"/>
        </w:rPr>
        <w:t>1</w:t>
      </w:r>
      <w:r>
        <w:rPr>
          <w:rFonts w:hint="eastAsia" w:ascii="黑体" w:hAnsi="黑体" w:eastAsia="黑体" w:cs="黑体"/>
          <w:color w:val="auto"/>
          <w:sz w:val="24"/>
        </w:rPr>
        <w:t>磋商文件分为7章，内容如下：</w:t>
      </w:r>
    </w:p>
    <w:p w14:paraId="104861B5">
      <w:pPr>
        <w:numPr>
          <w:ilvl w:val="0"/>
          <w:numId w:val="0"/>
        </w:numPr>
        <w:tabs>
          <w:tab w:val="left" w:pos="0"/>
        </w:tabs>
        <w:spacing w:line="360" w:lineRule="auto"/>
        <w:ind w:left="0" w:leftChars="0" w:firstLine="840" w:firstLineChars="350"/>
        <w:rPr>
          <w:rFonts w:hint="eastAsia" w:ascii="黑体" w:hAnsi="黑体" w:eastAsia="黑体" w:cs="黑体"/>
          <w:color w:val="auto"/>
          <w:sz w:val="24"/>
        </w:rPr>
      </w:pPr>
      <w:r>
        <w:rPr>
          <w:rFonts w:hint="eastAsia" w:ascii="黑体" w:hAnsi="黑体" w:eastAsia="黑体" w:cs="黑体"/>
          <w:color w:val="auto"/>
          <w:kern w:val="2"/>
          <w:sz w:val="24"/>
          <w:szCs w:val="24"/>
          <w:lang w:val="en-US" w:eastAsia="zh-CN" w:bidi="ar-SA"/>
        </w:rPr>
        <w:t>第1章</w:t>
      </w:r>
      <w:r>
        <w:rPr>
          <w:rFonts w:hint="eastAsia" w:ascii="黑体" w:hAnsi="黑体" w:eastAsia="黑体" w:cs="黑体"/>
          <w:color w:val="auto"/>
          <w:sz w:val="24"/>
          <w:lang w:eastAsia="zh-CN"/>
        </w:rPr>
        <w:t>供应商</w:t>
      </w:r>
      <w:r>
        <w:rPr>
          <w:rFonts w:hint="eastAsia" w:ascii="黑体" w:hAnsi="黑体" w:eastAsia="黑体" w:cs="黑体"/>
          <w:color w:val="auto"/>
          <w:sz w:val="24"/>
        </w:rPr>
        <w:t>须知</w:t>
      </w:r>
    </w:p>
    <w:p w14:paraId="3454598A">
      <w:pPr>
        <w:numPr>
          <w:ilvl w:val="0"/>
          <w:numId w:val="0"/>
        </w:numPr>
        <w:spacing w:line="360" w:lineRule="auto"/>
        <w:ind w:left="0" w:leftChars="0" w:firstLine="840" w:firstLineChars="350"/>
        <w:rPr>
          <w:rFonts w:hint="eastAsia" w:ascii="黑体" w:hAnsi="黑体" w:eastAsia="黑体" w:cs="黑体"/>
          <w:color w:val="auto"/>
          <w:sz w:val="24"/>
        </w:rPr>
      </w:pPr>
      <w:r>
        <w:rPr>
          <w:rFonts w:hint="eastAsia" w:ascii="黑体" w:hAnsi="黑体" w:eastAsia="黑体" w:cs="黑体"/>
          <w:color w:val="auto"/>
          <w:kern w:val="2"/>
          <w:sz w:val="24"/>
          <w:szCs w:val="24"/>
          <w:lang w:val="en-US" w:eastAsia="zh-CN" w:bidi="ar-SA"/>
        </w:rPr>
        <w:t>第2章</w:t>
      </w:r>
      <w:r>
        <w:rPr>
          <w:rFonts w:hint="eastAsia" w:ascii="黑体" w:hAnsi="黑体" w:eastAsia="黑体" w:cs="黑体"/>
          <w:color w:val="auto"/>
          <w:sz w:val="24"/>
        </w:rPr>
        <w:t>响应文件格式</w:t>
      </w:r>
    </w:p>
    <w:p w14:paraId="533F0DA4">
      <w:pPr>
        <w:numPr>
          <w:ilvl w:val="0"/>
          <w:numId w:val="0"/>
        </w:numPr>
        <w:spacing w:line="360" w:lineRule="auto"/>
        <w:ind w:left="0" w:leftChars="0" w:firstLine="840" w:firstLineChars="350"/>
        <w:rPr>
          <w:rFonts w:hint="eastAsia" w:ascii="黑体" w:hAnsi="黑体" w:eastAsia="黑体" w:cs="黑体"/>
          <w:color w:val="auto"/>
          <w:sz w:val="24"/>
        </w:rPr>
      </w:pPr>
      <w:r>
        <w:rPr>
          <w:rFonts w:hint="eastAsia" w:ascii="黑体" w:hAnsi="黑体" w:eastAsia="黑体" w:cs="黑体"/>
          <w:color w:val="auto"/>
          <w:kern w:val="2"/>
          <w:sz w:val="24"/>
          <w:szCs w:val="24"/>
          <w:lang w:val="en-US" w:eastAsia="zh-CN" w:bidi="ar-SA"/>
        </w:rPr>
        <w:t>第3章</w:t>
      </w:r>
      <w:r>
        <w:rPr>
          <w:rFonts w:hint="eastAsia" w:ascii="黑体" w:hAnsi="黑体" w:eastAsia="黑体" w:cs="黑体"/>
          <w:color w:val="auto"/>
          <w:sz w:val="24"/>
        </w:rPr>
        <w:t xml:space="preserve">磋商邀请 </w:t>
      </w:r>
    </w:p>
    <w:p w14:paraId="7EC25CDC">
      <w:pPr>
        <w:numPr>
          <w:ilvl w:val="0"/>
          <w:numId w:val="0"/>
        </w:numPr>
        <w:spacing w:line="360" w:lineRule="auto"/>
        <w:ind w:left="0" w:leftChars="0" w:firstLine="840" w:firstLineChars="350"/>
        <w:rPr>
          <w:rFonts w:hint="eastAsia" w:ascii="黑体" w:hAnsi="黑体" w:eastAsia="黑体" w:cs="黑体"/>
          <w:color w:val="auto"/>
          <w:sz w:val="24"/>
        </w:rPr>
      </w:pPr>
      <w:r>
        <w:rPr>
          <w:rFonts w:hint="eastAsia" w:ascii="黑体" w:hAnsi="黑体" w:eastAsia="黑体" w:cs="黑体"/>
          <w:color w:val="auto"/>
          <w:kern w:val="2"/>
          <w:sz w:val="24"/>
          <w:szCs w:val="24"/>
          <w:lang w:val="en-US" w:eastAsia="zh-CN" w:bidi="ar-SA"/>
        </w:rPr>
        <w:t>第4章</w:t>
      </w:r>
      <w:r>
        <w:rPr>
          <w:rFonts w:hint="eastAsia" w:ascii="黑体" w:hAnsi="黑体" w:eastAsia="黑体" w:cs="黑体"/>
          <w:color w:val="auto"/>
          <w:sz w:val="24"/>
          <w:lang w:eastAsia="zh-CN"/>
        </w:rPr>
        <w:t>供应商</w:t>
      </w:r>
      <w:r>
        <w:rPr>
          <w:rFonts w:hint="eastAsia" w:ascii="黑体" w:hAnsi="黑体" w:eastAsia="黑体" w:cs="黑体"/>
          <w:color w:val="auto"/>
          <w:sz w:val="24"/>
        </w:rPr>
        <w:t>须知资料表</w:t>
      </w:r>
    </w:p>
    <w:p w14:paraId="69514912">
      <w:pPr>
        <w:numPr>
          <w:ilvl w:val="0"/>
          <w:numId w:val="0"/>
        </w:numPr>
        <w:spacing w:line="360" w:lineRule="auto"/>
        <w:ind w:left="0" w:leftChars="0" w:firstLine="840" w:firstLineChars="350"/>
        <w:rPr>
          <w:rFonts w:hint="eastAsia" w:ascii="黑体" w:hAnsi="黑体" w:eastAsia="黑体" w:cs="黑体"/>
          <w:color w:val="auto"/>
          <w:sz w:val="24"/>
        </w:rPr>
      </w:pPr>
      <w:r>
        <w:rPr>
          <w:rFonts w:hint="eastAsia" w:ascii="黑体" w:hAnsi="黑体" w:eastAsia="黑体" w:cs="黑体"/>
          <w:color w:val="auto"/>
          <w:kern w:val="2"/>
          <w:sz w:val="24"/>
          <w:szCs w:val="24"/>
          <w:lang w:val="en-US" w:eastAsia="zh-CN" w:bidi="ar-SA"/>
        </w:rPr>
        <w:t>第5章</w:t>
      </w:r>
      <w:r>
        <w:rPr>
          <w:rFonts w:hint="eastAsia" w:ascii="黑体" w:hAnsi="黑体" w:eastAsia="黑体" w:cs="黑体"/>
          <w:color w:val="auto"/>
          <w:sz w:val="24"/>
        </w:rPr>
        <w:t>项目需求</w:t>
      </w:r>
    </w:p>
    <w:p w14:paraId="3A530BD9">
      <w:pPr>
        <w:numPr>
          <w:ilvl w:val="0"/>
          <w:numId w:val="0"/>
        </w:numPr>
        <w:spacing w:line="360" w:lineRule="auto"/>
        <w:ind w:left="0" w:leftChars="0" w:firstLine="840" w:firstLineChars="350"/>
        <w:rPr>
          <w:rFonts w:hint="eastAsia" w:ascii="黑体" w:hAnsi="黑体" w:eastAsia="黑体" w:cs="黑体"/>
          <w:color w:val="auto"/>
          <w:sz w:val="24"/>
        </w:rPr>
      </w:pPr>
      <w:r>
        <w:rPr>
          <w:rFonts w:hint="eastAsia" w:ascii="黑体" w:hAnsi="黑体" w:eastAsia="黑体" w:cs="黑体"/>
          <w:color w:val="auto"/>
          <w:kern w:val="2"/>
          <w:sz w:val="24"/>
          <w:szCs w:val="24"/>
          <w:lang w:val="en-US" w:eastAsia="zh-CN" w:bidi="ar-SA"/>
        </w:rPr>
        <w:t>第6章</w:t>
      </w:r>
      <w:r>
        <w:rPr>
          <w:rFonts w:hint="eastAsia" w:ascii="黑体" w:hAnsi="黑体" w:eastAsia="黑体" w:cs="黑体"/>
          <w:color w:val="auto"/>
          <w:sz w:val="24"/>
        </w:rPr>
        <w:t>评审方法和标准</w:t>
      </w:r>
    </w:p>
    <w:p w14:paraId="2940BAD2">
      <w:pPr>
        <w:numPr>
          <w:ilvl w:val="0"/>
          <w:numId w:val="0"/>
        </w:numPr>
        <w:spacing w:line="360" w:lineRule="auto"/>
        <w:ind w:left="0" w:leftChars="0" w:firstLine="840" w:firstLineChars="350"/>
        <w:rPr>
          <w:rFonts w:hint="eastAsia" w:ascii="黑体" w:hAnsi="黑体" w:eastAsia="黑体" w:cs="黑体"/>
          <w:color w:val="auto"/>
          <w:sz w:val="24"/>
          <w:highlight w:val="none"/>
        </w:rPr>
      </w:pPr>
      <w:r>
        <w:rPr>
          <w:rFonts w:hint="eastAsia" w:ascii="黑体" w:hAnsi="黑体" w:eastAsia="黑体" w:cs="黑体"/>
          <w:color w:val="auto"/>
          <w:kern w:val="2"/>
          <w:sz w:val="24"/>
          <w:szCs w:val="24"/>
          <w:lang w:val="en-US" w:eastAsia="zh-CN" w:bidi="ar-SA"/>
        </w:rPr>
        <w:t>第7章</w:t>
      </w:r>
      <w:r>
        <w:rPr>
          <w:rFonts w:hint="eastAsia" w:ascii="黑体" w:hAnsi="黑体" w:eastAsia="黑体" w:cs="黑体"/>
          <w:color w:val="auto"/>
          <w:sz w:val="24"/>
          <w:highlight w:val="none"/>
          <w:lang w:val="en-US" w:eastAsia="zh-CN"/>
        </w:rPr>
        <w:t>政府采购</w:t>
      </w:r>
      <w:r>
        <w:rPr>
          <w:rFonts w:hint="eastAsia" w:ascii="黑体" w:hAnsi="黑体" w:eastAsia="黑体" w:cs="黑体"/>
          <w:color w:val="auto"/>
          <w:sz w:val="24"/>
          <w:highlight w:val="none"/>
        </w:rPr>
        <w:t>合同</w:t>
      </w:r>
      <w:r>
        <w:rPr>
          <w:rFonts w:hint="eastAsia" w:ascii="黑体" w:hAnsi="黑体" w:eastAsia="黑体" w:cs="黑体"/>
          <w:color w:val="auto"/>
          <w:sz w:val="24"/>
          <w:highlight w:val="none"/>
          <w:lang w:val="en-US" w:eastAsia="zh-CN"/>
        </w:rPr>
        <w:t>格式</w:t>
      </w:r>
    </w:p>
    <w:p w14:paraId="36B3A142">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5.2如本文件的前后内容不一致，以</w:t>
      </w:r>
      <w:r>
        <w:rPr>
          <w:rFonts w:hint="eastAsia" w:ascii="黑体" w:hAnsi="黑体" w:eastAsia="黑体" w:cs="黑体"/>
          <w:color w:val="auto"/>
          <w:sz w:val="24"/>
          <w:lang w:val="en-US" w:eastAsia="zh-CN"/>
        </w:rPr>
        <w:t>投标须知资料表为准</w:t>
      </w:r>
      <w:r>
        <w:rPr>
          <w:rFonts w:hint="eastAsia" w:ascii="黑体" w:hAnsi="黑体" w:eastAsia="黑体" w:cs="黑体"/>
          <w:color w:val="auto"/>
          <w:sz w:val="24"/>
        </w:rPr>
        <w:t>。</w:t>
      </w:r>
    </w:p>
    <w:p w14:paraId="71B7046E">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5.3</w:t>
      </w:r>
      <w:r>
        <w:rPr>
          <w:rFonts w:hint="eastAsia" w:ascii="黑体" w:hAnsi="黑体" w:eastAsia="黑体" w:cs="黑体"/>
          <w:color w:val="auto"/>
          <w:sz w:val="24"/>
          <w:lang w:eastAsia="zh-CN"/>
        </w:rPr>
        <w:t>供应商</w:t>
      </w:r>
      <w:r>
        <w:rPr>
          <w:rFonts w:hint="eastAsia" w:ascii="黑体" w:hAnsi="黑体" w:eastAsia="黑体" w:cs="黑体"/>
          <w:color w:val="auto"/>
          <w:sz w:val="24"/>
        </w:rPr>
        <w:t>应认真阅读磋商文件所有的事项、格式、条款和技术规范等。如</w:t>
      </w:r>
      <w:r>
        <w:rPr>
          <w:rFonts w:hint="eastAsia" w:ascii="黑体" w:hAnsi="黑体" w:eastAsia="黑体" w:cs="黑体"/>
          <w:color w:val="auto"/>
          <w:sz w:val="24"/>
          <w:lang w:eastAsia="zh-CN"/>
        </w:rPr>
        <w:t>供应商</w:t>
      </w:r>
      <w:r>
        <w:rPr>
          <w:rFonts w:hint="eastAsia" w:ascii="黑体" w:hAnsi="黑体" w:eastAsia="黑体" w:cs="黑体"/>
          <w:color w:val="auto"/>
          <w:sz w:val="24"/>
        </w:rPr>
        <w:t>没有按照磋商文件要求提交全部资料，或者响应文件没有对磋商文件在各方面都做出实质性响应，可能导致其</w:t>
      </w:r>
      <w:r>
        <w:rPr>
          <w:rFonts w:hint="eastAsia" w:ascii="黑体" w:hAnsi="黑体" w:eastAsia="黑体" w:cs="黑体"/>
          <w:color w:val="auto"/>
          <w:sz w:val="24"/>
          <w:lang w:eastAsia="zh-CN"/>
        </w:rPr>
        <w:t>响应文件</w:t>
      </w:r>
      <w:r>
        <w:rPr>
          <w:rFonts w:hint="eastAsia" w:ascii="黑体" w:hAnsi="黑体" w:eastAsia="黑体" w:cs="黑体"/>
          <w:color w:val="auto"/>
          <w:sz w:val="24"/>
        </w:rPr>
        <w:t>被认定为</w:t>
      </w:r>
      <w:r>
        <w:rPr>
          <w:rFonts w:hint="eastAsia" w:ascii="黑体" w:hAnsi="黑体" w:eastAsia="黑体" w:cs="黑体"/>
          <w:color w:val="auto"/>
          <w:sz w:val="24"/>
          <w:lang w:eastAsia="zh-CN"/>
        </w:rPr>
        <w:t>响应</w:t>
      </w:r>
      <w:r>
        <w:rPr>
          <w:rFonts w:hint="eastAsia" w:ascii="黑体" w:hAnsi="黑体" w:eastAsia="黑体" w:cs="黑体"/>
          <w:color w:val="auto"/>
          <w:sz w:val="24"/>
        </w:rPr>
        <w:t>无效。</w:t>
      </w:r>
    </w:p>
    <w:p w14:paraId="271170B4">
      <w:pPr>
        <w:pStyle w:val="7"/>
        <w:spacing w:before="0" w:after="0" w:line="360" w:lineRule="auto"/>
        <w:rPr>
          <w:rFonts w:hint="eastAsia" w:ascii="黑体" w:hAnsi="黑体" w:eastAsia="黑体" w:cs="黑体"/>
          <w:b w:val="0"/>
          <w:color w:val="auto"/>
          <w:sz w:val="24"/>
          <w:szCs w:val="21"/>
          <w:u w:val="none"/>
        </w:rPr>
      </w:pPr>
      <w:bookmarkStart w:id="52" w:name="_Toc520356148"/>
      <w:bookmarkStart w:id="53" w:name="_Toc29081_WPSOffice_Level2"/>
      <w:bookmarkStart w:id="54" w:name="_Toc90_WPSOffice_Level2"/>
      <w:bookmarkStart w:id="55" w:name="_Toc518923067"/>
      <w:bookmarkStart w:id="56" w:name="_Toc21314"/>
      <w:r>
        <w:rPr>
          <w:rFonts w:hint="eastAsia" w:ascii="黑体" w:hAnsi="黑体" w:eastAsia="黑体" w:cs="黑体"/>
          <w:color w:val="auto"/>
          <w:sz w:val="24"/>
          <w:szCs w:val="21"/>
          <w:u w:val="none"/>
        </w:rPr>
        <w:t>6.磋商文件的澄清</w:t>
      </w:r>
      <w:bookmarkEnd w:id="52"/>
      <w:r>
        <w:rPr>
          <w:rFonts w:hint="eastAsia" w:ascii="黑体" w:hAnsi="黑体" w:eastAsia="黑体" w:cs="黑体"/>
          <w:color w:val="auto"/>
          <w:sz w:val="24"/>
          <w:szCs w:val="21"/>
          <w:u w:val="none"/>
        </w:rPr>
        <w:t>与修改</w:t>
      </w:r>
      <w:bookmarkEnd w:id="53"/>
      <w:bookmarkEnd w:id="54"/>
      <w:bookmarkEnd w:id="55"/>
      <w:bookmarkEnd w:id="56"/>
    </w:p>
    <w:p w14:paraId="3FB996CC">
      <w:pPr>
        <w:pStyle w:val="11"/>
        <w:tabs>
          <w:tab w:val="left" w:pos="0"/>
        </w:tabs>
        <w:spacing w:line="360" w:lineRule="auto"/>
        <w:ind w:left="0" w:leftChars="0" w:firstLine="420" w:firstLineChars="175"/>
        <w:rPr>
          <w:rFonts w:hint="eastAsia" w:ascii="黑体" w:hAnsi="黑体" w:eastAsia="黑体" w:cs="黑体"/>
          <w:color w:val="auto"/>
          <w:sz w:val="24"/>
          <w:szCs w:val="32"/>
        </w:rPr>
      </w:pPr>
      <w:r>
        <w:rPr>
          <w:rFonts w:hint="eastAsia" w:ascii="黑体" w:hAnsi="黑体" w:eastAsia="黑体" w:cs="黑体"/>
          <w:color w:val="auto"/>
          <w:sz w:val="24"/>
          <w:szCs w:val="32"/>
        </w:rPr>
        <w:t>6.1为了保证对磋商文件的澄清和修改满足法律的时限要求，</w:t>
      </w:r>
      <w:bookmarkStart w:id="57" w:name="_Toc520356149"/>
      <w:bookmarkStart w:id="58" w:name="_Ref467378678"/>
      <w:r>
        <w:rPr>
          <w:rFonts w:hint="eastAsia" w:ascii="黑体" w:hAnsi="黑体" w:eastAsia="黑体" w:cs="黑体"/>
          <w:color w:val="auto"/>
          <w:sz w:val="24"/>
          <w:szCs w:val="32"/>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澄清（更正）公告的方式通知所有获取磋商文件的</w:t>
      </w:r>
      <w:r>
        <w:rPr>
          <w:rFonts w:hint="eastAsia" w:ascii="黑体" w:hAnsi="黑体" w:eastAsia="黑体" w:cs="黑体"/>
          <w:color w:val="auto"/>
          <w:sz w:val="24"/>
          <w:szCs w:val="32"/>
          <w:lang w:eastAsia="zh-CN"/>
        </w:rPr>
        <w:t>供应商</w:t>
      </w:r>
      <w:r>
        <w:rPr>
          <w:rFonts w:hint="eastAsia" w:ascii="黑体" w:hAnsi="黑体" w:eastAsia="黑体" w:cs="黑体"/>
          <w:color w:val="auto"/>
          <w:sz w:val="24"/>
          <w:szCs w:val="32"/>
        </w:rPr>
        <w:t>；不足5日的，采购人、采购代理机构应当顺延提交首次响应文件截止时间。</w:t>
      </w:r>
    </w:p>
    <w:p w14:paraId="2D66DF07">
      <w:pPr>
        <w:pStyle w:val="11"/>
        <w:tabs>
          <w:tab w:val="left" w:pos="0"/>
        </w:tabs>
        <w:spacing w:line="360" w:lineRule="auto"/>
        <w:ind w:left="0" w:leftChars="0" w:firstLine="420" w:firstLineChars="175"/>
        <w:rPr>
          <w:rFonts w:hint="eastAsia" w:ascii="黑体" w:hAnsi="黑体" w:eastAsia="黑体" w:cs="黑体"/>
          <w:color w:val="auto"/>
          <w:sz w:val="24"/>
          <w:szCs w:val="32"/>
        </w:rPr>
      </w:pPr>
      <w:r>
        <w:rPr>
          <w:rFonts w:hint="eastAsia" w:ascii="黑体" w:hAnsi="黑体" w:eastAsia="黑体" w:cs="黑体"/>
          <w:color w:val="auto"/>
          <w:sz w:val="24"/>
          <w:szCs w:val="32"/>
        </w:rPr>
        <w:t>6.2</w:t>
      </w:r>
      <w:r>
        <w:rPr>
          <w:rFonts w:hint="eastAsia" w:ascii="黑体" w:hAnsi="黑体" w:eastAsia="黑体" w:cs="黑体"/>
          <w:color w:val="auto"/>
          <w:sz w:val="24"/>
          <w:szCs w:val="32"/>
        </w:rPr>
        <w:tab/>
      </w:r>
      <w:r>
        <w:rPr>
          <w:rFonts w:hint="eastAsia" w:ascii="黑体" w:hAnsi="黑体" w:eastAsia="黑体" w:cs="黑体"/>
          <w:color w:val="auto"/>
          <w:sz w:val="24"/>
          <w:szCs w:val="32"/>
        </w:rPr>
        <w:t>采购人可主动地或在解答</w:t>
      </w:r>
      <w:r>
        <w:rPr>
          <w:rFonts w:hint="eastAsia" w:ascii="黑体" w:hAnsi="黑体" w:eastAsia="黑体" w:cs="黑体"/>
          <w:color w:val="auto"/>
          <w:sz w:val="24"/>
          <w:szCs w:val="32"/>
          <w:lang w:eastAsia="zh-CN"/>
        </w:rPr>
        <w:t>供应商</w:t>
      </w:r>
      <w:r>
        <w:rPr>
          <w:rFonts w:hint="eastAsia" w:ascii="黑体" w:hAnsi="黑体" w:eastAsia="黑体" w:cs="黑体"/>
          <w:color w:val="auto"/>
          <w:sz w:val="24"/>
          <w:szCs w:val="32"/>
        </w:rPr>
        <w:t>提出的澄清问题时对磋商文件澄清或修改。采购代理机构将以发布澄清（更正）公告的方式，澄清或修改磋商文件，澄清或修改内容作为磋商文件的组成部分。</w:t>
      </w:r>
    </w:p>
    <w:p w14:paraId="4D10B946">
      <w:pPr>
        <w:pStyle w:val="11"/>
        <w:tabs>
          <w:tab w:val="left" w:pos="0"/>
        </w:tabs>
        <w:spacing w:line="360" w:lineRule="auto"/>
        <w:ind w:left="0" w:leftChars="0" w:firstLine="420" w:firstLineChars="175"/>
        <w:rPr>
          <w:rFonts w:hint="eastAsia" w:ascii="黑体" w:hAnsi="黑体" w:eastAsia="黑体" w:cs="黑体"/>
          <w:color w:val="auto"/>
          <w:sz w:val="24"/>
          <w:szCs w:val="32"/>
        </w:rPr>
      </w:pPr>
      <w:r>
        <w:rPr>
          <w:rFonts w:hint="eastAsia" w:ascii="黑体" w:hAnsi="黑体" w:eastAsia="黑体" w:cs="黑体"/>
          <w:color w:val="auto"/>
          <w:sz w:val="24"/>
          <w:szCs w:val="32"/>
        </w:rPr>
        <w:t>6.3</w:t>
      </w:r>
      <w:r>
        <w:rPr>
          <w:rFonts w:hint="eastAsia" w:ascii="黑体" w:hAnsi="黑体" w:eastAsia="黑体" w:cs="黑体"/>
          <w:color w:val="auto"/>
          <w:sz w:val="24"/>
          <w:szCs w:val="32"/>
        </w:rPr>
        <w:tab/>
      </w:r>
      <w:r>
        <w:rPr>
          <w:rFonts w:hint="eastAsia" w:ascii="黑体" w:hAnsi="黑体" w:eastAsia="黑体" w:cs="黑体"/>
          <w:color w:val="auto"/>
          <w:sz w:val="24"/>
          <w:szCs w:val="32"/>
        </w:rPr>
        <w:t>澄清或者修改的内容可能影响响应文件编制的，采购代理机构将以澄清（更正）公告的方式</w:t>
      </w:r>
      <w:r>
        <w:rPr>
          <w:rFonts w:hint="eastAsia" w:ascii="黑体" w:hAnsi="黑体" w:eastAsia="黑体" w:cs="黑体"/>
          <w:color w:val="auto"/>
          <w:sz w:val="24"/>
          <w:szCs w:val="32"/>
          <w:lang w:val="en-US" w:eastAsia="zh-CN"/>
        </w:rPr>
        <w:t>通知所有获取</w:t>
      </w:r>
      <w:r>
        <w:rPr>
          <w:rFonts w:hint="eastAsia" w:ascii="黑体" w:hAnsi="黑体" w:eastAsia="黑体" w:cs="黑体"/>
          <w:color w:val="auto"/>
          <w:sz w:val="24"/>
          <w:szCs w:val="32"/>
        </w:rPr>
        <w:t>磋商文件的潜在</w:t>
      </w:r>
      <w:r>
        <w:rPr>
          <w:rFonts w:hint="eastAsia" w:ascii="黑体" w:hAnsi="黑体" w:eastAsia="黑体" w:cs="黑体"/>
          <w:color w:val="auto"/>
          <w:sz w:val="24"/>
          <w:szCs w:val="32"/>
          <w:lang w:eastAsia="zh-CN"/>
        </w:rPr>
        <w:t>供应商</w:t>
      </w:r>
      <w:r>
        <w:rPr>
          <w:rFonts w:hint="eastAsia" w:ascii="黑体" w:hAnsi="黑体" w:eastAsia="黑体" w:cs="黑体"/>
          <w:color w:val="auto"/>
          <w:sz w:val="24"/>
          <w:szCs w:val="32"/>
        </w:rPr>
        <w:t>，并对其具有约束力。澄清（更正）公告</w:t>
      </w:r>
      <w:r>
        <w:rPr>
          <w:rFonts w:hint="eastAsia" w:ascii="黑体" w:hAnsi="黑体" w:eastAsia="黑体" w:cs="黑体"/>
          <w:color w:val="auto"/>
          <w:sz w:val="24"/>
          <w:szCs w:val="32"/>
          <w:lang w:val="en-US" w:eastAsia="zh-CN"/>
        </w:rPr>
        <w:t>发布后招标人或代理机构将不在进行确认，未及时查看造成的一切后果由供应商自行承担</w:t>
      </w:r>
      <w:r>
        <w:rPr>
          <w:rFonts w:hint="eastAsia" w:ascii="黑体" w:hAnsi="黑体" w:eastAsia="黑体" w:cs="黑体"/>
          <w:color w:val="auto"/>
          <w:sz w:val="24"/>
          <w:szCs w:val="32"/>
        </w:rPr>
        <w:t>。</w:t>
      </w:r>
    </w:p>
    <w:p w14:paraId="0C2FCEB1">
      <w:pPr>
        <w:pStyle w:val="7"/>
        <w:tabs>
          <w:tab w:val="left" w:pos="900"/>
        </w:tabs>
        <w:spacing w:before="0" w:after="0" w:line="360" w:lineRule="auto"/>
        <w:rPr>
          <w:rFonts w:hint="eastAsia" w:ascii="黑体" w:hAnsi="黑体" w:eastAsia="黑体" w:cs="黑体"/>
          <w:color w:val="auto"/>
          <w:sz w:val="24"/>
          <w:szCs w:val="21"/>
          <w:u w:val="none"/>
        </w:rPr>
      </w:pPr>
      <w:bookmarkStart w:id="59" w:name="_Toc9694_WPSOffice_Level2"/>
      <w:bookmarkStart w:id="60" w:name="_Toc10994"/>
      <w:bookmarkStart w:id="61" w:name="_Toc518923068"/>
      <w:bookmarkStart w:id="62" w:name="_Toc31699_WPSOffice_Level2"/>
      <w:r>
        <w:rPr>
          <w:rFonts w:hint="eastAsia" w:ascii="黑体" w:hAnsi="黑体" w:eastAsia="黑体" w:cs="黑体"/>
          <w:color w:val="auto"/>
          <w:sz w:val="24"/>
          <w:szCs w:val="21"/>
          <w:u w:val="none"/>
        </w:rPr>
        <w:t>7</w:t>
      </w:r>
      <w:bookmarkEnd w:id="57"/>
      <w:bookmarkEnd w:id="58"/>
      <w:r>
        <w:rPr>
          <w:rFonts w:hint="eastAsia" w:ascii="黑体" w:hAnsi="黑体" w:eastAsia="黑体" w:cs="黑体"/>
          <w:color w:val="auto"/>
          <w:sz w:val="24"/>
          <w:szCs w:val="21"/>
          <w:u w:val="none"/>
        </w:rPr>
        <w:t>.响应文件递交截止时间的顺延</w:t>
      </w:r>
      <w:bookmarkEnd w:id="59"/>
      <w:bookmarkEnd w:id="60"/>
      <w:bookmarkEnd w:id="61"/>
      <w:bookmarkEnd w:id="62"/>
    </w:p>
    <w:p w14:paraId="59DA3D9F">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为使</w:t>
      </w:r>
      <w:r>
        <w:rPr>
          <w:rFonts w:hint="eastAsia" w:ascii="黑体" w:hAnsi="黑体" w:eastAsia="黑体" w:cs="黑体"/>
          <w:color w:val="auto"/>
          <w:sz w:val="24"/>
          <w:lang w:eastAsia="zh-CN"/>
        </w:rPr>
        <w:t>供应商</w:t>
      </w:r>
      <w:r>
        <w:rPr>
          <w:rFonts w:hint="eastAsia" w:ascii="黑体" w:hAnsi="黑体" w:eastAsia="黑体" w:cs="黑体"/>
          <w:color w:val="auto"/>
          <w:sz w:val="24"/>
        </w:rPr>
        <w:t>准备</w:t>
      </w:r>
      <w:r>
        <w:rPr>
          <w:rFonts w:hint="eastAsia" w:ascii="黑体" w:hAnsi="黑体" w:eastAsia="黑体" w:cs="黑体"/>
          <w:color w:val="auto"/>
          <w:sz w:val="24"/>
          <w:lang w:eastAsia="zh-CN"/>
        </w:rPr>
        <w:t>递交响应文件</w:t>
      </w:r>
      <w:r>
        <w:rPr>
          <w:rFonts w:hint="eastAsia" w:ascii="黑体" w:hAnsi="黑体" w:eastAsia="黑体" w:cs="黑体"/>
          <w:color w:val="auto"/>
          <w:sz w:val="24"/>
        </w:rPr>
        <w:t>时有足够的时间对磋商文件的澄清或者修改部分进行研究，采购人将依法决定是否顺延响应文件递交截止时间。</w:t>
      </w:r>
      <w:bookmarkStart w:id="63" w:name="_Toc516367020"/>
      <w:bookmarkStart w:id="64" w:name="_Toc26563"/>
      <w:bookmarkStart w:id="65" w:name="_Toc25389"/>
      <w:bookmarkStart w:id="66" w:name="_Toc216582807"/>
      <w:bookmarkStart w:id="67" w:name="_Toc518923069"/>
      <w:bookmarkStart w:id="68" w:name="_Toc4436_WPSOffice_Level1"/>
      <w:bookmarkStart w:id="69" w:name="_Toc520356150"/>
    </w:p>
    <w:p w14:paraId="143E773C">
      <w:pPr>
        <w:spacing w:line="360" w:lineRule="auto"/>
        <w:ind w:left="0" w:leftChars="0" w:firstLine="420" w:firstLineChars="175"/>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三</w:t>
      </w:r>
      <w:bookmarkEnd w:id="63"/>
      <w:r>
        <w:rPr>
          <w:rFonts w:hint="eastAsia" w:ascii="黑体" w:hAnsi="黑体" w:eastAsia="黑体" w:cs="黑体"/>
          <w:b/>
          <w:bCs/>
          <w:color w:val="auto"/>
          <w:sz w:val="24"/>
          <w:szCs w:val="24"/>
        </w:rPr>
        <w:t>响应文件的编制</w:t>
      </w:r>
      <w:bookmarkEnd w:id="64"/>
      <w:bookmarkEnd w:id="65"/>
      <w:bookmarkEnd w:id="66"/>
      <w:bookmarkEnd w:id="67"/>
      <w:bookmarkEnd w:id="68"/>
      <w:bookmarkEnd w:id="69"/>
    </w:p>
    <w:p w14:paraId="51E998C2">
      <w:pPr>
        <w:pStyle w:val="7"/>
        <w:tabs>
          <w:tab w:val="left" w:pos="900"/>
        </w:tabs>
        <w:spacing w:before="0" w:after="0" w:line="360" w:lineRule="auto"/>
        <w:ind w:left="0" w:leftChars="0" w:firstLine="0" w:firstLineChars="0"/>
        <w:rPr>
          <w:rFonts w:hint="eastAsia" w:ascii="黑体" w:hAnsi="黑体" w:eastAsia="黑体" w:cs="黑体"/>
          <w:color w:val="auto"/>
          <w:u w:val="none"/>
        </w:rPr>
      </w:pPr>
      <w:bookmarkStart w:id="70" w:name="_Toc520356151"/>
      <w:bookmarkStart w:id="71" w:name="_Toc516367021"/>
      <w:bookmarkStart w:id="72" w:name="_Toc13590_WPSOffice_Level2"/>
      <w:bookmarkStart w:id="73" w:name="_Toc6728"/>
      <w:bookmarkStart w:id="74" w:name="_Toc518923070"/>
      <w:bookmarkStart w:id="75" w:name="_Toc20686_WPSOffice_Level2"/>
      <w:r>
        <w:rPr>
          <w:rFonts w:hint="eastAsia" w:ascii="黑体" w:hAnsi="黑体" w:eastAsia="黑体" w:cs="黑体"/>
          <w:color w:val="auto"/>
          <w:sz w:val="24"/>
          <w:szCs w:val="21"/>
          <w:u w:val="none"/>
        </w:rPr>
        <w:t>8.磋商范围及响应文件</w:t>
      </w:r>
      <w:r>
        <w:rPr>
          <w:rFonts w:hint="eastAsia" w:ascii="黑体" w:hAnsi="黑体" w:eastAsia="黑体" w:cs="黑体"/>
          <w:color w:val="auto"/>
          <w:sz w:val="24"/>
          <w:szCs w:val="21"/>
          <w:u w:val="none"/>
          <w:lang w:eastAsia="zh-CN"/>
        </w:rPr>
        <w:t>中标</w:t>
      </w:r>
      <w:r>
        <w:rPr>
          <w:rFonts w:hint="eastAsia" w:ascii="黑体" w:hAnsi="黑体" w:eastAsia="黑体" w:cs="黑体"/>
          <w:color w:val="auto"/>
          <w:sz w:val="24"/>
          <w:szCs w:val="21"/>
          <w:u w:val="none"/>
        </w:rPr>
        <w:t>准和计量单位的使用</w:t>
      </w:r>
      <w:bookmarkEnd w:id="70"/>
      <w:bookmarkEnd w:id="71"/>
      <w:bookmarkEnd w:id="72"/>
      <w:bookmarkEnd w:id="73"/>
      <w:bookmarkEnd w:id="74"/>
      <w:bookmarkEnd w:id="75"/>
    </w:p>
    <w:p w14:paraId="59DF6D3D">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8.1</w:t>
      </w:r>
      <w:r>
        <w:rPr>
          <w:rFonts w:hint="eastAsia" w:ascii="黑体" w:hAnsi="黑体" w:eastAsia="黑体" w:cs="黑体"/>
          <w:color w:val="auto"/>
          <w:sz w:val="24"/>
        </w:rPr>
        <w:tab/>
      </w:r>
      <w:r>
        <w:rPr>
          <w:rFonts w:hint="eastAsia" w:ascii="黑体" w:hAnsi="黑体" w:eastAsia="黑体" w:cs="黑体"/>
          <w:color w:val="auto"/>
          <w:sz w:val="24"/>
        </w:rPr>
        <w:t>项目有分包的，</w:t>
      </w:r>
      <w:r>
        <w:rPr>
          <w:rFonts w:hint="eastAsia" w:ascii="黑体" w:hAnsi="黑体" w:eastAsia="黑体" w:cs="黑体"/>
          <w:color w:val="auto"/>
          <w:sz w:val="24"/>
          <w:lang w:eastAsia="zh-CN"/>
        </w:rPr>
        <w:t>供应商</w:t>
      </w:r>
      <w:r>
        <w:rPr>
          <w:rFonts w:hint="eastAsia" w:ascii="黑体" w:hAnsi="黑体" w:eastAsia="黑体" w:cs="黑体"/>
          <w:color w:val="auto"/>
          <w:sz w:val="24"/>
        </w:rPr>
        <w:t>可对磋商文件其中一个或几个分包进行</w:t>
      </w:r>
      <w:r>
        <w:rPr>
          <w:rFonts w:hint="eastAsia" w:ascii="黑体" w:hAnsi="黑体" w:eastAsia="黑体" w:cs="黑体"/>
          <w:color w:val="auto"/>
          <w:sz w:val="24"/>
          <w:lang w:eastAsia="zh-CN"/>
        </w:rPr>
        <w:t>响应</w:t>
      </w:r>
      <w:r>
        <w:rPr>
          <w:rFonts w:hint="eastAsia" w:ascii="黑体" w:hAnsi="黑体" w:eastAsia="黑体" w:cs="黑体"/>
          <w:color w:val="auto"/>
          <w:sz w:val="24"/>
        </w:rPr>
        <w:t>，除非在</w:t>
      </w:r>
      <w:r>
        <w:rPr>
          <w:rFonts w:hint="eastAsia" w:ascii="黑体" w:hAnsi="黑体" w:eastAsia="黑体" w:cs="黑体"/>
          <w:color w:val="auto"/>
          <w:sz w:val="24"/>
          <w:u w:val="single"/>
          <w:lang w:eastAsia="zh-CN"/>
        </w:rPr>
        <w:t>供应商</w:t>
      </w:r>
      <w:r>
        <w:rPr>
          <w:rFonts w:hint="eastAsia" w:ascii="黑体" w:hAnsi="黑体" w:eastAsia="黑体" w:cs="黑体"/>
          <w:color w:val="auto"/>
          <w:sz w:val="24"/>
          <w:u w:val="single"/>
        </w:rPr>
        <w:t>须知资料表</w:t>
      </w:r>
      <w:r>
        <w:rPr>
          <w:rFonts w:hint="eastAsia" w:ascii="黑体" w:hAnsi="黑体" w:eastAsia="黑体" w:cs="黑体"/>
          <w:color w:val="auto"/>
          <w:sz w:val="24"/>
        </w:rPr>
        <w:t>中另有规定。</w:t>
      </w:r>
    </w:p>
    <w:p w14:paraId="0CDD67C8">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8.2</w:t>
      </w:r>
      <w:r>
        <w:rPr>
          <w:rFonts w:hint="eastAsia" w:ascii="黑体" w:hAnsi="黑体" w:eastAsia="黑体" w:cs="黑体"/>
          <w:color w:val="auto"/>
          <w:sz w:val="24"/>
          <w:lang w:eastAsia="zh-CN"/>
        </w:rPr>
        <w:t>供应商</w:t>
      </w:r>
      <w:r>
        <w:rPr>
          <w:rFonts w:hint="eastAsia" w:ascii="黑体" w:hAnsi="黑体" w:eastAsia="黑体" w:cs="黑体"/>
          <w:color w:val="auto"/>
          <w:sz w:val="24"/>
        </w:rPr>
        <w:t>应当对所投分包磋商文件中“项目需求”所列的所有服务内容进行</w:t>
      </w:r>
      <w:r>
        <w:rPr>
          <w:rFonts w:hint="eastAsia" w:ascii="黑体" w:hAnsi="黑体" w:eastAsia="黑体" w:cs="黑体"/>
          <w:color w:val="auto"/>
          <w:sz w:val="24"/>
          <w:lang w:eastAsia="zh-CN"/>
        </w:rPr>
        <w:t>响应</w:t>
      </w:r>
      <w:r>
        <w:rPr>
          <w:rFonts w:hint="eastAsia" w:ascii="黑体" w:hAnsi="黑体" w:eastAsia="黑体" w:cs="黑体"/>
          <w:color w:val="auto"/>
          <w:sz w:val="24"/>
        </w:rPr>
        <w:t>，如仅响应分包中的部分内容，其</w:t>
      </w:r>
      <w:r>
        <w:rPr>
          <w:rFonts w:hint="eastAsia" w:ascii="黑体" w:hAnsi="黑体" w:eastAsia="黑体" w:cs="黑体"/>
          <w:color w:val="auto"/>
          <w:sz w:val="24"/>
          <w:lang w:eastAsia="zh-CN"/>
        </w:rPr>
        <w:t>响应</w:t>
      </w:r>
      <w:r>
        <w:rPr>
          <w:rFonts w:hint="eastAsia" w:ascii="黑体" w:hAnsi="黑体" w:eastAsia="黑体" w:cs="黑体"/>
          <w:color w:val="auto"/>
          <w:sz w:val="24"/>
        </w:rPr>
        <w:t>将被认定为</w:t>
      </w:r>
      <w:r>
        <w:rPr>
          <w:rFonts w:hint="eastAsia" w:ascii="黑体" w:hAnsi="黑体" w:eastAsia="黑体" w:cs="黑体"/>
          <w:color w:val="auto"/>
          <w:sz w:val="24"/>
          <w:lang w:eastAsia="zh-CN"/>
        </w:rPr>
        <w:t>响应</w:t>
      </w:r>
      <w:r>
        <w:rPr>
          <w:rFonts w:hint="eastAsia" w:ascii="黑体" w:hAnsi="黑体" w:eastAsia="黑体" w:cs="黑体"/>
          <w:color w:val="auto"/>
          <w:sz w:val="24"/>
        </w:rPr>
        <w:t>无效。</w:t>
      </w:r>
    </w:p>
    <w:p w14:paraId="386BB207">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8.3无论磋商文件第5章项目需求中是否要求，</w:t>
      </w:r>
      <w:r>
        <w:rPr>
          <w:rFonts w:hint="eastAsia" w:ascii="黑体" w:hAnsi="黑体" w:eastAsia="黑体" w:cs="黑体"/>
          <w:color w:val="auto"/>
          <w:sz w:val="24"/>
          <w:lang w:eastAsia="zh-CN"/>
        </w:rPr>
        <w:t>供应商</w:t>
      </w:r>
      <w:r>
        <w:rPr>
          <w:rFonts w:hint="eastAsia" w:ascii="黑体" w:hAnsi="黑体" w:eastAsia="黑体" w:cs="黑体"/>
          <w:color w:val="auto"/>
          <w:sz w:val="24"/>
        </w:rPr>
        <w:t>所投服务均应符合国家强制性标准。</w:t>
      </w:r>
    </w:p>
    <w:p w14:paraId="39F76C92">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8.4除磋商文件中有特殊要求外，响应文件中所使用的计量单位，应采用中华人民共和国法定计量单位。</w:t>
      </w:r>
    </w:p>
    <w:p w14:paraId="3A5FE585">
      <w:pPr>
        <w:pStyle w:val="7"/>
        <w:tabs>
          <w:tab w:val="left" w:pos="900"/>
        </w:tabs>
        <w:spacing w:before="0" w:after="0" w:line="360" w:lineRule="auto"/>
        <w:rPr>
          <w:rFonts w:hint="eastAsia" w:ascii="黑体" w:hAnsi="黑体" w:eastAsia="黑体" w:cs="黑体"/>
          <w:color w:val="auto"/>
          <w:sz w:val="24"/>
          <w:szCs w:val="21"/>
          <w:u w:val="none"/>
        </w:rPr>
      </w:pPr>
      <w:bookmarkStart w:id="76" w:name="_Toc516367022"/>
      <w:bookmarkStart w:id="77" w:name="_Ref467306676"/>
      <w:bookmarkStart w:id="78" w:name="_Ref467306195"/>
      <w:bookmarkStart w:id="79" w:name="_Toc31935_WPSOffice_Level2"/>
      <w:bookmarkStart w:id="80" w:name="_Toc28579_WPSOffice_Level2"/>
      <w:bookmarkStart w:id="81" w:name="_Toc518923071"/>
      <w:bookmarkStart w:id="82" w:name="_Toc520356152"/>
      <w:bookmarkStart w:id="83" w:name="_Toc15487"/>
      <w:r>
        <w:rPr>
          <w:rFonts w:hint="eastAsia" w:ascii="黑体" w:hAnsi="黑体" w:eastAsia="黑体" w:cs="黑体"/>
          <w:color w:val="auto"/>
          <w:sz w:val="24"/>
          <w:szCs w:val="21"/>
          <w:u w:val="none"/>
        </w:rPr>
        <w:t>9.</w:t>
      </w:r>
      <w:bookmarkEnd w:id="76"/>
      <w:bookmarkEnd w:id="77"/>
      <w:bookmarkEnd w:id="78"/>
      <w:r>
        <w:rPr>
          <w:rFonts w:hint="eastAsia" w:ascii="黑体" w:hAnsi="黑体" w:eastAsia="黑体" w:cs="黑体"/>
          <w:color w:val="auto"/>
          <w:sz w:val="24"/>
          <w:szCs w:val="21"/>
          <w:u w:val="none"/>
        </w:rPr>
        <w:t>响应文件构成</w:t>
      </w:r>
      <w:bookmarkEnd w:id="79"/>
      <w:bookmarkEnd w:id="80"/>
      <w:bookmarkEnd w:id="81"/>
      <w:bookmarkEnd w:id="82"/>
      <w:bookmarkEnd w:id="83"/>
    </w:p>
    <w:p w14:paraId="11D14599">
      <w:pPr>
        <w:spacing w:line="360" w:lineRule="auto"/>
        <w:ind w:left="0" w:leftChars="0" w:firstLine="420" w:firstLineChars="175"/>
        <w:rPr>
          <w:rFonts w:hint="eastAsia" w:ascii="黑体" w:hAnsi="黑体" w:eastAsia="黑体" w:cs="黑体"/>
          <w:color w:val="auto"/>
          <w:sz w:val="24"/>
          <w:lang w:val="en-US" w:eastAsia="zh-CN"/>
        </w:rPr>
      </w:pPr>
      <w:bookmarkStart w:id="84" w:name="_Ref467052588"/>
      <w:r>
        <w:rPr>
          <w:rFonts w:hint="eastAsia" w:ascii="黑体" w:hAnsi="黑体" w:eastAsia="黑体" w:cs="黑体"/>
          <w:color w:val="auto"/>
          <w:sz w:val="24"/>
        </w:rPr>
        <w:t>9.1</w:t>
      </w:r>
      <w:bookmarkEnd w:id="84"/>
      <w:r>
        <w:rPr>
          <w:rFonts w:hint="eastAsia" w:ascii="黑体" w:hAnsi="黑体" w:eastAsia="黑体" w:cs="黑体"/>
          <w:color w:val="auto"/>
          <w:sz w:val="24"/>
          <w:lang w:val="en-US" w:eastAsia="zh-CN"/>
        </w:rPr>
        <w:t>投标人应完整地按磋商文件提供的响应文件格式及要求编写响应文件,投标人须在投标截止时间前完成在系统上递交电子响应文件。投标人的电子响应文件是经过CA证书加密后上传提交的，任何单位或个人均无法在投标截止时间（即磋商时间）之前查看或篡改，不存在泄密风险。（严格按照政采云电子投标流程制作并上传电子响应文件）</w:t>
      </w:r>
    </w:p>
    <w:p w14:paraId="02953DAF">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9.2上述文件应按照磋商文件规定的格式填写、签署和盖章。</w:t>
      </w:r>
    </w:p>
    <w:p w14:paraId="1254304A">
      <w:pPr>
        <w:pStyle w:val="7"/>
        <w:tabs>
          <w:tab w:val="left" w:pos="900"/>
        </w:tabs>
        <w:spacing w:before="0" w:after="0" w:line="360" w:lineRule="auto"/>
        <w:rPr>
          <w:rFonts w:hint="eastAsia" w:ascii="黑体" w:hAnsi="黑体" w:eastAsia="黑体" w:cs="黑体"/>
          <w:color w:val="auto"/>
          <w:u w:val="none"/>
        </w:rPr>
      </w:pPr>
      <w:bookmarkStart w:id="85" w:name="_Toc516367023"/>
      <w:bookmarkStart w:id="86" w:name="_Toc10751_WPSOffice_Level2"/>
      <w:bookmarkStart w:id="87" w:name="_Toc5768_WPSOffice_Level2"/>
      <w:bookmarkStart w:id="88" w:name="_Toc518923072"/>
      <w:bookmarkStart w:id="89" w:name="_Toc520356153"/>
      <w:bookmarkStart w:id="90" w:name="_Toc2671"/>
      <w:bookmarkStart w:id="91" w:name="_Toc508185920"/>
      <w:bookmarkStart w:id="92" w:name="_Toc520356155"/>
      <w:r>
        <w:rPr>
          <w:rFonts w:hint="eastAsia" w:ascii="黑体" w:hAnsi="黑体" w:eastAsia="黑体" w:cs="黑体"/>
          <w:color w:val="auto"/>
          <w:sz w:val="24"/>
          <w:szCs w:val="21"/>
          <w:u w:val="none"/>
        </w:rPr>
        <w:t>10.</w:t>
      </w:r>
      <w:bookmarkEnd w:id="85"/>
      <w:bookmarkEnd w:id="86"/>
      <w:bookmarkEnd w:id="87"/>
      <w:bookmarkEnd w:id="88"/>
      <w:bookmarkEnd w:id="89"/>
      <w:bookmarkEnd w:id="90"/>
      <w:bookmarkEnd w:id="91"/>
      <w:r>
        <w:rPr>
          <w:rFonts w:hint="eastAsia" w:ascii="黑体" w:hAnsi="黑体" w:eastAsia="黑体" w:cs="黑体"/>
          <w:color w:val="auto"/>
          <w:sz w:val="24"/>
          <w:szCs w:val="21"/>
          <w:u w:val="none"/>
        </w:rPr>
        <w:t>证明投标标的的合格性和符合</w:t>
      </w:r>
      <w:r>
        <w:rPr>
          <w:rFonts w:hint="eastAsia" w:ascii="黑体" w:hAnsi="黑体" w:eastAsia="黑体" w:cs="黑体"/>
          <w:color w:val="auto"/>
          <w:sz w:val="24"/>
          <w:szCs w:val="21"/>
          <w:u w:val="none"/>
          <w:lang w:val="en-US" w:eastAsia="zh-CN"/>
        </w:rPr>
        <w:t>磋商</w:t>
      </w:r>
      <w:r>
        <w:rPr>
          <w:rFonts w:hint="eastAsia" w:ascii="黑体" w:hAnsi="黑体" w:eastAsia="黑体" w:cs="黑体"/>
          <w:color w:val="auto"/>
          <w:sz w:val="24"/>
          <w:szCs w:val="21"/>
          <w:u w:val="none"/>
        </w:rPr>
        <w:t>文件规定的技术文件</w:t>
      </w:r>
    </w:p>
    <w:p w14:paraId="39A2B264">
      <w:pPr>
        <w:pStyle w:val="7"/>
        <w:spacing w:before="0" w:after="0" w:line="360" w:lineRule="auto"/>
        <w:ind w:left="0" w:leftChars="0" w:firstLine="420" w:firstLineChars="175"/>
        <w:rPr>
          <w:rFonts w:hint="eastAsia" w:ascii="黑体" w:hAnsi="黑体" w:eastAsia="黑体" w:cs="黑体"/>
          <w:b w:val="0"/>
          <w:color w:val="auto"/>
          <w:kern w:val="2"/>
          <w:sz w:val="24"/>
          <w:szCs w:val="24"/>
          <w:u w:val="none"/>
          <w:lang w:val="en-US" w:eastAsia="zh-CN" w:bidi="ar-SA"/>
        </w:rPr>
      </w:pPr>
      <w:bookmarkStart w:id="93" w:name="_Toc518923073"/>
      <w:bookmarkStart w:id="94" w:name="_Toc8529"/>
      <w:bookmarkStart w:id="95" w:name="_Toc32368_WPSOffice_Level2"/>
      <w:bookmarkStart w:id="96" w:name="_Toc15335_WPSOffice_Level2"/>
      <w:r>
        <w:rPr>
          <w:rFonts w:hint="eastAsia" w:ascii="黑体" w:hAnsi="黑体" w:eastAsia="黑体" w:cs="黑体"/>
          <w:b w:val="0"/>
          <w:color w:val="auto"/>
          <w:kern w:val="2"/>
          <w:sz w:val="24"/>
          <w:szCs w:val="24"/>
          <w:u w:val="none"/>
          <w:lang w:val="en-US" w:eastAsia="zh-CN" w:bidi="ar-SA"/>
        </w:rPr>
        <w:t>10.1投标人应提交证明文件，证明其投标内容符合磋商文件规定。该证明文件是响应文件的一部分。</w:t>
      </w:r>
    </w:p>
    <w:p w14:paraId="3A52BBC9">
      <w:pPr>
        <w:pStyle w:val="7"/>
        <w:spacing w:before="0" w:after="0" w:line="360" w:lineRule="auto"/>
        <w:ind w:left="0" w:leftChars="0" w:firstLine="420" w:firstLineChars="175"/>
        <w:rPr>
          <w:rFonts w:hint="eastAsia" w:ascii="黑体" w:hAnsi="黑体" w:eastAsia="黑体" w:cs="黑体"/>
          <w:b w:val="0"/>
          <w:color w:val="auto"/>
          <w:kern w:val="2"/>
          <w:sz w:val="24"/>
          <w:szCs w:val="24"/>
          <w:u w:val="none"/>
          <w:lang w:val="en-US" w:eastAsia="zh-CN" w:bidi="ar-SA"/>
        </w:rPr>
      </w:pPr>
      <w:bookmarkStart w:id="97" w:name="_Ref467306244"/>
      <w:r>
        <w:rPr>
          <w:rFonts w:hint="eastAsia" w:ascii="黑体" w:hAnsi="黑体" w:eastAsia="黑体" w:cs="黑体"/>
          <w:b w:val="0"/>
          <w:color w:val="auto"/>
          <w:kern w:val="2"/>
          <w:sz w:val="24"/>
          <w:szCs w:val="24"/>
          <w:u w:val="none"/>
          <w:lang w:val="en-US" w:eastAsia="zh-CN" w:bidi="ar-SA"/>
        </w:rPr>
        <w:t>10.2上款所述的证明文件，可以是文字资料、图纸和数据，</w:t>
      </w:r>
      <w:bookmarkEnd w:id="97"/>
      <w:r>
        <w:rPr>
          <w:rFonts w:hint="eastAsia" w:ascii="黑体" w:hAnsi="黑体" w:eastAsia="黑体" w:cs="黑体"/>
          <w:b w:val="0"/>
          <w:color w:val="auto"/>
          <w:kern w:val="2"/>
          <w:sz w:val="24"/>
          <w:szCs w:val="24"/>
          <w:u w:val="none"/>
          <w:lang w:val="en-US" w:eastAsia="zh-CN" w:bidi="ar-SA"/>
        </w:rPr>
        <w:t>它包括：</w:t>
      </w:r>
    </w:p>
    <w:p w14:paraId="7394E2DF">
      <w:pPr>
        <w:pStyle w:val="7"/>
        <w:spacing w:before="0" w:after="0" w:line="360" w:lineRule="auto"/>
        <w:ind w:left="0" w:leftChars="0" w:firstLine="420" w:firstLineChars="175"/>
        <w:rPr>
          <w:rFonts w:hint="eastAsia" w:ascii="黑体" w:hAnsi="黑体" w:eastAsia="黑体" w:cs="黑体"/>
          <w:b w:val="0"/>
          <w:color w:val="auto"/>
          <w:kern w:val="2"/>
          <w:sz w:val="24"/>
          <w:szCs w:val="24"/>
          <w:u w:val="none"/>
          <w:lang w:val="en-US" w:eastAsia="zh-CN" w:bidi="ar-SA"/>
        </w:rPr>
      </w:pPr>
      <w:r>
        <w:rPr>
          <w:rFonts w:hint="eastAsia" w:ascii="黑体" w:hAnsi="黑体" w:eastAsia="黑体" w:cs="黑体"/>
          <w:b w:val="0"/>
          <w:color w:val="auto"/>
          <w:kern w:val="2"/>
          <w:sz w:val="24"/>
          <w:szCs w:val="24"/>
          <w:u w:val="none"/>
          <w:lang w:val="en-US" w:eastAsia="zh-CN" w:bidi="ar-SA"/>
        </w:rPr>
        <w:t>10.2.1</w:t>
      </w:r>
      <w:r>
        <w:rPr>
          <w:rFonts w:hint="eastAsia" w:ascii="黑体" w:hAnsi="黑体" w:eastAsia="黑体" w:cs="黑体"/>
          <w:b w:val="0"/>
          <w:color w:val="auto"/>
          <w:kern w:val="2"/>
          <w:sz w:val="24"/>
          <w:szCs w:val="24"/>
          <w:u w:val="none"/>
          <w:lang w:val="en-US" w:eastAsia="zh-CN" w:bidi="ar-SA"/>
        </w:rPr>
        <w:tab/>
      </w:r>
      <w:r>
        <w:rPr>
          <w:rFonts w:hint="eastAsia" w:ascii="黑体" w:hAnsi="黑体" w:eastAsia="黑体" w:cs="黑体"/>
          <w:b w:val="0"/>
          <w:color w:val="auto"/>
          <w:kern w:val="2"/>
          <w:sz w:val="24"/>
          <w:szCs w:val="24"/>
          <w:u w:val="none"/>
          <w:lang w:val="en-US" w:eastAsia="zh-CN" w:bidi="ar-SA"/>
        </w:rPr>
        <w:t>货物主要技术指标和性能的详细说明；</w:t>
      </w:r>
    </w:p>
    <w:p w14:paraId="177461B0">
      <w:pPr>
        <w:pStyle w:val="7"/>
        <w:spacing w:before="0" w:after="0" w:line="360" w:lineRule="auto"/>
        <w:ind w:left="0" w:leftChars="0" w:firstLine="420" w:firstLineChars="175"/>
        <w:rPr>
          <w:rFonts w:hint="eastAsia" w:ascii="黑体" w:hAnsi="黑体" w:eastAsia="黑体" w:cs="黑体"/>
          <w:b w:val="0"/>
          <w:color w:val="auto"/>
          <w:kern w:val="2"/>
          <w:sz w:val="24"/>
          <w:szCs w:val="24"/>
          <w:u w:val="none"/>
          <w:lang w:val="en-US" w:eastAsia="zh-CN" w:bidi="ar-SA"/>
        </w:rPr>
      </w:pPr>
      <w:r>
        <w:rPr>
          <w:rFonts w:hint="eastAsia" w:ascii="黑体" w:hAnsi="黑体" w:eastAsia="黑体" w:cs="黑体"/>
          <w:b w:val="0"/>
          <w:color w:val="auto"/>
          <w:kern w:val="2"/>
          <w:sz w:val="24"/>
          <w:szCs w:val="24"/>
          <w:u w:val="none"/>
          <w:lang w:val="en-US" w:eastAsia="zh-CN" w:bidi="ar-SA"/>
        </w:rPr>
        <w:t>10.2.2</w:t>
      </w:r>
      <w:r>
        <w:rPr>
          <w:rFonts w:hint="eastAsia" w:ascii="黑体" w:hAnsi="黑体" w:eastAsia="黑体" w:cs="黑体"/>
          <w:b w:val="0"/>
          <w:color w:val="auto"/>
          <w:kern w:val="2"/>
          <w:sz w:val="24"/>
          <w:szCs w:val="24"/>
          <w:u w:val="none"/>
          <w:lang w:val="en-US" w:eastAsia="zh-CN" w:bidi="ar-SA"/>
        </w:rPr>
        <w:tab/>
      </w:r>
      <w:r>
        <w:rPr>
          <w:rFonts w:hint="eastAsia" w:ascii="黑体" w:hAnsi="黑体" w:eastAsia="黑体" w:cs="黑体"/>
          <w:b w:val="0"/>
          <w:color w:val="auto"/>
          <w:kern w:val="2"/>
          <w:sz w:val="24"/>
          <w:szCs w:val="24"/>
          <w:u w:val="none"/>
          <w:lang w:val="en-US" w:eastAsia="zh-CN" w:bidi="ar-SA"/>
        </w:rPr>
        <w:t>货物从买方开始使用至招标文件规定的保质期内正常、连续地使用所必须的备件和专用工具清单，包括备件和专用工具的货源及现行价格；</w:t>
      </w:r>
    </w:p>
    <w:p w14:paraId="7E0440EE">
      <w:pPr>
        <w:pStyle w:val="7"/>
        <w:spacing w:before="0" w:after="0" w:line="360" w:lineRule="auto"/>
        <w:ind w:left="0" w:leftChars="0" w:firstLine="420" w:firstLineChars="175"/>
        <w:rPr>
          <w:rFonts w:hint="eastAsia" w:ascii="黑体" w:hAnsi="黑体" w:eastAsia="黑体" w:cs="黑体"/>
          <w:b w:val="0"/>
          <w:color w:val="auto"/>
          <w:kern w:val="2"/>
          <w:sz w:val="24"/>
          <w:szCs w:val="24"/>
          <w:u w:val="none"/>
          <w:lang w:val="en-US" w:eastAsia="zh-CN" w:bidi="ar-SA"/>
        </w:rPr>
      </w:pPr>
      <w:r>
        <w:rPr>
          <w:rFonts w:hint="eastAsia" w:ascii="黑体" w:hAnsi="黑体" w:eastAsia="黑体" w:cs="黑体"/>
          <w:b w:val="0"/>
          <w:color w:val="auto"/>
          <w:kern w:val="2"/>
          <w:sz w:val="24"/>
          <w:szCs w:val="24"/>
          <w:u w:val="none"/>
          <w:lang w:val="en-US" w:eastAsia="zh-CN" w:bidi="ar-SA"/>
        </w:rPr>
        <w:t>10.2.3</w:t>
      </w:r>
      <w:r>
        <w:rPr>
          <w:rFonts w:hint="eastAsia" w:ascii="黑体" w:hAnsi="黑体" w:eastAsia="黑体" w:cs="黑体"/>
          <w:b w:val="0"/>
          <w:color w:val="auto"/>
          <w:kern w:val="2"/>
          <w:sz w:val="24"/>
          <w:szCs w:val="24"/>
          <w:u w:val="none"/>
          <w:lang w:val="en-US" w:eastAsia="zh-CN" w:bidi="ar-SA"/>
        </w:rPr>
        <w:tab/>
      </w:r>
      <w:r>
        <w:rPr>
          <w:rFonts w:hint="eastAsia" w:ascii="黑体" w:hAnsi="黑体" w:eastAsia="黑体" w:cs="黑体"/>
          <w:b w:val="0"/>
          <w:color w:val="auto"/>
          <w:kern w:val="2"/>
          <w:sz w:val="24"/>
          <w:szCs w:val="24"/>
          <w:u w:val="none"/>
          <w:lang w:val="en-US" w:eastAsia="zh-CN" w:bidi="ar-SA"/>
        </w:rPr>
        <w:t>对照招标文件技术规格，逐条说明所提供货物及伴随的工程和服务已对招标文件的技术规格做出了实质性的响应，或申明与技术规格条文的偏差和例外。</w:t>
      </w:r>
    </w:p>
    <w:p w14:paraId="0FE988CB">
      <w:pPr>
        <w:pStyle w:val="7"/>
        <w:spacing w:before="0" w:after="0" w:line="360" w:lineRule="auto"/>
        <w:ind w:left="0" w:leftChars="0" w:firstLine="420" w:firstLineChars="175"/>
        <w:rPr>
          <w:rFonts w:hint="eastAsia" w:ascii="黑体" w:hAnsi="黑体" w:eastAsia="黑体" w:cs="黑体"/>
          <w:b w:val="0"/>
          <w:color w:val="auto"/>
          <w:kern w:val="2"/>
          <w:sz w:val="24"/>
          <w:szCs w:val="24"/>
          <w:u w:val="none"/>
          <w:lang w:val="en-US" w:eastAsia="zh-CN" w:bidi="ar-SA"/>
        </w:rPr>
      </w:pPr>
      <w:r>
        <w:rPr>
          <w:rFonts w:hint="eastAsia" w:ascii="黑体" w:hAnsi="黑体" w:eastAsia="黑体" w:cs="黑体"/>
          <w:b w:val="0"/>
          <w:color w:val="auto"/>
          <w:kern w:val="2"/>
          <w:sz w:val="24"/>
          <w:szCs w:val="24"/>
          <w:u w:val="none"/>
          <w:lang w:val="en-US" w:eastAsia="zh-CN" w:bidi="ar-SA"/>
        </w:rPr>
        <w:t>10.3投标人应注意采购人在技术规格中指出的工艺、材料和设备的参照品牌型号或分类号仅起说明作用，并没有任何限制性。投标人在投标中可以选用替代牌号或分类号，但这些替代要实质上相当于技术规格的要求。采购人、采购代理机构承诺不以上述参照品牌型号或分类号作为评标时判定其投标是否有效的标准。</w:t>
      </w:r>
    </w:p>
    <w:p w14:paraId="2018B2D0">
      <w:pPr>
        <w:pStyle w:val="7"/>
        <w:spacing w:before="0" w:after="0" w:line="360" w:lineRule="auto"/>
        <w:rPr>
          <w:rFonts w:hint="eastAsia" w:ascii="黑体" w:hAnsi="黑体" w:eastAsia="黑体" w:cs="黑体"/>
          <w:color w:val="auto"/>
          <w:sz w:val="24"/>
          <w:szCs w:val="21"/>
          <w:u w:val="none"/>
        </w:rPr>
      </w:pPr>
      <w:r>
        <w:rPr>
          <w:rFonts w:hint="eastAsia" w:ascii="黑体" w:hAnsi="黑体" w:eastAsia="黑体" w:cs="黑体"/>
          <w:color w:val="auto"/>
          <w:sz w:val="24"/>
          <w:szCs w:val="21"/>
          <w:u w:val="none"/>
        </w:rPr>
        <w:t>11.</w:t>
      </w:r>
      <w:bookmarkEnd w:id="92"/>
      <w:bookmarkEnd w:id="93"/>
      <w:bookmarkEnd w:id="94"/>
      <w:r>
        <w:rPr>
          <w:rFonts w:hint="eastAsia" w:ascii="黑体" w:hAnsi="黑体" w:eastAsia="黑体" w:cs="黑体"/>
          <w:color w:val="auto"/>
          <w:sz w:val="24"/>
          <w:szCs w:val="21"/>
          <w:u w:val="none"/>
        </w:rPr>
        <w:t>磋商报价</w:t>
      </w:r>
      <w:bookmarkEnd w:id="95"/>
      <w:bookmarkEnd w:id="96"/>
    </w:p>
    <w:p w14:paraId="1341396E">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11.1所有响应文件均以人民币报价。</w:t>
      </w:r>
      <w:r>
        <w:rPr>
          <w:rFonts w:hint="eastAsia" w:ascii="黑体" w:hAnsi="黑体" w:eastAsia="黑体" w:cs="黑体"/>
          <w:color w:val="auto"/>
          <w:sz w:val="24"/>
          <w:lang w:eastAsia="zh-CN"/>
        </w:rPr>
        <w:t>供应商</w:t>
      </w:r>
      <w:r>
        <w:rPr>
          <w:rFonts w:hint="eastAsia" w:ascii="黑体" w:hAnsi="黑体" w:eastAsia="黑体" w:cs="黑体"/>
          <w:color w:val="auto"/>
          <w:sz w:val="24"/>
        </w:rPr>
        <w:t>的磋商报价应遵守《中华人民共和国价格法》。同时，根据《中华人民共和国政府采购法》第二条的规定，为保证公平竞争，如有主体</w:t>
      </w:r>
      <w:r>
        <w:rPr>
          <w:rFonts w:hint="eastAsia" w:ascii="黑体" w:hAnsi="黑体" w:eastAsia="黑体" w:cs="黑体"/>
          <w:color w:val="auto"/>
          <w:sz w:val="24"/>
          <w:lang w:eastAsia="zh-CN"/>
        </w:rPr>
        <w:t>响应</w:t>
      </w:r>
      <w:r>
        <w:rPr>
          <w:rFonts w:hint="eastAsia" w:ascii="黑体" w:hAnsi="黑体" w:eastAsia="黑体" w:cs="黑体"/>
          <w:color w:val="auto"/>
          <w:sz w:val="24"/>
        </w:rPr>
        <w:t>标的的赠与行为，其</w:t>
      </w:r>
      <w:r>
        <w:rPr>
          <w:rFonts w:hint="eastAsia" w:ascii="黑体" w:hAnsi="黑体" w:eastAsia="黑体" w:cs="黑体"/>
          <w:color w:val="auto"/>
          <w:sz w:val="24"/>
          <w:lang w:eastAsia="zh-CN"/>
        </w:rPr>
        <w:t>响应</w:t>
      </w:r>
      <w:r>
        <w:rPr>
          <w:rFonts w:hint="eastAsia" w:ascii="黑体" w:hAnsi="黑体" w:eastAsia="黑体" w:cs="黑体"/>
          <w:color w:val="auto"/>
          <w:sz w:val="24"/>
        </w:rPr>
        <w:t>将被认定为</w:t>
      </w:r>
      <w:r>
        <w:rPr>
          <w:rFonts w:hint="eastAsia" w:ascii="黑体" w:hAnsi="黑体" w:eastAsia="黑体" w:cs="黑体"/>
          <w:color w:val="auto"/>
          <w:sz w:val="24"/>
          <w:lang w:eastAsia="zh-CN"/>
        </w:rPr>
        <w:t>响应</w:t>
      </w:r>
      <w:r>
        <w:rPr>
          <w:rFonts w:hint="eastAsia" w:ascii="黑体" w:hAnsi="黑体" w:eastAsia="黑体" w:cs="黑体"/>
          <w:color w:val="auto"/>
          <w:sz w:val="24"/>
        </w:rPr>
        <w:t>无效。</w:t>
      </w:r>
    </w:p>
    <w:p w14:paraId="2FE8CBEB">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11.2</w:t>
      </w:r>
      <w:r>
        <w:rPr>
          <w:rFonts w:hint="eastAsia" w:ascii="黑体" w:hAnsi="黑体" w:eastAsia="黑体" w:cs="黑体"/>
          <w:color w:val="auto"/>
          <w:sz w:val="24"/>
          <w:lang w:eastAsia="zh-CN"/>
        </w:rPr>
        <w:t>供应商</w:t>
      </w:r>
      <w:r>
        <w:rPr>
          <w:rFonts w:hint="eastAsia" w:ascii="黑体" w:hAnsi="黑体" w:eastAsia="黑体" w:cs="黑体"/>
          <w:color w:val="auto"/>
          <w:sz w:val="24"/>
        </w:rPr>
        <w:t>应在标的分项报价表上标明分项服务的价格（如适用）和总价，并由法定代表人或其委托代理人签署。</w:t>
      </w:r>
    </w:p>
    <w:p w14:paraId="64646EE8">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11.3采购人不接受具有附加条件的报价。</w:t>
      </w:r>
    </w:p>
    <w:p w14:paraId="224F8C00">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11.4</w:t>
      </w:r>
      <w:r>
        <w:rPr>
          <w:rFonts w:hint="eastAsia" w:ascii="黑体" w:hAnsi="黑体" w:eastAsia="黑体" w:cs="黑体"/>
          <w:color w:val="auto"/>
          <w:sz w:val="24"/>
          <w:lang w:eastAsia="zh-CN"/>
        </w:rPr>
        <w:t>供应商</w:t>
      </w:r>
      <w:r>
        <w:rPr>
          <w:rFonts w:hint="eastAsia" w:ascii="黑体" w:hAnsi="黑体" w:eastAsia="黑体" w:cs="黑体"/>
          <w:color w:val="auto"/>
          <w:sz w:val="24"/>
        </w:rPr>
        <w:t>所报的各分项磋商报价在合同履行过程中是固定不变的，不得以任何理由予以变更。任何包含价格调整要求的</w:t>
      </w:r>
      <w:r>
        <w:rPr>
          <w:rFonts w:hint="eastAsia" w:ascii="黑体" w:hAnsi="黑体" w:eastAsia="黑体" w:cs="黑体"/>
          <w:color w:val="auto"/>
          <w:sz w:val="24"/>
          <w:lang w:eastAsia="zh-CN"/>
        </w:rPr>
        <w:t>响应</w:t>
      </w:r>
      <w:r>
        <w:rPr>
          <w:rFonts w:hint="eastAsia" w:ascii="黑体" w:hAnsi="黑体" w:eastAsia="黑体" w:cs="黑体"/>
          <w:color w:val="auto"/>
          <w:sz w:val="24"/>
        </w:rPr>
        <w:t>，将被认定为</w:t>
      </w:r>
      <w:r>
        <w:rPr>
          <w:rFonts w:hint="eastAsia" w:ascii="黑体" w:hAnsi="黑体" w:eastAsia="黑体" w:cs="黑体"/>
          <w:color w:val="auto"/>
          <w:sz w:val="24"/>
          <w:lang w:eastAsia="zh-CN"/>
        </w:rPr>
        <w:t>响应</w:t>
      </w:r>
      <w:r>
        <w:rPr>
          <w:rFonts w:hint="eastAsia" w:ascii="黑体" w:hAnsi="黑体" w:eastAsia="黑体" w:cs="黑体"/>
          <w:color w:val="auto"/>
          <w:sz w:val="24"/>
        </w:rPr>
        <w:t>无效。</w:t>
      </w:r>
    </w:p>
    <w:p w14:paraId="279DA889">
      <w:pPr>
        <w:pStyle w:val="27"/>
        <w:spacing w:line="360" w:lineRule="auto"/>
        <w:ind w:left="0" w:leftChars="0" w:firstLine="420" w:firstLineChars="175"/>
        <w:rPr>
          <w:rFonts w:hint="eastAsia" w:ascii="黑体" w:hAnsi="黑体" w:eastAsia="黑体" w:cs="黑体"/>
          <w:b/>
          <w:bCs/>
          <w:color w:val="auto"/>
          <w:sz w:val="24"/>
          <w:u w:val="single"/>
        </w:rPr>
      </w:pPr>
      <w:r>
        <w:rPr>
          <w:rFonts w:hint="eastAsia" w:ascii="黑体" w:hAnsi="黑体" w:eastAsia="黑体" w:cs="黑体"/>
          <w:color w:val="auto"/>
          <w:sz w:val="24"/>
        </w:rPr>
        <w:t>11.5</w:t>
      </w:r>
      <w:r>
        <w:rPr>
          <w:rFonts w:hint="eastAsia" w:ascii="黑体" w:hAnsi="黑体" w:eastAsia="黑体" w:cs="黑体"/>
          <w:b/>
          <w:bCs/>
          <w:color w:val="auto"/>
          <w:sz w:val="24"/>
          <w:u w:val="single"/>
        </w:rPr>
        <w:t>竞争性磋商共有两次报价，二次报价为最终报价，并给予所有参加磋商的</w:t>
      </w:r>
      <w:r>
        <w:rPr>
          <w:rFonts w:hint="eastAsia" w:ascii="黑体" w:hAnsi="黑体" w:eastAsia="黑体" w:cs="黑体"/>
          <w:b/>
          <w:bCs/>
          <w:color w:val="auto"/>
          <w:sz w:val="24"/>
          <w:u w:val="single"/>
          <w:lang w:eastAsia="zh-CN"/>
        </w:rPr>
        <w:t>供应商</w:t>
      </w:r>
      <w:r>
        <w:rPr>
          <w:rFonts w:hint="eastAsia" w:ascii="黑体" w:hAnsi="黑体" w:eastAsia="黑体" w:cs="黑体"/>
          <w:b/>
          <w:bCs/>
          <w:color w:val="auto"/>
          <w:sz w:val="24"/>
          <w:u w:val="single"/>
        </w:rPr>
        <w:t>平等的磋商机会，磋商小组要求所有实质性响应的</w:t>
      </w:r>
      <w:r>
        <w:rPr>
          <w:rFonts w:hint="eastAsia" w:ascii="黑体" w:hAnsi="黑体" w:eastAsia="黑体" w:cs="黑体"/>
          <w:b/>
          <w:bCs/>
          <w:color w:val="auto"/>
          <w:sz w:val="24"/>
          <w:u w:val="single"/>
          <w:lang w:eastAsia="zh-CN"/>
        </w:rPr>
        <w:t>供应商</w:t>
      </w:r>
      <w:r>
        <w:rPr>
          <w:rFonts w:hint="eastAsia" w:ascii="黑体" w:hAnsi="黑体" w:eastAsia="黑体" w:cs="黑体"/>
          <w:b/>
          <w:bCs/>
          <w:color w:val="auto"/>
          <w:sz w:val="24"/>
          <w:u w:val="single"/>
        </w:rPr>
        <w:t>在规定时间内提交最后报价，最后报价是</w:t>
      </w:r>
      <w:r>
        <w:rPr>
          <w:rFonts w:hint="eastAsia" w:ascii="黑体" w:hAnsi="黑体" w:eastAsia="黑体" w:cs="黑体"/>
          <w:b/>
          <w:bCs/>
          <w:color w:val="auto"/>
          <w:sz w:val="24"/>
          <w:u w:val="single"/>
          <w:lang w:eastAsia="zh-CN"/>
        </w:rPr>
        <w:t>供应商</w:t>
      </w:r>
      <w:r>
        <w:rPr>
          <w:rFonts w:hint="eastAsia" w:ascii="黑体" w:hAnsi="黑体" w:eastAsia="黑体" w:cs="黑体"/>
          <w:b/>
          <w:bCs/>
          <w:color w:val="auto"/>
          <w:sz w:val="24"/>
          <w:u w:val="single"/>
        </w:rPr>
        <w:t>响应文件的有效组成部分，经磋商确定最终采购需求和提交最后报价的</w:t>
      </w:r>
      <w:r>
        <w:rPr>
          <w:rFonts w:hint="eastAsia" w:ascii="黑体" w:hAnsi="黑体" w:eastAsia="黑体" w:cs="黑体"/>
          <w:b/>
          <w:bCs/>
          <w:color w:val="auto"/>
          <w:sz w:val="24"/>
          <w:u w:val="single"/>
          <w:lang w:eastAsia="zh-CN"/>
        </w:rPr>
        <w:t>供应商</w:t>
      </w:r>
      <w:r>
        <w:rPr>
          <w:rFonts w:hint="eastAsia" w:ascii="黑体" w:hAnsi="黑体" w:eastAsia="黑体" w:cs="黑体"/>
          <w:b/>
          <w:bCs/>
          <w:color w:val="auto"/>
          <w:sz w:val="24"/>
          <w:u w:val="single"/>
        </w:rPr>
        <w:t>后，由磋商小组采用综合评分法对提交最后报价的</w:t>
      </w:r>
      <w:r>
        <w:rPr>
          <w:rFonts w:hint="eastAsia" w:ascii="黑体" w:hAnsi="黑体" w:eastAsia="黑体" w:cs="黑体"/>
          <w:b/>
          <w:bCs/>
          <w:color w:val="auto"/>
          <w:sz w:val="24"/>
          <w:u w:val="single"/>
          <w:lang w:eastAsia="zh-CN"/>
        </w:rPr>
        <w:t>供应商</w:t>
      </w:r>
      <w:r>
        <w:rPr>
          <w:rFonts w:hint="eastAsia" w:ascii="黑体" w:hAnsi="黑体" w:eastAsia="黑体" w:cs="黑体"/>
          <w:b/>
          <w:bCs/>
          <w:color w:val="auto"/>
          <w:sz w:val="24"/>
          <w:u w:val="single"/>
        </w:rPr>
        <w:t>的响应文件和最后报价进行综合评分。磋商小组应当从质量和服务均能满足采购文件实质性响应要求的</w:t>
      </w:r>
      <w:r>
        <w:rPr>
          <w:rFonts w:hint="eastAsia" w:ascii="黑体" w:hAnsi="黑体" w:eastAsia="黑体" w:cs="黑体"/>
          <w:b/>
          <w:bCs/>
          <w:color w:val="auto"/>
          <w:sz w:val="24"/>
          <w:u w:val="single"/>
          <w:lang w:eastAsia="zh-CN"/>
        </w:rPr>
        <w:t>供应商</w:t>
      </w:r>
      <w:r>
        <w:rPr>
          <w:rFonts w:hint="eastAsia" w:ascii="黑体" w:hAnsi="黑体" w:eastAsia="黑体" w:cs="黑体"/>
          <w:b/>
          <w:bCs/>
          <w:color w:val="auto"/>
          <w:sz w:val="24"/>
          <w:u w:val="single"/>
        </w:rPr>
        <w:t>中，按照综合评分由高到低的顺序提出</w:t>
      </w:r>
      <w:r>
        <w:rPr>
          <w:rFonts w:hint="eastAsia" w:ascii="黑体" w:hAnsi="黑体" w:eastAsia="黑体" w:cs="黑体"/>
          <w:b/>
          <w:bCs/>
          <w:color w:val="auto"/>
          <w:sz w:val="24"/>
          <w:u w:val="single"/>
          <w:lang w:val="en-US" w:eastAsia="zh-CN"/>
        </w:rPr>
        <w:t>中标</w:t>
      </w:r>
      <w:r>
        <w:rPr>
          <w:rFonts w:hint="eastAsia" w:ascii="黑体" w:hAnsi="黑体" w:eastAsia="黑体" w:cs="黑体"/>
          <w:b/>
          <w:bCs/>
          <w:color w:val="auto"/>
          <w:sz w:val="24"/>
          <w:u w:val="single"/>
        </w:rPr>
        <w:t>候选人，并编写评审报告，将结果通知所有参加磋商的未</w:t>
      </w:r>
      <w:r>
        <w:rPr>
          <w:rFonts w:hint="eastAsia" w:ascii="黑体" w:hAnsi="黑体" w:eastAsia="黑体" w:cs="黑体"/>
          <w:b/>
          <w:bCs/>
          <w:color w:val="auto"/>
          <w:sz w:val="24"/>
          <w:u w:val="single"/>
          <w:lang w:val="en-US" w:eastAsia="zh-CN"/>
        </w:rPr>
        <w:t>中标</w:t>
      </w:r>
      <w:r>
        <w:rPr>
          <w:rFonts w:hint="eastAsia" w:ascii="黑体" w:hAnsi="黑体" w:eastAsia="黑体" w:cs="黑体"/>
          <w:b/>
          <w:bCs/>
          <w:color w:val="auto"/>
          <w:sz w:val="24"/>
          <w:u w:val="single"/>
        </w:rPr>
        <w:t>的</w:t>
      </w:r>
      <w:r>
        <w:rPr>
          <w:rFonts w:hint="eastAsia" w:ascii="黑体" w:hAnsi="黑体" w:eastAsia="黑体" w:cs="黑体"/>
          <w:b/>
          <w:bCs/>
          <w:color w:val="auto"/>
          <w:sz w:val="24"/>
          <w:u w:val="single"/>
          <w:lang w:eastAsia="zh-CN"/>
        </w:rPr>
        <w:t>供应商</w:t>
      </w:r>
      <w:r>
        <w:rPr>
          <w:rFonts w:hint="eastAsia" w:ascii="黑体" w:hAnsi="黑体" w:eastAsia="黑体" w:cs="黑体"/>
          <w:b/>
          <w:bCs/>
          <w:color w:val="auto"/>
          <w:sz w:val="24"/>
          <w:u w:val="single"/>
        </w:rPr>
        <w:t>；</w:t>
      </w:r>
      <w:bookmarkStart w:id="98" w:name="_Ref467306513"/>
      <w:bookmarkStart w:id="99" w:name="_Toc518923074"/>
      <w:bookmarkStart w:id="100" w:name="_Toc16199"/>
      <w:bookmarkStart w:id="101" w:name="_Toc520356156"/>
      <w:bookmarkStart w:id="102" w:name="_Toc24125_WPSOffice_Level2"/>
      <w:bookmarkStart w:id="103" w:name="_Toc25748_WPSOffice_Level2"/>
    </w:p>
    <w:p w14:paraId="0A13D64F">
      <w:pPr>
        <w:pStyle w:val="27"/>
        <w:spacing w:line="360" w:lineRule="auto"/>
        <w:ind w:left="720" w:hanging="720" w:hangingChars="300"/>
        <w:rPr>
          <w:rFonts w:hint="eastAsia" w:ascii="黑体" w:hAnsi="黑体" w:eastAsia="黑体" w:cs="黑体"/>
          <w:b/>
          <w:bCs/>
          <w:color w:val="auto"/>
          <w:sz w:val="24"/>
          <w:u w:val="none"/>
        </w:rPr>
      </w:pPr>
      <w:r>
        <w:rPr>
          <w:rFonts w:hint="eastAsia" w:ascii="黑体" w:hAnsi="黑体" w:eastAsia="黑体" w:cs="黑体"/>
          <w:b/>
          <w:bCs/>
          <w:color w:val="auto"/>
          <w:sz w:val="24"/>
          <w:u w:val="none"/>
        </w:rPr>
        <w:t>12.</w:t>
      </w:r>
      <w:bookmarkEnd w:id="98"/>
      <w:bookmarkEnd w:id="99"/>
      <w:bookmarkEnd w:id="100"/>
      <w:bookmarkEnd w:id="101"/>
      <w:r>
        <w:rPr>
          <w:rFonts w:hint="eastAsia" w:ascii="黑体" w:hAnsi="黑体" w:eastAsia="黑体" w:cs="黑体"/>
          <w:b/>
          <w:bCs/>
          <w:color w:val="auto"/>
          <w:sz w:val="24"/>
          <w:u w:val="none"/>
        </w:rPr>
        <w:t>磋商保证金</w:t>
      </w:r>
      <w:bookmarkEnd w:id="102"/>
      <w:bookmarkEnd w:id="103"/>
    </w:p>
    <w:p w14:paraId="2F1A3A31">
      <w:pPr>
        <w:spacing w:line="360" w:lineRule="auto"/>
        <w:ind w:left="0" w:leftChars="0" w:firstLine="420" w:firstLineChars="175"/>
        <w:rPr>
          <w:rFonts w:hint="eastAsia" w:ascii="黑体" w:hAnsi="黑体" w:eastAsia="黑体" w:cs="黑体"/>
          <w:color w:val="auto"/>
          <w:sz w:val="24"/>
        </w:rPr>
      </w:pPr>
      <w:bookmarkStart w:id="104" w:name="_Ref467306302"/>
      <w:r>
        <w:rPr>
          <w:rFonts w:hint="eastAsia" w:ascii="黑体" w:hAnsi="黑体" w:eastAsia="黑体" w:cs="黑体"/>
          <w:color w:val="auto"/>
          <w:sz w:val="24"/>
        </w:rPr>
        <w:t>12.1</w:t>
      </w:r>
      <w:r>
        <w:rPr>
          <w:rFonts w:hint="eastAsia" w:ascii="黑体" w:hAnsi="黑体" w:eastAsia="黑体" w:cs="黑体"/>
          <w:color w:val="auto"/>
          <w:sz w:val="24"/>
          <w:lang w:eastAsia="zh-CN"/>
        </w:rPr>
        <w:t>供应商</w:t>
      </w:r>
      <w:r>
        <w:rPr>
          <w:rFonts w:hint="eastAsia" w:ascii="黑体" w:hAnsi="黑体" w:eastAsia="黑体" w:cs="黑体"/>
          <w:color w:val="auto"/>
          <w:sz w:val="24"/>
        </w:rPr>
        <w:t>应提交</w:t>
      </w:r>
      <w:r>
        <w:rPr>
          <w:rFonts w:hint="eastAsia" w:ascii="黑体" w:hAnsi="黑体" w:eastAsia="黑体" w:cs="黑体"/>
          <w:color w:val="auto"/>
          <w:sz w:val="24"/>
          <w:u w:val="single"/>
          <w:lang w:eastAsia="zh-CN"/>
        </w:rPr>
        <w:t>供应商</w:t>
      </w:r>
      <w:r>
        <w:rPr>
          <w:rFonts w:hint="eastAsia" w:ascii="黑体" w:hAnsi="黑体" w:eastAsia="黑体" w:cs="黑体"/>
          <w:color w:val="auto"/>
          <w:sz w:val="24"/>
          <w:u w:val="single"/>
        </w:rPr>
        <w:t>须知资料表</w:t>
      </w:r>
      <w:r>
        <w:rPr>
          <w:rFonts w:hint="eastAsia" w:ascii="黑体" w:hAnsi="黑体" w:eastAsia="黑体" w:cs="黑体"/>
          <w:color w:val="auto"/>
          <w:sz w:val="24"/>
        </w:rPr>
        <w:t>中规定的</w:t>
      </w:r>
      <w:bookmarkEnd w:id="104"/>
      <w:r>
        <w:rPr>
          <w:rFonts w:hint="eastAsia" w:ascii="黑体" w:hAnsi="黑体" w:eastAsia="黑体" w:cs="黑体"/>
          <w:color w:val="auto"/>
          <w:sz w:val="24"/>
        </w:rPr>
        <w:t>磋商保证金，并作为其</w:t>
      </w:r>
      <w:r>
        <w:rPr>
          <w:rFonts w:hint="eastAsia" w:ascii="黑体" w:hAnsi="黑体" w:eastAsia="黑体" w:cs="黑体"/>
          <w:color w:val="auto"/>
          <w:sz w:val="24"/>
          <w:lang w:eastAsia="zh-CN"/>
        </w:rPr>
        <w:t>响应文件</w:t>
      </w:r>
      <w:r>
        <w:rPr>
          <w:rFonts w:hint="eastAsia" w:ascii="黑体" w:hAnsi="黑体" w:eastAsia="黑体" w:cs="黑体"/>
          <w:color w:val="auto"/>
          <w:sz w:val="24"/>
        </w:rPr>
        <w:t>的一部分。</w:t>
      </w:r>
    </w:p>
    <w:p w14:paraId="6F9FB591">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12.2</w:t>
      </w:r>
      <w:r>
        <w:rPr>
          <w:rFonts w:hint="eastAsia" w:ascii="黑体" w:hAnsi="黑体" w:eastAsia="黑体" w:cs="黑体"/>
          <w:color w:val="auto"/>
          <w:sz w:val="24"/>
          <w:lang w:eastAsia="zh-CN"/>
        </w:rPr>
        <w:t>供应商</w:t>
      </w:r>
      <w:r>
        <w:rPr>
          <w:rFonts w:hint="eastAsia" w:ascii="黑体" w:hAnsi="黑体" w:eastAsia="黑体" w:cs="黑体"/>
          <w:color w:val="auto"/>
          <w:sz w:val="24"/>
        </w:rPr>
        <w:t>存在下列情形的，磋商保证金不予退还：</w:t>
      </w:r>
    </w:p>
    <w:p w14:paraId="4C9B2CA1">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（1）在磋商有效期内，撤销</w:t>
      </w:r>
      <w:r>
        <w:rPr>
          <w:rFonts w:hint="eastAsia" w:ascii="黑体" w:hAnsi="黑体" w:eastAsia="黑体" w:cs="黑体"/>
          <w:color w:val="auto"/>
          <w:sz w:val="24"/>
          <w:lang w:eastAsia="zh-CN"/>
        </w:rPr>
        <w:t>响应文件</w:t>
      </w:r>
      <w:r>
        <w:rPr>
          <w:rFonts w:hint="eastAsia" w:ascii="黑体" w:hAnsi="黑体" w:eastAsia="黑体" w:cs="黑体"/>
          <w:color w:val="auto"/>
          <w:sz w:val="24"/>
        </w:rPr>
        <w:t>的；</w:t>
      </w:r>
    </w:p>
    <w:p w14:paraId="70E7A479">
      <w:pPr>
        <w:pStyle w:val="18"/>
        <w:tabs>
          <w:tab w:val="left" w:pos="2240"/>
        </w:tabs>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（2）</w:t>
      </w:r>
      <w:r>
        <w:rPr>
          <w:rFonts w:hint="eastAsia" w:ascii="黑体" w:hAnsi="黑体" w:eastAsia="黑体" w:cs="黑体"/>
          <w:color w:val="auto"/>
          <w:sz w:val="24"/>
          <w:lang w:eastAsia="zh-CN"/>
        </w:rPr>
        <w:t>中标</w:t>
      </w:r>
      <w:r>
        <w:rPr>
          <w:rFonts w:hint="eastAsia" w:ascii="黑体" w:hAnsi="黑体" w:eastAsia="黑体" w:cs="黑体"/>
          <w:color w:val="auto"/>
          <w:sz w:val="24"/>
        </w:rPr>
        <w:t>后不按本须知第30条的规定与采购人签订合同的；</w:t>
      </w:r>
    </w:p>
    <w:p w14:paraId="53D4CEB8">
      <w:pPr>
        <w:pStyle w:val="18"/>
        <w:tabs>
          <w:tab w:val="left" w:pos="2240"/>
        </w:tabs>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（3）</w:t>
      </w:r>
      <w:r>
        <w:rPr>
          <w:rFonts w:hint="eastAsia" w:ascii="黑体" w:hAnsi="黑体" w:eastAsia="黑体" w:cs="黑体"/>
          <w:color w:val="auto"/>
          <w:sz w:val="24"/>
          <w:lang w:eastAsia="zh-CN"/>
        </w:rPr>
        <w:t>中标</w:t>
      </w:r>
      <w:r>
        <w:rPr>
          <w:rFonts w:hint="eastAsia" w:ascii="黑体" w:hAnsi="黑体" w:eastAsia="黑体" w:cs="黑体"/>
          <w:color w:val="auto"/>
          <w:sz w:val="24"/>
        </w:rPr>
        <w:t>后不按本须知第31条的规定提交履约保证金的；</w:t>
      </w:r>
    </w:p>
    <w:p w14:paraId="1AED8719">
      <w:pPr>
        <w:pStyle w:val="18"/>
        <w:tabs>
          <w:tab w:val="left" w:pos="2240"/>
        </w:tabs>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（4）</w:t>
      </w:r>
      <w:r>
        <w:rPr>
          <w:rFonts w:hint="eastAsia" w:ascii="黑体" w:hAnsi="黑体" w:eastAsia="黑体" w:cs="黑体"/>
          <w:color w:val="auto"/>
          <w:sz w:val="24"/>
          <w:lang w:eastAsia="zh-CN"/>
        </w:rPr>
        <w:t>中标</w:t>
      </w:r>
      <w:r>
        <w:rPr>
          <w:rFonts w:hint="eastAsia" w:ascii="黑体" w:hAnsi="黑体" w:eastAsia="黑体" w:cs="黑体"/>
          <w:color w:val="auto"/>
          <w:sz w:val="24"/>
        </w:rPr>
        <w:t>后不按本须知第32条的规定缴纳</w:t>
      </w:r>
      <w:r>
        <w:rPr>
          <w:rFonts w:hint="eastAsia" w:ascii="黑体" w:hAnsi="黑体" w:eastAsia="黑体" w:cs="黑体"/>
          <w:color w:val="auto"/>
          <w:sz w:val="24"/>
          <w:lang w:eastAsia="zh-CN"/>
        </w:rPr>
        <w:t>中标</w:t>
      </w:r>
      <w:r>
        <w:rPr>
          <w:rFonts w:hint="eastAsia" w:ascii="黑体" w:hAnsi="黑体" w:eastAsia="黑体" w:cs="黑体"/>
          <w:color w:val="auto"/>
          <w:sz w:val="24"/>
        </w:rPr>
        <w:t>服务费的；</w:t>
      </w:r>
    </w:p>
    <w:p w14:paraId="667C163F">
      <w:pPr>
        <w:pStyle w:val="18"/>
        <w:tabs>
          <w:tab w:val="left" w:pos="2240"/>
        </w:tabs>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（5）存在其他违法违规行为的。</w:t>
      </w:r>
    </w:p>
    <w:p w14:paraId="449F027E">
      <w:pPr>
        <w:spacing w:line="360" w:lineRule="auto"/>
        <w:ind w:left="0" w:leftChars="0" w:firstLine="420" w:firstLineChars="175"/>
        <w:rPr>
          <w:rFonts w:hint="eastAsia" w:ascii="黑体" w:hAnsi="黑体" w:eastAsia="黑体" w:cs="黑体"/>
          <w:color w:val="auto"/>
          <w:sz w:val="24"/>
        </w:rPr>
      </w:pPr>
      <w:bookmarkStart w:id="105" w:name="_Ref467306336"/>
      <w:r>
        <w:rPr>
          <w:rFonts w:hint="eastAsia" w:ascii="黑体" w:hAnsi="黑体" w:eastAsia="黑体" w:cs="黑体"/>
          <w:color w:val="auto"/>
          <w:sz w:val="24"/>
        </w:rPr>
        <w:t>12.3</w:t>
      </w:r>
      <w:bookmarkEnd w:id="105"/>
      <w:r>
        <w:rPr>
          <w:rFonts w:hint="eastAsia" w:ascii="黑体" w:hAnsi="黑体" w:eastAsia="黑体" w:cs="黑体"/>
          <w:color w:val="auto"/>
          <w:sz w:val="24"/>
        </w:rPr>
        <w:t>政府采购信用担保试点范围内的项目，接受符合财政部门规定的政府采购</w:t>
      </w:r>
      <w:r>
        <w:rPr>
          <w:rFonts w:hint="eastAsia" w:ascii="黑体" w:hAnsi="黑体" w:eastAsia="黑体" w:cs="黑体"/>
          <w:color w:val="auto"/>
          <w:sz w:val="24"/>
          <w:lang w:eastAsia="zh-CN"/>
        </w:rPr>
        <w:t>磋商</w:t>
      </w:r>
      <w:r>
        <w:rPr>
          <w:rFonts w:hint="eastAsia" w:ascii="黑体" w:hAnsi="黑体" w:eastAsia="黑体" w:cs="黑体"/>
          <w:color w:val="auto"/>
          <w:sz w:val="24"/>
        </w:rPr>
        <w:t>担保函</w:t>
      </w:r>
      <w:r>
        <w:rPr>
          <w:rFonts w:hint="eastAsia" w:ascii="黑体" w:hAnsi="黑体" w:eastAsia="黑体" w:cs="黑体"/>
          <w:color w:val="auto"/>
          <w:sz w:val="24"/>
          <w:lang w:val="en-US" w:eastAsia="zh-CN"/>
        </w:rPr>
        <w:t>扫描</w:t>
      </w:r>
      <w:r>
        <w:rPr>
          <w:rFonts w:hint="eastAsia" w:ascii="黑体" w:hAnsi="黑体" w:eastAsia="黑体" w:cs="黑体"/>
          <w:color w:val="auto"/>
          <w:sz w:val="24"/>
        </w:rPr>
        <w:t>件。</w:t>
      </w:r>
    </w:p>
    <w:p w14:paraId="71648988">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12.4</w:t>
      </w:r>
      <w:r>
        <w:rPr>
          <w:rFonts w:hint="eastAsia" w:ascii="黑体" w:hAnsi="黑体" w:eastAsia="黑体" w:cs="黑体"/>
          <w:color w:val="auto"/>
          <w:sz w:val="24"/>
          <w:lang w:eastAsia="zh-CN"/>
        </w:rPr>
        <w:t>供应商</w:t>
      </w:r>
      <w:r>
        <w:rPr>
          <w:rFonts w:hint="eastAsia" w:ascii="黑体" w:hAnsi="黑体" w:eastAsia="黑体" w:cs="黑体"/>
          <w:color w:val="auto"/>
          <w:sz w:val="24"/>
        </w:rPr>
        <w:t>未按本须知第12.1和12.3条规定提交磋商保证金的，其磋商资格将被认定为</w:t>
      </w:r>
      <w:r>
        <w:rPr>
          <w:rFonts w:hint="eastAsia" w:ascii="黑体" w:hAnsi="黑体" w:eastAsia="黑体" w:cs="黑体"/>
          <w:b/>
          <w:color w:val="auto"/>
          <w:sz w:val="24"/>
        </w:rPr>
        <w:t>无效</w:t>
      </w:r>
      <w:r>
        <w:rPr>
          <w:rFonts w:hint="eastAsia" w:ascii="黑体" w:hAnsi="黑体" w:eastAsia="黑体" w:cs="黑体"/>
          <w:color w:val="auto"/>
          <w:sz w:val="24"/>
        </w:rPr>
        <w:t>。</w:t>
      </w:r>
    </w:p>
    <w:p w14:paraId="3F38FFDD">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12.4.1采用电汇形式的，一般可以实时入账；</w:t>
      </w:r>
    </w:p>
    <w:p w14:paraId="13A844CD">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12.4.2采用支票形式的，</w:t>
      </w:r>
      <w:r>
        <w:rPr>
          <w:rFonts w:hint="eastAsia" w:ascii="黑体" w:hAnsi="黑体" w:eastAsia="黑体" w:cs="黑体"/>
          <w:color w:val="auto"/>
          <w:sz w:val="24"/>
          <w:lang w:eastAsia="zh-CN"/>
        </w:rPr>
        <w:t>供应商</w:t>
      </w:r>
      <w:r>
        <w:rPr>
          <w:rFonts w:hint="eastAsia" w:ascii="黑体" w:hAnsi="黑体" w:eastAsia="黑体" w:cs="黑体"/>
          <w:color w:val="auto"/>
          <w:sz w:val="24"/>
        </w:rPr>
        <w:t>则应充分考虑支票入账时间，以确保磋商保证金能按时进入指定账户。根据银行信息交换和付款时间，支票从递交至实际入账一般需要4-5个工作日。如</w:t>
      </w:r>
      <w:r>
        <w:rPr>
          <w:rFonts w:hint="eastAsia" w:ascii="黑体" w:hAnsi="黑体" w:eastAsia="黑体" w:cs="黑体"/>
          <w:color w:val="auto"/>
          <w:sz w:val="24"/>
          <w:lang w:eastAsia="zh-CN"/>
        </w:rPr>
        <w:t>供应商</w:t>
      </w:r>
      <w:r>
        <w:rPr>
          <w:rFonts w:hint="eastAsia" w:ascii="黑体" w:hAnsi="黑体" w:eastAsia="黑体" w:cs="黑体"/>
          <w:color w:val="auto"/>
          <w:sz w:val="24"/>
        </w:rPr>
        <w:t>未及时提交支票或支票不符合银行委托收款要求（如污损、折叠、胶装等），导致磋商保证金不能按时进入指定账户的，将按照磋商文件的第22.2条相关规定处理。</w:t>
      </w:r>
    </w:p>
    <w:p w14:paraId="72D17BB6">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12.5联合体</w:t>
      </w:r>
      <w:r>
        <w:rPr>
          <w:rFonts w:hint="eastAsia" w:ascii="黑体" w:hAnsi="黑体" w:eastAsia="黑体" w:cs="黑体"/>
          <w:color w:val="auto"/>
          <w:sz w:val="24"/>
          <w:lang w:eastAsia="zh-CN"/>
        </w:rPr>
        <w:t>递交响应文件</w:t>
      </w:r>
      <w:r>
        <w:rPr>
          <w:rFonts w:hint="eastAsia" w:ascii="黑体" w:hAnsi="黑体" w:eastAsia="黑体" w:cs="黑体"/>
          <w:color w:val="auto"/>
          <w:sz w:val="24"/>
        </w:rPr>
        <w:t>的，可以由联合体中的一方或者共同提交磋商保证金。以一方名义提交磋商保证金的，对联合体各方均具有约束力。</w:t>
      </w:r>
    </w:p>
    <w:p w14:paraId="6CB1F258">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12.6磋商保证金的退还</w:t>
      </w:r>
    </w:p>
    <w:p w14:paraId="5FEB36F5">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12.6.1</w:t>
      </w:r>
      <w:r>
        <w:rPr>
          <w:rFonts w:hint="eastAsia" w:ascii="黑体" w:hAnsi="黑体" w:eastAsia="黑体" w:cs="黑体"/>
          <w:color w:val="auto"/>
          <w:sz w:val="24"/>
          <w:lang w:eastAsia="zh-CN"/>
        </w:rPr>
        <w:t>中标</w:t>
      </w:r>
      <w:r>
        <w:rPr>
          <w:rFonts w:hint="eastAsia" w:ascii="黑体" w:hAnsi="黑体" w:eastAsia="黑体" w:cs="黑体"/>
          <w:color w:val="auto"/>
          <w:sz w:val="24"/>
        </w:rPr>
        <w:t>人应在与采购人签订合同之日起5个工作日内，及时联系保证金收受机构办理磋商保证金无息退还手续。</w:t>
      </w:r>
    </w:p>
    <w:p w14:paraId="00BC5FE5">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12.6.2未</w:t>
      </w:r>
      <w:r>
        <w:rPr>
          <w:rFonts w:hint="eastAsia" w:ascii="黑体" w:hAnsi="黑体" w:eastAsia="黑体" w:cs="黑体"/>
          <w:color w:val="auto"/>
          <w:sz w:val="24"/>
          <w:lang w:eastAsia="zh-CN"/>
        </w:rPr>
        <w:t>中标供应商</w:t>
      </w:r>
      <w:r>
        <w:rPr>
          <w:rFonts w:hint="eastAsia" w:ascii="黑体" w:hAnsi="黑体" w:eastAsia="黑体" w:cs="黑体"/>
          <w:color w:val="auto"/>
          <w:sz w:val="24"/>
        </w:rPr>
        <w:t>的磋商保证金将在</w:t>
      </w:r>
      <w:r>
        <w:rPr>
          <w:rFonts w:hint="eastAsia" w:ascii="黑体" w:hAnsi="黑体" w:eastAsia="黑体" w:cs="黑体"/>
          <w:color w:val="auto"/>
          <w:sz w:val="24"/>
          <w:lang w:eastAsia="zh-CN"/>
        </w:rPr>
        <w:t>中标</w:t>
      </w:r>
      <w:r>
        <w:rPr>
          <w:rFonts w:hint="eastAsia" w:ascii="黑体" w:hAnsi="黑体" w:eastAsia="黑体" w:cs="黑体"/>
          <w:color w:val="auto"/>
          <w:sz w:val="24"/>
        </w:rPr>
        <w:t>通知书发出之日暨</w:t>
      </w:r>
      <w:r>
        <w:rPr>
          <w:rFonts w:hint="eastAsia" w:ascii="黑体" w:hAnsi="黑体" w:eastAsia="黑体" w:cs="黑体"/>
          <w:color w:val="auto"/>
          <w:sz w:val="24"/>
          <w:lang w:eastAsia="zh-CN"/>
        </w:rPr>
        <w:t>中标</w:t>
      </w:r>
      <w:r>
        <w:rPr>
          <w:rFonts w:hint="eastAsia" w:ascii="黑体" w:hAnsi="黑体" w:eastAsia="黑体" w:cs="黑体"/>
          <w:color w:val="auto"/>
          <w:sz w:val="24"/>
        </w:rPr>
        <w:t>结果公告公布之日起5个工作日内无息退还。</w:t>
      </w:r>
      <w:r>
        <w:rPr>
          <w:rFonts w:hint="eastAsia" w:ascii="黑体" w:hAnsi="黑体" w:eastAsia="黑体" w:cs="黑体"/>
          <w:color w:val="auto"/>
          <w:sz w:val="24"/>
          <w:lang w:eastAsia="zh-CN"/>
        </w:rPr>
        <w:t>供应商</w:t>
      </w:r>
      <w:r>
        <w:rPr>
          <w:rFonts w:hint="eastAsia" w:ascii="黑体" w:hAnsi="黑体" w:eastAsia="黑体" w:cs="黑体"/>
          <w:color w:val="auto"/>
          <w:sz w:val="24"/>
        </w:rPr>
        <w:t>及时联系保证金收受机构办理退还磋商保证金手续。</w:t>
      </w:r>
      <w:bookmarkStart w:id="106" w:name="_Toc518923075"/>
    </w:p>
    <w:p w14:paraId="166BBBC1">
      <w:pPr>
        <w:spacing w:line="360" w:lineRule="auto"/>
        <w:ind w:left="0" w:leftChars="0" w:firstLine="420" w:firstLineChars="175"/>
        <w:rPr>
          <w:rFonts w:hint="eastAsia" w:ascii="黑体" w:hAnsi="黑体" w:eastAsia="黑体" w:cs="黑体"/>
          <w:bCs/>
          <w:color w:val="auto"/>
          <w:sz w:val="24"/>
          <w:szCs w:val="24"/>
        </w:rPr>
      </w:pPr>
      <w:r>
        <w:rPr>
          <w:rFonts w:hint="eastAsia" w:ascii="黑体" w:hAnsi="黑体" w:eastAsia="黑体" w:cs="黑体"/>
          <w:bCs/>
          <w:color w:val="auto"/>
          <w:sz w:val="24"/>
          <w:szCs w:val="24"/>
        </w:rPr>
        <w:t xml:space="preserve">12.6.3 </w:t>
      </w:r>
      <w:r>
        <w:rPr>
          <w:rFonts w:hint="eastAsia" w:ascii="黑体" w:hAnsi="黑体" w:eastAsia="黑体" w:cs="黑体"/>
          <w:color w:val="auto"/>
          <w:sz w:val="24"/>
          <w:szCs w:val="24"/>
        </w:rPr>
        <w:t>政府采购</w:t>
      </w:r>
      <w:r>
        <w:rPr>
          <w:rFonts w:hint="eastAsia" w:ascii="黑体" w:hAnsi="黑体" w:eastAsia="黑体" w:cs="黑体"/>
          <w:color w:val="auto"/>
          <w:sz w:val="24"/>
          <w:szCs w:val="24"/>
          <w:lang w:eastAsia="zh-CN"/>
        </w:rPr>
        <w:t>磋商</w:t>
      </w:r>
      <w:r>
        <w:rPr>
          <w:rFonts w:hint="eastAsia" w:ascii="黑体" w:hAnsi="黑体" w:eastAsia="黑体" w:cs="黑体"/>
          <w:color w:val="auto"/>
          <w:sz w:val="24"/>
          <w:szCs w:val="24"/>
        </w:rPr>
        <w:t>担保函不予退回。</w:t>
      </w:r>
      <w:bookmarkEnd w:id="106"/>
    </w:p>
    <w:p w14:paraId="5424BC09">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12.7因</w:t>
      </w:r>
      <w:r>
        <w:rPr>
          <w:rFonts w:hint="eastAsia" w:ascii="黑体" w:hAnsi="黑体" w:eastAsia="黑体" w:cs="黑体"/>
          <w:color w:val="auto"/>
          <w:sz w:val="24"/>
          <w:lang w:eastAsia="zh-CN"/>
        </w:rPr>
        <w:t>供应商</w:t>
      </w:r>
      <w:r>
        <w:rPr>
          <w:rFonts w:hint="eastAsia" w:ascii="黑体" w:hAnsi="黑体" w:eastAsia="黑体" w:cs="黑体"/>
          <w:color w:val="auto"/>
          <w:sz w:val="24"/>
        </w:rPr>
        <w:t>自身原因导致无法及时退还的，采购人或采购代理机构将不承担相应责任。</w:t>
      </w:r>
    </w:p>
    <w:p w14:paraId="2B64411D">
      <w:pPr>
        <w:pStyle w:val="7"/>
        <w:spacing w:before="0" w:after="0" w:line="360" w:lineRule="auto"/>
        <w:rPr>
          <w:rFonts w:hint="eastAsia" w:ascii="黑体" w:hAnsi="黑体" w:eastAsia="黑体" w:cs="黑体"/>
          <w:color w:val="auto"/>
          <w:sz w:val="24"/>
          <w:szCs w:val="21"/>
          <w:u w:val="none"/>
        </w:rPr>
      </w:pPr>
      <w:bookmarkStart w:id="107" w:name="_Toc20355"/>
      <w:bookmarkStart w:id="108" w:name="_Toc520356157"/>
      <w:bookmarkStart w:id="109" w:name="_Toc518923076"/>
      <w:bookmarkStart w:id="110" w:name="_Toc11106_WPSOffice_Level2"/>
      <w:bookmarkStart w:id="111" w:name="_Toc4716_WPSOffice_Level2"/>
      <w:r>
        <w:rPr>
          <w:rFonts w:hint="eastAsia" w:ascii="黑体" w:hAnsi="黑体" w:eastAsia="黑体" w:cs="黑体"/>
          <w:color w:val="auto"/>
          <w:sz w:val="24"/>
          <w:szCs w:val="21"/>
          <w:u w:val="none"/>
        </w:rPr>
        <w:t>13.</w:t>
      </w:r>
      <w:bookmarkEnd w:id="107"/>
      <w:bookmarkEnd w:id="108"/>
      <w:bookmarkEnd w:id="109"/>
      <w:r>
        <w:rPr>
          <w:rFonts w:hint="eastAsia" w:ascii="黑体" w:hAnsi="黑体" w:eastAsia="黑体" w:cs="黑体"/>
          <w:color w:val="auto"/>
          <w:sz w:val="24"/>
          <w:szCs w:val="21"/>
          <w:u w:val="none"/>
        </w:rPr>
        <w:t>磋商有效期</w:t>
      </w:r>
      <w:bookmarkEnd w:id="110"/>
      <w:bookmarkEnd w:id="111"/>
    </w:p>
    <w:p w14:paraId="09E227AF">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13.1磋商应在</w:t>
      </w:r>
      <w:r>
        <w:rPr>
          <w:rFonts w:hint="eastAsia" w:ascii="黑体" w:hAnsi="黑体" w:eastAsia="黑体" w:cs="黑体"/>
          <w:color w:val="auto"/>
          <w:sz w:val="24"/>
          <w:u w:val="single"/>
          <w:lang w:eastAsia="zh-CN"/>
        </w:rPr>
        <w:t>供应商</w:t>
      </w:r>
      <w:r>
        <w:rPr>
          <w:rFonts w:hint="eastAsia" w:ascii="黑体" w:hAnsi="黑体" w:eastAsia="黑体" w:cs="黑体"/>
          <w:color w:val="auto"/>
          <w:sz w:val="24"/>
          <w:u w:val="single"/>
        </w:rPr>
        <w:t>须知资料表</w:t>
      </w:r>
      <w:r>
        <w:rPr>
          <w:rFonts w:hint="eastAsia" w:ascii="黑体" w:hAnsi="黑体" w:eastAsia="黑体" w:cs="黑体"/>
          <w:color w:val="auto"/>
          <w:sz w:val="24"/>
        </w:rPr>
        <w:t>中规定时间内保持有效。磋商有效期不满足要求的响应，其磋商资格将被认定为</w:t>
      </w:r>
      <w:r>
        <w:rPr>
          <w:rFonts w:hint="eastAsia" w:ascii="黑体" w:hAnsi="黑体" w:eastAsia="黑体" w:cs="黑体"/>
          <w:b/>
          <w:color w:val="auto"/>
          <w:sz w:val="24"/>
        </w:rPr>
        <w:t>无效</w:t>
      </w:r>
      <w:r>
        <w:rPr>
          <w:rFonts w:hint="eastAsia" w:ascii="黑体" w:hAnsi="黑体" w:eastAsia="黑体" w:cs="黑体"/>
          <w:color w:val="auto"/>
          <w:sz w:val="24"/>
        </w:rPr>
        <w:t>。</w:t>
      </w:r>
    </w:p>
    <w:p w14:paraId="66A71B09">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13.2为保证有充分时间签订合同，采购人或采购代理机构可根据实际情况，在原磋商有效期截止之前，要求</w:t>
      </w:r>
      <w:r>
        <w:rPr>
          <w:rFonts w:hint="eastAsia" w:ascii="黑体" w:hAnsi="黑体" w:eastAsia="黑体" w:cs="黑体"/>
          <w:color w:val="auto"/>
          <w:sz w:val="24"/>
          <w:lang w:eastAsia="zh-CN"/>
        </w:rPr>
        <w:t>供应商</w:t>
      </w:r>
      <w:r>
        <w:rPr>
          <w:rFonts w:hint="eastAsia" w:ascii="黑体" w:hAnsi="黑体" w:eastAsia="黑体" w:cs="黑体"/>
          <w:color w:val="auto"/>
          <w:sz w:val="24"/>
        </w:rPr>
        <w:t>延长响应文件的有效期。接受该要求的</w:t>
      </w:r>
      <w:r>
        <w:rPr>
          <w:rFonts w:hint="eastAsia" w:ascii="黑体" w:hAnsi="黑体" w:eastAsia="黑体" w:cs="黑体"/>
          <w:color w:val="auto"/>
          <w:sz w:val="24"/>
          <w:lang w:eastAsia="zh-CN"/>
        </w:rPr>
        <w:t>供应商</w:t>
      </w:r>
      <w:r>
        <w:rPr>
          <w:rFonts w:hint="eastAsia" w:ascii="黑体" w:hAnsi="黑体" w:eastAsia="黑体" w:cs="黑体"/>
          <w:color w:val="auto"/>
          <w:sz w:val="24"/>
        </w:rPr>
        <w:t>将不会被要求和允许修正其</w:t>
      </w:r>
      <w:r>
        <w:rPr>
          <w:rFonts w:hint="eastAsia" w:ascii="黑体" w:hAnsi="黑体" w:eastAsia="黑体" w:cs="黑体"/>
          <w:color w:val="auto"/>
          <w:sz w:val="24"/>
          <w:lang w:eastAsia="zh-CN"/>
        </w:rPr>
        <w:t>响应文件</w:t>
      </w:r>
      <w:r>
        <w:rPr>
          <w:rFonts w:hint="eastAsia" w:ascii="黑体" w:hAnsi="黑体" w:eastAsia="黑体" w:cs="黑体"/>
          <w:color w:val="auto"/>
          <w:sz w:val="24"/>
        </w:rPr>
        <w:t>，且本须知中有关磋商保证金的要求须在延长的有效期内继续有效。</w:t>
      </w:r>
      <w:r>
        <w:rPr>
          <w:rFonts w:hint="eastAsia" w:ascii="黑体" w:hAnsi="黑体" w:eastAsia="黑体" w:cs="黑体"/>
          <w:color w:val="auto"/>
          <w:sz w:val="24"/>
          <w:lang w:eastAsia="zh-CN"/>
        </w:rPr>
        <w:t>供应商</w:t>
      </w:r>
      <w:r>
        <w:rPr>
          <w:rFonts w:hint="eastAsia" w:ascii="黑体" w:hAnsi="黑体" w:eastAsia="黑体" w:cs="黑体"/>
          <w:color w:val="auto"/>
          <w:sz w:val="24"/>
        </w:rPr>
        <w:t>可以拒绝延长磋商有效期的要求，其磋商保证金将及时按规定无息退还。上述要求和答复都应以书面形式提交。</w:t>
      </w:r>
    </w:p>
    <w:p w14:paraId="5CC93BD5">
      <w:pPr>
        <w:pStyle w:val="7"/>
        <w:spacing w:before="0" w:after="0" w:line="360" w:lineRule="auto"/>
        <w:rPr>
          <w:rFonts w:hint="eastAsia" w:ascii="黑体" w:hAnsi="黑体" w:eastAsia="黑体" w:cs="黑体"/>
          <w:color w:val="auto"/>
          <w:sz w:val="24"/>
          <w:szCs w:val="21"/>
          <w:u w:val="none"/>
        </w:rPr>
      </w:pPr>
      <w:bookmarkStart w:id="112" w:name="_Toc520356158"/>
      <w:bookmarkStart w:id="113" w:name="_Toc31308_WPSOffice_Level2"/>
      <w:bookmarkStart w:id="114" w:name="_Toc13034_WPSOffice_Level2"/>
      <w:bookmarkStart w:id="115" w:name="_Toc518923077"/>
      <w:bookmarkStart w:id="116" w:name="_Toc27303"/>
      <w:r>
        <w:rPr>
          <w:rFonts w:hint="eastAsia" w:ascii="黑体" w:hAnsi="黑体" w:eastAsia="黑体" w:cs="黑体"/>
          <w:color w:val="auto"/>
          <w:sz w:val="24"/>
          <w:szCs w:val="21"/>
          <w:u w:val="none"/>
        </w:rPr>
        <w:t>14.响应文件的签署</w:t>
      </w:r>
      <w:bookmarkEnd w:id="112"/>
      <w:r>
        <w:rPr>
          <w:rFonts w:hint="eastAsia" w:ascii="黑体" w:hAnsi="黑体" w:eastAsia="黑体" w:cs="黑体"/>
          <w:color w:val="auto"/>
          <w:sz w:val="24"/>
          <w:szCs w:val="21"/>
          <w:u w:val="none"/>
        </w:rPr>
        <w:t>及规定</w:t>
      </w:r>
      <w:bookmarkEnd w:id="113"/>
      <w:bookmarkEnd w:id="114"/>
      <w:bookmarkEnd w:id="115"/>
      <w:bookmarkEnd w:id="116"/>
    </w:p>
    <w:p w14:paraId="68CDD7FC">
      <w:pPr>
        <w:spacing w:line="360" w:lineRule="auto"/>
        <w:ind w:left="0" w:leftChars="0" w:firstLine="420" w:firstLineChars="175"/>
        <w:rPr>
          <w:rFonts w:hint="eastAsia" w:ascii="黑体" w:hAnsi="黑体" w:eastAsia="黑体" w:cs="黑体"/>
          <w:color w:val="auto"/>
        </w:rPr>
      </w:pPr>
      <w:r>
        <w:rPr>
          <w:rFonts w:hint="eastAsia" w:ascii="黑体" w:hAnsi="黑体" w:eastAsia="黑体" w:cs="黑体"/>
          <w:color w:val="auto"/>
          <w:sz w:val="24"/>
        </w:rPr>
        <w:t>14.1</w:t>
      </w:r>
      <w:r>
        <w:rPr>
          <w:rFonts w:hint="eastAsia" w:ascii="黑体" w:hAnsi="黑体" w:eastAsia="黑体" w:cs="黑体"/>
          <w:color w:val="auto"/>
          <w:sz w:val="24"/>
          <w:lang w:eastAsia="zh-CN"/>
        </w:rPr>
        <w:t>供为了保证电子标书的合法性、安全性和完整性，电子响应文件转换完成后，应在规定区域加盖单位和法定代表人CA印章。电子响应文件若无CA电子签章，则视为投标无效。</w:t>
      </w:r>
    </w:p>
    <w:p w14:paraId="70FAF923">
      <w:pPr>
        <w:pStyle w:val="6"/>
        <w:spacing w:before="0" w:line="360" w:lineRule="auto"/>
        <w:ind w:left="1079" w:leftChars="257" w:hanging="540"/>
        <w:jc w:val="center"/>
        <w:rPr>
          <w:rFonts w:hint="eastAsia" w:ascii="黑体" w:hAnsi="黑体" w:eastAsia="黑体" w:cs="黑体"/>
          <w:color w:val="auto"/>
        </w:rPr>
      </w:pPr>
      <w:bookmarkStart w:id="117" w:name="_Toc9633"/>
      <w:bookmarkStart w:id="118" w:name="_Toc30674_WPSOffice_Level1"/>
      <w:bookmarkStart w:id="119" w:name="_Toc518923078"/>
      <w:bookmarkStart w:id="120" w:name="_Toc22303"/>
      <w:bookmarkStart w:id="121" w:name="_Toc520356159"/>
      <w:bookmarkStart w:id="122" w:name="_Toc216582808"/>
      <w:bookmarkStart w:id="123" w:name="_Toc24004_WPSOffice_Level2"/>
      <w:bookmarkStart w:id="124" w:name="_Toc520356160"/>
      <w:bookmarkStart w:id="125" w:name="_Toc518923079"/>
      <w:bookmarkStart w:id="126" w:name="_Toc22654_WPSOffice_Level2"/>
      <w:bookmarkStart w:id="127" w:name="_Toc13247"/>
      <w:r>
        <w:rPr>
          <w:rFonts w:hint="eastAsia" w:ascii="黑体" w:hAnsi="黑体" w:eastAsia="黑体" w:cs="黑体"/>
          <w:color w:val="auto"/>
          <w:sz w:val="24"/>
        </w:rPr>
        <w:t>四</w:t>
      </w:r>
      <w:r>
        <w:rPr>
          <w:rFonts w:hint="eastAsia" w:ascii="黑体" w:hAnsi="黑体" w:eastAsia="黑体" w:cs="黑体"/>
          <w:color w:val="auto"/>
          <w:sz w:val="24"/>
          <w:lang w:val="en-US" w:eastAsia="zh-CN"/>
        </w:rPr>
        <w:t xml:space="preserve"> </w:t>
      </w:r>
      <w:r>
        <w:rPr>
          <w:rFonts w:hint="eastAsia" w:ascii="黑体" w:hAnsi="黑体" w:eastAsia="黑体" w:cs="黑体"/>
          <w:color w:val="auto"/>
          <w:sz w:val="24"/>
        </w:rPr>
        <w:t>响应文件的递交</w:t>
      </w:r>
      <w:bookmarkEnd w:id="117"/>
      <w:bookmarkEnd w:id="118"/>
      <w:bookmarkEnd w:id="119"/>
      <w:bookmarkEnd w:id="120"/>
      <w:bookmarkEnd w:id="121"/>
      <w:bookmarkEnd w:id="122"/>
    </w:p>
    <w:p w14:paraId="65E62902">
      <w:pPr>
        <w:pStyle w:val="7"/>
        <w:spacing w:before="0" w:after="0" w:line="360" w:lineRule="auto"/>
        <w:rPr>
          <w:rFonts w:hint="eastAsia" w:ascii="黑体" w:hAnsi="黑体" w:eastAsia="黑体" w:cs="黑体"/>
          <w:color w:val="auto"/>
          <w:sz w:val="24"/>
          <w:szCs w:val="21"/>
          <w:u w:val="none"/>
        </w:rPr>
      </w:pPr>
      <w:r>
        <w:rPr>
          <w:rFonts w:hint="eastAsia" w:ascii="黑体" w:hAnsi="黑体" w:eastAsia="黑体" w:cs="黑体"/>
          <w:color w:val="auto"/>
          <w:sz w:val="24"/>
          <w:szCs w:val="21"/>
          <w:u w:val="none"/>
        </w:rPr>
        <w:t>15.响应文件的密封和标记</w:t>
      </w:r>
      <w:bookmarkEnd w:id="123"/>
      <w:bookmarkEnd w:id="124"/>
      <w:bookmarkEnd w:id="125"/>
      <w:bookmarkEnd w:id="126"/>
      <w:bookmarkEnd w:id="127"/>
    </w:p>
    <w:p w14:paraId="31D8C2AD">
      <w:pPr>
        <w:tabs>
          <w:tab w:val="left" w:pos="-200"/>
          <w:tab w:val="left" w:pos="5580"/>
        </w:tabs>
        <w:spacing w:line="360" w:lineRule="auto"/>
        <w:ind w:left="0" w:leftChars="0" w:firstLine="480" w:firstLineChars="200"/>
        <w:jc w:val="left"/>
        <w:rPr>
          <w:rFonts w:hint="eastAsia" w:ascii="黑体" w:hAnsi="黑体" w:eastAsia="黑体" w:cs="黑体"/>
          <w:color w:val="auto"/>
          <w:sz w:val="24"/>
          <w:lang w:eastAsia="zh-CN"/>
        </w:rPr>
      </w:pPr>
      <w:bookmarkStart w:id="128" w:name="_Toc518923080"/>
      <w:bookmarkStart w:id="129" w:name="_Toc14358_WPSOffice_Level2"/>
      <w:bookmarkStart w:id="130" w:name="_Toc25787"/>
      <w:bookmarkStart w:id="131" w:name="_Toc520356161"/>
      <w:bookmarkStart w:id="132" w:name="_Toc178_WPSOffice_Level2"/>
      <w:r>
        <w:rPr>
          <w:rFonts w:hint="eastAsia" w:ascii="黑体" w:hAnsi="黑体" w:eastAsia="黑体" w:cs="黑体"/>
          <w:color w:val="auto"/>
          <w:sz w:val="24"/>
          <w:lang w:eastAsia="zh-CN"/>
        </w:rPr>
        <w:t>供应商应完整地按招标文件提供的投标文件格式及要求编写投标文件， 供应商须在投标截止时间前完成在新疆政采云平台https://www.zcygov.cn 系统上递交电子投标文件。供应商的电子投标文件是经过CA证书加密后上传提交的，任何单位或个人均无法在投标截止时间之前查看或篡改，不存在泄密风险。（严格按照政采云电子投标流程制作并上传电子响应文件）</w:t>
      </w:r>
    </w:p>
    <w:p w14:paraId="2D91C1E9">
      <w:pPr>
        <w:spacing w:line="360" w:lineRule="auto"/>
        <w:ind w:left="0" w:leftChars="0" w:firstLine="420" w:firstLineChars="200"/>
        <w:rPr>
          <w:rFonts w:hint="eastAsia" w:ascii="黑体" w:hAnsi="黑体" w:eastAsia="黑体" w:cs="黑体"/>
          <w:color w:val="auto"/>
          <w:sz w:val="24"/>
          <w:lang w:eastAsia="zh-CN"/>
        </w:rPr>
      </w:pPr>
      <w:r>
        <w:rPr>
          <w:rFonts w:hint="eastAsia" w:ascii="黑体" w:hAnsi="黑体" w:eastAsia="黑体" w:cs="黑体"/>
          <w:color w:val="auto"/>
          <w:highlight w:val="none"/>
        </w:rPr>
        <w:t>15.2</w:t>
      </w:r>
      <w:r>
        <w:rPr>
          <w:rFonts w:hint="eastAsia" w:ascii="黑体" w:hAnsi="黑体" w:eastAsia="黑体" w:cs="黑体"/>
          <w:color w:val="auto"/>
          <w:sz w:val="24"/>
          <w:lang w:eastAsia="zh-CN"/>
        </w:rPr>
        <w:t>供应商因自身原因导致电子投标文件无法导入电子评标系统的，该响应文件视为无效文件。</w:t>
      </w:r>
    </w:p>
    <w:p w14:paraId="72B43B22">
      <w:pPr>
        <w:spacing w:line="360" w:lineRule="auto"/>
        <w:ind w:left="0" w:leftChars="0" w:firstLine="420" w:firstLineChars="200"/>
        <w:rPr>
          <w:rFonts w:hint="eastAsia" w:ascii="黑体" w:hAnsi="黑体" w:eastAsia="黑体" w:cs="黑体"/>
          <w:color w:val="auto"/>
          <w:sz w:val="24"/>
          <w:lang w:eastAsia="zh-CN"/>
        </w:rPr>
      </w:pPr>
      <w:r>
        <w:rPr>
          <w:rFonts w:hint="eastAsia" w:ascii="黑体" w:hAnsi="黑体" w:eastAsia="黑体" w:cs="黑体"/>
          <w:color w:val="auto"/>
          <w:highlight w:val="none"/>
        </w:rPr>
        <w:t>15.3</w:t>
      </w:r>
      <w:r>
        <w:rPr>
          <w:rFonts w:hint="eastAsia" w:ascii="黑体" w:hAnsi="黑体" w:eastAsia="黑体" w:cs="黑体"/>
          <w:color w:val="auto"/>
          <w:sz w:val="24"/>
          <w:lang w:eastAsia="zh-CN"/>
        </w:rPr>
        <w:t>电子投标文件具有法律效力,与其他形式的响应文件在内容和格式上等同，若投标文件与招标文件要求不一致，其内容影响中标结果时，责任由供应商自行承担。</w:t>
      </w:r>
    </w:p>
    <w:p w14:paraId="2BD9B75D">
      <w:pPr>
        <w:pStyle w:val="7"/>
        <w:spacing w:before="0" w:after="0" w:line="360" w:lineRule="auto"/>
        <w:rPr>
          <w:rFonts w:hint="eastAsia" w:ascii="黑体" w:hAnsi="黑体" w:eastAsia="黑体" w:cs="黑体"/>
          <w:color w:val="auto"/>
          <w:sz w:val="24"/>
          <w:szCs w:val="21"/>
          <w:u w:val="none"/>
        </w:rPr>
      </w:pPr>
      <w:r>
        <w:rPr>
          <w:rFonts w:hint="eastAsia" w:ascii="黑体" w:hAnsi="黑体" w:eastAsia="黑体" w:cs="黑体"/>
          <w:color w:val="auto"/>
          <w:sz w:val="24"/>
          <w:szCs w:val="21"/>
          <w:u w:val="none"/>
        </w:rPr>
        <w:t>16.磋商截止</w:t>
      </w:r>
      <w:bookmarkEnd w:id="128"/>
      <w:bookmarkEnd w:id="129"/>
      <w:bookmarkEnd w:id="130"/>
      <w:bookmarkEnd w:id="131"/>
      <w:bookmarkEnd w:id="132"/>
    </w:p>
    <w:p w14:paraId="7498DD37">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16.1</w:t>
      </w:r>
      <w:r>
        <w:rPr>
          <w:rFonts w:hint="eastAsia" w:ascii="黑体" w:hAnsi="黑体" w:eastAsia="黑体" w:cs="黑体"/>
          <w:color w:val="auto"/>
          <w:sz w:val="24"/>
          <w:lang w:val="en-US" w:eastAsia="zh-CN"/>
        </w:rPr>
        <w:t>投标人投标人应在投标人须知资料表中规定的截止时间前，将投标文件递交到招标公告中规定的地点。解密时间30分钟，逾期未解密的视为投标无效。</w:t>
      </w:r>
    </w:p>
    <w:p w14:paraId="2C3E991C">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16.2采购人和采购代理机构有权按本须知的规定，延迟响应文件递交截止时间。在此情况下，采购人、采购代理机构和</w:t>
      </w:r>
      <w:r>
        <w:rPr>
          <w:rFonts w:hint="eastAsia" w:ascii="黑体" w:hAnsi="黑体" w:eastAsia="黑体" w:cs="黑体"/>
          <w:color w:val="auto"/>
          <w:sz w:val="24"/>
          <w:lang w:eastAsia="zh-CN"/>
        </w:rPr>
        <w:t>供应商</w:t>
      </w:r>
      <w:r>
        <w:rPr>
          <w:rFonts w:hint="eastAsia" w:ascii="黑体" w:hAnsi="黑体" w:eastAsia="黑体" w:cs="黑体"/>
          <w:color w:val="auto"/>
          <w:sz w:val="24"/>
        </w:rPr>
        <w:t>受响应文件递交截止时间制约的所有权利和义务均应延长至新的截止时间。</w:t>
      </w:r>
    </w:p>
    <w:p w14:paraId="6BF58ADA">
      <w:pPr>
        <w:pStyle w:val="7"/>
        <w:spacing w:before="0" w:after="0" w:line="360" w:lineRule="auto"/>
        <w:rPr>
          <w:rFonts w:hint="eastAsia" w:ascii="黑体" w:hAnsi="黑体" w:eastAsia="黑体" w:cs="黑体"/>
          <w:color w:val="auto"/>
          <w:sz w:val="24"/>
          <w:szCs w:val="21"/>
          <w:u w:val="none"/>
        </w:rPr>
      </w:pPr>
      <w:bookmarkStart w:id="133" w:name="_Toc13921"/>
      <w:bookmarkStart w:id="134" w:name="_Toc518923081"/>
      <w:bookmarkStart w:id="135" w:name="_Toc520356162"/>
      <w:bookmarkStart w:id="136" w:name="_Toc17985_WPSOffice_Level2"/>
      <w:bookmarkStart w:id="137" w:name="_Toc26522_WPSOffice_Level2"/>
      <w:r>
        <w:rPr>
          <w:rFonts w:hint="eastAsia" w:ascii="黑体" w:hAnsi="黑体" w:eastAsia="黑体" w:cs="黑体"/>
          <w:color w:val="auto"/>
          <w:sz w:val="24"/>
          <w:szCs w:val="21"/>
          <w:u w:val="none"/>
        </w:rPr>
        <w:t>17.响应文件的接收、修改与撤回</w:t>
      </w:r>
      <w:bookmarkEnd w:id="133"/>
      <w:bookmarkEnd w:id="134"/>
      <w:bookmarkEnd w:id="135"/>
      <w:bookmarkEnd w:id="136"/>
      <w:bookmarkEnd w:id="137"/>
    </w:p>
    <w:p w14:paraId="6B7AA05B">
      <w:pPr>
        <w:spacing w:line="360" w:lineRule="auto"/>
        <w:ind w:left="0" w:leftChars="0" w:firstLine="420" w:firstLineChars="175"/>
        <w:rPr>
          <w:rFonts w:hint="eastAsia" w:ascii="黑体" w:hAnsi="黑体" w:eastAsia="黑体" w:cs="黑体"/>
          <w:b/>
          <w:color w:val="auto"/>
          <w:sz w:val="24"/>
          <w:szCs w:val="24"/>
        </w:rPr>
      </w:pPr>
      <w:r>
        <w:rPr>
          <w:rFonts w:hint="eastAsia" w:ascii="黑体" w:hAnsi="黑体" w:eastAsia="黑体" w:cs="黑体"/>
          <w:color w:val="auto"/>
          <w:sz w:val="24"/>
          <w:szCs w:val="24"/>
        </w:rPr>
        <w:t>17.1在响应文件递交截止时间后送达响应文件的，采购人和采购代理机构将拒绝接收。</w:t>
      </w:r>
    </w:p>
    <w:p w14:paraId="1EE0DBB0">
      <w:pPr>
        <w:spacing w:line="360" w:lineRule="auto"/>
        <w:ind w:left="0" w:leftChars="0" w:firstLine="420" w:firstLineChars="175"/>
        <w:rPr>
          <w:rFonts w:hint="eastAsia" w:ascii="黑体" w:hAnsi="黑体" w:eastAsia="黑体" w:cs="黑体"/>
          <w:color w:val="auto"/>
          <w:sz w:val="24"/>
          <w:szCs w:val="24"/>
        </w:rPr>
      </w:pPr>
      <w:r>
        <w:rPr>
          <w:rFonts w:hint="eastAsia" w:ascii="黑体" w:hAnsi="黑体" w:eastAsia="黑体" w:cs="黑体"/>
          <w:color w:val="auto"/>
          <w:sz w:val="24"/>
          <w:szCs w:val="24"/>
        </w:rPr>
        <w:t>17.2采购人或者采购代理机构收到响应文件后，应当如实记载响应文件的送达时间和密封情况，并向</w:t>
      </w:r>
      <w:r>
        <w:rPr>
          <w:rFonts w:hint="eastAsia" w:ascii="黑体" w:hAnsi="黑体" w:eastAsia="黑体" w:cs="黑体"/>
          <w:color w:val="auto"/>
          <w:sz w:val="24"/>
          <w:szCs w:val="24"/>
          <w:lang w:eastAsia="zh-CN"/>
        </w:rPr>
        <w:t>供应商</w:t>
      </w:r>
      <w:r>
        <w:rPr>
          <w:rFonts w:hint="eastAsia" w:ascii="黑体" w:hAnsi="黑体" w:eastAsia="黑体" w:cs="黑体"/>
          <w:color w:val="auto"/>
          <w:sz w:val="24"/>
          <w:szCs w:val="24"/>
        </w:rPr>
        <w:t>出具以下签收回执。</w:t>
      </w:r>
    </w:p>
    <w:p w14:paraId="58D4DE23">
      <w:pPr>
        <w:spacing w:line="360" w:lineRule="auto"/>
        <w:ind w:left="0" w:leftChars="0" w:firstLine="420" w:firstLineChars="175"/>
        <w:rPr>
          <w:rFonts w:hint="eastAsia" w:ascii="黑体" w:hAnsi="黑体" w:eastAsia="黑体" w:cs="黑体"/>
          <w:color w:val="auto"/>
          <w:sz w:val="24"/>
          <w:szCs w:val="24"/>
        </w:rPr>
      </w:pPr>
      <w:bookmarkStart w:id="138" w:name="_Toc520356163"/>
      <w:bookmarkStart w:id="139" w:name="_Toc10257"/>
      <w:bookmarkStart w:id="140" w:name="_Toc518923082"/>
      <w:bookmarkStart w:id="141" w:name="_Toc216582809"/>
      <w:bookmarkStart w:id="142" w:name="_Toc5445"/>
      <w:bookmarkStart w:id="143" w:name="_Toc6601_WPSOffice_Level1"/>
      <w:r>
        <w:rPr>
          <w:rFonts w:hint="eastAsia" w:ascii="黑体" w:hAnsi="黑体" w:eastAsia="黑体" w:cs="黑体"/>
          <w:color w:val="auto"/>
          <w:sz w:val="24"/>
          <w:szCs w:val="24"/>
        </w:rPr>
        <w:t>17.3</w:t>
      </w:r>
      <w:r>
        <w:rPr>
          <w:rFonts w:hint="eastAsia" w:ascii="黑体" w:hAnsi="黑体" w:eastAsia="黑体" w:cs="黑体"/>
          <w:color w:val="auto"/>
          <w:sz w:val="24"/>
          <w:szCs w:val="24"/>
          <w:lang w:val="en-US" w:eastAsia="zh-CN"/>
        </w:rPr>
        <w:t>出现下述情形之一，属于未成功提交投标文件，按无效投标处理：</w:t>
      </w:r>
    </w:p>
    <w:p w14:paraId="30B5D5D8">
      <w:pPr>
        <w:spacing w:line="360" w:lineRule="auto"/>
        <w:ind w:left="0" w:leftChars="0" w:firstLine="420" w:firstLineChars="175"/>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 xml:space="preserve">（1）至提交投标文件截止时间，投标文件未完整上传的。 </w:t>
      </w:r>
    </w:p>
    <w:p w14:paraId="0E9F87B9">
      <w:pPr>
        <w:spacing w:line="360" w:lineRule="auto"/>
        <w:ind w:left="0" w:leftChars="0" w:firstLine="420" w:firstLineChars="175"/>
        <w:rPr>
          <w:rFonts w:hint="eastAsia" w:ascii="黑体" w:hAnsi="黑体" w:eastAsia="黑体" w:cs="黑体"/>
          <w:color w:val="auto"/>
          <w:sz w:val="24"/>
          <w:szCs w:val="24"/>
        </w:rPr>
      </w:pPr>
      <w:r>
        <w:rPr>
          <w:rFonts w:hint="eastAsia" w:ascii="黑体" w:hAnsi="黑体" w:eastAsia="黑体" w:cs="黑体"/>
          <w:color w:val="auto"/>
          <w:sz w:val="24"/>
          <w:szCs w:val="24"/>
          <w:lang w:val="en-US" w:eastAsia="zh-CN"/>
        </w:rPr>
        <w:t xml:space="preserve">（2）投标文件未按投标格式中注明需签字盖章的要求进行签名（含电子签名）和加盖电子印章，或签名（含电子签名）或电子印章不完整的。 </w:t>
      </w:r>
    </w:p>
    <w:p w14:paraId="58B82F62">
      <w:pPr>
        <w:spacing w:line="360" w:lineRule="auto"/>
        <w:ind w:left="0" w:leftChars="0" w:firstLine="420" w:firstLineChars="175"/>
        <w:rPr>
          <w:rFonts w:hint="eastAsia" w:ascii="黑体" w:hAnsi="黑体" w:eastAsia="黑体" w:cs="黑体"/>
          <w:color w:val="auto"/>
          <w:sz w:val="24"/>
          <w:szCs w:val="24"/>
        </w:rPr>
      </w:pPr>
      <w:r>
        <w:rPr>
          <w:rFonts w:hint="eastAsia" w:ascii="黑体" w:hAnsi="黑体" w:eastAsia="黑体" w:cs="黑体"/>
          <w:color w:val="auto"/>
          <w:sz w:val="24"/>
          <w:szCs w:val="24"/>
          <w:lang w:val="en-US" w:eastAsia="zh-CN"/>
        </w:rPr>
        <w:t>（3）投标文件损坏或格式不正确的</w:t>
      </w:r>
    </w:p>
    <w:p w14:paraId="0D8D04C9">
      <w:pPr>
        <w:spacing w:line="360" w:lineRule="auto"/>
        <w:ind w:left="0" w:leftChars="0" w:firstLine="420" w:firstLineChars="175"/>
        <w:rPr>
          <w:rFonts w:hint="eastAsia" w:ascii="黑体" w:hAnsi="黑体" w:eastAsia="黑体" w:cs="黑体"/>
          <w:color w:val="auto"/>
          <w:sz w:val="24"/>
          <w:szCs w:val="24"/>
        </w:rPr>
      </w:pPr>
      <w:r>
        <w:rPr>
          <w:rFonts w:hint="eastAsia" w:ascii="黑体" w:hAnsi="黑体" w:eastAsia="黑体" w:cs="黑体"/>
          <w:color w:val="auto"/>
          <w:sz w:val="24"/>
          <w:szCs w:val="24"/>
        </w:rPr>
        <w:t>17.4</w:t>
      </w:r>
      <w:r>
        <w:rPr>
          <w:rFonts w:hint="eastAsia" w:ascii="黑体" w:hAnsi="黑体" w:eastAsia="黑体" w:cs="黑体"/>
          <w:color w:val="auto"/>
          <w:sz w:val="24"/>
          <w:szCs w:val="24"/>
          <w:lang w:val="en-US" w:eastAsia="zh-CN"/>
        </w:rPr>
        <w:t>在提交投标文件截止时间前，投标人可以修改或撤回未解密的电子投标文件，并于提交投标文件截止时间前将修改后重新生成的电子投标文件上传至政采云平台项目采购系统，到达投标文件提交截止时间后，将不允许修改或撤回。</w:t>
      </w:r>
    </w:p>
    <w:p w14:paraId="6C9B716A">
      <w:pPr>
        <w:spacing w:line="360" w:lineRule="auto"/>
        <w:ind w:left="0" w:leftChars="0" w:firstLine="420" w:firstLineChars="175"/>
        <w:rPr>
          <w:rFonts w:hint="eastAsia" w:ascii="黑体" w:hAnsi="黑体" w:eastAsia="黑体" w:cs="黑体"/>
          <w:color w:val="auto"/>
          <w:sz w:val="24"/>
          <w:szCs w:val="24"/>
        </w:rPr>
      </w:pPr>
      <w:r>
        <w:rPr>
          <w:rFonts w:hint="eastAsia" w:ascii="黑体" w:hAnsi="黑体" w:eastAsia="黑体" w:cs="黑体"/>
          <w:color w:val="auto"/>
          <w:sz w:val="24"/>
          <w:szCs w:val="24"/>
        </w:rPr>
        <w:t>17.5采购人和采购代理机构对所接收响应文件概不退回。</w:t>
      </w:r>
    </w:p>
    <w:p w14:paraId="211C0265">
      <w:pPr>
        <w:pStyle w:val="14"/>
        <w:tabs>
          <w:tab w:val="left" w:pos="567"/>
        </w:tabs>
        <w:spacing w:line="360" w:lineRule="auto"/>
        <w:ind w:left="0" w:leftChars="0" w:firstLine="420" w:firstLineChars="175"/>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17.6到达开标时间后，投标人需使用上传投标文件的同一数字证书解密，投标人须在采购代理机构规定的时间内完成投标文件解密，投标人因非系统原因导致的逾期未解密投标文件，将作无效投标处理。</w:t>
      </w:r>
    </w:p>
    <w:p w14:paraId="6365E6A0">
      <w:pPr>
        <w:pStyle w:val="6"/>
        <w:spacing w:before="0" w:line="360" w:lineRule="auto"/>
        <w:ind w:left="1079" w:leftChars="257" w:hanging="540"/>
        <w:jc w:val="center"/>
        <w:rPr>
          <w:rFonts w:hint="eastAsia" w:ascii="黑体" w:hAnsi="黑体" w:eastAsia="黑体" w:cs="黑体"/>
          <w:color w:val="auto"/>
        </w:rPr>
      </w:pPr>
      <w:r>
        <w:rPr>
          <w:rFonts w:hint="eastAsia" w:ascii="黑体" w:hAnsi="黑体" w:eastAsia="黑体" w:cs="黑体"/>
          <w:color w:val="auto"/>
          <w:sz w:val="24"/>
          <w:lang w:val="en-US" w:eastAsia="zh-CN"/>
        </w:rPr>
        <w:t>五</w:t>
      </w:r>
      <w:r>
        <w:rPr>
          <w:rFonts w:hint="eastAsia" w:ascii="黑体" w:hAnsi="黑体" w:eastAsia="黑体" w:cs="黑体"/>
          <w:color w:val="auto"/>
          <w:sz w:val="24"/>
        </w:rPr>
        <w:t>磋商开启及</w:t>
      </w:r>
      <w:bookmarkEnd w:id="138"/>
      <w:bookmarkEnd w:id="139"/>
      <w:bookmarkEnd w:id="140"/>
      <w:bookmarkEnd w:id="141"/>
      <w:r>
        <w:rPr>
          <w:rFonts w:hint="eastAsia" w:ascii="黑体" w:hAnsi="黑体" w:eastAsia="黑体" w:cs="黑体"/>
          <w:color w:val="auto"/>
          <w:sz w:val="24"/>
        </w:rPr>
        <w:t>评审</w:t>
      </w:r>
      <w:bookmarkEnd w:id="142"/>
      <w:bookmarkEnd w:id="143"/>
    </w:p>
    <w:p w14:paraId="0E9C59EA">
      <w:pPr>
        <w:pStyle w:val="7"/>
        <w:spacing w:before="0" w:after="0" w:line="360" w:lineRule="auto"/>
        <w:rPr>
          <w:rFonts w:hint="eastAsia" w:ascii="黑体" w:hAnsi="黑体" w:eastAsia="黑体" w:cs="黑体"/>
          <w:color w:val="auto"/>
          <w:sz w:val="24"/>
          <w:szCs w:val="21"/>
          <w:u w:val="none"/>
        </w:rPr>
      </w:pPr>
      <w:bookmarkStart w:id="144" w:name="_Toc518923083"/>
      <w:bookmarkStart w:id="145" w:name="_Toc520356164"/>
      <w:bookmarkStart w:id="146" w:name="_Toc8653"/>
      <w:bookmarkStart w:id="147" w:name="_Toc13011_WPSOffice_Level2"/>
      <w:bookmarkStart w:id="148" w:name="_Toc32308_WPSOffice_Level2"/>
      <w:r>
        <w:rPr>
          <w:rFonts w:hint="eastAsia" w:ascii="黑体" w:hAnsi="黑体" w:eastAsia="黑体" w:cs="黑体"/>
          <w:color w:val="auto"/>
          <w:sz w:val="24"/>
          <w:szCs w:val="21"/>
          <w:u w:val="none"/>
        </w:rPr>
        <w:t>18.</w:t>
      </w:r>
      <w:bookmarkEnd w:id="144"/>
      <w:bookmarkEnd w:id="145"/>
      <w:bookmarkEnd w:id="146"/>
      <w:r>
        <w:rPr>
          <w:rFonts w:hint="eastAsia" w:ascii="黑体" w:hAnsi="黑体" w:eastAsia="黑体" w:cs="黑体"/>
          <w:color w:val="auto"/>
          <w:sz w:val="24"/>
          <w:szCs w:val="21"/>
          <w:u w:val="none"/>
        </w:rPr>
        <w:t>磋商开启</w:t>
      </w:r>
      <w:bookmarkEnd w:id="147"/>
      <w:bookmarkEnd w:id="148"/>
    </w:p>
    <w:p w14:paraId="47C1534B">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18.1采购人和采购代理机构将按</w:t>
      </w:r>
      <w:r>
        <w:rPr>
          <w:rFonts w:hint="eastAsia" w:ascii="黑体" w:hAnsi="黑体" w:eastAsia="黑体" w:cs="黑体"/>
          <w:color w:val="auto"/>
          <w:sz w:val="24"/>
          <w:u w:val="single"/>
          <w:lang w:eastAsia="zh-CN"/>
        </w:rPr>
        <w:t>供应商</w:t>
      </w:r>
      <w:r>
        <w:rPr>
          <w:rFonts w:hint="eastAsia" w:ascii="黑体" w:hAnsi="黑体" w:eastAsia="黑体" w:cs="黑体"/>
          <w:color w:val="auto"/>
          <w:sz w:val="24"/>
          <w:u w:val="single"/>
        </w:rPr>
        <w:t>须知资料表</w:t>
      </w:r>
      <w:r>
        <w:rPr>
          <w:rFonts w:hint="eastAsia" w:ascii="黑体" w:hAnsi="黑体" w:eastAsia="黑体" w:cs="黑体"/>
          <w:color w:val="auto"/>
          <w:sz w:val="24"/>
        </w:rPr>
        <w:t>中规定的磋商开启时间和地点组织公开磋商开启并邀请所有</w:t>
      </w:r>
      <w:r>
        <w:rPr>
          <w:rFonts w:hint="eastAsia" w:ascii="黑体" w:hAnsi="黑体" w:eastAsia="黑体" w:cs="黑体"/>
          <w:color w:val="auto"/>
          <w:sz w:val="24"/>
          <w:lang w:eastAsia="zh-CN"/>
        </w:rPr>
        <w:t>供应商</w:t>
      </w:r>
      <w:r>
        <w:rPr>
          <w:rFonts w:hint="eastAsia" w:ascii="黑体" w:hAnsi="黑体" w:eastAsia="黑体" w:cs="黑体"/>
          <w:color w:val="auto"/>
          <w:sz w:val="24"/>
        </w:rPr>
        <w:t xml:space="preserve">代表参加。  </w:t>
      </w:r>
    </w:p>
    <w:p w14:paraId="13388E9A">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lang w:eastAsia="zh-CN"/>
        </w:rPr>
        <w:t>供应商</w:t>
      </w:r>
      <w:r>
        <w:rPr>
          <w:rFonts w:hint="eastAsia" w:ascii="黑体" w:hAnsi="黑体" w:eastAsia="黑体" w:cs="黑体"/>
          <w:color w:val="auto"/>
          <w:sz w:val="24"/>
        </w:rPr>
        <w:t>不足3家的，不得磋商开启。</w:t>
      </w:r>
    </w:p>
    <w:p w14:paraId="292AFA84">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18.2</w:t>
      </w:r>
      <w:r>
        <w:rPr>
          <w:rFonts w:hint="eastAsia" w:ascii="黑体" w:hAnsi="黑体" w:eastAsia="黑体" w:cs="黑体"/>
          <w:b/>
          <w:bCs/>
          <w:color w:val="auto"/>
          <w:sz w:val="24"/>
          <w:u w:val="single"/>
          <w:lang w:val="en-US" w:eastAsia="zh-CN"/>
        </w:rPr>
        <w:t>投标人应当按照本釆购文件载明的时间和模式等要求参加开标。开标时，投标人应当使用上传本项目（釆购包）电子响应文件时加密所用数字证书在开始解密后按照代理机构规定的时间内完成电子响应文件的解密，如遇不可抗力等其他特殊情况，采购代理机构可视情况延长解密时间。投标人未携带数字证书或其他非系统原因导致的在规定时间内未解密响应文件，将作无效投标处理。（釆用不见面电子开标，各投标人在参加开标以前须自行对使用电脑的网络环境、驱动安装、客户端安装以及数字证书的有效性等进行检测，确保可以正常使用）</w:t>
      </w:r>
    </w:p>
    <w:p w14:paraId="542D0102">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18.3采购人或采购代理机构将对磋商开启过程进行记录</w:t>
      </w:r>
      <w:bookmarkStart w:id="149" w:name="_Toc520356165"/>
      <w:r>
        <w:rPr>
          <w:rFonts w:hint="eastAsia" w:ascii="黑体" w:hAnsi="黑体" w:eastAsia="黑体" w:cs="黑体"/>
          <w:color w:val="auto"/>
          <w:sz w:val="24"/>
        </w:rPr>
        <w:t>，由参加磋商开启的各</w:t>
      </w:r>
      <w:r>
        <w:rPr>
          <w:rFonts w:hint="eastAsia" w:ascii="黑体" w:hAnsi="黑体" w:eastAsia="黑体" w:cs="黑体"/>
          <w:color w:val="auto"/>
          <w:sz w:val="24"/>
          <w:lang w:eastAsia="zh-CN"/>
        </w:rPr>
        <w:t>供应商</w:t>
      </w:r>
      <w:r>
        <w:rPr>
          <w:rFonts w:hint="eastAsia" w:ascii="黑体" w:hAnsi="黑体" w:eastAsia="黑体" w:cs="黑体"/>
          <w:color w:val="auto"/>
          <w:sz w:val="24"/>
        </w:rPr>
        <w:t>代表和相关工作人员签字确认，并存档备查。</w:t>
      </w:r>
    </w:p>
    <w:p w14:paraId="47A9619C">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18.4</w:t>
      </w:r>
      <w:r>
        <w:rPr>
          <w:rFonts w:hint="eastAsia" w:ascii="黑体" w:hAnsi="黑体" w:eastAsia="黑体" w:cs="黑体"/>
          <w:color w:val="auto"/>
          <w:sz w:val="24"/>
          <w:lang w:eastAsia="zh-CN"/>
        </w:rPr>
        <w:t>供应商</w:t>
      </w:r>
      <w:r>
        <w:rPr>
          <w:rFonts w:hint="eastAsia" w:ascii="黑体" w:hAnsi="黑体" w:eastAsia="黑体" w:cs="黑体"/>
          <w:color w:val="auto"/>
          <w:sz w:val="24"/>
        </w:rPr>
        <w:t>代表对磋商开启过程和磋商开启记录有疑义，以及认为采购人、采购代理机构相关工作人员有需要回避的情形的，应当场提出询问或者回避申请。</w:t>
      </w:r>
    </w:p>
    <w:p w14:paraId="15CB7DD6">
      <w:pPr>
        <w:pStyle w:val="7"/>
        <w:spacing w:before="0" w:after="0" w:line="360" w:lineRule="auto"/>
        <w:rPr>
          <w:rFonts w:hint="eastAsia" w:ascii="黑体" w:hAnsi="黑体" w:eastAsia="黑体" w:cs="黑体"/>
          <w:color w:val="auto"/>
          <w:sz w:val="24"/>
          <w:szCs w:val="21"/>
          <w:u w:val="none"/>
        </w:rPr>
      </w:pPr>
      <w:bookmarkStart w:id="150" w:name="_Toc34"/>
      <w:bookmarkStart w:id="151" w:name="_Toc518923084"/>
      <w:bookmarkStart w:id="152" w:name="_Toc21320_WPSOffice_Level2"/>
      <w:bookmarkStart w:id="153" w:name="_Toc4350_WPSOffice_Level2"/>
      <w:r>
        <w:rPr>
          <w:rFonts w:hint="eastAsia" w:ascii="黑体" w:hAnsi="黑体" w:eastAsia="黑体" w:cs="黑体"/>
          <w:color w:val="auto"/>
          <w:sz w:val="24"/>
          <w:szCs w:val="21"/>
          <w:u w:val="none"/>
        </w:rPr>
        <w:t>19</w:t>
      </w:r>
      <w:bookmarkEnd w:id="149"/>
      <w:r>
        <w:rPr>
          <w:rFonts w:hint="eastAsia" w:ascii="黑体" w:hAnsi="黑体" w:eastAsia="黑体" w:cs="黑体"/>
          <w:color w:val="auto"/>
          <w:sz w:val="24"/>
          <w:szCs w:val="21"/>
          <w:u w:val="none"/>
        </w:rPr>
        <w:t>.资格审查及组建评审委员会</w:t>
      </w:r>
      <w:bookmarkEnd w:id="150"/>
      <w:bookmarkEnd w:id="151"/>
      <w:bookmarkEnd w:id="152"/>
      <w:bookmarkEnd w:id="153"/>
    </w:p>
    <w:p w14:paraId="5DFF79D5">
      <w:pPr>
        <w:spacing w:line="360" w:lineRule="auto"/>
        <w:ind w:left="0" w:leftChars="0" w:firstLine="420" w:firstLineChars="175"/>
        <w:rPr>
          <w:rFonts w:hint="eastAsia" w:ascii="黑体" w:hAnsi="黑体" w:eastAsia="黑体" w:cs="黑体"/>
          <w:b/>
          <w:bCs/>
          <w:color w:val="auto"/>
          <w:sz w:val="24"/>
        </w:rPr>
      </w:pPr>
      <w:r>
        <w:rPr>
          <w:rFonts w:hint="eastAsia" w:ascii="黑体" w:hAnsi="黑体" w:eastAsia="黑体" w:cs="黑体"/>
          <w:color w:val="auto"/>
          <w:sz w:val="24"/>
        </w:rPr>
        <w:t>19.1采购人或采购代理机构依据法律法规和磋商文件中规定的内容，对</w:t>
      </w:r>
      <w:r>
        <w:rPr>
          <w:rFonts w:hint="eastAsia" w:ascii="黑体" w:hAnsi="黑体" w:eastAsia="黑体" w:cs="黑体"/>
          <w:color w:val="auto"/>
          <w:sz w:val="24"/>
          <w:lang w:eastAsia="zh-CN"/>
        </w:rPr>
        <w:t>供应商</w:t>
      </w:r>
      <w:r>
        <w:rPr>
          <w:rFonts w:hint="eastAsia" w:ascii="黑体" w:hAnsi="黑体" w:eastAsia="黑体" w:cs="黑体"/>
          <w:color w:val="auto"/>
          <w:sz w:val="24"/>
        </w:rPr>
        <w:t>的资格进行审查。未通过资格审查的</w:t>
      </w:r>
      <w:r>
        <w:rPr>
          <w:rFonts w:hint="eastAsia" w:ascii="黑体" w:hAnsi="黑体" w:eastAsia="黑体" w:cs="黑体"/>
          <w:color w:val="auto"/>
          <w:sz w:val="24"/>
          <w:lang w:eastAsia="zh-CN"/>
        </w:rPr>
        <w:t>供应商</w:t>
      </w:r>
      <w:r>
        <w:rPr>
          <w:rFonts w:hint="eastAsia" w:ascii="黑体" w:hAnsi="黑体" w:eastAsia="黑体" w:cs="黑体"/>
          <w:color w:val="auto"/>
          <w:sz w:val="24"/>
        </w:rPr>
        <w:t>不进入评审；进入评审的</w:t>
      </w:r>
      <w:r>
        <w:rPr>
          <w:rFonts w:hint="eastAsia" w:ascii="黑体" w:hAnsi="黑体" w:eastAsia="黑体" w:cs="黑体"/>
          <w:color w:val="auto"/>
          <w:sz w:val="24"/>
          <w:lang w:eastAsia="zh-CN"/>
        </w:rPr>
        <w:t>供应商</w:t>
      </w:r>
      <w:r>
        <w:rPr>
          <w:rFonts w:hint="eastAsia" w:ascii="黑体" w:hAnsi="黑体" w:eastAsia="黑体" w:cs="黑体"/>
          <w:color w:val="auto"/>
          <w:sz w:val="24"/>
        </w:rPr>
        <w:t>不足3家的，不得评审。</w:t>
      </w:r>
    </w:p>
    <w:p w14:paraId="6F34750E">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19.2采购人或采购代理机构将在</w:t>
      </w:r>
      <w:r>
        <w:rPr>
          <w:rFonts w:hint="eastAsia" w:ascii="黑体" w:hAnsi="黑体" w:eastAsia="黑体" w:cs="黑体"/>
          <w:color w:val="auto"/>
          <w:sz w:val="24"/>
          <w:lang w:eastAsia="zh-CN"/>
        </w:rPr>
        <w:t>响应文件</w:t>
      </w:r>
      <w:r>
        <w:rPr>
          <w:rFonts w:hint="eastAsia" w:ascii="黑体" w:hAnsi="黑体" w:eastAsia="黑体" w:cs="黑体"/>
          <w:color w:val="auto"/>
          <w:sz w:val="24"/>
        </w:rPr>
        <w:t>截止后1小时的期间内查询</w:t>
      </w:r>
      <w:r>
        <w:rPr>
          <w:rFonts w:hint="eastAsia" w:ascii="黑体" w:hAnsi="黑体" w:eastAsia="黑体" w:cs="黑体"/>
          <w:color w:val="auto"/>
          <w:sz w:val="24"/>
          <w:lang w:eastAsia="zh-CN"/>
        </w:rPr>
        <w:t>供应商</w:t>
      </w:r>
      <w:r>
        <w:rPr>
          <w:rFonts w:hint="eastAsia" w:ascii="黑体" w:hAnsi="黑体" w:eastAsia="黑体" w:cs="黑体"/>
          <w:color w:val="auto"/>
          <w:sz w:val="24"/>
        </w:rPr>
        <w:t>的信用记录。</w:t>
      </w:r>
      <w:r>
        <w:rPr>
          <w:rFonts w:hint="eastAsia" w:ascii="黑体" w:hAnsi="黑体" w:eastAsia="黑体" w:cs="黑体"/>
          <w:color w:val="auto"/>
          <w:sz w:val="24"/>
          <w:lang w:eastAsia="zh-CN"/>
        </w:rPr>
        <w:t>供应商</w:t>
      </w:r>
      <w:r>
        <w:rPr>
          <w:rFonts w:hint="eastAsia" w:ascii="黑体" w:hAnsi="黑体" w:eastAsia="黑体" w:cs="黑体"/>
          <w:color w:val="auto"/>
          <w:sz w:val="24"/>
        </w:rPr>
        <w:t>存在不良信用记录的，其</w:t>
      </w:r>
      <w:r>
        <w:rPr>
          <w:rFonts w:hint="eastAsia" w:ascii="黑体" w:hAnsi="黑体" w:eastAsia="黑体" w:cs="黑体"/>
          <w:color w:val="auto"/>
          <w:sz w:val="24"/>
          <w:lang w:eastAsia="zh-CN"/>
        </w:rPr>
        <w:t>响应文件</w:t>
      </w:r>
      <w:r>
        <w:rPr>
          <w:rFonts w:hint="eastAsia" w:ascii="黑体" w:hAnsi="黑体" w:eastAsia="黑体" w:cs="黑体"/>
          <w:color w:val="auto"/>
          <w:sz w:val="24"/>
        </w:rPr>
        <w:t>将被认定为</w:t>
      </w:r>
      <w:r>
        <w:rPr>
          <w:rFonts w:hint="eastAsia" w:ascii="黑体" w:hAnsi="黑体" w:eastAsia="黑体" w:cs="黑体"/>
          <w:color w:val="auto"/>
          <w:sz w:val="24"/>
          <w:lang w:eastAsia="zh-CN"/>
        </w:rPr>
        <w:t>响应</w:t>
      </w:r>
      <w:r>
        <w:rPr>
          <w:rFonts w:hint="eastAsia" w:ascii="黑体" w:hAnsi="黑体" w:eastAsia="黑体" w:cs="黑体"/>
          <w:color w:val="auto"/>
          <w:sz w:val="24"/>
        </w:rPr>
        <w:t>无效。</w:t>
      </w:r>
    </w:p>
    <w:p w14:paraId="5EE004F4">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19.2.1不良信用记录指：</w:t>
      </w:r>
      <w:r>
        <w:rPr>
          <w:rFonts w:hint="eastAsia" w:ascii="黑体" w:hAnsi="黑体" w:eastAsia="黑体" w:cs="黑体"/>
          <w:color w:val="auto"/>
          <w:sz w:val="24"/>
          <w:lang w:val="en-US" w:eastAsia="zh-CN"/>
        </w:rPr>
        <w:t>投标人近3年(投标截止时间往前推算)，凡拟参加本次招标项目的投标人，如在“信用中国”网站被列入失信被执行人、重大税收违法失信主体(信用中国首页-点击信用服务-查询）、中国政府采购网（http://www.ccgp.gov.cn/search/cr/）严重违法失信行为记录名单的（尚在处罚期内的）。将拒绝其参加本次招标活动；拒绝参与该项目投标；提供网站查询结果截图盖章放入投标文件中。</w:t>
      </w:r>
      <w:r>
        <w:rPr>
          <w:rFonts w:hint="eastAsia" w:ascii="黑体" w:hAnsi="黑体" w:eastAsia="黑体" w:cs="黑体"/>
          <w:color w:val="auto"/>
          <w:sz w:val="24"/>
        </w:rPr>
        <w:t>以及存在《中华人民共和国政府采购法实施条例》第十九条规定的行政处罚记录。</w:t>
      </w:r>
    </w:p>
    <w:p w14:paraId="16395B92">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以联合体形式参加</w:t>
      </w:r>
      <w:r>
        <w:rPr>
          <w:rFonts w:hint="eastAsia" w:ascii="黑体" w:hAnsi="黑体" w:eastAsia="黑体" w:cs="黑体"/>
          <w:color w:val="auto"/>
          <w:sz w:val="24"/>
          <w:lang w:eastAsia="zh-CN"/>
        </w:rPr>
        <w:t>磋商</w:t>
      </w:r>
      <w:r>
        <w:rPr>
          <w:rFonts w:hint="eastAsia" w:ascii="黑体" w:hAnsi="黑体" w:eastAsia="黑体" w:cs="黑体"/>
          <w:color w:val="auto"/>
          <w:sz w:val="24"/>
        </w:rPr>
        <w:t>的，联合体任何成员存在以上不良信用记录的，联合体</w:t>
      </w:r>
      <w:r>
        <w:rPr>
          <w:rFonts w:hint="eastAsia" w:ascii="黑体" w:hAnsi="黑体" w:eastAsia="黑体" w:cs="黑体"/>
          <w:color w:val="auto"/>
          <w:sz w:val="24"/>
          <w:lang w:eastAsia="zh-CN"/>
        </w:rPr>
        <w:t>响应文件</w:t>
      </w:r>
      <w:r>
        <w:rPr>
          <w:rFonts w:hint="eastAsia" w:ascii="黑体" w:hAnsi="黑体" w:eastAsia="黑体" w:cs="黑体"/>
          <w:color w:val="auto"/>
          <w:sz w:val="24"/>
        </w:rPr>
        <w:t>将被认定为</w:t>
      </w:r>
      <w:r>
        <w:rPr>
          <w:rFonts w:hint="eastAsia" w:ascii="黑体" w:hAnsi="黑体" w:eastAsia="黑体" w:cs="黑体"/>
          <w:color w:val="auto"/>
          <w:sz w:val="24"/>
          <w:lang w:eastAsia="zh-CN"/>
        </w:rPr>
        <w:t>响应</w:t>
      </w:r>
      <w:r>
        <w:rPr>
          <w:rFonts w:hint="eastAsia" w:ascii="黑体" w:hAnsi="黑体" w:eastAsia="黑体" w:cs="黑体"/>
          <w:color w:val="auto"/>
          <w:sz w:val="24"/>
        </w:rPr>
        <w:t>无效。</w:t>
      </w:r>
    </w:p>
    <w:p w14:paraId="57EB48D7">
      <w:pPr>
        <w:pStyle w:val="11"/>
        <w:spacing w:line="360" w:lineRule="auto"/>
        <w:ind w:left="0" w:leftChars="0" w:firstLine="420" w:firstLineChars="175"/>
        <w:jc w:val="both"/>
        <w:rPr>
          <w:rFonts w:hint="eastAsia" w:ascii="黑体" w:hAnsi="黑体" w:eastAsia="黑体" w:cs="黑体"/>
          <w:color w:val="auto"/>
          <w:sz w:val="24"/>
          <w:szCs w:val="24"/>
        </w:rPr>
      </w:pPr>
      <w:r>
        <w:rPr>
          <w:rFonts w:hint="eastAsia" w:ascii="黑体" w:hAnsi="黑体" w:eastAsia="黑体" w:cs="黑体"/>
          <w:color w:val="auto"/>
          <w:sz w:val="24"/>
          <w:szCs w:val="24"/>
        </w:rPr>
        <w:t>19.2.2查询及记录方式：采购人或采购代理机构经办人将查询网页打印、签字并存档备查。</w:t>
      </w:r>
      <w:r>
        <w:rPr>
          <w:rFonts w:hint="eastAsia" w:ascii="黑体" w:hAnsi="黑体" w:eastAsia="黑体" w:cs="黑体"/>
          <w:color w:val="auto"/>
          <w:sz w:val="24"/>
          <w:szCs w:val="24"/>
          <w:lang w:eastAsia="zh-CN"/>
        </w:rPr>
        <w:t>供应商</w:t>
      </w:r>
      <w:r>
        <w:rPr>
          <w:rFonts w:hint="eastAsia" w:ascii="黑体" w:hAnsi="黑体" w:eastAsia="黑体" w:cs="黑体"/>
          <w:color w:val="auto"/>
          <w:sz w:val="24"/>
          <w:szCs w:val="24"/>
        </w:rPr>
        <w:t>不良信用记录以采购人或采购代理机构查询结果为准。</w:t>
      </w:r>
    </w:p>
    <w:p w14:paraId="3C3599F7">
      <w:pPr>
        <w:pStyle w:val="11"/>
        <w:spacing w:line="360" w:lineRule="auto"/>
        <w:ind w:left="0" w:leftChars="0" w:firstLine="420" w:firstLineChars="175"/>
        <w:jc w:val="both"/>
        <w:rPr>
          <w:rFonts w:hint="eastAsia" w:ascii="黑体" w:hAnsi="黑体" w:eastAsia="黑体" w:cs="黑体"/>
          <w:color w:val="auto"/>
          <w:sz w:val="24"/>
          <w:szCs w:val="24"/>
        </w:rPr>
      </w:pPr>
      <w:r>
        <w:rPr>
          <w:rFonts w:hint="eastAsia" w:ascii="黑体" w:hAnsi="黑体" w:eastAsia="黑体" w:cs="黑体"/>
          <w:color w:val="auto"/>
          <w:sz w:val="24"/>
          <w:szCs w:val="24"/>
        </w:rPr>
        <w:t>在本磋商文件规定的查询时间之后，网站信息发生的任何变更均不再作为评审依据。</w:t>
      </w:r>
    </w:p>
    <w:p w14:paraId="7E4A5A4C">
      <w:pPr>
        <w:pStyle w:val="11"/>
        <w:spacing w:line="360" w:lineRule="auto"/>
        <w:ind w:left="0" w:leftChars="0" w:firstLine="420" w:firstLineChars="175"/>
        <w:jc w:val="both"/>
        <w:rPr>
          <w:rFonts w:hint="eastAsia" w:ascii="黑体" w:hAnsi="黑体" w:eastAsia="黑体" w:cs="黑体"/>
          <w:color w:val="auto"/>
          <w:sz w:val="24"/>
          <w:szCs w:val="24"/>
        </w:rPr>
      </w:pPr>
      <w:r>
        <w:rPr>
          <w:rFonts w:hint="eastAsia" w:ascii="黑体" w:hAnsi="黑体" w:eastAsia="黑体" w:cs="黑体"/>
          <w:color w:val="auto"/>
          <w:sz w:val="24"/>
          <w:szCs w:val="24"/>
          <w:lang w:eastAsia="zh-CN"/>
        </w:rPr>
        <w:t>供应商</w:t>
      </w:r>
      <w:r>
        <w:rPr>
          <w:rFonts w:hint="eastAsia" w:ascii="黑体" w:hAnsi="黑体" w:eastAsia="黑体" w:cs="黑体"/>
          <w:color w:val="auto"/>
          <w:sz w:val="24"/>
          <w:szCs w:val="24"/>
        </w:rPr>
        <w:t>自行提供的与网站信息不一致的其他证明材料亦不作为资格审查的依据。</w:t>
      </w:r>
    </w:p>
    <w:p w14:paraId="3E200CDF">
      <w:pPr>
        <w:spacing w:line="360" w:lineRule="auto"/>
        <w:ind w:left="0" w:leftChars="0" w:firstLine="420" w:firstLineChars="175"/>
        <w:rPr>
          <w:rFonts w:hint="eastAsia" w:ascii="黑体" w:hAnsi="黑体" w:eastAsia="黑体" w:cs="黑体"/>
          <w:b/>
          <w:bCs/>
          <w:color w:val="auto"/>
          <w:sz w:val="24"/>
          <w:szCs w:val="24"/>
          <w:lang w:val="en-US" w:eastAsia="zh-CN"/>
        </w:rPr>
      </w:pPr>
      <w:r>
        <w:rPr>
          <w:rFonts w:hint="eastAsia" w:ascii="黑体" w:hAnsi="黑体" w:eastAsia="黑体" w:cs="黑体"/>
          <w:color w:val="auto"/>
          <w:sz w:val="24"/>
          <w:szCs w:val="24"/>
        </w:rPr>
        <w:t>19.3按照《中华人民共和国政府采购法》、《中华人民共和国政府采购法实施条例》及本项目本级和上级财政部门的有关规定依法组建的评审委员会，负责本项目评审工作。</w:t>
      </w:r>
      <w:bookmarkStart w:id="154" w:name="_Toc520356166"/>
      <w:bookmarkStart w:id="155" w:name="_Toc6842"/>
      <w:bookmarkStart w:id="156" w:name="_Toc17843_WPSOffice_Level2"/>
      <w:bookmarkStart w:id="157" w:name="_Toc518923085"/>
      <w:bookmarkStart w:id="158" w:name="_Toc31689_WPSOffice_Level2"/>
      <w:r>
        <w:rPr>
          <w:rFonts w:hint="eastAsia" w:ascii="黑体" w:hAnsi="黑体" w:eastAsia="黑体" w:cs="黑体"/>
          <w:b/>
          <w:bCs/>
          <w:color w:val="auto"/>
          <w:sz w:val="24"/>
          <w:szCs w:val="24"/>
          <w:lang w:val="en-US" w:eastAsia="zh-CN"/>
        </w:rPr>
        <w:t>本项目评标委员会由3人及以上组成(政采云专家库随机抽取专家3人及以上)。</w:t>
      </w:r>
    </w:p>
    <w:p w14:paraId="726791CD">
      <w:pPr>
        <w:spacing w:line="360" w:lineRule="auto"/>
        <w:ind w:left="850" w:hanging="849" w:hangingChars="354"/>
        <w:rPr>
          <w:rFonts w:hint="eastAsia" w:ascii="黑体" w:hAnsi="黑体" w:eastAsia="黑体" w:cs="黑体"/>
          <w:b/>
          <w:bCs/>
          <w:color w:val="auto"/>
          <w:sz w:val="24"/>
          <w:szCs w:val="32"/>
          <w:bdr w:val="single" w:color="auto" w:sz="4" w:space="0"/>
        </w:rPr>
      </w:pPr>
      <w:r>
        <w:rPr>
          <w:rFonts w:hint="eastAsia" w:ascii="黑体" w:hAnsi="黑体" w:eastAsia="黑体" w:cs="黑体"/>
          <w:b/>
          <w:bCs/>
          <w:color w:val="auto"/>
          <w:sz w:val="24"/>
          <w:szCs w:val="32"/>
          <w:u w:val="none"/>
        </w:rPr>
        <w:t>20.响应文件的</w:t>
      </w:r>
      <w:bookmarkEnd w:id="154"/>
      <w:r>
        <w:rPr>
          <w:rFonts w:hint="eastAsia" w:ascii="黑体" w:hAnsi="黑体" w:eastAsia="黑体" w:cs="黑体"/>
          <w:b/>
          <w:bCs/>
          <w:color w:val="auto"/>
          <w:sz w:val="24"/>
          <w:szCs w:val="32"/>
          <w:u w:val="none"/>
        </w:rPr>
        <w:t>符合性审查与澄清</w:t>
      </w:r>
      <w:bookmarkEnd w:id="155"/>
      <w:bookmarkEnd w:id="156"/>
      <w:bookmarkEnd w:id="157"/>
      <w:bookmarkEnd w:id="158"/>
    </w:p>
    <w:p w14:paraId="248D5BF5">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20.1符合性审查是指依据磋商文件的规定，从响应文件的有效性和完整性对磋商文件的响应程度进行审查，以确定是否对磋商文件的实质性要求做出响应。</w:t>
      </w:r>
      <w:bookmarkStart w:id="159" w:name="_Hlt522424701"/>
      <w:bookmarkEnd w:id="159"/>
      <w:bookmarkStart w:id="160" w:name="_Toc520356167"/>
    </w:p>
    <w:p w14:paraId="429A068A">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20.2响应文件的澄清</w:t>
      </w:r>
    </w:p>
    <w:p w14:paraId="03102AB9">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20.2.1在评审期间，评审委员会将以书面方式要求</w:t>
      </w:r>
      <w:r>
        <w:rPr>
          <w:rFonts w:hint="eastAsia" w:ascii="黑体" w:hAnsi="黑体" w:eastAsia="黑体" w:cs="黑体"/>
          <w:color w:val="auto"/>
          <w:sz w:val="24"/>
          <w:lang w:eastAsia="zh-CN"/>
        </w:rPr>
        <w:t>供应商</w:t>
      </w:r>
      <w:r>
        <w:rPr>
          <w:rFonts w:hint="eastAsia" w:ascii="黑体" w:hAnsi="黑体" w:eastAsia="黑体" w:cs="黑体"/>
          <w:color w:val="auto"/>
          <w:sz w:val="24"/>
        </w:rPr>
        <w:t>对其响应文件中含义不明确、对同类问题表述不一致或者有明显文字和计算错误的内容，以及评审委员会认为</w:t>
      </w:r>
      <w:r>
        <w:rPr>
          <w:rFonts w:hint="eastAsia" w:ascii="黑体" w:hAnsi="黑体" w:eastAsia="黑体" w:cs="黑体"/>
          <w:color w:val="auto"/>
          <w:sz w:val="24"/>
          <w:lang w:eastAsia="zh-CN"/>
        </w:rPr>
        <w:t>供应商</w:t>
      </w:r>
      <w:r>
        <w:rPr>
          <w:rFonts w:hint="eastAsia" w:ascii="黑体" w:hAnsi="黑体" w:eastAsia="黑体" w:cs="黑体"/>
          <w:color w:val="auto"/>
          <w:sz w:val="24"/>
        </w:rPr>
        <w:t>的报价明显低于其他通过符合性检查</w:t>
      </w:r>
      <w:r>
        <w:rPr>
          <w:rFonts w:hint="eastAsia" w:ascii="黑体" w:hAnsi="黑体" w:eastAsia="黑体" w:cs="黑体"/>
          <w:color w:val="auto"/>
          <w:sz w:val="24"/>
          <w:lang w:eastAsia="zh-CN"/>
        </w:rPr>
        <w:t>供应商</w:t>
      </w:r>
      <w:r>
        <w:rPr>
          <w:rFonts w:hint="eastAsia" w:ascii="黑体" w:hAnsi="黑体" w:eastAsia="黑体" w:cs="黑体"/>
          <w:color w:val="auto"/>
          <w:sz w:val="24"/>
        </w:rPr>
        <w:t>的报价，有可能影响履约的情况作必要的澄清、说明或补正。</w:t>
      </w:r>
      <w:r>
        <w:rPr>
          <w:rFonts w:hint="eastAsia" w:ascii="黑体" w:hAnsi="黑体" w:eastAsia="黑体" w:cs="黑体"/>
          <w:color w:val="auto"/>
          <w:sz w:val="24"/>
          <w:lang w:eastAsia="zh-CN"/>
        </w:rPr>
        <w:t>供应商</w:t>
      </w:r>
      <w:r>
        <w:rPr>
          <w:rFonts w:hint="eastAsia" w:ascii="黑体" w:hAnsi="黑体" w:eastAsia="黑体" w:cs="黑体"/>
          <w:color w:val="auto"/>
          <w:sz w:val="24"/>
        </w:rPr>
        <w:t>澄清、说明或补正。应在评审委员会规定的时间内以书面方式进行，并不得超出响应文件范围或者改变响应文件的实质性内容。</w:t>
      </w:r>
    </w:p>
    <w:p w14:paraId="7ED5C23F">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20.2.2</w:t>
      </w:r>
      <w:r>
        <w:rPr>
          <w:rFonts w:hint="eastAsia" w:ascii="黑体" w:hAnsi="黑体" w:eastAsia="黑体" w:cs="黑体"/>
          <w:color w:val="auto"/>
          <w:sz w:val="24"/>
          <w:lang w:eastAsia="zh-CN"/>
        </w:rPr>
        <w:t>供应商</w:t>
      </w:r>
      <w:r>
        <w:rPr>
          <w:rFonts w:hint="eastAsia" w:ascii="黑体" w:hAnsi="黑体" w:eastAsia="黑体" w:cs="黑体"/>
          <w:color w:val="auto"/>
          <w:sz w:val="24"/>
        </w:rPr>
        <w:t>的澄清、说明或补正将作为响应文件的一部分。</w:t>
      </w:r>
    </w:p>
    <w:p w14:paraId="03B039A9">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20.3响应文件报价出现前后不一致的，按照下列规定修正：</w:t>
      </w:r>
    </w:p>
    <w:p w14:paraId="521C8EF8">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（一）响应文件中</w:t>
      </w:r>
      <w:r>
        <w:rPr>
          <w:rFonts w:hint="eastAsia" w:ascii="黑体" w:hAnsi="黑体" w:eastAsia="黑体" w:cs="黑体"/>
          <w:color w:val="auto"/>
          <w:sz w:val="24"/>
          <w:lang w:eastAsia="zh-CN"/>
        </w:rPr>
        <w:t>报价一览表</w:t>
      </w:r>
      <w:r>
        <w:rPr>
          <w:rFonts w:hint="eastAsia" w:ascii="黑体" w:hAnsi="黑体" w:eastAsia="黑体" w:cs="黑体"/>
          <w:color w:val="auto"/>
          <w:sz w:val="24"/>
        </w:rPr>
        <w:t>（报价表）内容与响应文件中相应内容不一致的，以</w:t>
      </w:r>
      <w:r>
        <w:rPr>
          <w:rFonts w:hint="eastAsia" w:ascii="黑体" w:hAnsi="黑体" w:eastAsia="黑体" w:cs="黑体"/>
          <w:color w:val="auto"/>
          <w:sz w:val="24"/>
          <w:lang w:eastAsia="zh-CN"/>
        </w:rPr>
        <w:t>报价一览表</w:t>
      </w:r>
      <w:r>
        <w:rPr>
          <w:rFonts w:hint="eastAsia" w:ascii="黑体" w:hAnsi="黑体" w:eastAsia="黑体" w:cs="黑体"/>
          <w:color w:val="auto"/>
          <w:sz w:val="24"/>
        </w:rPr>
        <w:t>（报价表）为准；</w:t>
      </w:r>
    </w:p>
    <w:p w14:paraId="0951894E">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（二）大写金额和小写金额不一致的，以大写金额为准；</w:t>
      </w:r>
    </w:p>
    <w:p w14:paraId="5890EA5E">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（三）单价金额小数点或者百分比有明显错位的，以</w:t>
      </w:r>
      <w:r>
        <w:rPr>
          <w:rFonts w:hint="eastAsia" w:ascii="黑体" w:hAnsi="黑体" w:eastAsia="黑体" w:cs="黑体"/>
          <w:color w:val="auto"/>
          <w:sz w:val="24"/>
          <w:lang w:eastAsia="zh-CN"/>
        </w:rPr>
        <w:t>报价一览表</w:t>
      </w:r>
      <w:r>
        <w:rPr>
          <w:rFonts w:hint="eastAsia" w:ascii="黑体" w:hAnsi="黑体" w:eastAsia="黑体" w:cs="黑体"/>
          <w:color w:val="auto"/>
          <w:sz w:val="24"/>
        </w:rPr>
        <w:t>的总价为准，并修改单价；</w:t>
      </w:r>
    </w:p>
    <w:p w14:paraId="56917281">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（四）总价金额与按单价汇总金额不一致的，以单价金额计算结果为准。</w:t>
      </w:r>
    </w:p>
    <w:p w14:paraId="43FEBBED">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同时出现两种以上不一致的，按照前款规定的顺序修正。修正后的报价按照第20.2条的规定经</w:t>
      </w:r>
      <w:r>
        <w:rPr>
          <w:rFonts w:hint="eastAsia" w:ascii="黑体" w:hAnsi="黑体" w:eastAsia="黑体" w:cs="黑体"/>
          <w:color w:val="auto"/>
          <w:sz w:val="24"/>
          <w:lang w:eastAsia="zh-CN"/>
        </w:rPr>
        <w:t>供应商</w:t>
      </w:r>
      <w:r>
        <w:rPr>
          <w:rFonts w:hint="eastAsia" w:ascii="黑体" w:hAnsi="黑体" w:eastAsia="黑体" w:cs="黑体"/>
          <w:color w:val="auto"/>
          <w:sz w:val="24"/>
        </w:rPr>
        <w:t>确认后产生约束力，</w:t>
      </w:r>
      <w:r>
        <w:rPr>
          <w:rFonts w:hint="eastAsia" w:ascii="黑体" w:hAnsi="黑体" w:eastAsia="黑体" w:cs="黑体"/>
          <w:color w:val="auto"/>
          <w:sz w:val="24"/>
          <w:lang w:eastAsia="zh-CN"/>
        </w:rPr>
        <w:t>供应商</w:t>
      </w:r>
      <w:r>
        <w:rPr>
          <w:rFonts w:hint="eastAsia" w:ascii="黑体" w:hAnsi="黑体" w:eastAsia="黑体" w:cs="黑体"/>
          <w:color w:val="auto"/>
          <w:sz w:val="24"/>
        </w:rPr>
        <w:t>不确认的，将被认定为</w:t>
      </w:r>
      <w:r>
        <w:rPr>
          <w:rFonts w:hint="eastAsia" w:ascii="黑体" w:hAnsi="黑体" w:eastAsia="黑体" w:cs="黑体"/>
          <w:color w:val="auto"/>
          <w:sz w:val="24"/>
          <w:lang w:eastAsia="zh-CN"/>
        </w:rPr>
        <w:t>响应</w:t>
      </w:r>
      <w:r>
        <w:rPr>
          <w:rFonts w:hint="eastAsia" w:ascii="黑体" w:hAnsi="黑体" w:eastAsia="黑体" w:cs="黑体"/>
          <w:color w:val="auto"/>
          <w:sz w:val="24"/>
        </w:rPr>
        <w:t>无效。对不同文字文本响应文件的解释发生异议的，以中文文本为准。</w:t>
      </w:r>
    </w:p>
    <w:p w14:paraId="6D38CBF8">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20.4</w:t>
      </w:r>
      <w:r>
        <w:rPr>
          <w:rFonts w:hint="eastAsia" w:ascii="黑体" w:hAnsi="黑体" w:eastAsia="黑体" w:cs="黑体"/>
          <w:color w:val="auto"/>
          <w:sz w:val="24"/>
          <w:lang w:eastAsia="zh-CN"/>
        </w:rPr>
        <w:t>供应商</w:t>
      </w:r>
      <w:r>
        <w:rPr>
          <w:rFonts w:hint="eastAsia" w:ascii="黑体" w:hAnsi="黑体" w:eastAsia="黑体" w:cs="黑体"/>
          <w:color w:val="auto"/>
          <w:sz w:val="24"/>
        </w:rPr>
        <w:t>为提供服务所伴随</w:t>
      </w:r>
      <w:r>
        <w:rPr>
          <w:rFonts w:hint="eastAsia" w:ascii="黑体" w:hAnsi="黑体" w:eastAsia="黑体" w:cs="黑体"/>
          <w:color w:val="auto"/>
          <w:sz w:val="24"/>
          <w:lang w:eastAsia="zh-CN"/>
        </w:rPr>
        <w:t>响应文件</w:t>
      </w:r>
      <w:r>
        <w:rPr>
          <w:rFonts w:hint="eastAsia" w:ascii="黑体" w:hAnsi="黑体" w:eastAsia="黑体" w:cs="黑体"/>
          <w:color w:val="auto"/>
          <w:sz w:val="24"/>
        </w:rPr>
        <w:t>的产品如被列入财政部与国家主管部门颁发的节能产品目录或环境标志产品目录或无线局域网产品目录，应提供相关证明，在评审时予以优先采购，具体优先采购办法见第6章评审方法和标准。</w:t>
      </w:r>
    </w:p>
    <w:p w14:paraId="00BDF3A0">
      <w:pPr>
        <w:pStyle w:val="7"/>
        <w:spacing w:before="0" w:after="0" w:line="360" w:lineRule="auto"/>
        <w:rPr>
          <w:rFonts w:hint="eastAsia" w:ascii="黑体" w:hAnsi="黑体" w:eastAsia="黑体" w:cs="黑体"/>
          <w:color w:val="auto"/>
          <w:sz w:val="24"/>
          <w:szCs w:val="21"/>
          <w:u w:val="none"/>
        </w:rPr>
      </w:pPr>
      <w:bookmarkStart w:id="161" w:name="_Toc6346_WPSOffice_Level2"/>
      <w:bookmarkStart w:id="162" w:name="_Toc518923086"/>
      <w:bookmarkStart w:id="163" w:name="_Toc8603"/>
      <w:bookmarkStart w:id="164" w:name="_Toc26452_WPSOffice_Level2"/>
      <w:r>
        <w:rPr>
          <w:rFonts w:hint="eastAsia" w:ascii="黑体" w:hAnsi="黑体" w:eastAsia="黑体" w:cs="黑体"/>
          <w:color w:val="auto"/>
          <w:sz w:val="24"/>
          <w:szCs w:val="21"/>
          <w:u w:val="none"/>
        </w:rPr>
        <w:t>21.响应偏离</w:t>
      </w:r>
      <w:bookmarkEnd w:id="161"/>
      <w:bookmarkEnd w:id="162"/>
      <w:bookmarkEnd w:id="163"/>
      <w:bookmarkEnd w:id="164"/>
    </w:p>
    <w:p w14:paraId="6DC49A9D">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评审委员会可以接受响应文件中不构成实质性偏离的不正规或不一致</w:t>
      </w:r>
      <w:r>
        <w:rPr>
          <w:rFonts w:hint="eastAsia" w:ascii="黑体" w:hAnsi="黑体" w:eastAsia="黑体" w:cs="黑体"/>
          <w:color w:val="auto"/>
          <w:sz w:val="24"/>
          <w:lang w:eastAsia="zh-CN"/>
        </w:rPr>
        <w:t>，</w:t>
      </w:r>
      <w:r>
        <w:rPr>
          <w:rFonts w:hint="eastAsia" w:ascii="黑体" w:hAnsi="黑体" w:eastAsia="黑体" w:cs="黑体"/>
          <w:color w:val="auto"/>
          <w:sz w:val="24"/>
          <w:lang w:val="en-US" w:eastAsia="zh-CN"/>
        </w:rPr>
        <w:t>但技术参数除外，即技术参数均不允许有负偏离现象，否则按无效投标处理</w:t>
      </w:r>
      <w:r>
        <w:rPr>
          <w:rFonts w:hint="eastAsia" w:ascii="黑体" w:hAnsi="黑体" w:eastAsia="黑体" w:cs="黑体"/>
          <w:color w:val="auto"/>
          <w:sz w:val="24"/>
        </w:rPr>
        <w:t>。</w:t>
      </w:r>
    </w:p>
    <w:p w14:paraId="53B66BA6">
      <w:pPr>
        <w:pStyle w:val="7"/>
        <w:spacing w:before="0" w:after="0" w:line="360" w:lineRule="auto"/>
        <w:rPr>
          <w:rFonts w:hint="eastAsia" w:ascii="黑体" w:hAnsi="黑体" w:eastAsia="黑体" w:cs="黑体"/>
          <w:color w:val="auto"/>
          <w:sz w:val="24"/>
          <w:szCs w:val="21"/>
          <w:u w:val="none"/>
        </w:rPr>
      </w:pPr>
      <w:bookmarkStart w:id="165" w:name="_Toc11645_WPSOffice_Level2"/>
      <w:bookmarkStart w:id="166" w:name="_Toc25236_WPSOffice_Level2"/>
      <w:bookmarkStart w:id="167" w:name="_Toc518923087"/>
      <w:bookmarkStart w:id="168" w:name="_Toc25255"/>
      <w:r>
        <w:rPr>
          <w:rFonts w:hint="eastAsia" w:ascii="黑体" w:hAnsi="黑体" w:eastAsia="黑体" w:cs="黑体"/>
          <w:color w:val="auto"/>
          <w:sz w:val="24"/>
          <w:szCs w:val="21"/>
          <w:u w:val="none"/>
        </w:rPr>
        <w:t>22.响应无效</w:t>
      </w:r>
      <w:bookmarkEnd w:id="165"/>
      <w:bookmarkEnd w:id="166"/>
      <w:bookmarkEnd w:id="167"/>
      <w:bookmarkEnd w:id="168"/>
    </w:p>
    <w:p w14:paraId="0E552B9F">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22.1在比较与评价之前，根据本须知的规定，评审委员会要审查每份响应文件是否实质上响应了磋商文件的要求。实质上响应的响应文件应该是与磋商文件要求的全部条款、条件和规格相符，没有重大偏离的响应。对关键条款的偏离，将被认定为无效。</w:t>
      </w:r>
      <w:r>
        <w:rPr>
          <w:rFonts w:hint="eastAsia" w:ascii="黑体" w:hAnsi="黑体" w:eastAsia="黑体" w:cs="黑体"/>
          <w:color w:val="auto"/>
          <w:sz w:val="24"/>
          <w:lang w:eastAsia="zh-CN"/>
        </w:rPr>
        <w:t>供应商</w:t>
      </w:r>
      <w:r>
        <w:rPr>
          <w:rFonts w:hint="eastAsia" w:ascii="黑体" w:hAnsi="黑体" w:eastAsia="黑体" w:cs="黑体"/>
          <w:color w:val="auto"/>
          <w:sz w:val="24"/>
        </w:rPr>
        <w:t>不得通过修正或撤销不符合要求的偏离从而使其</w:t>
      </w:r>
      <w:r>
        <w:rPr>
          <w:rFonts w:hint="eastAsia" w:ascii="黑体" w:hAnsi="黑体" w:eastAsia="黑体" w:cs="黑体"/>
          <w:color w:val="auto"/>
          <w:sz w:val="24"/>
          <w:lang w:eastAsia="zh-CN"/>
        </w:rPr>
        <w:t>响应文件</w:t>
      </w:r>
      <w:r>
        <w:rPr>
          <w:rFonts w:hint="eastAsia" w:ascii="黑体" w:hAnsi="黑体" w:eastAsia="黑体" w:cs="黑体"/>
          <w:color w:val="auto"/>
          <w:sz w:val="24"/>
        </w:rPr>
        <w:t>成为实质上响应。</w:t>
      </w:r>
    </w:p>
    <w:p w14:paraId="7FAD8CCA">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磋商小组决定磋商的响应性只根据磋商文件要求、响应文件内容及财政主管部门指定相关信息发布媒体。</w:t>
      </w:r>
    </w:p>
    <w:p w14:paraId="7EAAE3FD">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22.2如发现下列情况之一的，其磋商将被认定为无效：（</w:t>
      </w:r>
      <w:r>
        <w:rPr>
          <w:rFonts w:hint="eastAsia" w:ascii="黑体" w:hAnsi="黑体" w:eastAsia="黑体" w:cs="黑体"/>
          <w:b/>
          <w:color w:val="auto"/>
          <w:sz w:val="24"/>
        </w:rPr>
        <w:t>以下情形应当在磋商文件中规定，并以醒目的方式标明</w:t>
      </w:r>
      <w:r>
        <w:rPr>
          <w:rFonts w:hint="eastAsia" w:ascii="黑体" w:hAnsi="黑体" w:eastAsia="黑体" w:cs="黑体"/>
          <w:color w:val="auto"/>
          <w:sz w:val="24"/>
        </w:rPr>
        <w:t>）</w:t>
      </w:r>
    </w:p>
    <w:p w14:paraId="1AF413B7">
      <w:pPr>
        <w:numPr>
          <w:ilvl w:val="0"/>
          <w:numId w:val="0"/>
        </w:numPr>
        <w:spacing w:line="360" w:lineRule="auto"/>
        <w:ind w:left="0" w:leftChars="0" w:firstLine="420" w:firstLineChars="175"/>
        <w:rPr>
          <w:rFonts w:hint="eastAsia" w:ascii="黑体" w:hAnsi="黑体" w:eastAsia="黑体" w:cs="黑体"/>
          <w:b/>
          <w:bCs/>
          <w:color w:val="auto"/>
          <w:sz w:val="24"/>
        </w:rPr>
      </w:pPr>
      <w:r>
        <w:rPr>
          <w:rFonts w:hint="eastAsia" w:ascii="仿宋_GB2312" w:hAnsi="宋体" w:eastAsia="仿宋_GB2312" w:cs="Times New Roman"/>
          <w:b/>
          <w:bCs/>
          <w:color w:val="auto"/>
          <w:kern w:val="2"/>
          <w:sz w:val="24"/>
          <w:szCs w:val="24"/>
          <w:lang w:val="en-US" w:eastAsia="zh-CN" w:bidi="ar-SA"/>
        </w:rPr>
        <w:t>（1）</w:t>
      </w:r>
      <w:r>
        <w:rPr>
          <w:rFonts w:hint="eastAsia" w:ascii="黑体" w:hAnsi="黑体" w:eastAsia="黑体" w:cs="黑体"/>
          <w:b/>
          <w:bCs/>
          <w:color w:val="auto"/>
          <w:sz w:val="24"/>
        </w:rPr>
        <w:t>未按磋商文件规定的形式和金额提交磋商保证金的；</w:t>
      </w:r>
    </w:p>
    <w:p w14:paraId="4F109FF7">
      <w:pPr>
        <w:numPr>
          <w:ilvl w:val="0"/>
          <w:numId w:val="0"/>
        </w:numPr>
        <w:spacing w:line="360" w:lineRule="auto"/>
        <w:ind w:left="0" w:leftChars="0" w:firstLine="420" w:firstLineChars="175"/>
        <w:rPr>
          <w:rFonts w:hint="eastAsia" w:ascii="黑体" w:hAnsi="黑体" w:eastAsia="黑体" w:cs="黑体"/>
          <w:b/>
          <w:bCs/>
          <w:color w:val="auto"/>
          <w:sz w:val="24"/>
        </w:rPr>
      </w:pPr>
      <w:r>
        <w:rPr>
          <w:rFonts w:hint="eastAsia" w:ascii="仿宋_GB2312" w:hAnsi="宋体" w:eastAsia="仿宋_GB2312" w:cs="Times New Roman"/>
          <w:b/>
          <w:bCs/>
          <w:color w:val="auto"/>
          <w:kern w:val="2"/>
          <w:sz w:val="24"/>
          <w:szCs w:val="24"/>
          <w:lang w:val="en-US" w:eastAsia="zh-CN" w:bidi="ar-SA"/>
        </w:rPr>
        <w:t>（2）</w:t>
      </w:r>
      <w:r>
        <w:rPr>
          <w:rFonts w:hint="eastAsia" w:ascii="黑体" w:hAnsi="黑体" w:eastAsia="黑体" w:cs="黑体"/>
          <w:b/>
          <w:bCs/>
          <w:color w:val="auto"/>
          <w:sz w:val="24"/>
        </w:rPr>
        <w:t>未按照磋商文件规定要求签署、盖章的；</w:t>
      </w:r>
    </w:p>
    <w:p w14:paraId="5D25EA49">
      <w:pPr>
        <w:numPr>
          <w:ilvl w:val="0"/>
          <w:numId w:val="0"/>
        </w:numPr>
        <w:spacing w:line="360" w:lineRule="auto"/>
        <w:ind w:left="0" w:leftChars="0" w:firstLine="420" w:firstLineChars="175"/>
        <w:rPr>
          <w:rFonts w:hint="eastAsia" w:ascii="黑体" w:hAnsi="黑体" w:eastAsia="黑体" w:cs="黑体"/>
          <w:b/>
          <w:bCs/>
          <w:color w:val="auto"/>
          <w:sz w:val="24"/>
        </w:rPr>
      </w:pPr>
      <w:r>
        <w:rPr>
          <w:rFonts w:hint="eastAsia" w:ascii="仿宋_GB2312" w:hAnsi="宋体" w:eastAsia="仿宋_GB2312" w:cs="Times New Roman"/>
          <w:b/>
          <w:bCs/>
          <w:color w:val="auto"/>
          <w:kern w:val="2"/>
          <w:sz w:val="24"/>
          <w:szCs w:val="24"/>
          <w:lang w:val="en-US" w:eastAsia="zh-CN" w:bidi="ar-SA"/>
        </w:rPr>
        <w:t>（3）</w:t>
      </w:r>
      <w:r>
        <w:rPr>
          <w:rFonts w:hint="eastAsia" w:ascii="黑体" w:hAnsi="黑体" w:eastAsia="黑体" w:cs="黑体"/>
          <w:b/>
          <w:bCs/>
          <w:color w:val="auto"/>
          <w:sz w:val="24"/>
        </w:rPr>
        <w:t>未满足磋商文件中技术条款的实质性要求；</w:t>
      </w:r>
    </w:p>
    <w:p w14:paraId="03F4DFD1">
      <w:pPr>
        <w:numPr>
          <w:ilvl w:val="0"/>
          <w:numId w:val="0"/>
        </w:numPr>
        <w:spacing w:line="360" w:lineRule="auto"/>
        <w:ind w:left="0" w:leftChars="0" w:firstLine="420" w:firstLineChars="175"/>
        <w:rPr>
          <w:rFonts w:hint="eastAsia" w:ascii="黑体" w:hAnsi="黑体" w:eastAsia="黑体" w:cs="黑体"/>
          <w:b/>
          <w:bCs/>
          <w:color w:val="auto"/>
          <w:sz w:val="24"/>
        </w:rPr>
      </w:pPr>
      <w:r>
        <w:rPr>
          <w:rFonts w:hint="eastAsia" w:ascii="仿宋_GB2312" w:hAnsi="宋体" w:eastAsia="仿宋_GB2312" w:cs="Times New Roman"/>
          <w:b/>
          <w:bCs/>
          <w:color w:val="auto"/>
          <w:kern w:val="2"/>
          <w:sz w:val="24"/>
          <w:szCs w:val="24"/>
          <w:lang w:val="en-US" w:eastAsia="zh-CN" w:bidi="ar-SA"/>
        </w:rPr>
        <w:t>（4）</w:t>
      </w:r>
      <w:r>
        <w:rPr>
          <w:rFonts w:hint="eastAsia" w:ascii="黑体" w:hAnsi="黑体" w:eastAsia="黑体" w:cs="黑体"/>
          <w:b/>
          <w:bCs/>
          <w:color w:val="auto"/>
          <w:sz w:val="24"/>
        </w:rPr>
        <w:t>与其他</w:t>
      </w:r>
      <w:r>
        <w:rPr>
          <w:rFonts w:hint="eastAsia" w:ascii="黑体" w:hAnsi="黑体" w:eastAsia="黑体" w:cs="黑体"/>
          <w:b/>
          <w:bCs/>
          <w:color w:val="auto"/>
          <w:sz w:val="24"/>
          <w:lang w:eastAsia="zh-CN"/>
        </w:rPr>
        <w:t>供应商</w:t>
      </w:r>
      <w:r>
        <w:rPr>
          <w:rFonts w:hint="eastAsia" w:ascii="黑体" w:hAnsi="黑体" w:eastAsia="黑体" w:cs="黑体"/>
          <w:b/>
          <w:bCs/>
          <w:color w:val="auto"/>
          <w:sz w:val="24"/>
        </w:rPr>
        <w:t>串通参加磋商，或者与采购人串通参加磋商；</w:t>
      </w:r>
    </w:p>
    <w:p w14:paraId="5B3C9DAC">
      <w:pPr>
        <w:numPr>
          <w:ilvl w:val="0"/>
          <w:numId w:val="0"/>
        </w:numPr>
        <w:spacing w:line="360" w:lineRule="auto"/>
        <w:ind w:left="0" w:leftChars="0" w:firstLine="420" w:firstLineChars="175"/>
        <w:rPr>
          <w:rFonts w:hint="eastAsia" w:ascii="黑体" w:hAnsi="黑体" w:eastAsia="黑体" w:cs="黑体"/>
          <w:b/>
          <w:bCs/>
          <w:color w:val="auto"/>
          <w:sz w:val="24"/>
        </w:rPr>
      </w:pPr>
      <w:r>
        <w:rPr>
          <w:rFonts w:hint="eastAsia" w:ascii="仿宋_GB2312" w:hAnsi="宋体" w:eastAsia="仿宋_GB2312" w:cs="Times New Roman"/>
          <w:b/>
          <w:bCs/>
          <w:color w:val="auto"/>
          <w:kern w:val="2"/>
          <w:sz w:val="24"/>
          <w:szCs w:val="24"/>
          <w:lang w:val="en-US" w:eastAsia="zh-CN" w:bidi="ar-SA"/>
        </w:rPr>
        <w:t>（5）</w:t>
      </w:r>
      <w:r>
        <w:rPr>
          <w:rFonts w:hint="eastAsia" w:ascii="黑体" w:hAnsi="黑体" w:eastAsia="黑体" w:cs="黑体"/>
          <w:b/>
          <w:bCs/>
          <w:color w:val="auto"/>
          <w:sz w:val="24"/>
        </w:rPr>
        <w:t>属于磋商文件规定的其他</w:t>
      </w:r>
      <w:r>
        <w:rPr>
          <w:rFonts w:hint="eastAsia" w:ascii="黑体" w:hAnsi="黑体" w:eastAsia="黑体" w:cs="黑体"/>
          <w:b/>
          <w:bCs/>
          <w:color w:val="auto"/>
          <w:sz w:val="24"/>
          <w:lang w:eastAsia="zh-CN"/>
        </w:rPr>
        <w:t>响应</w:t>
      </w:r>
      <w:r>
        <w:rPr>
          <w:rFonts w:hint="eastAsia" w:ascii="黑体" w:hAnsi="黑体" w:eastAsia="黑体" w:cs="黑体"/>
          <w:b/>
          <w:bCs/>
          <w:color w:val="auto"/>
          <w:sz w:val="24"/>
        </w:rPr>
        <w:t>无效情形；</w:t>
      </w:r>
    </w:p>
    <w:p w14:paraId="41FB95F3">
      <w:pPr>
        <w:numPr>
          <w:ilvl w:val="0"/>
          <w:numId w:val="0"/>
        </w:numPr>
        <w:spacing w:line="360" w:lineRule="auto"/>
        <w:ind w:left="0" w:leftChars="0" w:firstLine="420" w:firstLineChars="175"/>
        <w:rPr>
          <w:rFonts w:hint="eastAsia" w:ascii="黑体" w:hAnsi="黑体" w:eastAsia="黑体" w:cs="黑体"/>
          <w:b/>
          <w:bCs/>
          <w:color w:val="auto"/>
          <w:sz w:val="24"/>
        </w:rPr>
      </w:pPr>
      <w:r>
        <w:rPr>
          <w:rFonts w:hint="eastAsia" w:ascii="仿宋_GB2312" w:hAnsi="宋体" w:eastAsia="仿宋_GB2312" w:cs="Times New Roman"/>
          <w:b/>
          <w:bCs/>
          <w:color w:val="auto"/>
          <w:kern w:val="2"/>
          <w:sz w:val="24"/>
          <w:szCs w:val="24"/>
          <w:lang w:val="en-US" w:eastAsia="zh-CN" w:bidi="ar-SA"/>
        </w:rPr>
        <w:t>（6）</w:t>
      </w:r>
      <w:r>
        <w:rPr>
          <w:rFonts w:hint="eastAsia" w:ascii="黑体" w:hAnsi="黑体" w:eastAsia="黑体" w:cs="黑体"/>
          <w:b/>
          <w:bCs/>
          <w:color w:val="auto"/>
          <w:sz w:val="24"/>
        </w:rPr>
        <w:t>评审委员会认为</w:t>
      </w:r>
      <w:r>
        <w:rPr>
          <w:rFonts w:hint="eastAsia" w:ascii="黑体" w:hAnsi="黑体" w:eastAsia="黑体" w:cs="黑体"/>
          <w:b/>
          <w:bCs/>
          <w:color w:val="auto"/>
          <w:sz w:val="24"/>
          <w:lang w:eastAsia="zh-CN"/>
        </w:rPr>
        <w:t>供应商</w:t>
      </w:r>
      <w:r>
        <w:rPr>
          <w:rFonts w:hint="eastAsia" w:ascii="黑体" w:hAnsi="黑体" w:eastAsia="黑体" w:cs="黑体"/>
          <w:b/>
          <w:bCs/>
          <w:color w:val="auto"/>
          <w:sz w:val="24"/>
        </w:rPr>
        <w:t>的报价明显低于其他通过符合性检查供</w:t>
      </w:r>
    </w:p>
    <w:p w14:paraId="6FB064DA">
      <w:pPr>
        <w:spacing w:line="360" w:lineRule="auto"/>
        <w:ind w:left="0" w:leftChars="0" w:firstLine="420" w:firstLineChars="175"/>
        <w:rPr>
          <w:rFonts w:hint="eastAsia" w:ascii="黑体" w:hAnsi="黑体" w:eastAsia="黑体" w:cs="黑体"/>
          <w:b/>
          <w:bCs/>
          <w:color w:val="auto"/>
          <w:sz w:val="24"/>
        </w:rPr>
      </w:pPr>
      <w:r>
        <w:rPr>
          <w:rFonts w:hint="eastAsia" w:ascii="黑体" w:hAnsi="黑体" w:eastAsia="黑体" w:cs="黑体"/>
          <w:b/>
          <w:bCs/>
          <w:color w:val="auto"/>
          <w:sz w:val="24"/>
        </w:rPr>
        <w:t>应商的报价，有可能影响履约的，且</w:t>
      </w:r>
      <w:r>
        <w:rPr>
          <w:rFonts w:hint="eastAsia" w:ascii="黑体" w:hAnsi="黑体" w:eastAsia="黑体" w:cs="黑体"/>
          <w:b/>
          <w:bCs/>
          <w:color w:val="auto"/>
          <w:sz w:val="24"/>
          <w:lang w:eastAsia="zh-CN"/>
        </w:rPr>
        <w:t>供应商</w:t>
      </w:r>
      <w:r>
        <w:rPr>
          <w:rFonts w:hint="eastAsia" w:ascii="黑体" w:hAnsi="黑体" w:eastAsia="黑体" w:cs="黑体"/>
          <w:b/>
          <w:bCs/>
          <w:color w:val="auto"/>
          <w:sz w:val="24"/>
        </w:rPr>
        <w:t>未按照规定证明其报价合理性的；</w:t>
      </w:r>
    </w:p>
    <w:p w14:paraId="40AF0B3C">
      <w:pPr>
        <w:numPr>
          <w:ilvl w:val="0"/>
          <w:numId w:val="0"/>
        </w:numPr>
        <w:spacing w:line="360" w:lineRule="auto"/>
        <w:ind w:left="0" w:leftChars="0" w:firstLine="420" w:firstLineChars="175"/>
        <w:rPr>
          <w:rFonts w:hint="eastAsia" w:ascii="黑体" w:hAnsi="黑体" w:eastAsia="黑体" w:cs="黑体"/>
          <w:b/>
          <w:bCs/>
          <w:color w:val="auto"/>
          <w:sz w:val="24"/>
        </w:rPr>
      </w:pPr>
      <w:r>
        <w:rPr>
          <w:rFonts w:hint="eastAsia" w:ascii="仿宋_GB2312" w:hAnsi="宋体" w:eastAsia="仿宋_GB2312" w:cs="Times New Roman"/>
          <w:b/>
          <w:bCs/>
          <w:color w:val="auto"/>
          <w:kern w:val="2"/>
          <w:sz w:val="24"/>
          <w:szCs w:val="24"/>
          <w:lang w:val="en-US" w:eastAsia="zh-CN" w:bidi="ar-SA"/>
        </w:rPr>
        <w:t>（7）</w:t>
      </w:r>
      <w:r>
        <w:rPr>
          <w:rFonts w:hint="eastAsia" w:ascii="黑体" w:hAnsi="黑体" w:eastAsia="黑体" w:cs="黑体"/>
          <w:b/>
          <w:bCs/>
          <w:color w:val="auto"/>
          <w:sz w:val="24"/>
        </w:rPr>
        <w:t>响应文件含有采购人不能接受的附加条件的；</w:t>
      </w:r>
    </w:p>
    <w:p w14:paraId="2C99F3DB">
      <w:pPr>
        <w:numPr>
          <w:ilvl w:val="0"/>
          <w:numId w:val="0"/>
        </w:numPr>
        <w:tabs>
          <w:tab w:val="left" w:pos="0"/>
        </w:tabs>
        <w:spacing w:line="360" w:lineRule="auto"/>
        <w:ind w:left="0" w:leftChars="0" w:firstLine="420" w:firstLineChars="175"/>
        <w:rPr>
          <w:rFonts w:hint="eastAsia" w:ascii="黑体" w:hAnsi="黑体" w:eastAsia="黑体" w:cs="黑体"/>
          <w:color w:val="auto"/>
          <w:sz w:val="24"/>
        </w:rPr>
      </w:pPr>
      <w:r>
        <w:rPr>
          <w:rFonts w:hint="eastAsia" w:ascii="仿宋_GB2312" w:hAnsi="宋体" w:eastAsia="仿宋_GB2312" w:cs="Times New Roman"/>
          <w:color w:val="auto"/>
          <w:kern w:val="2"/>
          <w:sz w:val="24"/>
          <w:szCs w:val="24"/>
          <w:lang w:val="en-US" w:eastAsia="zh-CN" w:bidi="ar-SA"/>
        </w:rPr>
        <w:t>（8）</w:t>
      </w:r>
      <w:r>
        <w:rPr>
          <w:rFonts w:hint="eastAsia" w:ascii="黑体" w:hAnsi="黑体" w:eastAsia="黑体" w:cs="黑体"/>
          <w:b/>
          <w:bCs/>
          <w:color w:val="auto"/>
          <w:sz w:val="24"/>
        </w:rPr>
        <w:t>不符合法规和磋商文件中规定的其他实质性要求的。</w:t>
      </w:r>
    </w:p>
    <w:p w14:paraId="4C1C97A8">
      <w:pPr>
        <w:spacing w:line="360" w:lineRule="auto"/>
        <w:outlineLvl w:val="2"/>
        <w:rPr>
          <w:rFonts w:hint="eastAsia" w:ascii="黑体" w:hAnsi="黑体" w:eastAsia="黑体" w:cs="黑体"/>
          <w:b/>
          <w:bCs/>
          <w:color w:val="auto"/>
          <w:sz w:val="24"/>
        </w:rPr>
      </w:pPr>
      <w:bookmarkStart w:id="169" w:name="_Toc20835"/>
      <w:bookmarkStart w:id="170" w:name="_Toc14330_WPSOffice_Level2"/>
      <w:bookmarkStart w:id="171" w:name="_Toc22743_WPSOffice_Level2"/>
      <w:bookmarkStart w:id="172" w:name="_Toc518923088"/>
      <w:r>
        <w:rPr>
          <w:rFonts w:hint="eastAsia" w:ascii="黑体" w:hAnsi="黑体" w:eastAsia="黑体" w:cs="黑体"/>
          <w:b/>
          <w:bCs/>
          <w:color w:val="auto"/>
          <w:sz w:val="24"/>
        </w:rPr>
        <w:t>23</w:t>
      </w:r>
      <w:bookmarkEnd w:id="160"/>
      <w:r>
        <w:rPr>
          <w:rFonts w:hint="eastAsia" w:ascii="黑体" w:hAnsi="黑体" w:eastAsia="黑体" w:cs="黑体"/>
          <w:b/>
          <w:bCs/>
          <w:color w:val="auto"/>
          <w:sz w:val="24"/>
        </w:rPr>
        <w:t>.比较与评价</w:t>
      </w:r>
      <w:bookmarkEnd w:id="169"/>
      <w:bookmarkEnd w:id="170"/>
      <w:bookmarkEnd w:id="171"/>
      <w:bookmarkEnd w:id="172"/>
    </w:p>
    <w:p w14:paraId="5E184939">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23.1经符合性审查合格的响应文件，评审委员会将根据磋商文件确定的评审方法和标准，对其技术部分和商务部分作进一步的比较和评价。</w:t>
      </w:r>
    </w:p>
    <w:p w14:paraId="190A6868">
      <w:pPr>
        <w:pStyle w:val="27"/>
        <w:spacing w:line="360" w:lineRule="auto"/>
        <w:ind w:left="0" w:leftChars="0" w:firstLine="420" w:firstLineChars="175"/>
        <w:rPr>
          <w:rFonts w:hint="eastAsia" w:ascii="黑体" w:hAnsi="黑体" w:eastAsia="黑体" w:cs="黑体"/>
          <w:b/>
          <w:bCs/>
          <w:color w:val="auto"/>
          <w:sz w:val="24"/>
          <w:highlight w:val="none"/>
          <w:u w:val="single"/>
        </w:rPr>
      </w:pPr>
      <w:r>
        <w:rPr>
          <w:rFonts w:hint="eastAsia" w:ascii="黑体" w:hAnsi="黑体" w:eastAsia="黑体" w:cs="黑体"/>
          <w:b/>
          <w:bCs/>
          <w:color w:val="auto"/>
          <w:sz w:val="24"/>
          <w:highlight w:val="none"/>
          <w:u w:val="single"/>
        </w:rPr>
        <w:t>竞争性磋商共有两次报价，二次报价为最终报价，并给予所有参加磋商的</w:t>
      </w:r>
      <w:r>
        <w:rPr>
          <w:rFonts w:hint="eastAsia" w:ascii="黑体" w:hAnsi="黑体" w:eastAsia="黑体" w:cs="黑体"/>
          <w:b/>
          <w:bCs/>
          <w:color w:val="auto"/>
          <w:sz w:val="24"/>
          <w:highlight w:val="none"/>
          <w:u w:val="single"/>
          <w:lang w:eastAsia="zh-CN"/>
        </w:rPr>
        <w:t>供应商</w:t>
      </w:r>
      <w:r>
        <w:rPr>
          <w:rFonts w:hint="eastAsia" w:ascii="黑体" w:hAnsi="黑体" w:eastAsia="黑体" w:cs="黑体"/>
          <w:b/>
          <w:bCs/>
          <w:color w:val="auto"/>
          <w:sz w:val="24"/>
          <w:highlight w:val="none"/>
          <w:u w:val="single"/>
        </w:rPr>
        <w:t>平等的磋商机会，磋商小组要求所有实质性响应的</w:t>
      </w:r>
      <w:r>
        <w:rPr>
          <w:rFonts w:hint="eastAsia" w:ascii="黑体" w:hAnsi="黑体" w:eastAsia="黑体" w:cs="黑体"/>
          <w:b/>
          <w:bCs/>
          <w:color w:val="auto"/>
          <w:sz w:val="24"/>
          <w:highlight w:val="none"/>
          <w:u w:val="single"/>
          <w:lang w:eastAsia="zh-CN"/>
        </w:rPr>
        <w:t>供应商</w:t>
      </w:r>
      <w:r>
        <w:rPr>
          <w:rFonts w:hint="eastAsia" w:ascii="黑体" w:hAnsi="黑体" w:eastAsia="黑体" w:cs="黑体"/>
          <w:b/>
          <w:bCs/>
          <w:color w:val="auto"/>
          <w:sz w:val="24"/>
          <w:highlight w:val="none"/>
          <w:u w:val="single"/>
        </w:rPr>
        <w:t>在规定时间内提交最后报价，最后报价是</w:t>
      </w:r>
      <w:r>
        <w:rPr>
          <w:rFonts w:hint="eastAsia" w:ascii="黑体" w:hAnsi="黑体" w:eastAsia="黑体" w:cs="黑体"/>
          <w:b/>
          <w:bCs/>
          <w:color w:val="auto"/>
          <w:sz w:val="24"/>
          <w:highlight w:val="none"/>
          <w:u w:val="single"/>
          <w:lang w:eastAsia="zh-CN"/>
        </w:rPr>
        <w:t>供应商</w:t>
      </w:r>
      <w:r>
        <w:rPr>
          <w:rFonts w:hint="eastAsia" w:ascii="黑体" w:hAnsi="黑体" w:eastAsia="黑体" w:cs="黑体"/>
          <w:b/>
          <w:bCs/>
          <w:color w:val="auto"/>
          <w:sz w:val="24"/>
          <w:highlight w:val="none"/>
          <w:u w:val="single"/>
        </w:rPr>
        <w:t>响应文件的有效组成部分，经磋商确定最终采购需求和提交最后报价的</w:t>
      </w:r>
      <w:r>
        <w:rPr>
          <w:rFonts w:hint="eastAsia" w:ascii="黑体" w:hAnsi="黑体" w:eastAsia="黑体" w:cs="黑体"/>
          <w:b/>
          <w:bCs/>
          <w:color w:val="auto"/>
          <w:sz w:val="24"/>
          <w:highlight w:val="none"/>
          <w:u w:val="single"/>
          <w:lang w:eastAsia="zh-CN"/>
        </w:rPr>
        <w:t>供应商</w:t>
      </w:r>
      <w:r>
        <w:rPr>
          <w:rFonts w:hint="eastAsia" w:ascii="黑体" w:hAnsi="黑体" w:eastAsia="黑体" w:cs="黑体"/>
          <w:b/>
          <w:bCs/>
          <w:color w:val="auto"/>
          <w:sz w:val="24"/>
          <w:highlight w:val="none"/>
          <w:u w:val="single"/>
        </w:rPr>
        <w:t>后，由磋商小组采用综合评分法对提交最后报价的</w:t>
      </w:r>
      <w:r>
        <w:rPr>
          <w:rFonts w:hint="eastAsia" w:ascii="黑体" w:hAnsi="黑体" w:eastAsia="黑体" w:cs="黑体"/>
          <w:b/>
          <w:bCs/>
          <w:color w:val="auto"/>
          <w:sz w:val="24"/>
          <w:highlight w:val="none"/>
          <w:u w:val="single"/>
          <w:lang w:eastAsia="zh-CN"/>
        </w:rPr>
        <w:t>供应商</w:t>
      </w:r>
      <w:r>
        <w:rPr>
          <w:rFonts w:hint="eastAsia" w:ascii="黑体" w:hAnsi="黑体" w:eastAsia="黑体" w:cs="黑体"/>
          <w:b/>
          <w:bCs/>
          <w:color w:val="auto"/>
          <w:sz w:val="24"/>
          <w:highlight w:val="none"/>
          <w:u w:val="single"/>
        </w:rPr>
        <w:t>的响应文件和最后报价进行综合评分。磋商小组各成员应当独立对每个有效响应的文件进行评价、打分，汇总每个</w:t>
      </w:r>
      <w:r>
        <w:rPr>
          <w:rFonts w:hint="eastAsia" w:ascii="黑体" w:hAnsi="黑体" w:eastAsia="黑体" w:cs="黑体"/>
          <w:b/>
          <w:bCs/>
          <w:color w:val="auto"/>
          <w:sz w:val="24"/>
          <w:highlight w:val="none"/>
          <w:u w:val="single"/>
          <w:lang w:eastAsia="zh-CN"/>
        </w:rPr>
        <w:t>供应商</w:t>
      </w:r>
      <w:r>
        <w:rPr>
          <w:rFonts w:hint="eastAsia" w:ascii="黑体" w:hAnsi="黑体" w:eastAsia="黑体" w:cs="黑体"/>
          <w:b/>
          <w:bCs/>
          <w:color w:val="auto"/>
          <w:sz w:val="24"/>
          <w:highlight w:val="none"/>
          <w:u w:val="single"/>
        </w:rPr>
        <w:t>每项评分因素的得分。磋商小组应当从质量和服务均能满足采购文件实质性响应要求的</w:t>
      </w:r>
      <w:r>
        <w:rPr>
          <w:rFonts w:hint="eastAsia" w:ascii="黑体" w:hAnsi="黑体" w:eastAsia="黑体" w:cs="黑体"/>
          <w:b/>
          <w:bCs/>
          <w:color w:val="auto"/>
          <w:sz w:val="24"/>
          <w:highlight w:val="none"/>
          <w:u w:val="single"/>
          <w:lang w:eastAsia="zh-CN"/>
        </w:rPr>
        <w:t>供应商</w:t>
      </w:r>
      <w:r>
        <w:rPr>
          <w:rFonts w:hint="eastAsia" w:ascii="黑体" w:hAnsi="黑体" w:eastAsia="黑体" w:cs="黑体"/>
          <w:b/>
          <w:bCs/>
          <w:color w:val="auto"/>
          <w:sz w:val="24"/>
          <w:highlight w:val="none"/>
          <w:u w:val="single"/>
        </w:rPr>
        <w:t>中，按照综合评分由高到低的顺序提出</w:t>
      </w:r>
      <w:r>
        <w:rPr>
          <w:rFonts w:hint="eastAsia" w:ascii="黑体" w:hAnsi="黑体" w:eastAsia="黑体" w:cs="黑体"/>
          <w:b/>
          <w:bCs/>
          <w:color w:val="auto"/>
          <w:sz w:val="24"/>
          <w:highlight w:val="none"/>
          <w:u w:val="single"/>
          <w:lang w:val="en-US" w:eastAsia="zh-CN"/>
        </w:rPr>
        <w:t>中标</w:t>
      </w:r>
      <w:r>
        <w:rPr>
          <w:rFonts w:hint="eastAsia" w:ascii="黑体" w:hAnsi="黑体" w:eastAsia="黑体" w:cs="黑体"/>
          <w:b/>
          <w:bCs/>
          <w:color w:val="auto"/>
          <w:sz w:val="24"/>
          <w:highlight w:val="none"/>
          <w:u w:val="single"/>
        </w:rPr>
        <w:t>候选人，并编写评审报告，将结果通知所有参加磋商的未</w:t>
      </w:r>
      <w:r>
        <w:rPr>
          <w:rFonts w:hint="eastAsia" w:ascii="黑体" w:hAnsi="黑体" w:eastAsia="黑体" w:cs="黑体"/>
          <w:b/>
          <w:bCs/>
          <w:color w:val="auto"/>
          <w:sz w:val="24"/>
          <w:highlight w:val="none"/>
          <w:u w:val="single"/>
          <w:lang w:val="en-US" w:eastAsia="zh-CN"/>
        </w:rPr>
        <w:t>中标</w:t>
      </w:r>
      <w:r>
        <w:rPr>
          <w:rFonts w:hint="eastAsia" w:ascii="黑体" w:hAnsi="黑体" w:eastAsia="黑体" w:cs="黑体"/>
          <w:b/>
          <w:bCs/>
          <w:color w:val="auto"/>
          <w:sz w:val="24"/>
          <w:highlight w:val="none"/>
          <w:u w:val="single"/>
        </w:rPr>
        <w:t>的</w:t>
      </w:r>
      <w:r>
        <w:rPr>
          <w:rFonts w:hint="eastAsia" w:ascii="黑体" w:hAnsi="黑体" w:eastAsia="黑体" w:cs="黑体"/>
          <w:b/>
          <w:bCs/>
          <w:color w:val="auto"/>
          <w:sz w:val="24"/>
          <w:highlight w:val="none"/>
          <w:u w:val="single"/>
          <w:lang w:eastAsia="zh-CN"/>
        </w:rPr>
        <w:t>供应商</w:t>
      </w:r>
      <w:r>
        <w:rPr>
          <w:rFonts w:hint="eastAsia" w:ascii="黑体" w:hAnsi="黑体" w:eastAsia="黑体" w:cs="黑体"/>
          <w:b/>
          <w:bCs/>
          <w:color w:val="auto"/>
          <w:sz w:val="24"/>
          <w:highlight w:val="none"/>
          <w:u w:val="single"/>
        </w:rPr>
        <w:t>；</w:t>
      </w:r>
    </w:p>
    <w:p w14:paraId="5E311316">
      <w:pPr>
        <w:spacing w:line="360" w:lineRule="auto"/>
        <w:ind w:left="0" w:leftChars="0" w:firstLine="420" w:firstLineChars="175"/>
        <w:rPr>
          <w:rFonts w:hint="eastAsia" w:ascii="黑体" w:hAnsi="黑体" w:eastAsia="黑体" w:cs="黑体"/>
          <w:color w:val="auto"/>
          <w:sz w:val="24"/>
          <w:lang w:eastAsia="zh-CN"/>
        </w:rPr>
      </w:pPr>
      <w:r>
        <w:rPr>
          <w:rFonts w:hint="eastAsia" w:ascii="黑体" w:hAnsi="黑体" w:eastAsia="黑体" w:cs="黑体"/>
          <w:color w:val="auto"/>
          <w:sz w:val="24"/>
        </w:rPr>
        <w:t>23.2评审严格按照磋商文件的要求和条件进行。根据实际情况，在</w:t>
      </w:r>
      <w:r>
        <w:rPr>
          <w:rFonts w:hint="eastAsia" w:ascii="黑体" w:hAnsi="黑体" w:eastAsia="黑体" w:cs="黑体"/>
          <w:color w:val="auto"/>
          <w:sz w:val="24"/>
          <w:u w:val="single"/>
          <w:lang w:eastAsia="zh-CN"/>
        </w:rPr>
        <w:t>供应商</w:t>
      </w:r>
      <w:r>
        <w:rPr>
          <w:rFonts w:hint="eastAsia" w:ascii="黑体" w:hAnsi="黑体" w:eastAsia="黑体" w:cs="黑体"/>
          <w:color w:val="auto"/>
          <w:sz w:val="24"/>
          <w:u w:val="single"/>
        </w:rPr>
        <w:t>须知资料表</w:t>
      </w:r>
      <w:r>
        <w:rPr>
          <w:rFonts w:hint="eastAsia" w:ascii="黑体" w:hAnsi="黑体" w:eastAsia="黑体" w:cs="黑体"/>
          <w:color w:val="auto"/>
          <w:sz w:val="24"/>
        </w:rPr>
        <w:t>中规定采用</w:t>
      </w:r>
      <w:r>
        <w:rPr>
          <w:rFonts w:hint="eastAsia" w:ascii="黑体" w:hAnsi="黑体" w:eastAsia="黑体" w:cs="黑体"/>
          <w:color w:val="auto"/>
          <w:sz w:val="24"/>
          <w:lang w:val="en-US" w:eastAsia="zh-CN"/>
        </w:rPr>
        <w:t>的</w:t>
      </w:r>
      <w:r>
        <w:rPr>
          <w:rFonts w:hint="eastAsia" w:ascii="黑体" w:hAnsi="黑体" w:eastAsia="黑体" w:cs="黑体"/>
          <w:color w:val="auto"/>
          <w:sz w:val="24"/>
        </w:rPr>
        <w:t>评审方法，详细评审标准见磋商文件第六章</w:t>
      </w:r>
      <w:r>
        <w:rPr>
          <w:rFonts w:hint="eastAsia" w:ascii="黑体" w:hAnsi="黑体" w:eastAsia="黑体" w:cs="黑体"/>
          <w:color w:val="auto"/>
          <w:sz w:val="24"/>
          <w:lang w:eastAsia="zh-CN"/>
        </w:rPr>
        <w:t>。</w:t>
      </w:r>
    </w:p>
    <w:p w14:paraId="3CB1B59F">
      <w:pPr>
        <w:pStyle w:val="18"/>
        <w:spacing w:line="360" w:lineRule="auto"/>
        <w:ind w:left="0" w:leftChars="0" w:firstLine="420" w:firstLineChars="175"/>
        <w:rPr>
          <w:rFonts w:hint="eastAsia" w:ascii="黑体" w:hAnsi="黑体" w:eastAsia="黑体" w:cs="黑体"/>
          <w:color w:val="auto"/>
          <w:sz w:val="24"/>
          <w:szCs w:val="24"/>
        </w:rPr>
      </w:pPr>
      <w:r>
        <w:rPr>
          <w:rFonts w:hint="eastAsia" w:ascii="黑体" w:hAnsi="黑体" w:eastAsia="黑体" w:cs="黑体"/>
          <w:color w:val="auto"/>
          <w:sz w:val="24"/>
          <w:szCs w:val="24"/>
        </w:rPr>
        <w:t>综合评分法，是指响应文件满足磋商文件全部实质性要求且按评审因素的量化指标评审得分最高的供应商为</w:t>
      </w:r>
      <w:r>
        <w:rPr>
          <w:rFonts w:hint="eastAsia" w:ascii="黑体" w:hAnsi="黑体" w:eastAsia="黑体" w:cs="黑体"/>
          <w:color w:val="auto"/>
          <w:sz w:val="24"/>
          <w:szCs w:val="24"/>
          <w:lang w:eastAsia="zh-CN"/>
        </w:rPr>
        <w:t>中标</w:t>
      </w:r>
      <w:r>
        <w:rPr>
          <w:rFonts w:hint="eastAsia" w:ascii="黑体" w:hAnsi="黑体" w:eastAsia="黑体" w:cs="黑体"/>
          <w:color w:val="auto"/>
          <w:sz w:val="24"/>
          <w:szCs w:val="24"/>
        </w:rPr>
        <w:t>候选供应商的评审方法。</w:t>
      </w:r>
    </w:p>
    <w:p w14:paraId="58D50BF2">
      <w:pPr>
        <w:pStyle w:val="18"/>
        <w:spacing w:line="360" w:lineRule="auto"/>
        <w:ind w:left="0" w:leftChars="0" w:firstLine="420" w:firstLineChars="175"/>
        <w:rPr>
          <w:rFonts w:hint="eastAsia" w:ascii="黑体" w:hAnsi="黑体" w:eastAsia="黑体" w:cs="黑体"/>
          <w:color w:val="auto"/>
          <w:sz w:val="24"/>
          <w:szCs w:val="24"/>
          <w:highlight w:val="none"/>
        </w:rPr>
      </w:pPr>
      <w:r>
        <w:rPr>
          <w:rFonts w:hint="eastAsia" w:ascii="黑体" w:hAnsi="黑体" w:eastAsia="黑体" w:cs="黑体"/>
          <w:color w:val="auto"/>
          <w:sz w:val="24"/>
          <w:szCs w:val="24"/>
        </w:rPr>
        <w:t>本项目采用</w:t>
      </w:r>
      <w:r>
        <w:rPr>
          <w:rFonts w:hint="eastAsia" w:ascii="黑体" w:hAnsi="黑体" w:eastAsia="黑体" w:cs="黑体"/>
          <w:color w:val="auto"/>
          <w:sz w:val="24"/>
          <w:szCs w:val="24"/>
          <w:highlight w:val="none"/>
        </w:rPr>
        <w:t>采购方式：竞争性磋商，评分方法：综合评分法</w:t>
      </w:r>
    </w:p>
    <w:p w14:paraId="54FCBDC1">
      <w:pPr>
        <w:spacing w:line="360" w:lineRule="auto"/>
        <w:ind w:left="0" w:leftChars="0" w:firstLine="420" w:firstLineChars="175"/>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1、价格因素：</w:t>
      </w:r>
      <w:r>
        <w:rPr>
          <w:rFonts w:hint="eastAsia" w:ascii="黑体" w:hAnsi="黑体" w:eastAsia="黑体" w:cs="黑体"/>
          <w:color w:val="auto"/>
          <w:sz w:val="24"/>
          <w:highlight w:val="none"/>
          <w:lang w:val="en-US" w:eastAsia="zh-CN"/>
        </w:rPr>
        <w:t>30</w:t>
      </w:r>
      <w:r>
        <w:rPr>
          <w:rFonts w:hint="eastAsia" w:ascii="黑体" w:hAnsi="黑体" w:eastAsia="黑体" w:cs="黑体"/>
          <w:color w:val="auto"/>
          <w:sz w:val="24"/>
          <w:highlight w:val="none"/>
        </w:rPr>
        <w:t>分</w:t>
      </w:r>
    </w:p>
    <w:p w14:paraId="5DF9BFF2">
      <w:pPr>
        <w:pStyle w:val="18"/>
        <w:spacing w:line="360" w:lineRule="auto"/>
        <w:ind w:left="0" w:leftChars="0" w:firstLine="420" w:firstLineChars="175"/>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2、商务及技术因素：</w:t>
      </w:r>
      <w:r>
        <w:rPr>
          <w:rFonts w:hint="eastAsia" w:ascii="黑体" w:hAnsi="黑体" w:eastAsia="黑体" w:cs="黑体"/>
          <w:color w:val="auto"/>
          <w:sz w:val="24"/>
          <w:szCs w:val="24"/>
          <w:highlight w:val="none"/>
          <w:lang w:val="en-US" w:eastAsia="zh-CN"/>
        </w:rPr>
        <w:t>70</w:t>
      </w:r>
      <w:r>
        <w:rPr>
          <w:rFonts w:hint="eastAsia" w:ascii="黑体" w:hAnsi="黑体" w:eastAsia="黑体" w:cs="黑体"/>
          <w:color w:val="auto"/>
          <w:sz w:val="24"/>
          <w:szCs w:val="24"/>
          <w:highlight w:val="none"/>
        </w:rPr>
        <w:t>分</w:t>
      </w:r>
    </w:p>
    <w:p w14:paraId="1286D2A2">
      <w:pPr>
        <w:pStyle w:val="18"/>
        <w:spacing w:line="360" w:lineRule="auto"/>
        <w:ind w:left="0" w:leftChars="0" w:firstLine="420" w:firstLineChars="175"/>
        <w:rPr>
          <w:rFonts w:hint="eastAsia" w:ascii="黑体" w:hAnsi="黑体" w:eastAsia="黑体" w:cs="黑体"/>
          <w:color w:val="auto"/>
          <w:sz w:val="24"/>
          <w:szCs w:val="24"/>
        </w:rPr>
      </w:pPr>
      <w:r>
        <w:rPr>
          <w:rFonts w:hint="eastAsia" w:ascii="黑体" w:hAnsi="黑体" w:eastAsia="黑体" w:cs="黑体"/>
          <w:color w:val="auto"/>
          <w:sz w:val="24"/>
          <w:szCs w:val="24"/>
          <w:highlight w:val="none"/>
        </w:rPr>
        <w:t>23.3根据</w:t>
      </w:r>
      <w:r>
        <w:rPr>
          <w:rFonts w:hint="eastAsia" w:ascii="黑体" w:hAnsi="黑体" w:eastAsia="黑体" w:cs="黑体"/>
          <w:color w:val="auto"/>
          <w:sz w:val="24"/>
          <w:szCs w:val="24"/>
          <w:highlight w:val="none"/>
          <w:lang w:eastAsia="zh-CN"/>
        </w:rPr>
        <w:t>《政府采购促进中小企业发展管理办法》（财库〔2020〕46号）</w:t>
      </w:r>
      <w:r>
        <w:rPr>
          <w:rFonts w:hint="eastAsia" w:ascii="黑体" w:hAnsi="黑体" w:eastAsia="黑体" w:cs="黑体"/>
          <w:color w:val="auto"/>
          <w:sz w:val="24"/>
          <w:szCs w:val="24"/>
          <w:highlight w:val="none"/>
        </w:rPr>
        <w:t>、《财政部 司法部关于政府采</w:t>
      </w:r>
      <w:r>
        <w:rPr>
          <w:rFonts w:hint="eastAsia" w:ascii="黑体" w:hAnsi="黑体" w:eastAsia="黑体" w:cs="黑体"/>
          <w:color w:val="auto"/>
          <w:sz w:val="24"/>
          <w:szCs w:val="24"/>
        </w:rPr>
        <w:t>购支持监狱企业发展有关问题的通知》（财库〔2014〕68号）和《三部门联合发布关于促进残疾人就业政府采购政策的通知》（</w:t>
      </w:r>
      <w:bookmarkStart w:id="173" w:name="sendNo"/>
      <w:r>
        <w:rPr>
          <w:rFonts w:hint="eastAsia" w:ascii="黑体" w:hAnsi="黑体" w:eastAsia="黑体" w:cs="黑体"/>
          <w:color w:val="auto"/>
          <w:sz w:val="24"/>
          <w:szCs w:val="24"/>
        </w:rPr>
        <w:t>财库〔</w:t>
      </w:r>
      <w:bookmarkEnd w:id="173"/>
      <w:r>
        <w:rPr>
          <w:rFonts w:hint="eastAsia" w:ascii="黑体" w:hAnsi="黑体" w:eastAsia="黑体" w:cs="黑体"/>
          <w:color w:val="auto"/>
          <w:sz w:val="24"/>
          <w:szCs w:val="24"/>
        </w:rPr>
        <w:t>2017〕141号）的规定，对满足价格扣除条件且在响应文件中提交了《</w:t>
      </w:r>
      <w:r>
        <w:rPr>
          <w:rFonts w:hint="eastAsia" w:ascii="黑体" w:hAnsi="黑体" w:eastAsia="黑体" w:cs="黑体"/>
          <w:color w:val="auto"/>
          <w:sz w:val="24"/>
          <w:szCs w:val="24"/>
          <w:lang w:eastAsia="zh-CN"/>
        </w:rPr>
        <w:t>供应商</w:t>
      </w:r>
      <w:r>
        <w:rPr>
          <w:rFonts w:hint="eastAsia" w:ascii="黑体" w:hAnsi="黑体" w:eastAsia="黑体" w:cs="黑体"/>
          <w:color w:val="auto"/>
          <w:sz w:val="24"/>
          <w:szCs w:val="24"/>
        </w:rPr>
        <w:t>企业类型声明函》或省级以上监狱管理局、戒毒管理局（含新疆生产建设兵团）出具的属于监狱企业的证明文件的</w:t>
      </w:r>
      <w:r>
        <w:rPr>
          <w:rFonts w:hint="eastAsia" w:ascii="黑体" w:hAnsi="黑体" w:eastAsia="黑体" w:cs="黑体"/>
          <w:color w:val="auto"/>
          <w:sz w:val="24"/>
          <w:szCs w:val="24"/>
          <w:lang w:eastAsia="zh-CN"/>
        </w:rPr>
        <w:t>供应商</w:t>
      </w:r>
      <w:r>
        <w:rPr>
          <w:rFonts w:hint="eastAsia" w:ascii="黑体" w:hAnsi="黑体" w:eastAsia="黑体" w:cs="黑体"/>
          <w:color w:val="auto"/>
          <w:sz w:val="24"/>
          <w:szCs w:val="24"/>
        </w:rPr>
        <w:t>，其磋商报价扣除</w:t>
      </w:r>
      <w:r>
        <w:rPr>
          <w:rFonts w:hint="eastAsia" w:ascii="黑体" w:hAnsi="黑体" w:eastAsia="黑体" w:cs="黑体"/>
          <w:color w:val="auto"/>
          <w:sz w:val="24"/>
          <w:szCs w:val="24"/>
          <w:lang w:val="en-US" w:eastAsia="zh-CN"/>
        </w:rPr>
        <w:t>3</w:t>
      </w:r>
      <w:r>
        <w:rPr>
          <w:rFonts w:hint="eastAsia" w:ascii="黑体" w:hAnsi="黑体" w:eastAsia="黑体" w:cs="黑体"/>
          <w:color w:val="auto"/>
          <w:sz w:val="24"/>
          <w:szCs w:val="24"/>
        </w:rPr>
        <w:t>%后参与评审。</w:t>
      </w:r>
      <w:r>
        <w:rPr>
          <w:rFonts w:hint="eastAsia" w:ascii="黑体" w:hAnsi="黑体" w:eastAsia="黑体" w:cs="黑体"/>
          <w:color w:val="auto"/>
          <w:sz w:val="24"/>
          <w:szCs w:val="24"/>
          <w:lang w:val="en-US" w:eastAsia="zh-CN"/>
        </w:rPr>
        <w:t>本项目</w:t>
      </w:r>
      <w:r>
        <w:rPr>
          <w:rFonts w:hint="eastAsia" w:ascii="黑体" w:hAnsi="黑体" w:eastAsia="黑体" w:cs="黑体"/>
          <w:color w:val="auto"/>
          <w:sz w:val="24"/>
          <w:szCs w:val="24"/>
        </w:rPr>
        <w:t>具体办法详见磋商文件第6章。</w:t>
      </w:r>
    </w:p>
    <w:p w14:paraId="65D9437A">
      <w:pPr>
        <w:pStyle w:val="18"/>
        <w:spacing w:line="360" w:lineRule="auto"/>
        <w:ind w:left="0" w:leftChars="0" w:firstLine="420" w:firstLineChars="175"/>
        <w:rPr>
          <w:rFonts w:hint="eastAsia" w:ascii="黑体" w:hAnsi="黑体" w:eastAsia="黑体" w:cs="黑体"/>
          <w:color w:val="auto"/>
          <w:sz w:val="24"/>
          <w:szCs w:val="24"/>
        </w:rPr>
      </w:pPr>
      <w:r>
        <w:rPr>
          <w:rFonts w:hint="eastAsia" w:ascii="黑体" w:hAnsi="黑体" w:eastAsia="黑体" w:cs="黑体"/>
          <w:color w:val="auto"/>
          <w:sz w:val="24"/>
          <w:szCs w:val="24"/>
        </w:rPr>
        <w:t xml:space="preserve">23.4 </w:t>
      </w:r>
      <w:r>
        <w:rPr>
          <w:rFonts w:hint="eastAsia" w:ascii="黑体" w:hAnsi="黑体" w:eastAsia="黑体" w:cs="黑体"/>
          <w:color w:val="auto"/>
          <w:sz w:val="24"/>
          <w:szCs w:val="24"/>
          <w:lang w:eastAsia="zh-CN"/>
        </w:rPr>
        <w:t>供应商</w:t>
      </w:r>
      <w:r>
        <w:rPr>
          <w:rFonts w:hint="eastAsia" w:ascii="黑体" w:hAnsi="黑体" w:eastAsia="黑体" w:cs="黑体"/>
          <w:color w:val="auto"/>
          <w:sz w:val="24"/>
          <w:szCs w:val="24"/>
        </w:rPr>
        <w:t>所投产品如被列入财政部与国家主管部门颁发的节能产品目录或环境标志产品目录或无线局域网产品目录，应提供相关证明，在评审时予以优先采购，具体优惠措施为：</w:t>
      </w:r>
      <w:r>
        <w:rPr>
          <w:rFonts w:hint="eastAsia" w:ascii="黑体" w:hAnsi="黑体" w:eastAsia="黑体" w:cs="黑体"/>
          <w:color w:val="auto"/>
          <w:sz w:val="24"/>
          <w:szCs w:val="24"/>
          <w:lang w:eastAsia="zh-CN"/>
        </w:rPr>
        <w:t>供应商</w:t>
      </w:r>
      <w:r>
        <w:rPr>
          <w:rFonts w:hint="eastAsia" w:ascii="黑体" w:hAnsi="黑体" w:eastAsia="黑体" w:cs="黑体"/>
          <w:color w:val="auto"/>
          <w:sz w:val="24"/>
          <w:szCs w:val="24"/>
        </w:rPr>
        <w:t xml:space="preserve">所投产品应优先选择《财政部 国家发展改革委关于调整公布第二十四期节能产品政府采购清单的通知》（财库〔2018〕73号）、《财政部环境保护部关于调整公布第二十二期环境标志产品政府采购清单的通知》（财库〔2018〕70号）目录内的产品。  </w:t>
      </w:r>
    </w:p>
    <w:p w14:paraId="1E6E9B14">
      <w:pPr>
        <w:pStyle w:val="7"/>
        <w:spacing w:before="0" w:after="0" w:line="360" w:lineRule="auto"/>
        <w:rPr>
          <w:rFonts w:hint="eastAsia" w:ascii="黑体" w:hAnsi="黑体" w:eastAsia="黑体" w:cs="黑体"/>
          <w:color w:val="auto"/>
          <w:kern w:val="2"/>
          <w:sz w:val="24"/>
          <w:szCs w:val="21"/>
          <w:u w:val="none"/>
        </w:rPr>
      </w:pPr>
      <w:bookmarkStart w:id="174" w:name="_Toc520356168"/>
      <w:bookmarkStart w:id="175" w:name="_Toc27560_WPSOffice_Level2"/>
      <w:bookmarkStart w:id="176" w:name="_Toc5823"/>
      <w:bookmarkStart w:id="177" w:name="_Toc21686_WPSOffice_Level2"/>
      <w:bookmarkStart w:id="178" w:name="_Toc518923089"/>
      <w:r>
        <w:rPr>
          <w:rFonts w:hint="eastAsia" w:ascii="黑体" w:hAnsi="黑体" w:eastAsia="黑体" w:cs="黑体"/>
          <w:color w:val="auto"/>
          <w:kern w:val="2"/>
          <w:sz w:val="24"/>
          <w:szCs w:val="21"/>
          <w:u w:val="none"/>
        </w:rPr>
        <w:t>24</w:t>
      </w:r>
      <w:bookmarkEnd w:id="174"/>
      <w:r>
        <w:rPr>
          <w:rFonts w:hint="eastAsia" w:ascii="黑体" w:hAnsi="黑体" w:eastAsia="黑体" w:cs="黑体"/>
          <w:color w:val="auto"/>
          <w:kern w:val="2"/>
          <w:sz w:val="24"/>
          <w:szCs w:val="21"/>
          <w:u w:val="none"/>
        </w:rPr>
        <w:t>.废标</w:t>
      </w:r>
      <w:bookmarkEnd w:id="175"/>
      <w:bookmarkEnd w:id="176"/>
      <w:bookmarkEnd w:id="177"/>
      <w:bookmarkEnd w:id="178"/>
    </w:p>
    <w:p w14:paraId="3EB453EA">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 xml:space="preserve">出现下列情形之一，将导致项目废标： </w:t>
      </w:r>
    </w:p>
    <w:p w14:paraId="679B8265">
      <w:pPr>
        <w:spacing w:line="360" w:lineRule="auto"/>
        <w:ind w:left="0" w:leftChars="0" w:firstLine="420" w:firstLineChars="175"/>
        <w:rPr>
          <w:rFonts w:hint="eastAsia" w:ascii="黑体" w:hAnsi="黑体" w:eastAsia="黑体" w:cs="黑体"/>
          <w:b/>
          <w:bCs/>
          <w:color w:val="auto"/>
          <w:sz w:val="24"/>
        </w:rPr>
      </w:pPr>
      <w:r>
        <w:rPr>
          <w:rFonts w:hint="eastAsia" w:ascii="黑体" w:hAnsi="黑体" w:eastAsia="黑体" w:cs="黑体"/>
          <w:b/>
          <w:bCs/>
          <w:color w:val="auto"/>
          <w:sz w:val="24"/>
        </w:rPr>
        <w:t>（1）符合专业条件的</w:t>
      </w:r>
      <w:r>
        <w:rPr>
          <w:rFonts w:hint="eastAsia" w:ascii="黑体" w:hAnsi="黑体" w:eastAsia="黑体" w:cs="黑体"/>
          <w:b/>
          <w:bCs/>
          <w:color w:val="auto"/>
          <w:sz w:val="24"/>
          <w:lang w:eastAsia="zh-CN"/>
        </w:rPr>
        <w:t>供应商</w:t>
      </w:r>
      <w:r>
        <w:rPr>
          <w:rFonts w:hint="eastAsia" w:ascii="黑体" w:hAnsi="黑体" w:eastAsia="黑体" w:cs="黑体"/>
          <w:b/>
          <w:bCs/>
          <w:color w:val="auto"/>
          <w:sz w:val="24"/>
        </w:rPr>
        <w:t>或者对磋商文件做实质性响应的</w:t>
      </w:r>
      <w:r>
        <w:rPr>
          <w:rFonts w:hint="eastAsia" w:ascii="黑体" w:hAnsi="黑体" w:eastAsia="黑体" w:cs="黑体"/>
          <w:b/>
          <w:bCs/>
          <w:color w:val="auto"/>
          <w:sz w:val="24"/>
          <w:lang w:eastAsia="zh-CN"/>
        </w:rPr>
        <w:t>供应商</w:t>
      </w:r>
      <w:r>
        <w:rPr>
          <w:rFonts w:hint="eastAsia" w:ascii="黑体" w:hAnsi="黑体" w:eastAsia="黑体" w:cs="黑体"/>
          <w:b/>
          <w:bCs/>
          <w:color w:val="auto"/>
          <w:sz w:val="24"/>
        </w:rPr>
        <w:t>不足三家；</w:t>
      </w:r>
    </w:p>
    <w:p w14:paraId="498D5C15">
      <w:pPr>
        <w:spacing w:line="360" w:lineRule="auto"/>
        <w:ind w:left="0" w:leftChars="0" w:firstLine="420" w:firstLineChars="175"/>
        <w:rPr>
          <w:rFonts w:hint="eastAsia" w:ascii="黑体" w:hAnsi="黑体" w:eastAsia="黑体" w:cs="黑体"/>
          <w:b/>
          <w:bCs/>
          <w:color w:val="auto"/>
          <w:sz w:val="24"/>
        </w:rPr>
      </w:pPr>
      <w:r>
        <w:rPr>
          <w:rFonts w:hint="eastAsia" w:ascii="黑体" w:hAnsi="黑体" w:eastAsia="黑体" w:cs="黑体"/>
          <w:b/>
          <w:bCs/>
          <w:color w:val="auto"/>
          <w:sz w:val="24"/>
        </w:rPr>
        <w:t>（2）出现影响采购公正的违法、违规行为的；</w:t>
      </w:r>
    </w:p>
    <w:p w14:paraId="2FB71DB3">
      <w:pPr>
        <w:spacing w:line="360" w:lineRule="auto"/>
        <w:ind w:left="0" w:leftChars="0" w:firstLine="420" w:firstLineChars="175"/>
        <w:rPr>
          <w:rFonts w:hint="eastAsia" w:ascii="黑体" w:hAnsi="黑体" w:eastAsia="黑体" w:cs="黑体"/>
          <w:b/>
          <w:bCs/>
          <w:color w:val="auto"/>
          <w:sz w:val="24"/>
        </w:rPr>
      </w:pPr>
      <w:r>
        <w:rPr>
          <w:rFonts w:hint="eastAsia" w:ascii="黑体" w:hAnsi="黑体" w:eastAsia="黑体" w:cs="黑体"/>
          <w:b/>
          <w:bCs/>
          <w:color w:val="auto"/>
          <w:sz w:val="24"/>
        </w:rPr>
        <w:t>（3）</w:t>
      </w:r>
      <w:r>
        <w:rPr>
          <w:rFonts w:hint="eastAsia" w:ascii="黑体" w:hAnsi="黑体" w:eastAsia="黑体" w:cs="黑体"/>
          <w:b/>
          <w:bCs/>
          <w:color w:val="auto"/>
          <w:sz w:val="24"/>
          <w:lang w:eastAsia="zh-CN"/>
        </w:rPr>
        <w:t>供应商</w:t>
      </w:r>
      <w:r>
        <w:rPr>
          <w:rFonts w:hint="eastAsia" w:ascii="黑体" w:hAnsi="黑体" w:eastAsia="黑体" w:cs="黑体"/>
          <w:b/>
          <w:bCs/>
          <w:color w:val="auto"/>
          <w:sz w:val="24"/>
        </w:rPr>
        <w:t>的报价均超过了采购预算，采购人不能支付的；</w:t>
      </w:r>
    </w:p>
    <w:p w14:paraId="54911583">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b/>
          <w:bCs/>
          <w:color w:val="auto"/>
          <w:sz w:val="24"/>
        </w:rPr>
        <w:t xml:space="preserve">（4）因重大变故，采购任务取消的。 </w:t>
      </w:r>
      <w:r>
        <w:rPr>
          <w:rFonts w:hint="eastAsia" w:ascii="黑体" w:hAnsi="黑体" w:eastAsia="黑体" w:cs="黑体"/>
          <w:color w:val="auto"/>
          <w:sz w:val="24"/>
        </w:rPr>
        <w:t xml:space="preserve">  </w:t>
      </w:r>
    </w:p>
    <w:p w14:paraId="4B5C5C7D">
      <w:pPr>
        <w:pStyle w:val="7"/>
        <w:spacing w:before="0" w:after="0" w:line="360" w:lineRule="auto"/>
        <w:rPr>
          <w:rFonts w:hint="eastAsia" w:ascii="黑体" w:hAnsi="黑体" w:eastAsia="黑体" w:cs="黑体"/>
          <w:color w:val="auto"/>
          <w:sz w:val="24"/>
          <w:szCs w:val="21"/>
          <w:u w:val="none"/>
        </w:rPr>
      </w:pPr>
      <w:bookmarkStart w:id="179" w:name="_Toc23660"/>
      <w:bookmarkStart w:id="180" w:name="_Toc518923090"/>
      <w:bookmarkStart w:id="181" w:name="_Toc4205_WPSOffice_Level2"/>
      <w:bookmarkStart w:id="182" w:name="_Toc16649_WPSOffice_Level2"/>
      <w:bookmarkStart w:id="183" w:name="_Toc520356169"/>
      <w:r>
        <w:rPr>
          <w:rFonts w:hint="eastAsia" w:ascii="黑体" w:hAnsi="黑体" w:eastAsia="黑体" w:cs="黑体"/>
          <w:color w:val="auto"/>
          <w:sz w:val="24"/>
          <w:szCs w:val="21"/>
          <w:u w:val="none"/>
        </w:rPr>
        <w:t>25.保密原则</w:t>
      </w:r>
      <w:bookmarkEnd w:id="179"/>
      <w:bookmarkEnd w:id="180"/>
      <w:bookmarkEnd w:id="181"/>
      <w:bookmarkEnd w:id="182"/>
    </w:p>
    <w:p w14:paraId="102D91CF">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25.1评审将在严格保密的情况下进行。</w:t>
      </w:r>
    </w:p>
    <w:p w14:paraId="1A3A5726">
      <w:pPr>
        <w:spacing w:line="360" w:lineRule="auto"/>
        <w:ind w:left="0" w:leftChars="0" w:firstLine="420" w:firstLineChars="175"/>
        <w:rPr>
          <w:rFonts w:hint="eastAsia" w:ascii="黑体" w:hAnsi="黑体" w:eastAsia="黑体" w:cs="黑体"/>
          <w:color w:val="auto"/>
        </w:rPr>
      </w:pPr>
      <w:r>
        <w:rPr>
          <w:rFonts w:hint="eastAsia" w:ascii="黑体" w:hAnsi="黑体" w:eastAsia="黑体" w:cs="黑体"/>
          <w:color w:val="auto"/>
          <w:sz w:val="24"/>
        </w:rPr>
        <w:t>25.2政府采购评审专家应当遵守评审工作纪律，不得泄露评审文件、评审情况和评审中获悉的商业秘密。</w:t>
      </w:r>
      <w:bookmarkStart w:id="184" w:name="_Toc15697"/>
      <w:bookmarkStart w:id="185" w:name="_Toc216582810"/>
      <w:bookmarkStart w:id="186" w:name="_Toc10964"/>
      <w:bookmarkStart w:id="187" w:name="_Toc518923091"/>
      <w:bookmarkStart w:id="188" w:name="_Toc4193_WPSOffice_Level1"/>
    </w:p>
    <w:p w14:paraId="72ED2562">
      <w:pPr>
        <w:pStyle w:val="6"/>
        <w:spacing w:before="0" w:line="360" w:lineRule="auto"/>
        <w:ind w:left="1079" w:leftChars="257" w:hanging="540"/>
        <w:jc w:val="center"/>
        <w:rPr>
          <w:rFonts w:hint="eastAsia" w:ascii="黑体" w:hAnsi="黑体" w:eastAsia="黑体" w:cs="黑体"/>
          <w:color w:val="auto"/>
          <w:sz w:val="24"/>
          <w:lang w:eastAsia="zh-CN"/>
        </w:rPr>
      </w:pPr>
      <w:r>
        <w:rPr>
          <w:rFonts w:hint="eastAsia" w:ascii="黑体" w:hAnsi="黑体" w:eastAsia="黑体" w:cs="黑体"/>
          <w:color w:val="auto"/>
          <w:sz w:val="24"/>
          <w:lang w:val="en-US" w:eastAsia="zh-CN"/>
        </w:rPr>
        <w:t>六</w:t>
      </w:r>
      <w:bookmarkEnd w:id="183"/>
      <w:r>
        <w:rPr>
          <w:rFonts w:hint="eastAsia" w:ascii="黑体" w:hAnsi="黑体" w:eastAsia="黑体" w:cs="黑体"/>
          <w:color w:val="auto"/>
          <w:sz w:val="24"/>
        </w:rPr>
        <w:t>确定</w:t>
      </w:r>
      <w:bookmarkEnd w:id="184"/>
      <w:bookmarkEnd w:id="185"/>
      <w:bookmarkEnd w:id="186"/>
      <w:bookmarkEnd w:id="187"/>
      <w:bookmarkEnd w:id="188"/>
      <w:r>
        <w:rPr>
          <w:rFonts w:hint="eastAsia" w:ascii="黑体" w:hAnsi="黑体" w:eastAsia="黑体" w:cs="黑体"/>
          <w:color w:val="auto"/>
          <w:sz w:val="24"/>
          <w:lang w:eastAsia="zh-CN"/>
        </w:rPr>
        <w:t>中标</w:t>
      </w:r>
    </w:p>
    <w:p w14:paraId="41B38284">
      <w:pPr>
        <w:pStyle w:val="7"/>
        <w:numPr>
          <w:ilvl w:val="0"/>
          <w:numId w:val="0"/>
        </w:numPr>
        <w:spacing w:before="0" w:after="0" w:line="360" w:lineRule="auto"/>
        <w:rPr>
          <w:rFonts w:hint="eastAsia" w:ascii="黑体" w:hAnsi="黑体" w:eastAsia="黑体" w:cs="黑体"/>
          <w:color w:val="auto"/>
          <w:sz w:val="24"/>
          <w:szCs w:val="21"/>
          <w:u w:val="none"/>
        </w:rPr>
      </w:pPr>
      <w:bookmarkStart w:id="189" w:name="_Toc520356170"/>
      <w:bookmarkStart w:id="190" w:name="_Toc4749_WPSOffice_Level2"/>
      <w:bookmarkStart w:id="191" w:name="_Ref467307010"/>
      <w:bookmarkStart w:id="192" w:name="_Toc31921_WPSOffice_Level2"/>
      <w:bookmarkStart w:id="193" w:name="_Toc32578"/>
      <w:bookmarkStart w:id="194" w:name="_Toc518923092"/>
      <w:r>
        <w:rPr>
          <w:rFonts w:hint="eastAsia" w:ascii="黑体" w:hAnsi="黑体" w:eastAsia="黑体" w:cs="黑体"/>
          <w:b/>
          <w:color w:val="auto"/>
          <w:kern w:val="2"/>
          <w:sz w:val="24"/>
          <w:szCs w:val="21"/>
          <w:lang w:val="en-US" w:eastAsia="zh-CN" w:bidi="ar-SA"/>
        </w:rPr>
        <w:t>26.</w:t>
      </w:r>
      <w:r>
        <w:rPr>
          <w:rFonts w:hint="eastAsia" w:ascii="黑体" w:hAnsi="黑体" w:eastAsia="黑体" w:cs="黑体"/>
          <w:color w:val="auto"/>
          <w:sz w:val="24"/>
          <w:szCs w:val="21"/>
          <w:u w:val="none"/>
          <w:lang w:eastAsia="zh-CN"/>
        </w:rPr>
        <w:t>中标</w:t>
      </w:r>
      <w:r>
        <w:rPr>
          <w:rFonts w:hint="eastAsia" w:ascii="黑体" w:hAnsi="黑体" w:eastAsia="黑体" w:cs="黑体"/>
          <w:color w:val="auto"/>
          <w:sz w:val="24"/>
          <w:szCs w:val="21"/>
          <w:u w:val="none"/>
        </w:rPr>
        <w:t>候选人的确定原则及标准</w:t>
      </w:r>
      <w:bookmarkEnd w:id="189"/>
      <w:bookmarkEnd w:id="190"/>
      <w:bookmarkEnd w:id="191"/>
      <w:bookmarkEnd w:id="192"/>
      <w:bookmarkEnd w:id="193"/>
      <w:bookmarkEnd w:id="194"/>
    </w:p>
    <w:p w14:paraId="063DC05E">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除第28条规定外，对实质上响应磋商文件的</w:t>
      </w:r>
      <w:r>
        <w:rPr>
          <w:rFonts w:hint="eastAsia" w:ascii="黑体" w:hAnsi="黑体" w:eastAsia="黑体" w:cs="黑体"/>
          <w:color w:val="auto"/>
          <w:sz w:val="24"/>
          <w:lang w:eastAsia="zh-CN"/>
        </w:rPr>
        <w:t>供应商</w:t>
      </w:r>
      <w:r>
        <w:rPr>
          <w:rFonts w:hint="eastAsia" w:ascii="黑体" w:hAnsi="黑体" w:eastAsia="黑体" w:cs="黑体"/>
          <w:color w:val="auto"/>
          <w:sz w:val="24"/>
        </w:rPr>
        <w:t>按下列方法进行排序，确定</w:t>
      </w:r>
      <w:r>
        <w:rPr>
          <w:rFonts w:hint="eastAsia" w:ascii="黑体" w:hAnsi="黑体" w:eastAsia="黑体" w:cs="黑体"/>
          <w:color w:val="auto"/>
          <w:sz w:val="24"/>
          <w:lang w:eastAsia="zh-CN"/>
        </w:rPr>
        <w:t>中标</w:t>
      </w:r>
      <w:r>
        <w:rPr>
          <w:rFonts w:hint="eastAsia" w:ascii="黑体" w:hAnsi="黑体" w:eastAsia="黑体" w:cs="黑体"/>
          <w:color w:val="auto"/>
          <w:sz w:val="24"/>
        </w:rPr>
        <w:t>候选人：</w:t>
      </w:r>
    </w:p>
    <w:p w14:paraId="0E70F768">
      <w:pPr>
        <w:spacing w:line="360" w:lineRule="auto"/>
        <w:ind w:left="0" w:leftChars="0" w:firstLine="420" w:firstLineChars="175"/>
        <w:rPr>
          <w:rFonts w:hint="eastAsia" w:ascii="黑体" w:hAnsi="黑体" w:eastAsia="黑体" w:cs="黑体"/>
          <w:b/>
          <w:bCs/>
          <w:color w:val="auto"/>
          <w:sz w:val="24"/>
          <w:u w:val="single"/>
        </w:rPr>
      </w:pPr>
      <w:r>
        <w:rPr>
          <w:rFonts w:hint="eastAsia" w:ascii="黑体" w:hAnsi="黑体" w:eastAsia="黑体" w:cs="黑体"/>
          <w:b/>
          <w:bCs/>
          <w:color w:val="auto"/>
          <w:sz w:val="24"/>
          <w:u w:val="single"/>
        </w:rPr>
        <w:t>采用综合评分法，评审结果按评审后得分由高到低顺序排列。得分相同的，按修正和扣除后的磋商报价由低到高顺序排列。得分与磋商报价均相同的处理方式详见磋商文件第6章。</w:t>
      </w:r>
    </w:p>
    <w:p w14:paraId="57D7C001">
      <w:pPr>
        <w:pStyle w:val="7"/>
        <w:spacing w:before="0" w:after="0" w:line="360" w:lineRule="auto"/>
        <w:rPr>
          <w:rFonts w:hint="eastAsia" w:ascii="黑体" w:hAnsi="黑体" w:eastAsia="黑体" w:cs="黑体"/>
          <w:color w:val="auto"/>
          <w:sz w:val="24"/>
          <w:szCs w:val="21"/>
          <w:u w:val="none"/>
        </w:rPr>
      </w:pPr>
      <w:bookmarkStart w:id="195" w:name="_Toc520356171"/>
      <w:bookmarkStart w:id="196" w:name="_Toc3689_WPSOffice_Level2"/>
      <w:bookmarkStart w:id="197" w:name="_Toc518923093"/>
      <w:bookmarkStart w:id="198" w:name="_Toc10555"/>
      <w:bookmarkStart w:id="199" w:name="_Toc2420_WPSOffice_Level2"/>
      <w:r>
        <w:rPr>
          <w:rFonts w:hint="eastAsia" w:ascii="黑体" w:hAnsi="黑体" w:eastAsia="黑体" w:cs="黑体"/>
          <w:color w:val="auto"/>
          <w:sz w:val="24"/>
          <w:szCs w:val="21"/>
          <w:u w:val="none"/>
        </w:rPr>
        <w:t>27</w:t>
      </w:r>
      <w:bookmarkEnd w:id="195"/>
      <w:r>
        <w:rPr>
          <w:rFonts w:hint="eastAsia" w:ascii="黑体" w:hAnsi="黑体" w:eastAsia="黑体" w:cs="黑体"/>
          <w:color w:val="auto"/>
          <w:sz w:val="24"/>
          <w:szCs w:val="21"/>
          <w:u w:val="none"/>
        </w:rPr>
        <w:t>.确定</w:t>
      </w:r>
      <w:r>
        <w:rPr>
          <w:rFonts w:hint="eastAsia" w:ascii="黑体" w:hAnsi="黑体" w:eastAsia="黑体" w:cs="黑体"/>
          <w:color w:val="auto"/>
          <w:sz w:val="24"/>
          <w:szCs w:val="21"/>
          <w:u w:val="none"/>
          <w:lang w:eastAsia="zh-CN"/>
        </w:rPr>
        <w:t>中标</w:t>
      </w:r>
      <w:r>
        <w:rPr>
          <w:rFonts w:hint="eastAsia" w:ascii="黑体" w:hAnsi="黑体" w:eastAsia="黑体" w:cs="黑体"/>
          <w:color w:val="auto"/>
          <w:sz w:val="24"/>
          <w:szCs w:val="21"/>
          <w:u w:val="none"/>
        </w:rPr>
        <w:t>候选人和</w:t>
      </w:r>
      <w:r>
        <w:rPr>
          <w:rFonts w:hint="eastAsia" w:ascii="黑体" w:hAnsi="黑体" w:eastAsia="黑体" w:cs="黑体"/>
          <w:color w:val="auto"/>
          <w:sz w:val="24"/>
          <w:szCs w:val="21"/>
          <w:u w:val="none"/>
          <w:lang w:eastAsia="zh-CN"/>
        </w:rPr>
        <w:t>中标</w:t>
      </w:r>
      <w:r>
        <w:rPr>
          <w:rFonts w:hint="eastAsia" w:ascii="黑体" w:hAnsi="黑体" w:eastAsia="黑体" w:cs="黑体"/>
          <w:color w:val="auto"/>
          <w:sz w:val="24"/>
          <w:szCs w:val="21"/>
          <w:u w:val="none"/>
        </w:rPr>
        <w:t>人</w:t>
      </w:r>
      <w:bookmarkEnd w:id="196"/>
      <w:bookmarkEnd w:id="197"/>
      <w:bookmarkEnd w:id="198"/>
      <w:bookmarkEnd w:id="199"/>
    </w:p>
    <w:p w14:paraId="7CE39652">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评审委员会将根据评审标准，按</w:t>
      </w:r>
      <w:r>
        <w:rPr>
          <w:rFonts w:hint="eastAsia" w:ascii="黑体" w:hAnsi="黑体" w:eastAsia="黑体" w:cs="黑体"/>
          <w:color w:val="auto"/>
          <w:sz w:val="24"/>
          <w:u w:val="single"/>
          <w:lang w:eastAsia="zh-CN"/>
        </w:rPr>
        <w:t>供应商</w:t>
      </w:r>
      <w:r>
        <w:rPr>
          <w:rFonts w:hint="eastAsia" w:ascii="黑体" w:hAnsi="黑体" w:eastAsia="黑体" w:cs="黑体"/>
          <w:color w:val="auto"/>
          <w:sz w:val="24"/>
          <w:u w:val="single"/>
        </w:rPr>
        <w:t>须知资料表中</w:t>
      </w:r>
      <w:r>
        <w:rPr>
          <w:rFonts w:hint="eastAsia" w:ascii="黑体" w:hAnsi="黑体" w:eastAsia="黑体" w:cs="黑体"/>
          <w:color w:val="auto"/>
          <w:sz w:val="24"/>
        </w:rPr>
        <w:t>规定数量推荐</w:t>
      </w:r>
      <w:r>
        <w:rPr>
          <w:rFonts w:hint="eastAsia" w:ascii="黑体" w:hAnsi="黑体" w:eastAsia="黑体" w:cs="黑体"/>
          <w:color w:val="auto"/>
          <w:sz w:val="24"/>
          <w:lang w:eastAsia="zh-CN"/>
        </w:rPr>
        <w:t>中标</w:t>
      </w:r>
      <w:r>
        <w:rPr>
          <w:rFonts w:hint="eastAsia" w:ascii="黑体" w:hAnsi="黑体" w:eastAsia="黑体" w:cs="黑体"/>
          <w:color w:val="auto"/>
          <w:sz w:val="24"/>
        </w:rPr>
        <w:t>候选人；</w:t>
      </w:r>
      <w:r>
        <w:rPr>
          <w:rFonts w:hint="eastAsia" w:ascii="黑体" w:hAnsi="黑体" w:eastAsia="黑体" w:cs="黑体"/>
          <w:b w:val="0"/>
          <w:bCs w:val="0"/>
          <w:color w:val="auto"/>
          <w:sz w:val="24"/>
          <w:u w:val="none"/>
        </w:rPr>
        <w:t>磋商小组应当根据综合评分情况，按照评审得分由高到低顺序推荐3名以上</w:t>
      </w:r>
      <w:r>
        <w:rPr>
          <w:rFonts w:hint="eastAsia" w:ascii="黑体" w:hAnsi="黑体" w:eastAsia="黑体" w:cs="黑体"/>
          <w:b w:val="0"/>
          <w:bCs w:val="0"/>
          <w:color w:val="auto"/>
          <w:sz w:val="24"/>
          <w:u w:val="none"/>
          <w:lang w:val="en-US" w:eastAsia="zh-CN"/>
        </w:rPr>
        <w:t>中标</w:t>
      </w:r>
      <w:r>
        <w:rPr>
          <w:rFonts w:hint="eastAsia" w:ascii="黑体" w:hAnsi="黑体" w:eastAsia="黑体" w:cs="黑体"/>
          <w:b w:val="0"/>
          <w:bCs w:val="0"/>
          <w:color w:val="auto"/>
          <w:sz w:val="24"/>
          <w:u w:val="none"/>
        </w:rPr>
        <w:t>候选</w:t>
      </w:r>
      <w:r>
        <w:rPr>
          <w:rFonts w:hint="eastAsia" w:ascii="黑体" w:hAnsi="黑体" w:eastAsia="黑体" w:cs="黑体"/>
          <w:b w:val="0"/>
          <w:bCs w:val="0"/>
          <w:color w:val="auto"/>
          <w:sz w:val="24"/>
          <w:u w:val="none"/>
          <w:lang w:eastAsia="zh-CN"/>
        </w:rPr>
        <w:t>供应商</w:t>
      </w:r>
      <w:r>
        <w:rPr>
          <w:rFonts w:hint="eastAsia" w:ascii="黑体" w:hAnsi="黑体" w:eastAsia="黑体" w:cs="黑体"/>
          <w:color w:val="auto"/>
          <w:sz w:val="24"/>
        </w:rPr>
        <w:t>或根据采购人的委托，直接确定</w:t>
      </w:r>
      <w:r>
        <w:rPr>
          <w:rFonts w:hint="eastAsia" w:ascii="黑体" w:hAnsi="黑体" w:eastAsia="黑体" w:cs="黑体"/>
          <w:color w:val="auto"/>
          <w:sz w:val="24"/>
          <w:lang w:eastAsia="zh-CN"/>
        </w:rPr>
        <w:t>中标</w:t>
      </w:r>
      <w:r>
        <w:rPr>
          <w:rFonts w:hint="eastAsia" w:ascii="黑体" w:hAnsi="黑体" w:eastAsia="黑体" w:cs="黑体"/>
          <w:color w:val="auto"/>
          <w:sz w:val="24"/>
        </w:rPr>
        <w:t>人。</w:t>
      </w:r>
    </w:p>
    <w:p w14:paraId="7CC3E318">
      <w:pPr>
        <w:pStyle w:val="7"/>
        <w:tabs>
          <w:tab w:val="left" w:pos="900"/>
        </w:tabs>
        <w:spacing w:before="0" w:after="0" w:line="360" w:lineRule="auto"/>
        <w:rPr>
          <w:rFonts w:hint="eastAsia" w:ascii="黑体" w:hAnsi="黑体" w:eastAsia="黑体" w:cs="黑体"/>
          <w:color w:val="auto"/>
          <w:sz w:val="24"/>
          <w:szCs w:val="21"/>
          <w:u w:val="none"/>
        </w:rPr>
      </w:pPr>
      <w:bookmarkStart w:id="200" w:name="_Toc520356173"/>
      <w:bookmarkStart w:id="201" w:name="_Ref467306874"/>
      <w:bookmarkStart w:id="202" w:name="_Toc17138"/>
      <w:bookmarkStart w:id="203" w:name="_Toc518923094"/>
      <w:bookmarkStart w:id="204" w:name="_Toc620_WPSOffice_Level2"/>
      <w:bookmarkStart w:id="205" w:name="_Toc17336_WPSOffice_Level2"/>
      <w:r>
        <w:rPr>
          <w:rFonts w:hint="eastAsia" w:ascii="黑体" w:hAnsi="黑体" w:eastAsia="黑体" w:cs="黑体"/>
          <w:color w:val="auto"/>
          <w:sz w:val="24"/>
          <w:szCs w:val="21"/>
          <w:u w:val="none"/>
        </w:rPr>
        <w:t>28</w:t>
      </w:r>
      <w:bookmarkEnd w:id="200"/>
      <w:bookmarkEnd w:id="201"/>
      <w:r>
        <w:rPr>
          <w:rFonts w:hint="eastAsia" w:ascii="黑体" w:hAnsi="黑体" w:eastAsia="黑体" w:cs="黑体"/>
          <w:color w:val="auto"/>
          <w:sz w:val="24"/>
          <w:szCs w:val="21"/>
          <w:u w:val="none"/>
        </w:rPr>
        <w:t>.采购任务取消</w:t>
      </w:r>
      <w:bookmarkEnd w:id="202"/>
      <w:bookmarkEnd w:id="203"/>
      <w:bookmarkEnd w:id="204"/>
      <w:bookmarkEnd w:id="205"/>
    </w:p>
    <w:p w14:paraId="164A7827">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因重大变故采购任务取消时，采购人有权拒绝任何</w:t>
      </w:r>
      <w:r>
        <w:rPr>
          <w:rFonts w:hint="eastAsia" w:ascii="黑体" w:hAnsi="黑体" w:eastAsia="黑体" w:cs="黑体"/>
          <w:color w:val="auto"/>
          <w:sz w:val="24"/>
          <w:lang w:eastAsia="zh-CN"/>
        </w:rPr>
        <w:t>供应商中标</w:t>
      </w:r>
      <w:r>
        <w:rPr>
          <w:rFonts w:hint="eastAsia" w:ascii="黑体" w:hAnsi="黑体" w:eastAsia="黑体" w:cs="黑体"/>
          <w:color w:val="auto"/>
          <w:sz w:val="24"/>
        </w:rPr>
        <w:t>，且对受影响的</w:t>
      </w:r>
      <w:r>
        <w:rPr>
          <w:rFonts w:hint="eastAsia" w:ascii="黑体" w:hAnsi="黑体" w:eastAsia="黑体" w:cs="黑体"/>
          <w:color w:val="auto"/>
          <w:sz w:val="24"/>
          <w:lang w:eastAsia="zh-CN"/>
        </w:rPr>
        <w:t>供应商</w:t>
      </w:r>
      <w:r>
        <w:rPr>
          <w:rFonts w:hint="eastAsia" w:ascii="黑体" w:hAnsi="黑体" w:eastAsia="黑体" w:cs="黑体"/>
          <w:color w:val="auto"/>
          <w:sz w:val="24"/>
        </w:rPr>
        <w:t>不承担任何责任。</w:t>
      </w:r>
      <w:bookmarkStart w:id="206" w:name="_Toc520356174"/>
    </w:p>
    <w:p w14:paraId="2FCF49CD">
      <w:pPr>
        <w:pStyle w:val="7"/>
        <w:spacing w:before="0" w:after="0" w:line="360" w:lineRule="auto"/>
        <w:rPr>
          <w:rFonts w:hint="eastAsia" w:ascii="黑体" w:hAnsi="黑体" w:eastAsia="黑体" w:cs="黑体"/>
          <w:color w:val="auto"/>
          <w:sz w:val="24"/>
          <w:szCs w:val="21"/>
          <w:u w:val="none"/>
        </w:rPr>
      </w:pPr>
      <w:bookmarkStart w:id="207" w:name="_Toc7273_WPSOffice_Level2"/>
      <w:bookmarkStart w:id="208" w:name="_Toc22810_WPSOffice_Level2"/>
      <w:bookmarkStart w:id="209" w:name="_Toc518923095"/>
      <w:bookmarkStart w:id="210" w:name="_Toc18072"/>
      <w:r>
        <w:rPr>
          <w:rFonts w:hint="eastAsia" w:ascii="黑体" w:hAnsi="黑体" w:eastAsia="黑体" w:cs="黑体"/>
          <w:color w:val="auto"/>
          <w:sz w:val="24"/>
          <w:szCs w:val="21"/>
          <w:u w:val="none"/>
        </w:rPr>
        <w:t>29.</w:t>
      </w:r>
      <w:r>
        <w:rPr>
          <w:rFonts w:hint="eastAsia" w:ascii="黑体" w:hAnsi="黑体" w:eastAsia="黑体" w:cs="黑体"/>
          <w:color w:val="auto"/>
          <w:sz w:val="24"/>
          <w:szCs w:val="21"/>
          <w:u w:val="none"/>
          <w:lang w:eastAsia="zh-CN"/>
        </w:rPr>
        <w:t>中标</w:t>
      </w:r>
      <w:r>
        <w:rPr>
          <w:rFonts w:hint="eastAsia" w:ascii="黑体" w:hAnsi="黑体" w:eastAsia="黑体" w:cs="黑体"/>
          <w:color w:val="auto"/>
          <w:sz w:val="24"/>
          <w:szCs w:val="21"/>
          <w:u w:val="none"/>
        </w:rPr>
        <w:t>通知书</w:t>
      </w:r>
      <w:bookmarkEnd w:id="206"/>
      <w:r>
        <w:rPr>
          <w:rFonts w:hint="eastAsia" w:ascii="黑体" w:hAnsi="黑体" w:eastAsia="黑体" w:cs="黑体"/>
          <w:color w:val="auto"/>
          <w:sz w:val="24"/>
          <w:szCs w:val="21"/>
          <w:u w:val="none"/>
        </w:rPr>
        <w:t>和采购结果通知书</w:t>
      </w:r>
      <w:bookmarkEnd w:id="207"/>
      <w:bookmarkEnd w:id="208"/>
      <w:bookmarkEnd w:id="209"/>
      <w:bookmarkEnd w:id="210"/>
    </w:p>
    <w:p w14:paraId="4B452F29">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29.1在磋商有效期内，</w:t>
      </w:r>
      <w:r>
        <w:rPr>
          <w:rFonts w:hint="eastAsia" w:ascii="黑体" w:hAnsi="黑体" w:eastAsia="黑体" w:cs="黑体"/>
          <w:color w:val="auto"/>
          <w:sz w:val="24"/>
          <w:lang w:val="en-US" w:eastAsia="zh-CN"/>
        </w:rPr>
        <w:t>中标</w:t>
      </w:r>
      <w:r>
        <w:rPr>
          <w:rFonts w:hint="eastAsia" w:ascii="黑体" w:hAnsi="黑体" w:eastAsia="黑体" w:cs="黑体"/>
          <w:color w:val="auto"/>
          <w:sz w:val="24"/>
        </w:rPr>
        <w:t>人确定后，采购人或者采购代理机构发布</w:t>
      </w:r>
      <w:r>
        <w:rPr>
          <w:rFonts w:hint="eastAsia" w:ascii="黑体" w:hAnsi="黑体" w:eastAsia="黑体" w:cs="黑体"/>
          <w:color w:val="auto"/>
          <w:sz w:val="24"/>
          <w:lang w:eastAsia="zh-CN"/>
        </w:rPr>
        <w:t>中标</w:t>
      </w:r>
      <w:r>
        <w:rPr>
          <w:rFonts w:hint="eastAsia" w:ascii="黑体" w:hAnsi="黑体" w:eastAsia="黑体" w:cs="黑体"/>
          <w:color w:val="auto"/>
          <w:sz w:val="24"/>
        </w:rPr>
        <w:t>公告，同时以书面形式向</w:t>
      </w:r>
      <w:r>
        <w:rPr>
          <w:rFonts w:hint="eastAsia" w:ascii="黑体" w:hAnsi="黑体" w:eastAsia="黑体" w:cs="黑体"/>
          <w:color w:val="auto"/>
          <w:sz w:val="24"/>
          <w:lang w:val="en-US" w:eastAsia="zh-CN"/>
        </w:rPr>
        <w:t>中标</w:t>
      </w:r>
      <w:r>
        <w:rPr>
          <w:rFonts w:hint="eastAsia" w:ascii="黑体" w:hAnsi="黑体" w:eastAsia="黑体" w:cs="黑体"/>
          <w:color w:val="auto"/>
          <w:sz w:val="24"/>
        </w:rPr>
        <w:t>人发出</w:t>
      </w:r>
      <w:r>
        <w:rPr>
          <w:rFonts w:hint="eastAsia" w:ascii="黑体" w:hAnsi="黑体" w:eastAsia="黑体" w:cs="黑体"/>
          <w:color w:val="auto"/>
          <w:sz w:val="24"/>
          <w:lang w:eastAsia="zh-CN"/>
        </w:rPr>
        <w:t>中标</w:t>
      </w:r>
      <w:r>
        <w:rPr>
          <w:rFonts w:hint="eastAsia" w:ascii="黑体" w:hAnsi="黑体" w:eastAsia="黑体" w:cs="黑体"/>
          <w:color w:val="auto"/>
          <w:sz w:val="24"/>
        </w:rPr>
        <w:t>通知书；</w:t>
      </w:r>
    </w:p>
    <w:p w14:paraId="63C02500">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29.2</w:t>
      </w:r>
      <w:r>
        <w:rPr>
          <w:rFonts w:hint="eastAsia" w:ascii="黑体" w:hAnsi="黑体" w:eastAsia="黑体" w:cs="黑体"/>
          <w:color w:val="auto"/>
          <w:sz w:val="24"/>
          <w:lang w:eastAsia="zh-CN"/>
        </w:rPr>
        <w:t>中标</w:t>
      </w:r>
      <w:r>
        <w:rPr>
          <w:rFonts w:hint="eastAsia" w:ascii="黑体" w:hAnsi="黑体" w:eastAsia="黑体" w:cs="黑体"/>
          <w:color w:val="auto"/>
          <w:sz w:val="24"/>
        </w:rPr>
        <w:t>通知书是合同的组成部分；</w:t>
      </w:r>
    </w:p>
    <w:p w14:paraId="406738C1">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29.3采购结果通知书和</w:t>
      </w:r>
      <w:r>
        <w:rPr>
          <w:rFonts w:hint="eastAsia" w:ascii="黑体" w:hAnsi="黑体" w:eastAsia="黑体" w:cs="黑体"/>
          <w:color w:val="auto"/>
          <w:sz w:val="24"/>
          <w:lang w:eastAsia="zh-CN"/>
        </w:rPr>
        <w:t>中标</w:t>
      </w:r>
      <w:r>
        <w:rPr>
          <w:rFonts w:hint="eastAsia" w:ascii="黑体" w:hAnsi="黑体" w:eastAsia="黑体" w:cs="黑体"/>
          <w:color w:val="auto"/>
          <w:sz w:val="24"/>
        </w:rPr>
        <w:t>通知书同时发出。采购结果通知书中将告知未通过资格审查的</w:t>
      </w:r>
      <w:r>
        <w:rPr>
          <w:rFonts w:hint="eastAsia" w:ascii="黑体" w:hAnsi="黑体" w:eastAsia="黑体" w:cs="黑体"/>
          <w:color w:val="auto"/>
          <w:sz w:val="24"/>
          <w:lang w:eastAsia="zh-CN"/>
        </w:rPr>
        <w:t>供应商</w:t>
      </w:r>
      <w:r>
        <w:rPr>
          <w:rFonts w:hint="eastAsia" w:ascii="黑体" w:hAnsi="黑体" w:eastAsia="黑体" w:cs="黑体"/>
          <w:color w:val="auto"/>
          <w:sz w:val="24"/>
        </w:rPr>
        <w:t>未通过的原因；采用综合评分法评审的，还将告知未</w:t>
      </w:r>
      <w:r>
        <w:rPr>
          <w:rFonts w:hint="eastAsia" w:ascii="黑体" w:hAnsi="黑体" w:eastAsia="黑体" w:cs="黑体"/>
          <w:color w:val="auto"/>
          <w:sz w:val="24"/>
          <w:lang w:eastAsia="zh-CN"/>
        </w:rPr>
        <w:t>中标</w:t>
      </w:r>
      <w:r>
        <w:rPr>
          <w:rFonts w:hint="eastAsia" w:ascii="黑体" w:hAnsi="黑体" w:eastAsia="黑体" w:cs="黑体"/>
          <w:color w:val="auto"/>
          <w:sz w:val="24"/>
        </w:rPr>
        <w:t>人本人的评审得分和排序。</w:t>
      </w:r>
    </w:p>
    <w:p w14:paraId="3F999CDB">
      <w:pPr>
        <w:pStyle w:val="7"/>
        <w:spacing w:before="0" w:after="0" w:line="360" w:lineRule="auto"/>
        <w:rPr>
          <w:rFonts w:hint="eastAsia" w:ascii="黑体" w:hAnsi="黑体" w:eastAsia="黑体" w:cs="黑体"/>
          <w:color w:val="auto"/>
          <w:sz w:val="24"/>
          <w:szCs w:val="21"/>
          <w:u w:val="none"/>
        </w:rPr>
      </w:pPr>
      <w:bookmarkStart w:id="211" w:name="_Toc518923096"/>
      <w:bookmarkStart w:id="212" w:name="_Toc9717_WPSOffice_Level2"/>
      <w:bookmarkStart w:id="213" w:name="_Ref467306978"/>
      <w:bookmarkStart w:id="214" w:name="_Ref467306377"/>
      <w:bookmarkStart w:id="215" w:name="_Ref467307062"/>
      <w:bookmarkStart w:id="216" w:name="_Toc16952"/>
      <w:bookmarkStart w:id="217" w:name="_Toc520356175"/>
      <w:bookmarkStart w:id="218" w:name="_Toc23285_WPSOffice_Level2"/>
      <w:bookmarkStart w:id="219" w:name="_Ref467307204"/>
      <w:r>
        <w:rPr>
          <w:rFonts w:hint="eastAsia" w:ascii="黑体" w:hAnsi="黑体" w:eastAsia="黑体" w:cs="黑体"/>
          <w:color w:val="auto"/>
          <w:sz w:val="24"/>
          <w:szCs w:val="21"/>
          <w:u w:val="none"/>
        </w:rPr>
        <w:t>30.签订合同</w:t>
      </w:r>
      <w:bookmarkEnd w:id="211"/>
      <w:bookmarkEnd w:id="212"/>
      <w:bookmarkEnd w:id="213"/>
      <w:bookmarkEnd w:id="214"/>
      <w:bookmarkEnd w:id="215"/>
      <w:bookmarkEnd w:id="216"/>
      <w:bookmarkEnd w:id="217"/>
      <w:bookmarkEnd w:id="218"/>
      <w:bookmarkEnd w:id="219"/>
    </w:p>
    <w:p w14:paraId="68F0100E">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30.1</w:t>
      </w:r>
      <w:r>
        <w:rPr>
          <w:rFonts w:hint="eastAsia" w:ascii="黑体" w:hAnsi="黑体" w:eastAsia="黑体" w:cs="黑体"/>
          <w:color w:val="auto"/>
          <w:sz w:val="24"/>
          <w:lang w:eastAsia="zh-CN"/>
        </w:rPr>
        <w:t>中标</w:t>
      </w:r>
      <w:r>
        <w:rPr>
          <w:rFonts w:hint="eastAsia" w:ascii="黑体" w:hAnsi="黑体" w:eastAsia="黑体" w:cs="黑体"/>
          <w:color w:val="auto"/>
          <w:sz w:val="24"/>
        </w:rPr>
        <w:t>人应当自发出</w:t>
      </w:r>
      <w:r>
        <w:rPr>
          <w:rFonts w:hint="eastAsia" w:ascii="黑体" w:hAnsi="黑体" w:eastAsia="黑体" w:cs="黑体"/>
          <w:color w:val="auto"/>
          <w:sz w:val="24"/>
          <w:lang w:eastAsia="zh-CN"/>
        </w:rPr>
        <w:t>中标</w:t>
      </w:r>
      <w:r>
        <w:rPr>
          <w:rFonts w:hint="eastAsia" w:ascii="黑体" w:hAnsi="黑体" w:eastAsia="黑体" w:cs="黑体"/>
          <w:color w:val="auto"/>
          <w:sz w:val="24"/>
        </w:rPr>
        <w:t>通知书之日起30日内，与采购人签订合同。</w:t>
      </w:r>
    </w:p>
    <w:p w14:paraId="33FBDC00">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30.2</w:t>
      </w:r>
      <w:bookmarkStart w:id="220" w:name="_Toc520356176"/>
      <w:bookmarkStart w:id="221" w:name="_Ref467306425"/>
      <w:bookmarkStart w:id="222" w:name="_Ref467307090"/>
      <w:r>
        <w:rPr>
          <w:rFonts w:hint="eastAsia" w:ascii="黑体" w:hAnsi="黑体" w:eastAsia="黑体" w:cs="黑体"/>
          <w:color w:val="auto"/>
          <w:sz w:val="24"/>
        </w:rPr>
        <w:t>磋商文件、</w:t>
      </w:r>
      <w:r>
        <w:rPr>
          <w:rFonts w:hint="eastAsia" w:ascii="黑体" w:hAnsi="黑体" w:eastAsia="黑体" w:cs="黑体"/>
          <w:color w:val="auto"/>
          <w:sz w:val="24"/>
          <w:lang w:eastAsia="zh-CN"/>
        </w:rPr>
        <w:t>中标</w:t>
      </w:r>
      <w:r>
        <w:rPr>
          <w:rFonts w:hint="eastAsia" w:ascii="黑体" w:hAnsi="黑体" w:eastAsia="黑体" w:cs="黑体"/>
          <w:color w:val="auto"/>
          <w:sz w:val="24"/>
        </w:rPr>
        <w:t>人的响应文件及其澄清文件等，均为签订合同的依据。</w:t>
      </w:r>
    </w:p>
    <w:p w14:paraId="0DE34BE1">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30.3</w:t>
      </w:r>
      <w:r>
        <w:rPr>
          <w:rFonts w:hint="eastAsia" w:ascii="黑体" w:hAnsi="黑体" w:eastAsia="黑体" w:cs="黑体"/>
          <w:color w:val="auto"/>
          <w:sz w:val="24"/>
          <w:lang w:eastAsia="zh-CN"/>
        </w:rPr>
        <w:t>中标</w:t>
      </w:r>
      <w:r>
        <w:rPr>
          <w:rFonts w:hint="eastAsia" w:ascii="黑体" w:hAnsi="黑体" w:eastAsia="黑体" w:cs="黑体"/>
          <w:color w:val="auto"/>
          <w:sz w:val="24"/>
        </w:rPr>
        <w:t>人拒绝与采购人签订合同的，采购人可以按照评审报告推荐的</w:t>
      </w:r>
      <w:r>
        <w:rPr>
          <w:rFonts w:hint="eastAsia" w:ascii="黑体" w:hAnsi="黑体" w:eastAsia="黑体" w:cs="黑体"/>
          <w:color w:val="auto"/>
          <w:sz w:val="24"/>
          <w:lang w:eastAsia="zh-CN"/>
        </w:rPr>
        <w:t>中标</w:t>
      </w:r>
      <w:r>
        <w:rPr>
          <w:rFonts w:hint="eastAsia" w:ascii="黑体" w:hAnsi="黑体" w:eastAsia="黑体" w:cs="黑体"/>
          <w:color w:val="auto"/>
          <w:sz w:val="24"/>
        </w:rPr>
        <w:t>候选人名单排序，确定下一</w:t>
      </w:r>
      <w:r>
        <w:rPr>
          <w:rFonts w:hint="eastAsia" w:ascii="黑体" w:hAnsi="黑体" w:eastAsia="黑体" w:cs="黑体"/>
          <w:color w:val="auto"/>
          <w:sz w:val="24"/>
          <w:lang w:eastAsia="zh-CN"/>
        </w:rPr>
        <w:t>中标</w:t>
      </w:r>
      <w:r>
        <w:rPr>
          <w:rFonts w:hint="eastAsia" w:ascii="黑体" w:hAnsi="黑体" w:eastAsia="黑体" w:cs="黑体"/>
          <w:color w:val="auto"/>
          <w:sz w:val="24"/>
        </w:rPr>
        <w:t>候选人为</w:t>
      </w:r>
      <w:r>
        <w:rPr>
          <w:rFonts w:hint="eastAsia" w:ascii="黑体" w:hAnsi="黑体" w:eastAsia="黑体" w:cs="黑体"/>
          <w:color w:val="auto"/>
          <w:sz w:val="24"/>
          <w:lang w:eastAsia="zh-CN"/>
        </w:rPr>
        <w:t>中标</w:t>
      </w:r>
      <w:r>
        <w:rPr>
          <w:rFonts w:hint="eastAsia" w:ascii="黑体" w:hAnsi="黑体" w:eastAsia="黑体" w:cs="黑体"/>
          <w:color w:val="auto"/>
          <w:sz w:val="24"/>
        </w:rPr>
        <w:t>人，也可以重新开展政府采购活动。</w:t>
      </w:r>
    </w:p>
    <w:p w14:paraId="36A02F13">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30.4当出现法规规定的</w:t>
      </w:r>
      <w:r>
        <w:rPr>
          <w:rFonts w:hint="eastAsia" w:ascii="黑体" w:hAnsi="黑体" w:eastAsia="黑体" w:cs="黑体"/>
          <w:b/>
          <w:color w:val="auto"/>
          <w:sz w:val="24"/>
          <w:lang w:eastAsia="zh-CN"/>
        </w:rPr>
        <w:t>中标</w:t>
      </w:r>
      <w:r>
        <w:rPr>
          <w:rFonts w:hint="eastAsia" w:ascii="黑体" w:hAnsi="黑体" w:eastAsia="黑体" w:cs="黑体"/>
          <w:b/>
          <w:color w:val="auto"/>
          <w:sz w:val="24"/>
        </w:rPr>
        <w:t>无效或</w:t>
      </w:r>
      <w:r>
        <w:rPr>
          <w:rFonts w:hint="eastAsia" w:ascii="黑体" w:hAnsi="黑体" w:eastAsia="黑体" w:cs="黑体"/>
          <w:b/>
          <w:color w:val="auto"/>
          <w:sz w:val="24"/>
          <w:lang w:eastAsia="zh-CN"/>
        </w:rPr>
        <w:t>中标</w:t>
      </w:r>
      <w:r>
        <w:rPr>
          <w:rFonts w:hint="eastAsia" w:ascii="黑体" w:hAnsi="黑体" w:eastAsia="黑体" w:cs="黑体"/>
          <w:b/>
          <w:color w:val="auto"/>
          <w:sz w:val="24"/>
        </w:rPr>
        <w:t>结果无效</w:t>
      </w:r>
      <w:r>
        <w:rPr>
          <w:rFonts w:hint="eastAsia" w:ascii="黑体" w:hAnsi="黑体" w:eastAsia="黑体" w:cs="黑体"/>
          <w:color w:val="auto"/>
          <w:sz w:val="24"/>
        </w:rPr>
        <w:t>情形时，采购人可与排名下一位的</w:t>
      </w:r>
      <w:r>
        <w:rPr>
          <w:rFonts w:hint="eastAsia" w:ascii="黑体" w:hAnsi="黑体" w:eastAsia="黑体" w:cs="黑体"/>
          <w:color w:val="auto"/>
          <w:sz w:val="24"/>
          <w:lang w:eastAsia="zh-CN"/>
        </w:rPr>
        <w:t>中标</w:t>
      </w:r>
      <w:r>
        <w:rPr>
          <w:rFonts w:hint="eastAsia" w:ascii="黑体" w:hAnsi="黑体" w:eastAsia="黑体" w:cs="黑体"/>
          <w:color w:val="auto"/>
          <w:sz w:val="24"/>
        </w:rPr>
        <w:t>候选人另行签订合同，或依法重新开展采购活动。</w:t>
      </w:r>
    </w:p>
    <w:p w14:paraId="03BDA991">
      <w:pPr>
        <w:pStyle w:val="7"/>
        <w:spacing w:before="0" w:after="0" w:line="360" w:lineRule="auto"/>
        <w:rPr>
          <w:rFonts w:hint="eastAsia" w:ascii="黑体" w:hAnsi="黑体" w:eastAsia="黑体" w:cs="黑体"/>
          <w:color w:val="auto"/>
          <w:sz w:val="24"/>
          <w:szCs w:val="21"/>
          <w:u w:val="none"/>
        </w:rPr>
      </w:pPr>
      <w:bookmarkStart w:id="223" w:name="_Toc4302"/>
      <w:bookmarkStart w:id="224" w:name="_Toc10642_WPSOffice_Level2"/>
      <w:bookmarkStart w:id="225" w:name="_Toc518923097"/>
      <w:bookmarkStart w:id="226" w:name="_Toc4147_WPSOffice_Level2"/>
      <w:r>
        <w:rPr>
          <w:rFonts w:hint="eastAsia" w:ascii="黑体" w:hAnsi="黑体" w:eastAsia="黑体" w:cs="黑体"/>
          <w:color w:val="auto"/>
          <w:sz w:val="24"/>
          <w:szCs w:val="21"/>
          <w:u w:val="none"/>
        </w:rPr>
        <w:t>31.履约保证金</w:t>
      </w:r>
      <w:bookmarkEnd w:id="220"/>
      <w:bookmarkEnd w:id="221"/>
      <w:bookmarkEnd w:id="222"/>
      <w:bookmarkEnd w:id="223"/>
      <w:bookmarkEnd w:id="224"/>
      <w:bookmarkEnd w:id="225"/>
      <w:bookmarkEnd w:id="226"/>
    </w:p>
    <w:p w14:paraId="633F1A19">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31.1</w:t>
      </w:r>
      <w:r>
        <w:rPr>
          <w:rFonts w:hint="eastAsia" w:ascii="黑体" w:hAnsi="黑体" w:eastAsia="黑体" w:cs="黑体"/>
          <w:color w:val="auto"/>
          <w:sz w:val="24"/>
          <w:lang w:eastAsia="zh-CN"/>
        </w:rPr>
        <w:t>中标</w:t>
      </w:r>
      <w:r>
        <w:rPr>
          <w:rFonts w:hint="eastAsia" w:ascii="黑体" w:hAnsi="黑体" w:eastAsia="黑体" w:cs="黑体"/>
          <w:color w:val="auto"/>
          <w:sz w:val="24"/>
        </w:rPr>
        <w:t>人应按照</w:t>
      </w:r>
      <w:r>
        <w:rPr>
          <w:rFonts w:hint="eastAsia" w:ascii="黑体" w:hAnsi="黑体" w:eastAsia="黑体" w:cs="黑体"/>
          <w:color w:val="auto"/>
          <w:sz w:val="24"/>
          <w:u w:val="single"/>
          <w:lang w:eastAsia="zh-CN"/>
        </w:rPr>
        <w:t>供应商</w:t>
      </w:r>
      <w:r>
        <w:rPr>
          <w:rFonts w:hint="eastAsia" w:ascii="黑体" w:hAnsi="黑体" w:eastAsia="黑体" w:cs="黑体"/>
          <w:color w:val="auto"/>
          <w:sz w:val="24"/>
          <w:u w:val="single"/>
        </w:rPr>
        <w:t>须知资料表</w:t>
      </w:r>
      <w:r>
        <w:rPr>
          <w:rFonts w:hint="eastAsia" w:ascii="黑体" w:hAnsi="黑体" w:eastAsia="黑体" w:cs="黑体"/>
          <w:color w:val="auto"/>
          <w:sz w:val="24"/>
        </w:rPr>
        <w:t>规定向采购人缴纳履约保证金（如采用保函形式，格式见本章附件1）。</w:t>
      </w:r>
    </w:p>
    <w:p w14:paraId="44035F83">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31.2政府采购利用担保试点范围内的项目，除31.1规定的情形外，</w:t>
      </w:r>
      <w:r>
        <w:rPr>
          <w:rFonts w:hint="eastAsia" w:ascii="黑体" w:hAnsi="黑体" w:eastAsia="黑体" w:cs="黑体"/>
          <w:color w:val="auto"/>
          <w:sz w:val="24"/>
          <w:lang w:eastAsia="zh-CN"/>
        </w:rPr>
        <w:t>中标</w:t>
      </w:r>
      <w:r>
        <w:rPr>
          <w:rFonts w:hint="eastAsia" w:ascii="黑体" w:hAnsi="黑体" w:eastAsia="黑体" w:cs="黑体"/>
          <w:color w:val="auto"/>
          <w:sz w:val="24"/>
        </w:rPr>
        <w:t>人也可以按照财政部门的规定，向采购人提供合格的履约担保函（格式见本章附件2）。</w:t>
      </w:r>
    </w:p>
    <w:p w14:paraId="495ABEA5">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31.3如果</w:t>
      </w:r>
      <w:r>
        <w:rPr>
          <w:rFonts w:hint="eastAsia" w:ascii="黑体" w:hAnsi="黑体" w:eastAsia="黑体" w:cs="黑体"/>
          <w:color w:val="auto"/>
          <w:sz w:val="24"/>
          <w:lang w:eastAsia="zh-CN"/>
        </w:rPr>
        <w:t>中标</w:t>
      </w:r>
      <w:r>
        <w:rPr>
          <w:rFonts w:hint="eastAsia" w:ascii="黑体" w:hAnsi="黑体" w:eastAsia="黑体" w:cs="黑体"/>
          <w:color w:val="auto"/>
          <w:sz w:val="24"/>
        </w:rPr>
        <w:t>人没有按照上述履约保证金的规定执行，将视为放弃</w:t>
      </w:r>
      <w:r>
        <w:rPr>
          <w:rFonts w:hint="eastAsia" w:ascii="黑体" w:hAnsi="黑体" w:eastAsia="黑体" w:cs="黑体"/>
          <w:color w:val="auto"/>
          <w:sz w:val="24"/>
          <w:lang w:eastAsia="zh-CN"/>
        </w:rPr>
        <w:t>中标</w:t>
      </w:r>
      <w:r>
        <w:rPr>
          <w:rFonts w:hint="eastAsia" w:ascii="黑体" w:hAnsi="黑体" w:eastAsia="黑体" w:cs="黑体"/>
          <w:color w:val="auto"/>
          <w:sz w:val="24"/>
        </w:rPr>
        <w:t>资格，</w:t>
      </w:r>
      <w:r>
        <w:rPr>
          <w:rFonts w:hint="eastAsia" w:ascii="黑体" w:hAnsi="黑体" w:eastAsia="黑体" w:cs="黑体"/>
          <w:color w:val="auto"/>
          <w:sz w:val="24"/>
          <w:lang w:eastAsia="zh-CN"/>
        </w:rPr>
        <w:t>中标</w:t>
      </w:r>
      <w:r>
        <w:rPr>
          <w:rFonts w:hint="eastAsia" w:ascii="黑体" w:hAnsi="黑体" w:eastAsia="黑体" w:cs="黑体"/>
          <w:color w:val="auto"/>
          <w:sz w:val="24"/>
        </w:rPr>
        <w:t>人的磋商保证金将不予退还。在此情况下，采购人可确定下一候选人为</w:t>
      </w:r>
      <w:r>
        <w:rPr>
          <w:rFonts w:hint="eastAsia" w:ascii="黑体" w:hAnsi="黑体" w:eastAsia="黑体" w:cs="黑体"/>
          <w:color w:val="auto"/>
          <w:sz w:val="24"/>
          <w:lang w:eastAsia="zh-CN"/>
        </w:rPr>
        <w:t>中标</w:t>
      </w:r>
      <w:r>
        <w:rPr>
          <w:rFonts w:hint="eastAsia" w:ascii="黑体" w:hAnsi="黑体" w:eastAsia="黑体" w:cs="黑体"/>
          <w:color w:val="auto"/>
          <w:sz w:val="24"/>
        </w:rPr>
        <w:t>人，也可以重新开展采购活动。</w:t>
      </w:r>
    </w:p>
    <w:p w14:paraId="61B16EC5">
      <w:pPr>
        <w:pStyle w:val="7"/>
        <w:spacing w:before="0" w:after="0" w:line="360" w:lineRule="auto"/>
        <w:rPr>
          <w:rFonts w:hint="eastAsia" w:ascii="黑体" w:hAnsi="黑体" w:eastAsia="黑体" w:cs="黑体"/>
          <w:color w:val="auto"/>
          <w:sz w:val="24"/>
          <w:szCs w:val="21"/>
          <w:u w:val="none"/>
        </w:rPr>
      </w:pPr>
      <w:bookmarkStart w:id="227" w:name="_Toc8476"/>
      <w:bookmarkStart w:id="228" w:name="_Toc21635_WPSOffice_Level2"/>
      <w:bookmarkStart w:id="229" w:name="_Toc12960_WPSOffice_Level2"/>
      <w:bookmarkStart w:id="230" w:name="_Toc518923098"/>
      <w:r>
        <w:rPr>
          <w:rFonts w:hint="eastAsia" w:ascii="黑体" w:hAnsi="黑体" w:eastAsia="黑体" w:cs="黑体"/>
          <w:color w:val="auto"/>
          <w:sz w:val="24"/>
          <w:szCs w:val="21"/>
          <w:u w:val="none"/>
        </w:rPr>
        <w:t>32.</w:t>
      </w:r>
      <w:r>
        <w:rPr>
          <w:rFonts w:hint="eastAsia" w:ascii="黑体" w:hAnsi="黑体" w:eastAsia="黑体" w:cs="黑体"/>
          <w:color w:val="auto"/>
          <w:sz w:val="24"/>
          <w:szCs w:val="21"/>
          <w:u w:val="none"/>
          <w:lang w:eastAsia="zh-CN"/>
        </w:rPr>
        <w:t>中标</w:t>
      </w:r>
      <w:r>
        <w:rPr>
          <w:rFonts w:hint="eastAsia" w:ascii="黑体" w:hAnsi="黑体" w:eastAsia="黑体" w:cs="黑体"/>
          <w:color w:val="auto"/>
          <w:sz w:val="24"/>
          <w:szCs w:val="21"/>
          <w:u w:val="none"/>
        </w:rPr>
        <w:t>服务费</w:t>
      </w:r>
      <w:bookmarkEnd w:id="227"/>
      <w:bookmarkEnd w:id="228"/>
      <w:bookmarkEnd w:id="229"/>
      <w:bookmarkEnd w:id="230"/>
    </w:p>
    <w:p w14:paraId="2A7440BF">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lang w:eastAsia="zh-CN"/>
        </w:rPr>
        <w:t>中标</w:t>
      </w:r>
      <w:r>
        <w:rPr>
          <w:rFonts w:hint="eastAsia" w:ascii="黑体" w:hAnsi="黑体" w:eastAsia="黑体" w:cs="黑体"/>
          <w:color w:val="auto"/>
          <w:sz w:val="24"/>
        </w:rPr>
        <w:t>人须按照</w:t>
      </w:r>
      <w:r>
        <w:rPr>
          <w:rFonts w:hint="eastAsia" w:ascii="黑体" w:hAnsi="黑体" w:eastAsia="黑体" w:cs="黑体"/>
          <w:color w:val="auto"/>
          <w:sz w:val="24"/>
          <w:u w:val="single"/>
          <w:lang w:eastAsia="zh-CN"/>
        </w:rPr>
        <w:t>供应商</w:t>
      </w:r>
      <w:r>
        <w:rPr>
          <w:rFonts w:hint="eastAsia" w:ascii="黑体" w:hAnsi="黑体" w:eastAsia="黑体" w:cs="黑体"/>
          <w:color w:val="auto"/>
          <w:sz w:val="24"/>
          <w:u w:val="single"/>
        </w:rPr>
        <w:t>须知资料表</w:t>
      </w:r>
      <w:r>
        <w:rPr>
          <w:rFonts w:hint="eastAsia" w:ascii="黑体" w:hAnsi="黑体" w:eastAsia="黑体" w:cs="黑体"/>
          <w:color w:val="auto"/>
          <w:sz w:val="24"/>
        </w:rPr>
        <w:t>规定，向采购代理机构支付</w:t>
      </w:r>
      <w:r>
        <w:rPr>
          <w:rFonts w:hint="eastAsia" w:ascii="黑体" w:hAnsi="黑体" w:eastAsia="黑体" w:cs="黑体"/>
          <w:color w:val="auto"/>
          <w:sz w:val="24"/>
          <w:lang w:eastAsia="zh-CN"/>
        </w:rPr>
        <w:t>中标</w:t>
      </w:r>
      <w:r>
        <w:rPr>
          <w:rFonts w:hint="eastAsia" w:ascii="黑体" w:hAnsi="黑体" w:eastAsia="黑体" w:cs="黑体"/>
          <w:color w:val="auto"/>
          <w:sz w:val="24"/>
        </w:rPr>
        <w:t>服务费。</w:t>
      </w:r>
    </w:p>
    <w:p w14:paraId="51D23A4B">
      <w:pPr>
        <w:pStyle w:val="7"/>
        <w:spacing w:before="0" w:after="0" w:line="360" w:lineRule="auto"/>
        <w:rPr>
          <w:rFonts w:hint="eastAsia" w:ascii="黑体" w:hAnsi="黑体" w:eastAsia="黑体" w:cs="黑体"/>
          <w:color w:val="auto"/>
          <w:sz w:val="24"/>
          <w:szCs w:val="21"/>
          <w:u w:val="none"/>
        </w:rPr>
      </w:pPr>
      <w:bookmarkStart w:id="231" w:name="_Toc9330_WPSOffice_Level2"/>
      <w:bookmarkStart w:id="232" w:name="_Toc518923099"/>
      <w:bookmarkStart w:id="233" w:name="_Toc30567_WPSOffice_Level2"/>
      <w:bookmarkStart w:id="234" w:name="_Toc31411"/>
      <w:r>
        <w:rPr>
          <w:rFonts w:hint="eastAsia" w:ascii="黑体" w:hAnsi="黑体" w:eastAsia="黑体" w:cs="黑体"/>
          <w:color w:val="auto"/>
          <w:sz w:val="24"/>
          <w:szCs w:val="21"/>
          <w:u w:val="none"/>
        </w:rPr>
        <w:t>33.政府采购信用担保</w:t>
      </w:r>
      <w:bookmarkEnd w:id="231"/>
      <w:bookmarkEnd w:id="232"/>
      <w:bookmarkEnd w:id="233"/>
      <w:bookmarkEnd w:id="234"/>
    </w:p>
    <w:p w14:paraId="3E9A5F99">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33.1本项目是否属于信用担保试点范围见</w:t>
      </w:r>
      <w:r>
        <w:rPr>
          <w:rFonts w:hint="eastAsia" w:ascii="黑体" w:hAnsi="黑体" w:eastAsia="黑体" w:cs="黑体"/>
          <w:color w:val="auto"/>
          <w:sz w:val="24"/>
          <w:u w:val="single"/>
          <w:lang w:eastAsia="zh-CN"/>
        </w:rPr>
        <w:t>供应商</w:t>
      </w:r>
      <w:r>
        <w:rPr>
          <w:rFonts w:hint="eastAsia" w:ascii="黑体" w:hAnsi="黑体" w:eastAsia="黑体" w:cs="黑体"/>
          <w:color w:val="auto"/>
          <w:sz w:val="24"/>
          <w:u w:val="single"/>
        </w:rPr>
        <w:t>须知资料表</w:t>
      </w:r>
      <w:r>
        <w:rPr>
          <w:rFonts w:hint="eastAsia" w:ascii="黑体" w:hAnsi="黑体" w:eastAsia="黑体" w:cs="黑体"/>
          <w:color w:val="auto"/>
          <w:sz w:val="24"/>
        </w:rPr>
        <w:t>。</w:t>
      </w:r>
    </w:p>
    <w:p w14:paraId="7B3DFF78">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33.2如属于政府采购信用担保试点范围内，中小型企业</w:t>
      </w:r>
      <w:r>
        <w:rPr>
          <w:rFonts w:hint="eastAsia" w:ascii="黑体" w:hAnsi="黑体" w:eastAsia="黑体" w:cs="黑体"/>
          <w:color w:val="auto"/>
          <w:sz w:val="24"/>
          <w:lang w:eastAsia="zh-CN"/>
        </w:rPr>
        <w:t>供应商</w:t>
      </w:r>
      <w:r>
        <w:rPr>
          <w:rFonts w:hint="eastAsia" w:ascii="黑体" w:hAnsi="黑体" w:eastAsia="黑体" w:cs="黑体"/>
          <w:color w:val="auto"/>
          <w:sz w:val="24"/>
        </w:rPr>
        <w:t>可以自由按照财政部门的规定，采用</w:t>
      </w:r>
      <w:r>
        <w:rPr>
          <w:rFonts w:hint="eastAsia" w:ascii="黑体" w:hAnsi="黑体" w:eastAsia="黑体" w:cs="黑体"/>
          <w:color w:val="auto"/>
          <w:sz w:val="24"/>
          <w:lang w:eastAsia="zh-CN"/>
        </w:rPr>
        <w:t>磋商</w:t>
      </w:r>
      <w:r>
        <w:rPr>
          <w:rFonts w:hint="eastAsia" w:ascii="黑体" w:hAnsi="黑体" w:eastAsia="黑体" w:cs="黑体"/>
          <w:color w:val="auto"/>
          <w:sz w:val="24"/>
        </w:rPr>
        <w:t>担保、履约担保和融资担保。</w:t>
      </w:r>
    </w:p>
    <w:p w14:paraId="7C89C398">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33.2.1</w:t>
      </w:r>
      <w:r>
        <w:rPr>
          <w:rFonts w:hint="eastAsia" w:ascii="黑体" w:hAnsi="黑体" w:eastAsia="黑体" w:cs="黑体"/>
          <w:color w:val="auto"/>
          <w:sz w:val="24"/>
          <w:lang w:eastAsia="zh-CN"/>
        </w:rPr>
        <w:t>供应商</w:t>
      </w:r>
      <w:r>
        <w:rPr>
          <w:rFonts w:hint="eastAsia" w:ascii="黑体" w:hAnsi="黑体" w:eastAsia="黑体" w:cs="黑体"/>
          <w:color w:val="auto"/>
          <w:sz w:val="24"/>
        </w:rPr>
        <w:t>递交的</w:t>
      </w:r>
      <w:r>
        <w:rPr>
          <w:rFonts w:hint="eastAsia" w:ascii="黑体" w:hAnsi="黑体" w:eastAsia="黑体" w:cs="黑体"/>
          <w:color w:val="auto"/>
          <w:sz w:val="24"/>
          <w:lang w:eastAsia="zh-CN"/>
        </w:rPr>
        <w:t>磋商</w:t>
      </w:r>
      <w:r>
        <w:rPr>
          <w:rFonts w:hint="eastAsia" w:ascii="黑体" w:hAnsi="黑体" w:eastAsia="黑体" w:cs="黑体"/>
          <w:color w:val="auto"/>
          <w:sz w:val="24"/>
        </w:rPr>
        <w:t>担保函和履约担保函应符合本磋商文件的规定。</w:t>
      </w:r>
    </w:p>
    <w:p w14:paraId="3FD04C64">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33.2.2</w:t>
      </w:r>
      <w:r>
        <w:rPr>
          <w:rFonts w:hint="eastAsia" w:ascii="黑体" w:hAnsi="黑体" w:eastAsia="黑体" w:cs="黑体"/>
          <w:color w:val="auto"/>
          <w:sz w:val="24"/>
          <w:lang w:eastAsia="zh-CN"/>
        </w:rPr>
        <w:t>中标</w:t>
      </w:r>
      <w:r>
        <w:rPr>
          <w:rFonts w:hint="eastAsia" w:ascii="黑体" w:hAnsi="黑体" w:eastAsia="黑体" w:cs="黑体"/>
          <w:color w:val="auto"/>
          <w:sz w:val="24"/>
        </w:rPr>
        <w:t>人可以采取融资担保的形式为政府采购项目履约进行融资。</w:t>
      </w:r>
    </w:p>
    <w:p w14:paraId="1EC2E5CD">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33.2.3合格的政府采购专业信用担保机构见</w:t>
      </w:r>
      <w:r>
        <w:rPr>
          <w:rFonts w:hint="eastAsia" w:ascii="黑体" w:hAnsi="黑体" w:eastAsia="黑体" w:cs="黑体"/>
          <w:color w:val="auto"/>
          <w:sz w:val="24"/>
          <w:u w:val="single"/>
          <w:lang w:eastAsia="zh-CN"/>
        </w:rPr>
        <w:t>供应商</w:t>
      </w:r>
      <w:r>
        <w:rPr>
          <w:rFonts w:hint="eastAsia" w:ascii="黑体" w:hAnsi="黑体" w:eastAsia="黑体" w:cs="黑体"/>
          <w:color w:val="auto"/>
          <w:sz w:val="24"/>
          <w:u w:val="single"/>
        </w:rPr>
        <w:t>须知资料表</w:t>
      </w:r>
      <w:r>
        <w:rPr>
          <w:rFonts w:hint="eastAsia" w:ascii="黑体" w:hAnsi="黑体" w:eastAsia="黑体" w:cs="黑体"/>
          <w:color w:val="auto"/>
          <w:sz w:val="24"/>
        </w:rPr>
        <w:t>。</w:t>
      </w:r>
    </w:p>
    <w:p w14:paraId="7EF04F51">
      <w:pPr>
        <w:pStyle w:val="7"/>
        <w:spacing w:before="0" w:after="0" w:line="360" w:lineRule="auto"/>
        <w:rPr>
          <w:rFonts w:hint="eastAsia" w:ascii="黑体" w:hAnsi="黑体" w:eastAsia="黑体" w:cs="黑体"/>
          <w:color w:val="auto"/>
          <w:sz w:val="24"/>
          <w:szCs w:val="21"/>
          <w:u w:val="none"/>
        </w:rPr>
      </w:pPr>
      <w:bookmarkStart w:id="235" w:name="_Toc9469_WPSOffice_Level2"/>
      <w:bookmarkStart w:id="236" w:name="_Toc5233_WPSOffice_Level2"/>
      <w:bookmarkStart w:id="237" w:name="_Toc518923100"/>
      <w:bookmarkStart w:id="238" w:name="_Toc4701"/>
      <w:r>
        <w:rPr>
          <w:rFonts w:hint="eastAsia" w:ascii="黑体" w:hAnsi="黑体" w:eastAsia="黑体" w:cs="黑体"/>
          <w:color w:val="auto"/>
          <w:sz w:val="24"/>
          <w:szCs w:val="21"/>
          <w:u w:val="none"/>
        </w:rPr>
        <w:t>34.廉洁自律规定</w:t>
      </w:r>
      <w:bookmarkEnd w:id="235"/>
      <w:bookmarkEnd w:id="236"/>
      <w:bookmarkEnd w:id="237"/>
      <w:bookmarkEnd w:id="238"/>
    </w:p>
    <w:p w14:paraId="0F43686F">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34.1采购代理机构工作人员不得以不正当手段获取政府采购代理业务，不得与采购人、</w:t>
      </w:r>
      <w:r>
        <w:rPr>
          <w:rFonts w:hint="eastAsia" w:ascii="黑体" w:hAnsi="黑体" w:eastAsia="黑体" w:cs="黑体"/>
          <w:color w:val="auto"/>
          <w:sz w:val="24"/>
          <w:lang w:eastAsia="zh-CN"/>
        </w:rPr>
        <w:t>供应商</w:t>
      </w:r>
      <w:r>
        <w:rPr>
          <w:rFonts w:hint="eastAsia" w:ascii="黑体" w:hAnsi="黑体" w:eastAsia="黑体" w:cs="黑体"/>
          <w:color w:val="auto"/>
          <w:sz w:val="24"/>
        </w:rPr>
        <w:t>恶意串通操纵政府采购活动。</w:t>
      </w:r>
    </w:p>
    <w:p w14:paraId="4FB3F187">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34.2采购代理机构工作人员不得接受采购人或者</w:t>
      </w:r>
      <w:r>
        <w:rPr>
          <w:rFonts w:hint="eastAsia" w:ascii="黑体" w:hAnsi="黑体" w:eastAsia="黑体" w:cs="黑体"/>
          <w:color w:val="auto"/>
          <w:sz w:val="24"/>
          <w:lang w:eastAsia="zh-CN"/>
        </w:rPr>
        <w:t>供应商</w:t>
      </w:r>
      <w:r>
        <w:rPr>
          <w:rFonts w:hint="eastAsia" w:ascii="黑体" w:hAnsi="黑体" w:eastAsia="黑体" w:cs="黑体"/>
          <w:color w:val="auto"/>
          <w:sz w:val="24"/>
        </w:rPr>
        <w:t>组织的宴请、旅游、娱乐，不得收受礼品、现金、有价证券等，不得向采购人或者</w:t>
      </w:r>
      <w:r>
        <w:rPr>
          <w:rFonts w:hint="eastAsia" w:ascii="黑体" w:hAnsi="黑体" w:eastAsia="黑体" w:cs="黑体"/>
          <w:color w:val="auto"/>
          <w:sz w:val="24"/>
          <w:lang w:eastAsia="zh-CN"/>
        </w:rPr>
        <w:t>供应商</w:t>
      </w:r>
      <w:r>
        <w:rPr>
          <w:rFonts w:hint="eastAsia" w:ascii="黑体" w:hAnsi="黑体" w:eastAsia="黑体" w:cs="黑体"/>
          <w:color w:val="auto"/>
          <w:sz w:val="24"/>
        </w:rPr>
        <w:t>报销应当由个人承担的费用。</w:t>
      </w:r>
    </w:p>
    <w:p w14:paraId="119E3006">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rPr>
        <w:t>34.3为强化采购代理机构内部监督机制，</w:t>
      </w:r>
      <w:r>
        <w:rPr>
          <w:rFonts w:hint="eastAsia" w:ascii="黑体" w:hAnsi="黑体" w:eastAsia="黑体" w:cs="黑体"/>
          <w:color w:val="auto"/>
          <w:sz w:val="24"/>
          <w:lang w:eastAsia="zh-CN"/>
        </w:rPr>
        <w:t>供应商</w:t>
      </w:r>
      <w:r>
        <w:rPr>
          <w:rFonts w:hint="eastAsia" w:ascii="黑体" w:hAnsi="黑体" w:eastAsia="黑体" w:cs="黑体"/>
          <w:color w:val="auto"/>
          <w:sz w:val="24"/>
        </w:rPr>
        <w:t>可按</w:t>
      </w:r>
      <w:r>
        <w:rPr>
          <w:rFonts w:hint="eastAsia" w:ascii="黑体" w:hAnsi="黑体" w:eastAsia="黑体" w:cs="黑体"/>
          <w:color w:val="auto"/>
          <w:sz w:val="24"/>
          <w:u w:val="single"/>
          <w:lang w:eastAsia="zh-CN"/>
        </w:rPr>
        <w:t>供应商</w:t>
      </w:r>
      <w:r>
        <w:rPr>
          <w:rFonts w:hint="eastAsia" w:ascii="黑体" w:hAnsi="黑体" w:eastAsia="黑体" w:cs="黑体"/>
          <w:color w:val="auto"/>
          <w:sz w:val="24"/>
          <w:u w:val="single"/>
        </w:rPr>
        <w:t>须知资料表中的</w:t>
      </w:r>
      <w:r>
        <w:rPr>
          <w:rFonts w:hint="eastAsia" w:ascii="黑体" w:hAnsi="黑体" w:eastAsia="黑体" w:cs="黑体"/>
          <w:color w:val="auto"/>
          <w:sz w:val="24"/>
        </w:rPr>
        <w:t>监督电话和信箱，反映采购代理机构的廉洁自律等问题。</w:t>
      </w:r>
    </w:p>
    <w:p w14:paraId="62BB796B">
      <w:pPr>
        <w:pStyle w:val="7"/>
        <w:spacing w:before="0" w:after="0" w:line="360" w:lineRule="auto"/>
        <w:rPr>
          <w:rFonts w:hint="eastAsia" w:ascii="黑体" w:hAnsi="黑体" w:eastAsia="黑体" w:cs="黑体"/>
          <w:color w:val="auto"/>
          <w:sz w:val="24"/>
          <w:szCs w:val="21"/>
          <w:u w:val="none"/>
        </w:rPr>
      </w:pPr>
      <w:bookmarkStart w:id="239" w:name="_Toc518923101"/>
      <w:bookmarkStart w:id="240" w:name="_Toc27272_WPSOffice_Level2"/>
      <w:bookmarkStart w:id="241" w:name="_Toc21055"/>
      <w:bookmarkStart w:id="242" w:name="_Toc27811_WPSOffice_Level2"/>
      <w:r>
        <w:rPr>
          <w:rFonts w:hint="eastAsia" w:ascii="黑体" w:hAnsi="黑体" w:eastAsia="黑体" w:cs="黑体"/>
          <w:color w:val="auto"/>
          <w:sz w:val="24"/>
          <w:szCs w:val="21"/>
          <w:u w:val="none"/>
        </w:rPr>
        <w:t>35.人员回避</w:t>
      </w:r>
      <w:bookmarkEnd w:id="239"/>
      <w:bookmarkEnd w:id="240"/>
      <w:bookmarkEnd w:id="241"/>
      <w:bookmarkEnd w:id="242"/>
    </w:p>
    <w:p w14:paraId="2A4F537B">
      <w:pPr>
        <w:spacing w:line="360" w:lineRule="auto"/>
        <w:ind w:left="0" w:leftChars="0" w:firstLine="420" w:firstLineChars="175"/>
        <w:rPr>
          <w:rFonts w:hint="eastAsia" w:ascii="黑体" w:hAnsi="黑体" w:eastAsia="黑体" w:cs="黑体"/>
          <w:color w:val="auto"/>
          <w:sz w:val="24"/>
        </w:rPr>
      </w:pPr>
      <w:r>
        <w:rPr>
          <w:rFonts w:hint="eastAsia" w:ascii="黑体" w:hAnsi="黑体" w:eastAsia="黑体" w:cs="黑体"/>
          <w:color w:val="auto"/>
          <w:sz w:val="24"/>
          <w:lang w:eastAsia="zh-CN"/>
        </w:rPr>
        <w:t>供应商</w:t>
      </w:r>
      <w:r>
        <w:rPr>
          <w:rFonts w:hint="eastAsia" w:ascii="黑体" w:hAnsi="黑体" w:eastAsia="黑体" w:cs="黑体"/>
          <w:color w:val="auto"/>
          <w:sz w:val="24"/>
        </w:rPr>
        <w:t>认为采购人员及其相关人员有法律法规所列与其他</w:t>
      </w:r>
      <w:r>
        <w:rPr>
          <w:rFonts w:hint="eastAsia" w:ascii="黑体" w:hAnsi="黑体" w:eastAsia="黑体" w:cs="黑体"/>
          <w:color w:val="auto"/>
          <w:sz w:val="24"/>
          <w:lang w:eastAsia="zh-CN"/>
        </w:rPr>
        <w:t>供应商</w:t>
      </w:r>
      <w:r>
        <w:rPr>
          <w:rFonts w:hint="eastAsia" w:ascii="黑体" w:hAnsi="黑体" w:eastAsia="黑体" w:cs="黑体"/>
          <w:color w:val="auto"/>
          <w:sz w:val="24"/>
        </w:rPr>
        <w:t>有利害关系的，可以向采购人或采购代理机构书面提出回避申请，并说明理由。</w:t>
      </w:r>
    </w:p>
    <w:p w14:paraId="75A3FB2C">
      <w:pPr>
        <w:spacing w:line="360" w:lineRule="auto"/>
        <w:ind w:left="904" w:hanging="900" w:hangingChars="375"/>
        <w:jc w:val="left"/>
        <w:rPr>
          <w:rFonts w:hint="eastAsia" w:ascii="黑体" w:hAnsi="黑体" w:eastAsia="黑体" w:cs="黑体"/>
          <w:b/>
          <w:bCs/>
          <w:color w:val="auto"/>
          <w:sz w:val="24"/>
        </w:rPr>
      </w:pPr>
      <w:r>
        <w:rPr>
          <w:rFonts w:hint="eastAsia" w:ascii="黑体" w:hAnsi="黑体" w:eastAsia="黑体" w:cs="黑体"/>
          <w:b/>
          <w:bCs/>
          <w:color w:val="auto"/>
          <w:sz w:val="24"/>
        </w:rPr>
        <w:t>36.质疑与接收</w:t>
      </w:r>
    </w:p>
    <w:p w14:paraId="102A6B7A">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36.1</w:t>
      </w:r>
      <w:r>
        <w:rPr>
          <w:rFonts w:hint="eastAsia" w:ascii="黑体" w:hAnsi="黑体" w:eastAsia="黑体" w:cs="黑体"/>
          <w:color w:val="auto"/>
          <w:sz w:val="24"/>
          <w:lang w:eastAsia="zh-CN"/>
        </w:rPr>
        <w:t>供应商</w:t>
      </w:r>
      <w:r>
        <w:rPr>
          <w:rFonts w:hint="eastAsia" w:ascii="黑体" w:hAnsi="黑体" w:eastAsia="黑体" w:cs="黑体"/>
          <w:color w:val="auto"/>
          <w:sz w:val="24"/>
        </w:rPr>
        <w:t>认为磋商文件、</w:t>
      </w:r>
      <w:r>
        <w:rPr>
          <w:rFonts w:hint="eastAsia" w:ascii="黑体" w:hAnsi="黑体" w:eastAsia="黑体" w:cs="黑体"/>
          <w:color w:val="auto"/>
          <w:sz w:val="24"/>
          <w:lang w:eastAsia="zh-CN"/>
        </w:rPr>
        <w:t>磋商</w:t>
      </w:r>
      <w:r>
        <w:rPr>
          <w:rFonts w:hint="eastAsia" w:ascii="黑体" w:hAnsi="黑体" w:eastAsia="黑体" w:cs="黑体"/>
          <w:color w:val="auto"/>
          <w:sz w:val="24"/>
        </w:rPr>
        <w:t>过程和</w:t>
      </w:r>
      <w:r>
        <w:rPr>
          <w:rFonts w:hint="eastAsia" w:ascii="黑体" w:hAnsi="黑体" w:eastAsia="黑体" w:cs="黑体"/>
          <w:color w:val="auto"/>
          <w:sz w:val="24"/>
          <w:lang w:eastAsia="zh-CN"/>
        </w:rPr>
        <w:t>中标</w:t>
      </w:r>
      <w:r>
        <w:rPr>
          <w:rFonts w:hint="eastAsia" w:ascii="黑体" w:hAnsi="黑体" w:eastAsia="黑体" w:cs="黑体"/>
          <w:color w:val="auto"/>
          <w:sz w:val="24"/>
        </w:rPr>
        <w:t>结果使自己的权益受到损害的，可以根据《中华人民共和国政府采购法》、《中华人民共和国政府采购法实施条例》和《政府采购质疑和投诉办法》的有关规定，依法向采购人或其委托的采购代理机构提出质疑。</w:t>
      </w:r>
    </w:p>
    <w:p w14:paraId="6F59D542">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36.2质疑</w:t>
      </w:r>
      <w:r>
        <w:rPr>
          <w:rFonts w:hint="eastAsia" w:ascii="黑体" w:hAnsi="黑体" w:eastAsia="黑体" w:cs="黑体"/>
          <w:color w:val="auto"/>
          <w:sz w:val="24"/>
          <w:lang w:eastAsia="zh-CN"/>
        </w:rPr>
        <w:t>供应商</w:t>
      </w:r>
      <w:r>
        <w:rPr>
          <w:rFonts w:hint="eastAsia" w:ascii="黑体" w:hAnsi="黑体" w:eastAsia="黑体" w:cs="黑体"/>
          <w:color w:val="auto"/>
          <w:sz w:val="24"/>
        </w:rPr>
        <w:t>应按照财政部制定的《政府采购质疑函范本》格式（可从财政部官方网站下载）和《政府采购质疑和投诉办法》的要求，在法定质疑期内以纸质形式提出质疑，针对同一采购程序环节的质疑应一次性提出。</w:t>
      </w:r>
    </w:p>
    <w:p w14:paraId="6328DB99">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超出法定质疑期的、重复提出的、分次提出的或内容、形式不符合《政府采购质疑和投诉办法》的，质疑</w:t>
      </w:r>
      <w:r>
        <w:rPr>
          <w:rFonts w:hint="eastAsia" w:ascii="黑体" w:hAnsi="黑体" w:eastAsia="黑体" w:cs="黑体"/>
          <w:color w:val="auto"/>
          <w:sz w:val="24"/>
          <w:lang w:eastAsia="zh-CN"/>
        </w:rPr>
        <w:t>供应商</w:t>
      </w:r>
      <w:r>
        <w:rPr>
          <w:rFonts w:hint="eastAsia" w:ascii="黑体" w:hAnsi="黑体" w:eastAsia="黑体" w:cs="黑体"/>
          <w:color w:val="auto"/>
          <w:sz w:val="24"/>
        </w:rPr>
        <w:t>将依法承担不利后果。</w:t>
      </w:r>
    </w:p>
    <w:p w14:paraId="64297010">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36.3采购代理机构质疑函接收部门、联系电话和通讯地址,见</w:t>
      </w:r>
      <w:r>
        <w:rPr>
          <w:rFonts w:hint="eastAsia" w:ascii="黑体" w:hAnsi="黑体" w:eastAsia="黑体" w:cs="黑体"/>
          <w:color w:val="auto"/>
          <w:sz w:val="24"/>
          <w:lang w:eastAsia="zh-CN"/>
        </w:rPr>
        <w:t>供应商</w:t>
      </w:r>
      <w:r>
        <w:rPr>
          <w:rFonts w:hint="eastAsia" w:ascii="黑体" w:hAnsi="黑体" w:eastAsia="黑体" w:cs="黑体"/>
          <w:color w:val="auto"/>
          <w:sz w:val="24"/>
        </w:rPr>
        <w:t>须知资料表。</w:t>
      </w:r>
    </w:p>
    <w:p w14:paraId="06EED101">
      <w:pPr>
        <w:spacing w:line="360" w:lineRule="auto"/>
        <w:ind w:left="0" w:leftChars="0" w:firstLine="420" w:firstLineChars="175"/>
        <w:jc w:val="left"/>
        <w:rPr>
          <w:rFonts w:hint="eastAsia" w:ascii="黑体" w:hAnsi="黑体" w:eastAsia="黑体" w:cs="黑体"/>
          <w:b/>
          <w:bCs/>
          <w:color w:val="auto"/>
          <w:sz w:val="24"/>
        </w:rPr>
      </w:pPr>
      <w:r>
        <w:rPr>
          <w:rFonts w:hint="eastAsia" w:ascii="黑体" w:hAnsi="黑体" w:eastAsia="黑体" w:cs="黑体"/>
          <w:b/>
          <w:bCs/>
          <w:color w:val="auto"/>
          <w:sz w:val="24"/>
        </w:rPr>
        <w:t>36.4、质疑的提出</w:t>
      </w:r>
    </w:p>
    <w:p w14:paraId="7D23CF34">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36.5本采购文件中所称质疑及答复，是指参加本次采购活动的</w:t>
      </w:r>
      <w:r>
        <w:rPr>
          <w:rFonts w:hint="eastAsia" w:ascii="黑体" w:hAnsi="黑体" w:eastAsia="黑体" w:cs="黑体"/>
          <w:color w:val="auto"/>
          <w:sz w:val="24"/>
          <w:lang w:eastAsia="zh-CN"/>
        </w:rPr>
        <w:t>供应商</w:t>
      </w:r>
      <w:r>
        <w:rPr>
          <w:rFonts w:hint="eastAsia" w:ascii="黑体" w:hAnsi="黑体" w:eastAsia="黑体" w:cs="黑体"/>
          <w:color w:val="auto"/>
          <w:sz w:val="24"/>
        </w:rPr>
        <w:t>对政府采购活动中的采购文件、采购过程和</w:t>
      </w:r>
      <w:r>
        <w:rPr>
          <w:rFonts w:hint="eastAsia" w:ascii="黑体" w:hAnsi="黑体" w:eastAsia="黑体" w:cs="黑体"/>
          <w:color w:val="auto"/>
          <w:sz w:val="24"/>
          <w:lang w:eastAsia="zh-CN"/>
        </w:rPr>
        <w:t>中标</w:t>
      </w:r>
      <w:r>
        <w:rPr>
          <w:rFonts w:hint="eastAsia" w:ascii="黑体" w:hAnsi="黑体" w:eastAsia="黑体" w:cs="黑体"/>
          <w:color w:val="auto"/>
          <w:sz w:val="24"/>
        </w:rPr>
        <w:t>结果向采购方提出质疑，采购方答复质疑的行为。</w:t>
      </w:r>
    </w:p>
    <w:p w14:paraId="15E4A523">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36.6</w:t>
      </w:r>
      <w:r>
        <w:rPr>
          <w:rFonts w:hint="eastAsia" w:ascii="黑体" w:hAnsi="黑体" w:eastAsia="黑体" w:cs="黑体"/>
          <w:color w:val="auto"/>
          <w:sz w:val="24"/>
          <w:lang w:eastAsia="zh-CN"/>
        </w:rPr>
        <w:t>供应商</w:t>
      </w:r>
      <w:r>
        <w:rPr>
          <w:rFonts w:hint="eastAsia" w:ascii="黑体" w:hAnsi="黑体" w:eastAsia="黑体" w:cs="黑体"/>
          <w:color w:val="auto"/>
          <w:sz w:val="24"/>
        </w:rPr>
        <w:t>认为采购文件、采购过程和</w:t>
      </w:r>
      <w:r>
        <w:rPr>
          <w:rFonts w:hint="eastAsia" w:ascii="黑体" w:hAnsi="黑体" w:eastAsia="黑体" w:cs="黑体"/>
          <w:color w:val="auto"/>
          <w:sz w:val="24"/>
          <w:lang w:eastAsia="zh-CN"/>
        </w:rPr>
        <w:t>中标</w:t>
      </w:r>
      <w:r>
        <w:rPr>
          <w:rFonts w:hint="eastAsia" w:ascii="黑体" w:hAnsi="黑体" w:eastAsia="黑体" w:cs="黑体"/>
          <w:color w:val="auto"/>
          <w:sz w:val="24"/>
        </w:rPr>
        <w:t>结果使自己的权益受到损害的，可以在知道或者应知其权益受到损害之日起7个工作日内，以书面形式向采购方提出质疑。</w:t>
      </w:r>
      <w:r>
        <w:rPr>
          <w:rFonts w:hint="eastAsia" w:ascii="黑体" w:hAnsi="黑体" w:eastAsia="黑体" w:cs="黑体"/>
          <w:color w:val="auto"/>
          <w:sz w:val="24"/>
          <w:lang w:eastAsia="zh-CN"/>
        </w:rPr>
        <w:t>供应商</w:t>
      </w:r>
      <w:r>
        <w:rPr>
          <w:rFonts w:hint="eastAsia" w:ascii="黑体" w:hAnsi="黑体" w:eastAsia="黑体" w:cs="黑体"/>
          <w:color w:val="auto"/>
          <w:sz w:val="24"/>
        </w:rPr>
        <w:t>应知其权益受到损害之日，是指：</w:t>
      </w:r>
    </w:p>
    <w:p w14:paraId="6BAD357A">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（一）对可以质疑的采购文件提出质疑的，为收到采购文件之日或者采购文件公告期限届满之日；</w:t>
      </w:r>
    </w:p>
    <w:p w14:paraId="4E56FF02">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（二）对采购过程提出质疑的，为各采购程序环节结束之日；</w:t>
      </w:r>
    </w:p>
    <w:p w14:paraId="2B02B340">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（三）对</w:t>
      </w:r>
      <w:r>
        <w:rPr>
          <w:rFonts w:hint="eastAsia" w:ascii="黑体" w:hAnsi="黑体" w:eastAsia="黑体" w:cs="黑体"/>
          <w:color w:val="auto"/>
          <w:sz w:val="24"/>
          <w:lang w:eastAsia="zh-CN"/>
        </w:rPr>
        <w:t>中标</w:t>
      </w:r>
      <w:r>
        <w:rPr>
          <w:rFonts w:hint="eastAsia" w:ascii="黑体" w:hAnsi="黑体" w:eastAsia="黑体" w:cs="黑体"/>
          <w:color w:val="auto"/>
          <w:sz w:val="24"/>
        </w:rPr>
        <w:t>结果提出质疑的，为</w:t>
      </w:r>
      <w:r>
        <w:rPr>
          <w:rFonts w:hint="eastAsia" w:ascii="黑体" w:hAnsi="黑体" w:eastAsia="黑体" w:cs="黑体"/>
          <w:color w:val="auto"/>
          <w:sz w:val="24"/>
          <w:lang w:eastAsia="zh-CN"/>
        </w:rPr>
        <w:t>中标</w:t>
      </w:r>
      <w:r>
        <w:rPr>
          <w:rFonts w:hint="eastAsia" w:ascii="黑体" w:hAnsi="黑体" w:eastAsia="黑体" w:cs="黑体"/>
          <w:color w:val="auto"/>
          <w:sz w:val="24"/>
        </w:rPr>
        <w:t>结果公告期限届满之日。</w:t>
      </w:r>
    </w:p>
    <w:p w14:paraId="296A5FC1">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36.7对可以质疑的采购文件提出质疑的，质疑人为参与本项目的报价方或潜在报价方。可质疑的文件为采购公告以及采购文件（包括属于其组成部分的澄清、修改、补充文件和评审标准、合同文本等）。</w:t>
      </w:r>
    </w:p>
    <w:p w14:paraId="40F87D71">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36.8对采购过程和</w:t>
      </w:r>
      <w:r>
        <w:rPr>
          <w:rFonts w:hint="eastAsia" w:ascii="黑体" w:hAnsi="黑体" w:eastAsia="黑体" w:cs="黑体"/>
          <w:color w:val="auto"/>
          <w:sz w:val="24"/>
          <w:lang w:eastAsia="zh-CN"/>
        </w:rPr>
        <w:t>中标</w:t>
      </w:r>
      <w:r>
        <w:rPr>
          <w:rFonts w:hint="eastAsia" w:ascii="黑体" w:hAnsi="黑体" w:eastAsia="黑体" w:cs="黑体"/>
          <w:color w:val="auto"/>
          <w:sz w:val="24"/>
        </w:rPr>
        <w:t>结果提出质疑的，质疑人为直接参与本项目的报价方。采购过程,即从采购项目信息公告发布起到</w:t>
      </w:r>
      <w:r>
        <w:rPr>
          <w:rFonts w:hint="eastAsia" w:ascii="黑体" w:hAnsi="黑体" w:eastAsia="黑体" w:cs="黑体"/>
          <w:color w:val="auto"/>
          <w:sz w:val="24"/>
          <w:lang w:eastAsia="zh-CN"/>
        </w:rPr>
        <w:t>中标</w:t>
      </w:r>
      <w:r>
        <w:rPr>
          <w:rFonts w:hint="eastAsia" w:ascii="黑体" w:hAnsi="黑体" w:eastAsia="黑体" w:cs="黑体"/>
          <w:color w:val="auto"/>
          <w:sz w:val="24"/>
        </w:rPr>
        <w:t>结果公告止，包括采购文件的发出、提交响应文件、响应文件开启、评审等各个采购程序环节。</w:t>
      </w:r>
    </w:p>
    <w:p w14:paraId="348DC224">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36.9提出质疑应当符合下列条件：</w:t>
      </w:r>
    </w:p>
    <w:p w14:paraId="04A9D6CD">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（一）质疑主体应当符合有关规定；</w:t>
      </w:r>
    </w:p>
    <w:p w14:paraId="4D895B82">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（二）在质疑法定期限内提出；</w:t>
      </w:r>
    </w:p>
    <w:p w14:paraId="7A6EC225">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（三）属于可以提出质疑的政府采购事项受理范围和本项目采购人的管辖权范围；</w:t>
      </w:r>
    </w:p>
    <w:p w14:paraId="6D18FB84">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（四）政府采购法律、法规、规章规定的其他条件。</w:t>
      </w:r>
    </w:p>
    <w:p w14:paraId="47C04083">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40.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3C455565">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40.1质疑人所提供的证明材料应当具有真实性、合法性以及与质疑事项的关联性和证明力，否则不能作为认定该质疑事项成立的依据。</w:t>
      </w:r>
    </w:p>
    <w:p w14:paraId="7A3C9F14">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40.2质疑人提出质疑时应当提交质疑函。质疑函包括下列内容：</w:t>
      </w:r>
    </w:p>
    <w:p w14:paraId="328A0B78">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（一）提出质疑的质疑人的名称、地址、邮编、联系人及联系电话等；</w:t>
      </w:r>
    </w:p>
    <w:p w14:paraId="19E1FFAA">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（二）质疑项目的名称、编号；</w:t>
      </w:r>
    </w:p>
    <w:p w14:paraId="5E3AE9CE">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（三）质疑事项；</w:t>
      </w:r>
    </w:p>
    <w:p w14:paraId="0552204D">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（四）事实依据和证明材料；</w:t>
      </w:r>
    </w:p>
    <w:p w14:paraId="60E98D39">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（五）法律依据；</w:t>
      </w:r>
    </w:p>
    <w:p w14:paraId="4CD872CE">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（六）提出质疑的日期。</w:t>
      </w:r>
    </w:p>
    <w:p w14:paraId="04F9EDC5">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质疑函采用实名制。质疑人为自然人的应当由本人签字，并附有效身份证明文件；质疑人为法人或者非法人组织的应当由法定代表人或者负责人签字并加盖公章，并附有效身份证明文件。</w:t>
      </w:r>
    </w:p>
    <w:p w14:paraId="294A71EF">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40.3质疑人可以委托代理人进行质疑。代理人应当提交授权委托书。授权委托书应当载明委托代理的具体权限、期限和相关事项。</w:t>
      </w:r>
    </w:p>
    <w:p w14:paraId="75E91C80">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40.4、质疑的审查和受理</w:t>
      </w:r>
    </w:p>
    <w:p w14:paraId="10AF1C98">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采购方在收到质疑函后应当及时审查是否符合质疑受理条件，对符合质疑受理条件的，及时予以受理。</w:t>
      </w:r>
    </w:p>
    <w:p w14:paraId="5FA2CB96">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40.5对不符合质疑受理条件的，分别按照下列不同情形予以处理：</w:t>
      </w:r>
    </w:p>
    <w:p w14:paraId="1F42CA97">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（一）质疑函内容不符合规定的，告知质疑人进行修改并重新提出质疑。修改后质疑事项仍不具体、不明确或者最终递交质疑函的时间超过质疑法定期限的，不予受理；</w:t>
      </w:r>
    </w:p>
    <w:p w14:paraId="127613C3">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（二）质疑主体不符合有关规定的，告知质疑人不予受理；</w:t>
      </w:r>
    </w:p>
    <w:p w14:paraId="749B24B7">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（三）超过质疑法定期限提出质疑的，告知质疑人不予受理；</w:t>
      </w:r>
    </w:p>
    <w:p w14:paraId="5F925CD9">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（四）对不属于可以提出质疑的政府采购事项提出质疑的，告知质疑人不予受理；</w:t>
      </w:r>
    </w:p>
    <w:p w14:paraId="531E5257">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（五）质疑不属于本项目采购方管辖的，告知质疑人向有管辖权的采购人提出质疑；</w:t>
      </w:r>
    </w:p>
    <w:p w14:paraId="75F6DC5D">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（六）质疑不符合其他条件的，告知质疑人不予受理。</w:t>
      </w:r>
    </w:p>
    <w:p w14:paraId="55039D2C">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40.6、质疑的处理和答复</w:t>
      </w:r>
    </w:p>
    <w:p w14:paraId="676111EE">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40.7采购方受理质疑后，将及时把质疑函发送给被质疑人，并要求其在一定限期内提交书面答复，同时提供有关证据、依据和相关材料。</w:t>
      </w:r>
    </w:p>
    <w:p w14:paraId="6CD5D7C1">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40.8对于质疑事项中涉及的问题较多、情况比较复杂的，为了全面查清事实、取得充分的证据，采购方认为有必要时，可以进行调查取证或者组织质证。</w:t>
      </w:r>
    </w:p>
    <w:p w14:paraId="6DA7DEE9">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40.9对评审过程、</w:t>
      </w:r>
      <w:r>
        <w:rPr>
          <w:rFonts w:hint="eastAsia" w:ascii="黑体" w:hAnsi="黑体" w:eastAsia="黑体" w:cs="黑体"/>
          <w:color w:val="auto"/>
          <w:sz w:val="24"/>
          <w:lang w:eastAsia="zh-CN"/>
        </w:rPr>
        <w:t>中标</w:t>
      </w:r>
      <w:r>
        <w:rPr>
          <w:rFonts w:hint="eastAsia" w:ascii="黑体" w:hAnsi="黑体" w:eastAsia="黑体" w:cs="黑体"/>
          <w:color w:val="auto"/>
          <w:sz w:val="24"/>
        </w:rPr>
        <w:t>结果提出质疑的，采购方可以组织原评审委员会协助答复质疑。</w:t>
      </w:r>
    </w:p>
    <w:p w14:paraId="24B2EFBC">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41.质疑处理过程中，质疑人书面申请撤回质疑的，将终止质疑处理程序。</w:t>
      </w:r>
    </w:p>
    <w:p w14:paraId="1C19BEFE">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41.1质疑人拒绝配合采购方依法对质疑进行调查处理的，采购方将按质疑人自动撤回质疑处理；被质疑人拒绝配合采购方依法对质疑进行调查处理的，采购方将视同其认可质疑事项。</w:t>
      </w:r>
    </w:p>
    <w:p w14:paraId="00AE54F7">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41.1质疑人拒绝配合采购方依法对质疑进行调查处理的，采购方将按质疑人自动撤回质疑处理；被质疑人拒绝配合采购方依法对质疑进行调查处理的，采购方将视同其认可质疑事项。</w:t>
      </w:r>
    </w:p>
    <w:p w14:paraId="401964AC">
      <w:pPr>
        <w:spacing w:line="360" w:lineRule="auto"/>
        <w:ind w:left="0" w:leftChars="0" w:firstLine="420" w:firstLineChars="175"/>
        <w:jc w:val="left"/>
        <w:rPr>
          <w:rFonts w:hint="eastAsia" w:ascii="黑体" w:hAnsi="黑体" w:eastAsia="黑体" w:cs="黑体"/>
          <w:color w:val="auto"/>
          <w:sz w:val="24"/>
        </w:rPr>
      </w:pPr>
      <w:r>
        <w:rPr>
          <w:rFonts w:hint="eastAsia" w:ascii="黑体" w:hAnsi="黑体" w:eastAsia="黑体" w:cs="黑体"/>
          <w:color w:val="auto"/>
          <w:sz w:val="24"/>
        </w:rPr>
        <w:t>41.2采购方将在正式受理质疑后7个工作日内作出答复。</w:t>
      </w:r>
    </w:p>
    <w:p w14:paraId="6C72E61D">
      <w:pPr>
        <w:pStyle w:val="55"/>
        <w:spacing w:line="360" w:lineRule="auto"/>
        <w:ind w:left="0" w:leftChars="0" w:firstLine="420" w:firstLineChars="175"/>
        <w:rPr>
          <w:rFonts w:hint="eastAsia" w:ascii="黑体" w:hAnsi="黑体" w:eastAsia="黑体" w:cs="黑体"/>
          <w:color w:val="auto"/>
        </w:rPr>
      </w:pPr>
      <w:r>
        <w:rPr>
          <w:rFonts w:hint="eastAsia" w:ascii="黑体" w:hAnsi="黑体" w:eastAsia="黑体" w:cs="黑体"/>
          <w:color w:val="auto"/>
        </w:rPr>
        <w:t>41.3质疑答复应当包括下列内容：</w:t>
      </w:r>
    </w:p>
    <w:p w14:paraId="2D6307C6">
      <w:pPr>
        <w:pStyle w:val="55"/>
        <w:spacing w:line="360" w:lineRule="auto"/>
        <w:ind w:left="0" w:leftChars="0" w:firstLine="420" w:firstLineChars="175"/>
        <w:rPr>
          <w:rFonts w:hint="eastAsia" w:ascii="黑体" w:hAnsi="黑体" w:eastAsia="黑体" w:cs="黑体"/>
          <w:color w:val="auto"/>
        </w:rPr>
      </w:pPr>
      <w:r>
        <w:rPr>
          <w:rFonts w:hint="eastAsia" w:ascii="黑体" w:hAnsi="黑体" w:eastAsia="黑体" w:cs="黑体"/>
          <w:color w:val="auto"/>
        </w:rPr>
        <w:t>（一）质疑人的姓名或者名称；</w:t>
      </w:r>
    </w:p>
    <w:p w14:paraId="19351362">
      <w:pPr>
        <w:pStyle w:val="55"/>
        <w:spacing w:line="360" w:lineRule="auto"/>
        <w:ind w:left="0" w:leftChars="0" w:firstLine="420" w:firstLineChars="175"/>
        <w:rPr>
          <w:rFonts w:hint="eastAsia" w:ascii="黑体" w:hAnsi="黑体" w:eastAsia="黑体" w:cs="黑体"/>
          <w:color w:val="auto"/>
        </w:rPr>
      </w:pPr>
      <w:r>
        <w:rPr>
          <w:rFonts w:hint="eastAsia" w:ascii="黑体" w:hAnsi="黑体" w:eastAsia="黑体" w:cs="黑体"/>
          <w:color w:val="auto"/>
        </w:rPr>
        <w:t>（二）收到质疑函的日期、质疑项目名称及编号；</w:t>
      </w:r>
    </w:p>
    <w:p w14:paraId="0AD49D82">
      <w:pPr>
        <w:pStyle w:val="55"/>
        <w:spacing w:line="360" w:lineRule="auto"/>
        <w:ind w:left="0" w:leftChars="0" w:firstLine="420" w:firstLineChars="175"/>
        <w:rPr>
          <w:rFonts w:hint="eastAsia" w:ascii="黑体" w:hAnsi="黑体" w:eastAsia="黑体" w:cs="黑体"/>
          <w:color w:val="auto"/>
        </w:rPr>
      </w:pPr>
      <w:r>
        <w:rPr>
          <w:rFonts w:hint="eastAsia" w:ascii="黑体" w:hAnsi="黑体" w:eastAsia="黑体" w:cs="黑体"/>
          <w:color w:val="auto"/>
        </w:rPr>
        <w:t>（三）质疑事项、质疑答复的具体内容、事实依据和法律依据；</w:t>
      </w:r>
    </w:p>
    <w:p w14:paraId="5083FC2F">
      <w:pPr>
        <w:pStyle w:val="55"/>
        <w:spacing w:line="360" w:lineRule="auto"/>
        <w:ind w:left="0" w:leftChars="0" w:firstLine="420" w:firstLineChars="175"/>
        <w:rPr>
          <w:rFonts w:hint="eastAsia" w:ascii="黑体" w:hAnsi="黑体" w:eastAsia="黑体" w:cs="黑体"/>
          <w:color w:val="auto"/>
        </w:rPr>
      </w:pPr>
      <w:r>
        <w:rPr>
          <w:rFonts w:hint="eastAsia" w:ascii="黑体" w:hAnsi="黑体" w:eastAsia="黑体" w:cs="黑体"/>
          <w:color w:val="auto"/>
        </w:rPr>
        <w:t>（四）告知质疑</w:t>
      </w:r>
      <w:r>
        <w:rPr>
          <w:rFonts w:hint="eastAsia" w:ascii="黑体" w:hAnsi="黑体" w:eastAsia="黑体" w:cs="黑体"/>
          <w:color w:val="auto"/>
          <w:lang w:eastAsia="zh-CN"/>
        </w:rPr>
        <w:t>供应商</w:t>
      </w:r>
      <w:r>
        <w:rPr>
          <w:rFonts w:hint="eastAsia" w:ascii="黑体" w:hAnsi="黑体" w:eastAsia="黑体" w:cs="黑体"/>
          <w:color w:val="auto"/>
        </w:rPr>
        <w:t>依法投诉的权利；</w:t>
      </w:r>
    </w:p>
    <w:p w14:paraId="19744043">
      <w:pPr>
        <w:pStyle w:val="55"/>
        <w:spacing w:line="360" w:lineRule="auto"/>
        <w:ind w:left="0" w:leftChars="0" w:firstLine="420" w:firstLineChars="175"/>
        <w:rPr>
          <w:rFonts w:hint="eastAsia" w:ascii="黑体" w:hAnsi="黑体" w:eastAsia="黑体" w:cs="黑体"/>
          <w:color w:val="auto"/>
        </w:rPr>
      </w:pPr>
      <w:r>
        <w:rPr>
          <w:rFonts w:hint="eastAsia" w:ascii="黑体" w:hAnsi="黑体" w:eastAsia="黑体" w:cs="黑体"/>
          <w:color w:val="auto"/>
        </w:rPr>
        <w:t>（五）质疑答复人名称；</w:t>
      </w:r>
    </w:p>
    <w:p w14:paraId="26789BF6">
      <w:pPr>
        <w:spacing w:line="360" w:lineRule="auto"/>
        <w:ind w:left="0" w:leftChars="0" w:firstLine="420" w:firstLineChars="175"/>
        <w:jc w:val="left"/>
        <w:rPr>
          <w:rFonts w:hint="eastAsia" w:ascii="黑体" w:hAnsi="黑体" w:eastAsia="黑体" w:cs="黑体"/>
          <w:b/>
          <w:bCs/>
          <w:color w:val="auto"/>
          <w:sz w:val="24"/>
        </w:rPr>
      </w:pPr>
      <w:r>
        <w:rPr>
          <w:rFonts w:hint="eastAsia" w:ascii="黑体" w:hAnsi="黑体" w:eastAsia="黑体" w:cs="黑体"/>
          <w:color w:val="auto"/>
          <w:sz w:val="24"/>
        </w:rPr>
        <w:t>（六）答复质疑的日期。</w:t>
      </w:r>
    </w:p>
    <w:p w14:paraId="112D07E7">
      <w:pPr>
        <w:keepNext w:val="0"/>
        <w:keepLines w:val="0"/>
        <w:pageBreakBefore w:val="0"/>
        <w:kinsoku/>
        <w:wordWrap w:val="0"/>
        <w:overflowPunct/>
        <w:topLinePunct w:val="0"/>
        <w:bidi w:val="0"/>
        <w:spacing w:line="360" w:lineRule="auto"/>
        <w:jc w:val="center"/>
        <w:textAlignment w:val="auto"/>
        <w:outlineLvl w:val="1"/>
        <w:rPr>
          <w:rFonts w:hint="eastAsia" w:ascii="黑体" w:hAnsi="黑体" w:eastAsia="黑体" w:cs="黑体"/>
          <w:b/>
          <w:bCs/>
          <w:color w:val="auto"/>
          <w:sz w:val="24"/>
        </w:rPr>
      </w:pPr>
      <w:r>
        <w:rPr>
          <w:rFonts w:hint="eastAsia" w:ascii="黑体" w:hAnsi="黑体" w:eastAsia="黑体" w:cs="黑体"/>
          <w:b/>
          <w:bCs/>
          <w:color w:val="auto"/>
          <w:sz w:val="24"/>
        </w:rPr>
        <w:t>质疑函范本</w:t>
      </w:r>
    </w:p>
    <w:p w14:paraId="50288CD3">
      <w:pPr>
        <w:keepNext w:val="0"/>
        <w:keepLines w:val="0"/>
        <w:pageBreakBefore w:val="0"/>
        <w:kinsoku/>
        <w:wordWrap w:val="0"/>
        <w:overflowPunct/>
        <w:topLinePunct w:val="0"/>
        <w:bidi w:val="0"/>
        <w:adjustRightInd w:val="0"/>
        <w:snapToGrid w:val="0"/>
        <w:spacing w:line="360" w:lineRule="auto"/>
        <w:textAlignment w:val="auto"/>
        <w:outlineLvl w:val="1"/>
        <w:rPr>
          <w:rFonts w:hint="eastAsia" w:ascii="黑体" w:hAnsi="黑体" w:eastAsia="黑体" w:cs="黑体"/>
          <w:bCs/>
          <w:color w:val="auto"/>
          <w:sz w:val="24"/>
        </w:rPr>
      </w:pPr>
      <w:r>
        <w:rPr>
          <w:rFonts w:hint="eastAsia" w:ascii="黑体" w:hAnsi="黑体" w:eastAsia="黑体" w:cs="黑体"/>
          <w:bCs/>
          <w:color w:val="auto"/>
          <w:sz w:val="24"/>
        </w:rPr>
        <w:t>一、质疑</w:t>
      </w:r>
      <w:r>
        <w:rPr>
          <w:rFonts w:hint="eastAsia" w:ascii="黑体" w:hAnsi="黑体" w:eastAsia="黑体" w:cs="黑体"/>
          <w:bCs/>
          <w:color w:val="auto"/>
          <w:sz w:val="24"/>
          <w:lang w:eastAsia="zh-CN"/>
        </w:rPr>
        <w:t>供应商</w:t>
      </w:r>
      <w:r>
        <w:rPr>
          <w:rFonts w:hint="eastAsia" w:ascii="黑体" w:hAnsi="黑体" w:eastAsia="黑体" w:cs="黑体"/>
          <w:bCs/>
          <w:color w:val="auto"/>
          <w:sz w:val="24"/>
        </w:rPr>
        <w:t>基本信息</w:t>
      </w:r>
    </w:p>
    <w:p w14:paraId="256B5B9B">
      <w:pPr>
        <w:keepNext w:val="0"/>
        <w:keepLines w:val="0"/>
        <w:pageBreakBefore w:val="0"/>
        <w:kinsoku/>
        <w:wordWrap w:val="0"/>
        <w:overflowPunct/>
        <w:topLinePunct w:val="0"/>
        <w:bidi w:val="0"/>
        <w:adjustRightInd w:val="0"/>
        <w:snapToGrid w:val="0"/>
        <w:spacing w:line="360" w:lineRule="auto"/>
        <w:textAlignment w:val="auto"/>
        <w:rPr>
          <w:rFonts w:hint="eastAsia" w:ascii="黑体" w:hAnsi="黑体" w:eastAsia="黑体" w:cs="黑体"/>
          <w:color w:val="auto"/>
          <w:sz w:val="24"/>
          <w:u w:val="dotted"/>
        </w:rPr>
      </w:pPr>
      <w:r>
        <w:rPr>
          <w:rFonts w:hint="eastAsia" w:ascii="黑体" w:hAnsi="黑体" w:eastAsia="黑体" w:cs="黑体"/>
          <w:color w:val="auto"/>
          <w:sz w:val="24"/>
        </w:rPr>
        <w:t>质疑</w:t>
      </w:r>
      <w:r>
        <w:rPr>
          <w:rFonts w:hint="eastAsia" w:ascii="黑体" w:hAnsi="黑体" w:eastAsia="黑体" w:cs="黑体"/>
          <w:color w:val="auto"/>
          <w:sz w:val="24"/>
          <w:lang w:eastAsia="zh-CN"/>
        </w:rPr>
        <w:t>供应商</w:t>
      </w:r>
      <w:r>
        <w:rPr>
          <w:rFonts w:hint="eastAsia" w:ascii="黑体" w:hAnsi="黑体" w:eastAsia="黑体" w:cs="黑体"/>
          <w:color w:val="auto"/>
          <w:sz w:val="24"/>
        </w:rPr>
        <w:t>：</w:t>
      </w:r>
      <w:r>
        <w:rPr>
          <w:rFonts w:hint="eastAsia" w:ascii="黑体" w:hAnsi="黑体" w:eastAsia="黑体" w:cs="黑体"/>
          <w:color w:val="auto"/>
          <w:sz w:val="24"/>
          <w:u w:val="dotted"/>
        </w:rPr>
        <w:t xml:space="preserve">                                        </w:t>
      </w:r>
    </w:p>
    <w:p w14:paraId="3A03D312">
      <w:pPr>
        <w:keepNext w:val="0"/>
        <w:keepLines w:val="0"/>
        <w:pageBreakBefore w:val="0"/>
        <w:kinsoku/>
        <w:wordWrap w:val="0"/>
        <w:overflowPunct/>
        <w:topLinePunct w:val="0"/>
        <w:bidi w:val="0"/>
        <w:adjustRightInd w:val="0"/>
        <w:snapToGrid w:val="0"/>
        <w:spacing w:line="360" w:lineRule="auto"/>
        <w:textAlignment w:val="auto"/>
        <w:rPr>
          <w:rFonts w:hint="eastAsia" w:ascii="黑体" w:hAnsi="黑体" w:eastAsia="黑体" w:cs="黑体"/>
          <w:color w:val="auto"/>
          <w:sz w:val="24"/>
        </w:rPr>
      </w:pPr>
      <w:r>
        <w:rPr>
          <w:rFonts w:hint="eastAsia" w:ascii="黑体" w:hAnsi="黑体" w:eastAsia="黑体" w:cs="黑体"/>
          <w:color w:val="auto"/>
          <w:sz w:val="24"/>
        </w:rPr>
        <w:t>地址：</w:t>
      </w:r>
      <w:r>
        <w:rPr>
          <w:rFonts w:hint="eastAsia" w:ascii="黑体" w:hAnsi="黑体" w:eastAsia="黑体" w:cs="黑体"/>
          <w:color w:val="auto"/>
          <w:sz w:val="24"/>
          <w:u w:val="dotted"/>
        </w:rPr>
        <w:t xml:space="preserve">                          </w:t>
      </w:r>
      <w:r>
        <w:rPr>
          <w:rFonts w:hint="eastAsia" w:ascii="黑体" w:hAnsi="黑体" w:eastAsia="黑体" w:cs="黑体"/>
          <w:color w:val="auto"/>
          <w:sz w:val="24"/>
        </w:rPr>
        <w:t>邮编：</w:t>
      </w:r>
      <w:r>
        <w:rPr>
          <w:rFonts w:hint="eastAsia" w:ascii="黑体" w:hAnsi="黑体" w:eastAsia="黑体" w:cs="黑体"/>
          <w:color w:val="auto"/>
          <w:sz w:val="24"/>
          <w:u w:val="dotted"/>
        </w:rPr>
        <w:t xml:space="preserve">                                                   </w:t>
      </w:r>
    </w:p>
    <w:p w14:paraId="436F1381">
      <w:pPr>
        <w:keepNext w:val="0"/>
        <w:keepLines w:val="0"/>
        <w:pageBreakBefore w:val="0"/>
        <w:kinsoku/>
        <w:wordWrap w:val="0"/>
        <w:overflowPunct/>
        <w:topLinePunct w:val="0"/>
        <w:bidi w:val="0"/>
        <w:adjustRightInd w:val="0"/>
        <w:snapToGrid w:val="0"/>
        <w:spacing w:line="360" w:lineRule="auto"/>
        <w:textAlignment w:val="auto"/>
        <w:rPr>
          <w:rFonts w:hint="eastAsia" w:ascii="黑体" w:hAnsi="黑体" w:eastAsia="黑体" w:cs="黑体"/>
          <w:color w:val="auto"/>
          <w:sz w:val="24"/>
        </w:rPr>
      </w:pPr>
      <w:r>
        <w:rPr>
          <w:rFonts w:hint="eastAsia" w:ascii="黑体" w:hAnsi="黑体" w:eastAsia="黑体" w:cs="黑体"/>
          <w:color w:val="auto"/>
          <w:sz w:val="24"/>
        </w:rPr>
        <w:t>联系人：</w:t>
      </w:r>
      <w:r>
        <w:rPr>
          <w:rFonts w:hint="eastAsia" w:ascii="黑体" w:hAnsi="黑体" w:eastAsia="黑体" w:cs="黑体"/>
          <w:color w:val="auto"/>
          <w:sz w:val="24"/>
          <w:u w:val="dotted"/>
        </w:rPr>
        <w:t xml:space="preserve">                      </w:t>
      </w:r>
      <w:r>
        <w:rPr>
          <w:rFonts w:hint="eastAsia" w:ascii="黑体" w:hAnsi="黑体" w:eastAsia="黑体" w:cs="黑体"/>
          <w:color w:val="auto"/>
          <w:sz w:val="24"/>
        </w:rPr>
        <w:t>联系电话：</w:t>
      </w:r>
      <w:r>
        <w:rPr>
          <w:rFonts w:hint="eastAsia" w:ascii="黑体" w:hAnsi="黑体" w:eastAsia="黑体" w:cs="黑体"/>
          <w:color w:val="auto"/>
          <w:sz w:val="24"/>
          <w:u w:val="dotted"/>
        </w:rPr>
        <w:t xml:space="preserve">                              </w:t>
      </w:r>
    </w:p>
    <w:p w14:paraId="2FC4949D">
      <w:pPr>
        <w:keepNext w:val="0"/>
        <w:keepLines w:val="0"/>
        <w:pageBreakBefore w:val="0"/>
        <w:kinsoku/>
        <w:wordWrap w:val="0"/>
        <w:overflowPunct/>
        <w:topLinePunct w:val="0"/>
        <w:bidi w:val="0"/>
        <w:adjustRightInd w:val="0"/>
        <w:snapToGrid w:val="0"/>
        <w:spacing w:line="360" w:lineRule="auto"/>
        <w:textAlignment w:val="auto"/>
        <w:rPr>
          <w:rFonts w:hint="eastAsia" w:ascii="黑体" w:hAnsi="黑体" w:eastAsia="黑体" w:cs="黑体"/>
          <w:color w:val="auto"/>
          <w:sz w:val="24"/>
          <w:u w:val="dotted"/>
        </w:rPr>
      </w:pPr>
      <w:r>
        <w:rPr>
          <w:rFonts w:hint="eastAsia" w:ascii="黑体" w:hAnsi="黑体" w:eastAsia="黑体" w:cs="黑体"/>
          <w:color w:val="auto"/>
          <w:sz w:val="24"/>
        </w:rPr>
        <w:t>授权代表：</w:t>
      </w:r>
      <w:r>
        <w:rPr>
          <w:rFonts w:hint="eastAsia" w:ascii="黑体" w:hAnsi="黑体" w:eastAsia="黑体" w:cs="黑体"/>
          <w:color w:val="auto"/>
          <w:sz w:val="24"/>
          <w:u w:val="dotted"/>
        </w:rPr>
        <w:t xml:space="preserve">                                          </w:t>
      </w:r>
    </w:p>
    <w:p w14:paraId="0F218AF3">
      <w:pPr>
        <w:keepNext w:val="0"/>
        <w:keepLines w:val="0"/>
        <w:pageBreakBefore w:val="0"/>
        <w:kinsoku/>
        <w:wordWrap w:val="0"/>
        <w:overflowPunct/>
        <w:topLinePunct w:val="0"/>
        <w:bidi w:val="0"/>
        <w:adjustRightInd w:val="0"/>
        <w:snapToGrid w:val="0"/>
        <w:spacing w:line="360" w:lineRule="auto"/>
        <w:textAlignment w:val="auto"/>
        <w:rPr>
          <w:rFonts w:hint="eastAsia" w:ascii="黑体" w:hAnsi="黑体" w:eastAsia="黑体" w:cs="黑体"/>
          <w:color w:val="auto"/>
          <w:sz w:val="24"/>
        </w:rPr>
      </w:pPr>
      <w:r>
        <w:rPr>
          <w:rFonts w:hint="eastAsia" w:ascii="黑体" w:hAnsi="黑体" w:eastAsia="黑体" w:cs="黑体"/>
          <w:color w:val="auto"/>
          <w:sz w:val="24"/>
        </w:rPr>
        <w:t>联系电话：</w:t>
      </w:r>
      <w:r>
        <w:rPr>
          <w:rFonts w:hint="eastAsia" w:ascii="黑体" w:hAnsi="黑体" w:eastAsia="黑体" w:cs="黑体"/>
          <w:color w:val="auto"/>
          <w:sz w:val="24"/>
          <w:u w:val="dotted"/>
        </w:rPr>
        <w:t xml:space="preserve">                                           </w:t>
      </w:r>
      <w:r>
        <w:rPr>
          <w:rFonts w:hint="eastAsia" w:ascii="黑体" w:hAnsi="黑体" w:eastAsia="黑体" w:cs="黑体"/>
          <w:color w:val="auto"/>
          <w:sz w:val="24"/>
        </w:rPr>
        <w:t xml:space="preserve"> </w:t>
      </w:r>
    </w:p>
    <w:p w14:paraId="57533693">
      <w:pPr>
        <w:keepNext w:val="0"/>
        <w:keepLines w:val="0"/>
        <w:pageBreakBefore w:val="0"/>
        <w:kinsoku/>
        <w:wordWrap w:val="0"/>
        <w:overflowPunct/>
        <w:topLinePunct w:val="0"/>
        <w:bidi w:val="0"/>
        <w:adjustRightInd w:val="0"/>
        <w:snapToGrid w:val="0"/>
        <w:spacing w:line="360" w:lineRule="auto"/>
        <w:textAlignment w:val="auto"/>
        <w:rPr>
          <w:rFonts w:hint="eastAsia" w:ascii="黑体" w:hAnsi="黑体" w:eastAsia="黑体" w:cs="黑体"/>
          <w:color w:val="auto"/>
          <w:sz w:val="24"/>
        </w:rPr>
      </w:pPr>
      <w:r>
        <w:rPr>
          <w:rFonts w:hint="eastAsia" w:ascii="黑体" w:hAnsi="黑体" w:eastAsia="黑体" w:cs="黑体"/>
          <w:color w:val="auto"/>
          <w:sz w:val="24"/>
        </w:rPr>
        <w:t xml:space="preserve">地址： </w:t>
      </w:r>
      <w:r>
        <w:rPr>
          <w:rFonts w:hint="eastAsia" w:ascii="黑体" w:hAnsi="黑体" w:eastAsia="黑体" w:cs="黑体"/>
          <w:color w:val="auto"/>
          <w:sz w:val="24"/>
          <w:u w:val="dotted"/>
        </w:rPr>
        <w:t xml:space="preserve">                        </w:t>
      </w:r>
      <w:r>
        <w:rPr>
          <w:rFonts w:hint="eastAsia" w:ascii="黑体" w:hAnsi="黑体" w:eastAsia="黑体" w:cs="黑体"/>
          <w:color w:val="auto"/>
          <w:sz w:val="24"/>
        </w:rPr>
        <w:t>邮编：</w:t>
      </w:r>
      <w:r>
        <w:rPr>
          <w:rFonts w:hint="eastAsia" w:ascii="黑体" w:hAnsi="黑体" w:eastAsia="黑体" w:cs="黑体"/>
          <w:color w:val="auto"/>
          <w:sz w:val="24"/>
          <w:u w:val="dotted"/>
        </w:rPr>
        <w:t xml:space="preserve">                                                </w:t>
      </w:r>
    </w:p>
    <w:p w14:paraId="1B47A711">
      <w:pPr>
        <w:keepNext w:val="0"/>
        <w:keepLines w:val="0"/>
        <w:pageBreakBefore w:val="0"/>
        <w:kinsoku/>
        <w:wordWrap w:val="0"/>
        <w:overflowPunct/>
        <w:topLinePunct w:val="0"/>
        <w:bidi w:val="0"/>
        <w:adjustRightInd w:val="0"/>
        <w:snapToGrid w:val="0"/>
        <w:spacing w:line="360" w:lineRule="auto"/>
        <w:textAlignment w:val="auto"/>
        <w:outlineLvl w:val="1"/>
        <w:rPr>
          <w:rFonts w:hint="eastAsia" w:ascii="黑体" w:hAnsi="黑体" w:eastAsia="黑体" w:cs="黑体"/>
          <w:bCs/>
          <w:color w:val="auto"/>
          <w:sz w:val="24"/>
        </w:rPr>
      </w:pPr>
      <w:r>
        <w:rPr>
          <w:rFonts w:hint="eastAsia" w:ascii="黑体" w:hAnsi="黑体" w:eastAsia="黑体" w:cs="黑体"/>
          <w:bCs/>
          <w:color w:val="auto"/>
          <w:sz w:val="24"/>
        </w:rPr>
        <w:t>二、质疑项目基本情况</w:t>
      </w:r>
    </w:p>
    <w:p w14:paraId="72A3628F">
      <w:pPr>
        <w:keepNext w:val="0"/>
        <w:keepLines w:val="0"/>
        <w:pageBreakBefore w:val="0"/>
        <w:kinsoku/>
        <w:wordWrap w:val="0"/>
        <w:overflowPunct/>
        <w:topLinePunct w:val="0"/>
        <w:bidi w:val="0"/>
        <w:adjustRightInd w:val="0"/>
        <w:snapToGrid w:val="0"/>
        <w:spacing w:line="360" w:lineRule="auto"/>
        <w:textAlignment w:val="auto"/>
        <w:rPr>
          <w:rFonts w:hint="eastAsia" w:ascii="黑体" w:hAnsi="黑体" w:eastAsia="黑体" w:cs="黑体"/>
          <w:color w:val="auto"/>
          <w:sz w:val="24"/>
        </w:rPr>
      </w:pPr>
      <w:r>
        <w:rPr>
          <w:rFonts w:hint="eastAsia" w:ascii="黑体" w:hAnsi="黑体" w:eastAsia="黑体" w:cs="黑体"/>
          <w:color w:val="auto"/>
          <w:sz w:val="24"/>
        </w:rPr>
        <w:t>质疑项目的名称：</w:t>
      </w:r>
      <w:r>
        <w:rPr>
          <w:rFonts w:hint="eastAsia" w:ascii="黑体" w:hAnsi="黑体" w:eastAsia="黑体" w:cs="黑体"/>
          <w:color w:val="auto"/>
          <w:sz w:val="24"/>
          <w:u w:val="dotted"/>
        </w:rPr>
        <w:t xml:space="preserve">                                      </w:t>
      </w:r>
    </w:p>
    <w:p w14:paraId="5CF80706">
      <w:pPr>
        <w:keepNext w:val="0"/>
        <w:keepLines w:val="0"/>
        <w:pageBreakBefore w:val="0"/>
        <w:kinsoku/>
        <w:wordWrap w:val="0"/>
        <w:overflowPunct/>
        <w:topLinePunct w:val="0"/>
        <w:bidi w:val="0"/>
        <w:adjustRightInd w:val="0"/>
        <w:snapToGrid w:val="0"/>
        <w:spacing w:line="360" w:lineRule="auto"/>
        <w:textAlignment w:val="auto"/>
        <w:rPr>
          <w:rFonts w:hint="eastAsia" w:ascii="黑体" w:hAnsi="黑体" w:eastAsia="黑体" w:cs="黑体"/>
          <w:color w:val="auto"/>
          <w:sz w:val="24"/>
        </w:rPr>
      </w:pPr>
      <w:r>
        <w:rPr>
          <w:rFonts w:hint="eastAsia" w:ascii="黑体" w:hAnsi="黑体" w:eastAsia="黑体" w:cs="黑体"/>
          <w:color w:val="auto"/>
          <w:sz w:val="24"/>
        </w:rPr>
        <w:t>质疑项目的编号：</w:t>
      </w:r>
      <w:r>
        <w:rPr>
          <w:rFonts w:hint="eastAsia" w:ascii="黑体" w:hAnsi="黑体" w:eastAsia="黑体" w:cs="黑体"/>
          <w:color w:val="auto"/>
          <w:sz w:val="24"/>
          <w:u w:val="dotted"/>
        </w:rPr>
        <w:t xml:space="preserve">               </w:t>
      </w:r>
      <w:r>
        <w:rPr>
          <w:rFonts w:hint="eastAsia" w:ascii="黑体" w:hAnsi="黑体" w:eastAsia="黑体" w:cs="黑体"/>
          <w:color w:val="auto"/>
          <w:sz w:val="24"/>
        </w:rPr>
        <w:t>包号：</w:t>
      </w:r>
      <w:r>
        <w:rPr>
          <w:rFonts w:hint="eastAsia" w:ascii="黑体" w:hAnsi="黑体" w:eastAsia="黑体" w:cs="黑体"/>
          <w:color w:val="auto"/>
          <w:sz w:val="24"/>
          <w:u w:val="dotted"/>
        </w:rPr>
        <w:t xml:space="preserve">                 </w:t>
      </w:r>
    </w:p>
    <w:p w14:paraId="3054761D">
      <w:pPr>
        <w:keepNext w:val="0"/>
        <w:keepLines w:val="0"/>
        <w:pageBreakBefore w:val="0"/>
        <w:kinsoku/>
        <w:wordWrap w:val="0"/>
        <w:overflowPunct/>
        <w:topLinePunct w:val="0"/>
        <w:bidi w:val="0"/>
        <w:adjustRightInd w:val="0"/>
        <w:snapToGrid w:val="0"/>
        <w:spacing w:line="360" w:lineRule="auto"/>
        <w:textAlignment w:val="auto"/>
        <w:rPr>
          <w:rFonts w:hint="eastAsia" w:ascii="黑体" w:hAnsi="黑体" w:eastAsia="黑体" w:cs="黑体"/>
          <w:color w:val="auto"/>
          <w:sz w:val="24"/>
          <w:u w:val="dotted"/>
        </w:rPr>
      </w:pPr>
      <w:r>
        <w:rPr>
          <w:rFonts w:hint="eastAsia" w:ascii="黑体" w:hAnsi="黑体" w:eastAsia="黑体" w:cs="黑体"/>
          <w:color w:val="auto"/>
          <w:sz w:val="24"/>
        </w:rPr>
        <w:t>采购人名称：</w:t>
      </w:r>
      <w:r>
        <w:rPr>
          <w:rFonts w:hint="eastAsia" w:ascii="黑体" w:hAnsi="黑体" w:eastAsia="黑体" w:cs="黑体"/>
          <w:color w:val="auto"/>
          <w:sz w:val="24"/>
          <w:u w:val="dotted"/>
        </w:rPr>
        <w:t xml:space="preserve">                                         </w:t>
      </w:r>
    </w:p>
    <w:p w14:paraId="17A847E7">
      <w:pPr>
        <w:keepNext w:val="0"/>
        <w:keepLines w:val="0"/>
        <w:pageBreakBefore w:val="0"/>
        <w:kinsoku/>
        <w:wordWrap w:val="0"/>
        <w:overflowPunct/>
        <w:topLinePunct w:val="0"/>
        <w:bidi w:val="0"/>
        <w:adjustRightInd w:val="0"/>
        <w:snapToGrid w:val="0"/>
        <w:spacing w:line="360" w:lineRule="auto"/>
        <w:textAlignment w:val="auto"/>
        <w:rPr>
          <w:rFonts w:hint="eastAsia" w:ascii="黑体" w:hAnsi="黑体" w:eastAsia="黑体" w:cs="黑体"/>
          <w:color w:val="auto"/>
          <w:sz w:val="24"/>
        </w:rPr>
      </w:pPr>
      <w:r>
        <w:rPr>
          <w:rFonts w:hint="eastAsia" w:ascii="黑体" w:hAnsi="黑体" w:eastAsia="黑体" w:cs="黑体"/>
          <w:color w:val="auto"/>
          <w:sz w:val="24"/>
        </w:rPr>
        <w:t>采购文件获取日期：</w:t>
      </w:r>
      <w:r>
        <w:rPr>
          <w:rFonts w:hint="eastAsia" w:ascii="黑体" w:hAnsi="黑体" w:eastAsia="黑体" w:cs="黑体"/>
          <w:color w:val="auto"/>
          <w:sz w:val="24"/>
          <w:u w:val="dotted"/>
        </w:rPr>
        <w:t xml:space="preserve">                                           </w:t>
      </w:r>
    </w:p>
    <w:p w14:paraId="77C4CC1A">
      <w:pPr>
        <w:keepNext w:val="0"/>
        <w:keepLines w:val="0"/>
        <w:pageBreakBefore w:val="0"/>
        <w:kinsoku/>
        <w:wordWrap w:val="0"/>
        <w:overflowPunct/>
        <w:topLinePunct w:val="0"/>
        <w:bidi w:val="0"/>
        <w:adjustRightInd w:val="0"/>
        <w:snapToGrid w:val="0"/>
        <w:spacing w:line="360" w:lineRule="auto"/>
        <w:textAlignment w:val="auto"/>
        <w:outlineLvl w:val="1"/>
        <w:rPr>
          <w:rFonts w:hint="eastAsia" w:ascii="黑体" w:hAnsi="黑体" w:eastAsia="黑体" w:cs="黑体"/>
          <w:bCs/>
          <w:color w:val="auto"/>
          <w:sz w:val="24"/>
        </w:rPr>
      </w:pPr>
      <w:r>
        <w:rPr>
          <w:rFonts w:hint="eastAsia" w:ascii="黑体" w:hAnsi="黑体" w:eastAsia="黑体" w:cs="黑体"/>
          <w:bCs/>
          <w:color w:val="auto"/>
          <w:sz w:val="24"/>
        </w:rPr>
        <w:t>三、质疑事项具体内容</w:t>
      </w:r>
    </w:p>
    <w:p w14:paraId="55647D10">
      <w:pPr>
        <w:keepNext w:val="0"/>
        <w:keepLines w:val="0"/>
        <w:pageBreakBefore w:val="0"/>
        <w:kinsoku/>
        <w:wordWrap w:val="0"/>
        <w:overflowPunct/>
        <w:topLinePunct w:val="0"/>
        <w:bidi w:val="0"/>
        <w:adjustRightInd w:val="0"/>
        <w:snapToGrid w:val="0"/>
        <w:spacing w:line="360" w:lineRule="auto"/>
        <w:textAlignment w:val="auto"/>
        <w:rPr>
          <w:rFonts w:hint="eastAsia" w:ascii="黑体" w:hAnsi="黑体" w:eastAsia="黑体" w:cs="黑体"/>
          <w:color w:val="auto"/>
          <w:sz w:val="24"/>
          <w:u w:val="dotted"/>
        </w:rPr>
      </w:pPr>
      <w:r>
        <w:rPr>
          <w:rFonts w:hint="eastAsia" w:ascii="黑体" w:hAnsi="黑体" w:eastAsia="黑体" w:cs="黑体"/>
          <w:color w:val="auto"/>
          <w:sz w:val="24"/>
        </w:rPr>
        <w:t>质疑事项1：</w:t>
      </w:r>
      <w:r>
        <w:rPr>
          <w:rFonts w:hint="eastAsia" w:ascii="黑体" w:hAnsi="黑体" w:eastAsia="黑体" w:cs="黑体"/>
          <w:color w:val="auto"/>
          <w:sz w:val="24"/>
          <w:u w:val="dotted"/>
        </w:rPr>
        <w:t xml:space="preserve">                                         </w:t>
      </w:r>
    </w:p>
    <w:p w14:paraId="6095B573">
      <w:pPr>
        <w:keepNext w:val="0"/>
        <w:keepLines w:val="0"/>
        <w:pageBreakBefore w:val="0"/>
        <w:kinsoku/>
        <w:wordWrap w:val="0"/>
        <w:overflowPunct/>
        <w:topLinePunct w:val="0"/>
        <w:bidi w:val="0"/>
        <w:adjustRightInd w:val="0"/>
        <w:snapToGrid w:val="0"/>
        <w:spacing w:line="360" w:lineRule="auto"/>
        <w:textAlignment w:val="auto"/>
        <w:rPr>
          <w:rFonts w:hint="eastAsia" w:ascii="黑体" w:hAnsi="黑体" w:eastAsia="黑体" w:cs="黑体"/>
          <w:color w:val="auto"/>
          <w:sz w:val="24"/>
          <w:u w:val="dotted"/>
        </w:rPr>
      </w:pPr>
      <w:r>
        <w:rPr>
          <w:rFonts w:hint="eastAsia" w:ascii="黑体" w:hAnsi="黑体" w:eastAsia="黑体" w:cs="黑体"/>
          <w:color w:val="auto"/>
          <w:sz w:val="24"/>
        </w:rPr>
        <w:t>事实依据：</w:t>
      </w:r>
      <w:r>
        <w:rPr>
          <w:rFonts w:hint="eastAsia" w:ascii="黑体" w:hAnsi="黑体" w:eastAsia="黑体" w:cs="黑体"/>
          <w:color w:val="auto"/>
          <w:sz w:val="24"/>
          <w:u w:val="dotted"/>
        </w:rPr>
        <w:t xml:space="preserve">                                          </w:t>
      </w:r>
    </w:p>
    <w:p w14:paraId="7838CE7C">
      <w:pPr>
        <w:keepNext w:val="0"/>
        <w:keepLines w:val="0"/>
        <w:pageBreakBefore w:val="0"/>
        <w:kinsoku/>
        <w:wordWrap w:val="0"/>
        <w:overflowPunct/>
        <w:topLinePunct w:val="0"/>
        <w:bidi w:val="0"/>
        <w:adjustRightInd w:val="0"/>
        <w:snapToGrid w:val="0"/>
        <w:spacing w:line="360" w:lineRule="auto"/>
        <w:textAlignment w:val="auto"/>
        <w:rPr>
          <w:rFonts w:hint="eastAsia" w:ascii="黑体" w:hAnsi="黑体" w:eastAsia="黑体" w:cs="黑体"/>
          <w:color w:val="auto"/>
          <w:sz w:val="24"/>
        </w:rPr>
      </w:pPr>
      <w:r>
        <w:rPr>
          <w:rFonts w:hint="eastAsia" w:ascii="黑体" w:hAnsi="黑体" w:eastAsia="黑体" w:cs="黑体"/>
          <w:color w:val="auto"/>
          <w:sz w:val="24"/>
          <w:u w:val="dotted"/>
        </w:rPr>
        <w:t xml:space="preserve">                                                       </w:t>
      </w:r>
    </w:p>
    <w:p w14:paraId="349286F3">
      <w:pPr>
        <w:keepNext w:val="0"/>
        <w:keepLines w:val="0"/>
        <w:pageBreakBefore w:val="0"/>
        <w:kinsoku/>
        <w:wordWrap w:val="0"/>
        <w:overflowPunct/>
        <w:topLinePunct w:val="0"/>
        <w:bidi w:val="0"/>
        <w:adjustRightInd w:val="0"/>
        <w:snapToGrid w:val="0"/>
        <w:spacing w:line="360" w:lineRule="auto"/>
        <w:textAlignment w:val="auto"/>
        <w:rPr>
          <w:rFonts w:hint="eastAsia" w:ascii="黑体" w:hAnsi="黑体" w:eastAsia="黑体" w:cs="黑体"/>
          <w:color w:val="auto"/>
          <w:sz w:val="24"/>
          <w:u w:val="dotted"/>
        </w:rPr>
      </w:pPr>
      <w:r>
        <w:rPr>
          <w:rFonts w:hint="eastAsia" w:ascii="黑体" w:hAnsi="黑体" w:eastAsia="黑体" w:cs="黑体"/>
          <w:color w:val="auto"/>
          <w:sz w:val="24"/>
        </w:rPr>
        <w:t>法律依据：</w:t>
      </w:r>
      <w:r>
        <w:rPr>
          <w:rFonts w:hint="eastAsia" w:ascii="黑体" w:hAnsi="黑体" w:eastAsia="黑体" w:cs="黑体"/>
          <w:color w:val="auto"/>
          <w:sz w:val="24"/>
          <w:u w:val="dotted"/>
        </w:rPr>
        <w:t xml:space="preserve">                                          </w:t>
      </w:r>
    </w:p>
    <w:p w14:paraId="384D5785">
      <w:pPr>
        <w:keepNext w:val="0"/>
        <w:keepLines w:val="0"/>
        <w:pageBreakBefore w:val="0"/>
        <w:kinsoku/>
        <w:wordWrap w:val="0"/>
        <w:overflowPunct/>
        <w:topLinePunct w:val="0"/>
        <w:bidi w:val="0"/>
        <w:adjustRightInd w:val="0"/>
        <w:snapToGrid w:val="0"/>
        <w:spacing w:line="360" w:lineRule="auto"/>
        <w:textAlignment w:val="auto"/>
        <w:rPr>
          <w:rFonts w:hint="eastAsia" w:ascii="黑体" w:hAnsi="黑体" w:eastAsia="黑体" w:cs="黑体"/>
          <w:color w:val="auto"/>
          <w:sz w:val="24"/>
          <w:u w:val="dotted"/>
        </w:rPr>
      </w:pPr>
      <w:r>
        <w:rPr>
          <w:rFonts w:hint="eastAsia" w:ascii="黑体" w:hAnsi="黑体" w:eastAsia="黑体" w:cs="黑体"/>
          <w:color w:val="auto"/>
          <w:sz w:val="24"/>
          <w:u w:val="dotted"/>
        </w:rPr>
        <w:t xml:space="preserve">                                                     </w:t>
      </w:r>
    </w:p>
    <w:p w14:paraId="21B51E8E">
      <w:pPr>
        <w:keepNext w:val="0"/>
        <w:keepLines w:val="0"/>
        <w:pageBreakBefore w:val="0"/>
        <w:kinsoku/>
        <w:wordWrap w:val="0"/>
        <w:overflowPunct/>
        <w:topLinePunct w:val="0"/>
        <w:bidi w:val="0"/>
        <w:adjustRightInd w:val="0"/>
        <w:snapToGrid w:val="0"/>
        <w:spacing w:line="360" w:lineRule="auto"/>
        <w:textAlignment w:val="auto"/>
        <w:rPr>
          <w:rFonts w:hint="eastAsia" w:ascii="黑体" w:hAnsi="黑体" w:eastAsia="黑体" w:cs="黑体"/>
          <w:color w:val="auto"/>
          <w:sz w:val="24"/>
          <w:u w:val="dotted"/>
        </w:rPr>
      </w:pPr>
      <w:r>
        <w:rPr>
          <w:rFonts w:hint="eastAsia" w:ascii="黑体" w:hAnsi="黑体" w:eastAsia="黑体" w:cs="黑体"/>
          <w:color w:val="auto"/>
          <w:sz w:val="24"/>
        </w:rPr>
        <w:t>质疑事项2</w:t>
      </w:r>
    </w:p>
    <w:p w14:paraId="1D3BCDF9">
      <w:pPr>
        <w:keepNext w:val="0"/>
        <w:keepLines w:val="0"/>
        <w:pageBreakBefore w:val="0"/>
        <w:kinsoku/>
        <w:wordWrap w:val="0"/>
        <w:overflowPunct/>
        <w:topLinePunct w:val="0"/>
        <w:bidi w:val="0"/>
        <w:adjustRightInd w:val="0"/>
        <w:snapToGrid w:val="0"/>
        <w:spacing w:line="360" w:lineRule="auto"/>
        <w:textAlignment w:val="auto"/>
        <w:rPr>
          <w:rFonts w:hint="eastAsia" w:ascii="黑体" w:hAnsi="黑体" w:eastAsia="黑体" w:cs="黑体"/>
          <w:color w:val="auto"/>
          <w:sz w:val="24"/>
        </w:rPr>
      </w:pPr>
      <w:r>
        <w:rPr>
          <w:rFonts w:hint="eastAsia" w:ascii="黑体" w:hAnsi="黑体" w:eastAsia="黑体" w:cs="黑体"/>
          <w:color w:val="auto"/>
          <w:sz w:val="24"/>
        </w:rPr>
        <w:t>……</w:t>
      </w:r>
    </w:p>
    <w:p w14:paraId="05B62DBB">
      <w:pPr>
        <w:keepNext w:val="0"/>
        <w:keepLines w:val="0"/>
        <w:pageBreakBefore w:val="0"/>
        <w:kinsoku/>
        <w:wordWrap w:val="0"/>
        <w:overflowPunct/>
        <w:topLinePunct w:val="0"/>
        <w:bidi w:val="0"/>
        <w:adjustRightInd w:val="0"/>
        <w:snapToGrid w:val="0"/>
        <w:spacing w:line="360" w:lineRule="auto"/>
        <w:textAlignment w:val="auto"/>
        <w:outlineLvl w:val="1"/>
        <w:rPr>
          <w:rFonts w:hint="eastAsia" w:ascii="黑体" w:hAnsi="黑体" w:eastAsia="黑体" w:cs="黑体"/>
          <w:bCs/>
          <w:color w:val="auto"/>
          <w:sz w:val="24"/>
        </w:rPr>
      </w:pPr>
      <w:r>
        <w:rPr>
          <w:rFonts w:hint="eastAsia" w:ascii="黑体" w:hAnsi="黑体" w:eastAsia="黑体" w:cs="黑体"/>
          <w:bCs/>
          <w:color w:val="auto"/>
          <w:sz w:val="24"/>
        </w:rPr>
        <w:t>四、与质疑事项相关的质疑请求</w:t>
      </w:r>
    </w:p>
    <w:p w14:paraId="69943B42">
      <w:pPr>
        <w:keepNext w:val="0"/>
        <w:keepLines w:val="0"/>
        <w:pageBreakBefore w:val="0"/>
        <w:kinsoku/>
        <w:wordWrap w:val="0"/>
        <w:overflowPunct/>
        <w:topLinePunct w:val="0"/>
        <w:bidi w:val="0"/>
        <w:adjustRightInd w:val="0"/>
        <w:snapToGrid w:val="0"/>
        <w:spacing w:line="360" w:lineRule="auto"/>
        <w:textAlignment w:val="auto"/>
        <w:rPr>
          <w:rFonts w:hint="eastAsia" w:ascii="黑体" w:hAnsi="黑体" w:eastAsia="黑体" w:cs="黑体"/>
          <w:color w:val="auto"/>
          <w:sz w:val="24"/>
          <w:u w:val="dotted"/>
        </w:rPr>
      </w:pPr>
      <w:r>
        <w:rPr>
          <w:rFonts w:hint="eastAsia" w:ascii="黑体" w:hAnsi="黑体" w:eastAsia="黑体" w:cs="黑体"/>
          <w:color w:val="auto"/>
          <w:sz w:val="24"/>
        </w:rPr>
        <w:t>请求：</w:t>
      </w:r>
      <w:r>
        <w:rPr>
          <w:rFonts w:hint="eastAsia" w:ascii="黑体" w:hAnsi="黑体" w:eastAsia="黑体" w:cs="黑体"/>
          <w:color w:val="auto"/>
          <w:sz w:val="24"/>
          <w:u w:val="dotted"/>
        </w:rPr>
        <w:t xml:space="preserve">                                               </w:t>
      </w:r>
    </w:p>
    <w:p w14:paraId="5E3CDE24">
      <w:pPr>
        <w:keepNext w:val="0"/>
        <w:keepLines w:val="0"/>
        <w:pageBreakBefore w:val="0"/>
        <w:kinsoku/>
        <w:wordWrap w:val="0"/>
        <w:overflowPunct/>
        <w:topLinePunct w:val="0"/>
        <w:bidi w:val="0"/>
        <w:spacing w:line="360" w:lineRule="auto"/>
        <w:textAlignment w:val="auto"/>
        <w:rPr>
          <w:rFonts w:hint="eastAsia" w:ascii="黑体" w:hAnsi="黑体" w:eastAsia="黑体" w:cs="黑体"/>
          <w:color w:val="auto"/>
          <w:sz w:val="24"/>
        </w:rPr>
      </w:pPr>
      <w:r>
        <w:rPr>
          <w:rFonts w:hint="eastAsia" w:ascii="黑体" w:hAnsi="黑体" w:eastAsia="黑体" w:cs="黑体"/>
          <w:color w:val="auto"/>
          <w:sz w:val="24"/>
        </w:rPr>
        <w:t xml:space="preserve">签字(签章)：                   公章：                      </w:t>
      </w:r>
    </w:p>
    <w:p w14:paraId="1465F852">
      <w:pPr>
        <w:keepNext w:val="0"/>
        <w:keepLines w:val="0"/>
        <w:pageBreakBefore w:val="0"/>
        <w:kinsoku/>
        <w:wordWrap w:val="0"/>
        <w:overflowPunct/>
        <w:topLinePunct w:val="0"/>
        <w:bidi w:val="0"/>
        <w:spacing w:line="360" w:lineRule="auto"/>
        <w:textAlignment w:val="auto"/>
        <w:rPr>
          <w:rFonts w:hint="eastAsia" w:ascii="黑体" w:hAnsi="黑体" w:eastAsia="黑体" w:cs="黑体"/>
          <w:color w:val="auto"/>
          <w:sz w:val="24"/>
        </w:rPr>
      </w:pPr>
      <w:r>
        <w:rPr>
          <w:rFonts w:hint="eastAsia" w:ascii="黑体" w:hAnsi="黑体" w:eastAsia="黑体" w:cs="黑体"/>
          <w:color w:val="auto"/>
          <w:sz w:val="24"/>
        </w:rPr>
        <w:t xml:space="preserve">日期：    </w:t>
      </w:r>
    </w:p>
    <w:p w14:paraId="0C305430">
      <w:pPr>
        <w:keepNext w:val="0"/>
        <w:keepLines w:val="0"/>
        <w:pageBreakBefore w:val="0"/>
        <w:kinsoku/>
        <w:wordWrap w:val="0"/>
        <w:overflowPunct/>
        <w:topLinePunct w:val="0"/>
        <w:bidi w:val="0"/>
        <w:spacing w:line="360" w:lineRule="auto"/>
        <w:textAlignment w:val="auto"/>
        <w:rPr>
          <w:rFonts w:hint="eastAsia" w:ascii="黑体" w:hAnsi="黑体" w:eastAsia="黑体" w:cs="黑体"/>
          <w:b/>
          <w:color w:val="auto"/>
          <w:sz w:val="24"/>
        </w:rPr>
      </w:pPr>
      <w:r>
        <w:rPr>
          <w:rFonts w:hint="eastAsia" w:ascii="黑体" w:hAnsi="黑体" w:eastAsia="黑体" w:cs="黑体"/>
          <w:b/>
          <w:color w:val="auto"/>
          <w:sz w:val="24"/>
        </w:rPr>
        <w:t>质疑函制作说明：</w:t>
      </w:r>
    </w:p>
    <w:p w14:paraId="3DC91259">
      <w:pPr>
        <w:keepNext w:val="0"/>
        <w:keepLines w:val="0"/>
        <w:pageBreakBefore w:val="0"/>
        <w:widowControl/>
        <w:kinsoku/>
        <w:wordWrap w:val="0"/>
        <w:overflowPunct/>
        <w:topLinePunct w:val="0"/>
        <w:bidi w:val="0"/>
        <w:spacing w:line="360" w:lineRule="auto"/>
        <w:ind w:left="0" w:leftChars="0" w:firstLine="420" w:firstLineChars="175"/>
        <w:jc w:val="left"/>
        <w:textAlignment w:val="auto"/>
        <w:rPr>
          <w:rFonts w:hint="eastAsia" w:ascii="黑体" w:hAnsi="黑体" w:eastAsia="黑体" w:cs="黑体"/>
          <w:color w:val="auto"/>
          <w:sz w:val="24"/>
        </w:rPr>
      </w:pPr>
      <w:r>
        <w:rPr>
          <w:rFonts w:hint="eastAsia" w:ascii="黑体" w:hAnsi="黑体" w:eastAsia="黑体" w:cs="黑体"/>
          <w:color w:val="auto"/>
          <w:sz w:val="24"/>
        </w:rPr>
        <w:t>1.</w:t>
      </w:r>
      <w:r>
        <w:rPr>
          <w:rFonts w:hint="eastAsia" w:ascii="黑体" w:hAnsi="黑体" w:eastAsia="黑体" w:cs="黑体"/>
          <w:color w:val="auto"/>
          <w:sz w:val="24"/>
          <w:lang w:eastAsia="zh-CN"/>
        </w:rPr>
        <w:t>供应商</w:t>
      </w:r>
      <w:r>
        <w:rPr>
          <w:rFonts w:hint="eastAsia" w:ascii="黑体" w:hAnsi="黑体" w:eastAsia="黑体" w:cs="黑体"/>
          <w:color w:val="auto"/>
          <w:sz w:val="24"/>
        </w:rPr>
        <w:t>提出质疑时，应提交质疑函和必要的证明材料。</w:t>
      </w:r>
    </w:p>
    <w:p w14:paraId="161720E2">
      <w:pPr>
        <w:keepNext w:val="0"/>
        <w:keepLines w:val="0"/>
        <w:pageBreakBefore w:val="0"/>
        <w:widowControl/>
        <w:kinsoku/>
        <w:wordWrap w:val="0"/>
        <w:overflowPunct/>
        <w:topLinePunct w:val="0"/>
        <w:bidi w:val="0"/>
        <w:spacing w:line="360" w:lineRule="auto"/>
        <w:ind w:left="0" w:leftChars="0" w:firstLine="420" w:firstLineChars="175"/>
        <w:jc w:val="left"/>
        <w:textAlignment w:val="auto"/>
        <w:rPr>
          <w:rFonts w:hint="eastAsia" w:ascii="黑体" w:hAnsi="黑体" w:eastAsia="黑体" w:cs="黑体"/>
          <w:color w:val="auto"/>
          <w:sz w:val="24"/>
        </w:rPr>
      </w:pPr>
      <w:r>
        <w:rPr>
          <w:rFonts w:hint="eastAsia" w:ascii="黑体" w:hAnsi="黑体" w:eastAsia="黑体" w:cs="黑体"/>
          <w:color w:val="auto"/>
          <w:sz w:val="24"/>
        </w:rPr>
        <w:t>2.质疑</w:t>
      </w:r>
      <w:r>
        <w:rPr>
          <w:rFonts w:hint="eastAsia" w:ascii="黑体" w:hAnsi="黑体" w:eastAsia="黑体" w:cs="黑体"/>
          <w:color w:val="auto"/>
          <w:sz w:val="24"/>
          <w:lang w:eastAsia="zh-CN"/>
        </w:rPr>
        <w:t>供应商</w:t>
      </w:r>
      <w:r>
        <w:rPr>
          <w:rFonts w:hint="eastAsia" w:ascii="黑体" w:hAnsi="黑体" w:eastAsia="黑体" w:cs="黑体"/>
          <w:color w:val="auto"/>
          <w:sz w:val="24"/>
        </w:rPr>
        <w:t>若委托代理人进行质疑的，质疑函应按要求列明“授权代表”的有关内容，并在附件中提交由质疑</w:t>
      </w:r>
      <w:r>
        <w:rPr>
          <w:rFonts w:hint="eastAsia" w:ascii="黑体" w:hAnsi="黑体" w:eastAsia="黑体" w:cs="黑体"/>
          <w:color w:val="auto"/>
          <w:kern w:val="0"/>
          <w:sz w:val="24"/>
          <w:lang w:eastAsia="zh-CN"/>
        </w:rPr>
        <w:t>供应商</w:t>
      </w:r>
      <w:r>
        <w:rPr>
          <w:rFonts w:hint="eastAsia" w:ascii="黑体" w:hAnsi="黑体" w:eastAsia="黑体" w:cs="黑体"/>
          <w:color w:val="auto"/>
          <w:kern w:val="0"/>
          <w:sz w:val="24"/>
        </w:rPr>
        <w:t>签署的授权委托书。授权委托书应载明代理人的姓名或者名称、代理事项、具体权限、期限和相关事项。</w:t>
      </w:r>
    </w:p>
    <w:p w14:paraId="453F2253">
      <w:pPr>
        <w:keepNext w:val="0"/>
        <w:keepLines w:val="0"/>
        <w:pageBreakBefore w:val="0"/>
        <w:widowControl/>
        <w:kinsoku/>
        <w:wordWrap w:val="0"/>
        <w:overflowPunct/>
        <w:topLinePunct w:val="0"/>
        <w:bidi w:val="0"/>
        <w:spacing w:line="360" w:lineRule="auto"/>
        <w:ind w:left="0" w:leftChars="0" w:firstLine="420" w:firstLineChars="175"/>
        <w:jc w:val="left"/>
        <w:textAlignment w:val="auto"/>
        <w:rPr>
          <w:rFonts w:hint="eastAsia" w:ascii="黑体" w:hAnsi="黑体" w:eastAsia="黑体" w:cs="黑体"/>
          <w:color w:val="auto"/>
          <w:sz w:val="24"/>
        </w:rPr>
      </w:pPr>
      <w:r>
        <w:rPr>
          <w:rFonts w:hint="eastAsia" w:ascii="黑体" w:hAnsi="黑体" w:eastAsia="黑体" w:cs="黑体"/>
          <w:color w:val="auto"/>
          <w:sz w:val="24"/>
        </w:rPr>
        <w:t>3.质疑</w:t>
      </w:r>
      <w:r>
        <w:rPr>
          <w:rFonts w:hint="eastAsia" w:ascii="黑体" w:hAnsi="黑体" w:eastAsia="黑体" w:cs="黑体"/>
          <w:color w:val="auto"/>
          <w:sz w:val="24"/>
          <w:lang w:eastAsia="zh-CN"/>
        </w:rPr>
        <w:t>供应商</w:t>
      </w:r>
      <w:r>
        <w:rPr>
          <w:rFonts w:hint="eastAsia" w:ascii="黑体" w:hAnsi="黑体" w:eastAsia="黑体" w:cs="黑体"/>
          <w:color w:val="auto"/>
          <w:sz w:val="24"/>
        </w:rPr>
        <w:t>若对项目的某一分包进行质疑，质疑函中应列明具体分包号。</w:t>
      </w:r>
    </w:p>
    <w:p w14:paraId="5E860BB8">
      <w:pPr>
        <w:keepNext w:val="0"/>
        <w:keepLines w:val="0"/>
        <w:pageBreakBefore w:val="0"/>
        <w:widowControl/>
        <w:kinsoku/>
        <w:wordWrap w:val="0"/>
        <w:overflowPunct/>
        <w:topLinePunct w:val="0"/>
        <w:bidi w:val="0"/>
        <w:spacing w:line="360" w:lineRule="auto"/>
        <w:ind w:left="0" w:leftChars="0" w:firstLine="420" w:firstLineChars="175"/>
        <w:jc w:val="left"/>
        <w:textAlignment w:val="auto"/>
        <w:rPr>
          <w:rFonts w:hint="eastAsia" w:ascii="黑体" w:hAnsi="黑体" w:eastAsia="黑体" w:cs="黑体"/>
          <w:color w:val="auto"/>
          <w:sz w:val="24"/>
        </w:rPr>
      </w:pPr>
      <w:r>
        <w:rPr>
          <w:rFonts w:hint="eastAsia" w:ascii="黑体" w:hAnsi="黑体" w:eastAsia="黑体" w:cs="黑体"/>
          <w:color w:val="auto"/>
          <w:sz w:val="24"/>
        </w:rPr>
        <w:t>4.质疑函的质疑事项应具体、明确，并有必要的事实依据和法律依据。</w:t>
      </w:r>
    </w:p>
    <w:p w14:paraId="0AD570A7">
      <w:pPr>
        <w:keepNext w:val="0"/>
        <w:keepLines w:val="0"/>
        <w:pageBreakBefore w:val="0"/>
        <w:widowControl/>
        <w:kinsoku/>
        <w:wordWrap w:val="0"/>
        <w:overflowPunct/>
        <w:topLinePunct w:val="0"/>
        <w:bidi w:val="0"/>
        <w:spacing w:line="360" w:lineRule="auto"/>
        <w:ind w:left="0" w:leftChars="0" w:firstLine="420" w:firstLineChars="175"/>
        <w:jc w:val="left"/>
        <w:textAlignment w:val="auto"/>
        <w:rPr>
          <w:rFonts w:hint="eastAsia" w:ascii="黑体" w:hAnsi="黑体" w:eastAsia="黑体" w:cs="黑体"/>
          <w:color w:val="auto"/>
          <w:sz w:val="24"/>
        </w:rPr>
      </w:pPr>
      <w:r>
        <w:rPr>
          <w:rFonts w:hint="eastAsia" w:ascii="黑体" w:hAnsi="黑体" w:eastAsia="黑体" w:cs="黑体"/>
          <w:color w:val="auto"/>
          <w:sz w:val="24"/>
        </w:rPr>
        <w:t>5.质疑函的质疑请求应与质疑事项相关。</w:t>
      </w:r>
    </w:p>
    <w:p w14:paraId="6DA31F2C">
      <w:pPr>
        <w:keepNext w:val="0"/>
        <w:keepLines w:val="0"/>
        <w:pageBreakBefore w:val="0"/>
        <w:widowControl/>
        <w:kinsoku/>
        <w:wordWrap w:val="0"/>
        <w:overflowPunct/>
        <w:topLinePunct w:val="0"/>
        <w:bidi w:val="0"/>
        <w:spacing w:line="360" w:lineRule="auto"/>
        <w:ind w:left="0" w:leftChars="0" w:firstLine="420" w:firstLineChars="175"/>
        <w:jc w:val="left"/>
        <w:textAlignment w:val="auto"/>
        <w:rPr>
          <w:rFonts w:hint="eastAsia" w:ascii="黑体" w:hAnsi="黑体" w:eastAsia="黑体" w:cs="黑体"/>
          <w:color w:val="auto"/>
          <w:sz w:val="24"/>
        </w:rPr>
      </w:pPr>
      <w:r>
        <w:rPr>
          <w:rFonts w:hint="eastAsia" w:ascii="黑体" w:hAnsi="黑体" w:eastAsia="黑体" w:cs="黑体"/>
          <w:color w:val="auto"/>
          <w:sz w:val="24"/>
        </w:rPr>
        <w:t>6.质疑</w:t>
      </w:r>
      <w:r>
        <w:rPr>
          <w:rFonts w:hint="eastAsia" w:ascii="黑体" w:hAnsi="黑体" w:eastAsia="黑体" w:cs="黑体"/>
          <w:color w:val="auto"/>
          <w:sz w:val="24"/>
          <w:lang w:eastAsia="zh-CN"/>
        </w:rPr>
        <w:t>供应商</w:t>
      </w:r>
      <w:r>
        <w:rPr>
          <w:rFonts w:hint="eastAsia" w:ascii="黑体" w:hAnsi="黑体" w:eastAsia="黑体" w:cs="黑体"/>
          <w:color w:val="auto"/>
          <w:sz w:val="24"/>
        </w:rPr>
        <w:t>为自然人的，质疑函应由本人签字；质疑</w:t>
      </w:r>
      <w:r>
        <w:rPr>
          <w:rFonts w:hint="eastAsia" w:ascii="黑体" w:hAnsi="黑体" w:eastAsia="黑体" w:cs="黑体"/>
          <w:color w:val="auto"/>
          <w:sz w:val="24"/>
          <w:lang w:eastAsia="zh-CN"/>
        </w:rPr>
        <w:t>供应商</w:t>
      </w:r>
      <w:r>
        <w:rPr>
          <w:rFonts w:hint="eastAsia" w:ascii="黑体" w:hAnsi="黑体" w:eastAsia="黑体" w:cs="黑体"/>
          <w:color w:val="auto"/>
          <w:sz w:val="24"/>
        </w:rPr>
        <w:t>为法人或者其他组织的，质疑函应由法定代表人、主要负责人，或者其授权代表签字或者盖章，并加盖公章。</w:t>
      </w:r>
    </w:p>
    <w:p w14:paraId="3353964A">
      <w:pPr>
        <w:rPr>
          <w:rFonts w:hint="eastAsia" w:ascii="黑体" w:hAnsi="黑体" w:eastAsia="黑体" w:cs="黑体"/>
          <w:color w:val="auto"/>
          <w:sz w:val="28"/>
          <w:szCs w:val="28"/>
        </w:rPr>
      </w:pPr>
      <w:bookmarkStart w:id="243" w:name="_Toc518923106"/>
      <w:bookmarkStart w:id="244" w:name="_Toc22577_WPSOffice_Level1"/>
      <w:bookmarkStart w:id="245" w:name="_Toc216582812"/>
      <w:bookmarkStart w:id="246" w:name="_Toc21808"/>
      <w:bookmarkStart w:id="247" w:name="_Toc6923"/>
      <w:r>
        <w:rPr>
          <w:rFonts w:hint="eastAsia" w:ascii="黑体" w:hAnsi="黑体" w:eastAsia="黑体" w:cs="黑体"/>
          <w:color w:val="auto"/>
          <w:sz w:val="28"/>
          <w:szCs w:val="28"/>
        </w:rPr>
        <w:br w:type="page"/>
      </w:r>
    </w:p>
    <w:p w14:paraId="4468B03F">
      <w:pPr>
        <w:pStyle w:val="5"/>
        <w:spacing w:before="0" w:after="0" w:line="360" w:lineRule="auto"/>
        <w:jc w:val="center"/>
        <w:rPr>
          <w:rFonts w:hint="eastAsia" w:ascii="黑体" w:hAnsi="黑体" w:eastAsia="黑体" w:cs="黑体"/>
          <w:color w:val="auto"/>
          <w:sz w:val="28"/>
          <w:szCs w:val="28"/>
        </w:rPr>
      </w:pPr>
      <w:bookmarkStart w:id="248" w:name="_Toc17289"/>
      <w:r>
        <w:rPr>
          <w:rFonts w:hint="eastAsia" w:ascii="黑体" w:hAnsi="黑体" w:eastAsia="黑体" w:cs="黑体"/>
          <w:color w:val="auto"/>
          <w:sz w:val="28"/>
          <w:szCs w:val="28"/>
        </w:rPr>
        <w:t>第二章 响应文件格式</w:t>
      </w:r>
      <w:bookmarkEnd w:id="243"/>
      <w:bookmarkEnd w:id="244"/>
      <w:bookmarkEnd w:id="245"/>
      <w:bookmarkEnd w:id="246"/>
      <w:bookmarkEnd w:id="247"/>
      <w:bookmarkEnd w:id="248"/>
    </w:p>
    <w:p w14:paraId="75BE9FC9">
      <w:pPr>
        <w:pStyle w:val="6"/>
        <w:spacing w:before="0" w:line="360" w:lineRule="auto"/>
        <w:ind w:left="1079" w:leftChars="257" w:hanging="540"/>
        <w:jc w:val="center"/>
        <w:rPr>
          <w:rFonts w:hint="eastAsia" w:ascii="黑体" w:hAnsi="黑体" w:eastAsia="黑体" w:cs="黑体"/>
          <w:color w:val="auto"/>
          <w:sz w:val="28"/>
          <w:szCs w:val="28"/>
        </w:rPr>
      </w:pPr>
      <w:bookmarkStart w:id="249" w:name="_Toc975"/>
      <w:bookmarkStart w:id="250" w:name="_Toc25620_WPSOffice_Level2"/>
      <w:bookmarkStart w:id="251" w:name="_Toc515647803"/>
      <w:bookmarkStart w:id="252" w:name="_Toc18974"/>
      <w:bookmarkStart w:id="253" w:name="_Toc27612"/>
      <w:bookmarkStart w:id="254" w:name="_Toc6762_WPSOffice_Level2"/>
      <w:bookmarkStart w:id="255" w:name="_Toc30069"/>
      <w:bookmarkStart w:id="256" w:name="_Toc18694"/>
      <w:r>
        <w:rPr>
          <w:rFonts w:hint="eastAsia" w:ascii="黑体" w:hAnsi="黑体" w:eastAsia="黑体" w:cs="黑体"/>
          <w:color w:val="auto"/>
          <w:sz w:val="28"/>
          <w:szCs w:val="28"/>
        </w:rPr>
        <w:t xml:space="preserve">第一部分 </w:t>
      </w:r>
      <w:r>
        <w:rPr>
          <w:rFonts w:hint="eastAsia" w:ascii="黑体" w:hAnsi="黑体" w:eastAsia="黑体" w:cs="黑体"/>
          <w:color w:val="auto"/>
          <w:sz w:val="28"/>
          <w:szCs w:val="28"/>
          <w:lang w:eastAsia="zh-CN"/>
        </w:rPr>
        <w:t>报价</w:t>
      </w:r>
      <w:r>
        <w:rPr>
          <w:rFonts w:hint="eastAsia" w:ascii="黑体" w:hAnsi="黑体" w:eastAsia="黑体" w:cs="黑体"/>
          <w:color w:val="auto"/>
          <w:sz w:val="28"/>
          <w:szCs w:val="28"/>
        </w:rPr>
        <w:t>一览表及资格证明文件</w:t>
      </w:r>
      <w:bookmarkEnd w:id="249"/>
      <w:bookmarkEnd w:id="250"/>
      <w:bookmarkEnd w:id="251"/>
      <w:bookmarkEnd w:id="252"/>
      <w:bookmarkEnd w:id="253"/>
      <w:bookmarkEnd w:id="254"/>
      <w:bookmarkEnd w:id="255"/>
      <w:bookmarkEnd w:id="256"/>
    </w:p>
    <w:p w14:paraId="116437F2">
      <w:pPr>
        <w:keepNext w:val="0"/>
        <w:keepLines w:val="0"/>
        <w:pageBreakBefore w:val="0"/>
        <w:tabs>
          <w:tab w:val="left" w:pos="5580"/>
        </w:tabs>
        <w:kinsoku/>
        <w:overflowPunct/>
        <w:topLinePunct w:val="0"/>
        <w:autoSpaceDE/>
        <w:autoSpaceDN/>
        <w:bidi w:val="0"/>
        <w:adjustRightInd/>
        <w:spacing w:line="500" w:lineRule="exact"/>
        <w:textAlignment w:val="auto"/>
        <w:rPr>
          <w:rFonts w:hint="eastAsia" w:ascii="黑体" w:hAnsi="黑体" w:eastAsia="黑体" w:cs="黑体"/>
          <w:color w:val="auto"/>
          <w:sz w:val="24"/>
          <w:szCs w:val="24"/>
          <w:lang w:eastAsia="zh-CN"/>
        </w:rPr>
      </w:pPr>
      <w:bookmarkStart w:id="257" w:name="_Toc11180"/>
      <w:bookmarkStart w:id="258" w:name="_Toc515647816"/>
      <w:bookmarkStart w:id="259" w:name="_Toc480942349"/>
      <w:bookmarkStart w:id="260" w:name="_Toc216582813"/>
      <w:bookmarkStart w:id="261" w:name="_Ref467988698"/>
      <w:bookmarkStart w:id="262" w:name="_Toc520356217"/>
      <w:r>
        <w:rPr>
          <w:rFonts w:hint="eastAsia" w:ascii="黑体" w:hAnsi="黑体" w:eastAsia="黑体" w:cs="黑体"/>
          <w:color w:val="auto"/>
          <w:sz w:val="24"/>
          <w:szCs w:val="24"/>
        </w:rPr>
        <w:t>1</w:t>
      </w:r>
      <w:r>
        <w:rPr>
          <w:rFonts w:hint="eastAsia" w:ascii="黑体" w:hAnsi="黑体" w:eastAsia="黑体" w:cs="黑体"/>
          <w:color w:val="auto"/>
          <w:sz w:val="24"/>
          <w:szCs w:val="24"/>
          <w:lang w:eastAsia="zh-CN"/>
        </w:rPr>
        <w:t>、报价</w:t>
      </w:r>
      <w:r>
        <w:rPr>
          <w:rFonts w:hint="eastAsia" w:ascii="黑体" w:hAnsi="黑体" w:eastAsia="黑体" w:cs="黑体"/>
          <w:color w:val="auto"/>
          <w:sz w:val="24"/>
          <w:szCs w:val="24"/>
        </w:rPr>
        <w:t>一览表（见</w:t>
      </w:r>
      <w:r>
        <w:rPr>
          <w:rFonts w:hint="eastAsia" w:ascii="黑体" w:hAnsi="黑体" w:eastAsia="黑体" w:cs="黑体"/>
          <w:color w:val="auto"/>
          <w:sz w:val="24"/>
          <w:szCs w:val="24"/>
          <w:lang w:eastAsia="zh-CN"/>
        </w:rPr>
        <w:t>响应文件</w:t>
      </w:r>
      <w:r>
        <w:rPr>
          <w:rFonts w:hint="eastAsia" w:ascii="黑体" w:hAnsi="黑体" w:eastAsia="黑体" w:cs="黑体"/>
          <w:color w:val="auto"/>
          <w:sz w:val="24"/>
          <w:szCs w:val="24"/>
        </w:rPr>
        <w:t>格式一）</w:t>
      </w:r>
      <w:r>
        <w:rPr>
          <w:rFonts w:hint="eastAsia" w:ascii="黑体" w:hAnsi="黑体" w:eastAsia="黑体" w:cs="黑体"/>
          <w:color w:val="auto"/>
          <w:sz w:val="24"/>
          <w:szCs w:val="24"/>
          <w:lang w:eastAsia="zh-CN"/>
        </w:rPr>
        <w:t>；</w:t>
      </w:r>
    </w:p>
    <w:p w14:paraId="4F88715C">
      <w:pPr>
        <w:keepNext w:val="0"/>
        <w:keepLines w:val="0"/>
        <w:pageBreakBefore w:val="0"/>
        <w:tabs>
          <w:tab w:val="left" w:pos="5580"/>
        </w:tabs>
        <w:kinsoku/>
        <w:overflowPunct/>
        <w:topLinePunct w:val="0"/>
        <w:autoSpaceDE/>
        <w:autoSpaceDN/>
        <w:bidi w:val="0"/>
        <w:adjustRightInd/>
        <w:spacing w:line="500" w:lineRule="exact"/>
        <w:textAlignment w:val="auto"/>
        <w:rPr>
          <w:rFonts w:hint="eastAsia" w:ascii="黑体" w:hAnsi="黑体" w:eastAsia="黑体" w:cs="黑体"/>
          <w:color w:val="auto"/>
          <w:sz w:val="24"/>
          <w:szCs w:val="24"/>
          <w:lang w:eastAsia="zh-CN"/>
        </w:rPr>
      </w:pPr>
      <w:r>
        <w:rPr>
          <w:rFonts w:hint="eastAsia" w:ascii="黑体" w:hAnsi="黑体" w:eastAsia="黑体" w:cs="黑体"/>
          <w:color w:val="auto"/>
          <w:sz w:val="24"/>
          <w:szCs w:val="24"/>
        </w:rPr>
        <w:t>2、</w:t>
      </w:r>
      <w:r>
        <w:rPr>
          <w:rFonts w:hint="eastAsia" w:ascii="黑体" w:hAnsi="黑体" w:eastAsia="黑体" w:cs="黑体"/>
          <w:color w:val="auto"/>
          <w:sz w:val="24"/>
          <w:szCs w:val="24"/>
          <w:lang w:eastAsia="zh-CN"/>
        </w:rPr>
        <w:t>具有有效的营业执照；</w:t>
      </w:r>
    </w:p>
    <w:p w14:paraId="7BC03EBD">
      <w:pPr>
        <w:keepNext w:val="0"/>
        <w:keepLines w:val="0"/>
        <w:pageBreakBefore w:val="0"/>
        <w:tabs>
          <w:tab w:val="left" w:pos="5580"/>
        </w:tabs>
        <w:kinsoku/>
        <w:overflowPunct/>
        <w:topLinePunct w:val="0"/>
        <w:autoSpaceDE/>
        <w:autoSpaceDN/>
        <w:bidi w:val="0"/>
        <w:adjustRightInd/>
        <w:spacing w:line="500" w:lineRule="exact"/>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3、法人代表资格证明书及授权书</w:t>
      </w:r>
      <w:r>
        <w:rPr>
          <w:rFonts w:hint="eastAsia" w:ascii="黑体" w:hAnsi="黑体" w:eastAsia="黑体" w:cs="黑体"/>
          <w:color w:val="auto"/>
          <w:sz w:val="24"/>
          <w:szCs w:val="24"/>
          <w:lang w:val="en-US" w:eastAsia="zh-CN"/>
        </w:rPr>
        <w:t>扫描</w:t>
      </w:r>
      <w:r>
        <w:rPr>
          <w:rFonts w:hint="eastAsia" w:ascii="黑体" w:hAnsi="黑体" w:eastAsia="黑体" w:cs="黑体"/>
          <w:color w:val="auto"/>
          <w:sz w:val="24"/>
          <w:szCs w:val="24"/>
        </w:rPr>
        <w:t>件、被授权人身份证</w:t>
      </w:r>
      <w:r>
        <w:rPr>
          <w:rFonts w:hint="eastAsia" w:ascii="黑体" w:hAnsi="黑体" w:eastAsia="黑体" w:cs="黑体"/>
          <w:color w:val="auto"/>
          <w:sz w:val="24"/>
          <w:szCs w:val="24"/>
          <w:lang w:val="en-US" w:eastAsia="zh-CN"/>
        </w:rPr>
        <w:t>扫描</w:t>
      </w:r>
      <w:r>
        <w:rPr>
          <w:rFonts w:hint="eastAsia" w:ascii="黑体" w:hAnsi="黑体" w:eastAsia="黑体" w:cs="黑体"/>
          <w:color w:val="auto"/>
          <w:sz w:val="24"/>
          <w:szCs w:val="24"/>
        </w:rPr>
        <w:t>件；(法人需提供法人身份证</w:t>
      </w:r>
      <w:r>
        <w:rPr>
          <w:rFonts w:hint="eastAsia" w:ascii="黑体" w:hAnsi="黑体" w:eastAsia="黑体" w:cs="黑体"/>
          <w:color w:val="auto"/>
          <w:sz w:val="24"/>
          <w:szCs w:val="24"/>
          <w:lang w:val="en-US" w:eastAsia="zh-CN"/>
        </w:rPr>
        <w:t>扫描</w:t>
      </w:r>
      <w:r>
        <w:rPr>
          <w:rFonts w:hint="eastAsia" w:ascii="黑体" w:hAnsi="黑体" w:eastAsia="黑体" w:cs="黑体"/>
          <w:color w:val="auto"/>
          <w:sz w:val="24"/>
          <w:szCs w:val="24"/>
        </w:rPr>
        <w:t>件及法人代表资格证明书);</w:t>
      </w:r>
    </w:p>
    <w:p w14:paraId="7819E41B">
      <w:pPr>
        <w:keepNext w:val="0"/>
        <w:keepLines w:val="0"/>
        <w:pageBreakBefore w:val="0"/>
        <w:tabs>
          <w:tab w:val="left" w:pos="5580"/>
        </w:tabs>
        <w:kinsoku/>
        <w:overflowPunct/>
        <w:topLinePunct w:val="0"/>
        <w:autoSpaceDE/>
        <w:autoSpaceDN/>
        <w:bidi w:val="0"/>
        <w:adjustRightInd/>
        <w:spacing w:line="500" w:lineRule="exact"/>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4、</w:t>
      </w:r>
      <w:r>
        <w:rPr>
          <w:rStyle w:val="47"/>
          <w:rFonts w:hint="eastAsia" w:ascii="黑体" w:hAnsi="黑体" w:eastAsia="黑体" w:cs="黑体"/>
          <w:b w:val="0"/>
          <w:bCs w:val="0"/>
          <w:color w:val="auto"/>
          <w:sz w:val="24"/>
          <w:szCs w:val="24"/>
          <w:highlight w:val="none"/>
          <w:lang w:val="en-US" w:eastAsia="zh-CN"/>
        </w:rPr>
        <w:t>提供2023年度经会计事务所出具财务审计报告；（新成立公司提供有效期内的银行资信证明）</w:t>
      </w:r>
      <w:r>
        <w:rPr>
          <w:rFonts w:hint="eastAsia" w:ascii="黑体" w:hAnsi="黑体" w:eastAsia="黑体" w:cs="黑体"/>
          <w:color w:val="auto"/>
          <w:sz w:val="24"/>
          <w:szCs w:val="24"/>
          <w:lang w:val="en-US" w:eastAsia="zh-CN"/>
        </w:rPr>
        <w:t>；</w:t>
      </w:r>
    </w:p>
    <w:p w14:paraId="5C2C3343">
      <w:pPr>
        <w:keepNext w:val="0"/>
        <w:keepLines w:val="0"/>
        <w:pageBreakBefore w:val="0"/>
        <w:widowControl/>
        <w:suppressLineNumbers w:val="0"/>
        <w:kinsoku/>
        <w:overflowPunct/>
        <w:topLinePunct w:val="0"/>
        <w:autoSpaceDE/>
        <w:autoSpaceDN/>
        <w:bidi w:val="0"/>
        <w:adjustRightInd/>
        <w:spacing w:line="500" w:lineRule="exact"/>
        <w:jc w:val="left"/>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5.</w:t>
      </w:r>
      <w:r>
        <w:rPr>
          <w:rStyle w:val="47"/>
          <w:rFonts w:hint="eastAsia" w:ascii="黑体" w:hAnsi="黑体" w:eastAsia="黑体" w:cs="黑体"/>
          <w:b w:val="0"/>
          <w:bCs w:val="0"/>
          <w:color w:val="auto"/>
          <w:sz w:val="24"/>
          <w:szCs w:val="24"/>
          <w:highlight w:val="none"/>
          <w:lang w:val="en-US" w:eastAsia="zh-CN"/>
        </w:rPr>
        <w:t>公司依法缴纳近六个月任意一个月的社保缴纳凭证</w:t>
      </w:r>
      <w:r>
        <w:rPr>
          <w:rFonts w:hint="eastAsia" w:ascii="黑体" w:hAnsi="黑体" w:eastAsia="黑体" w:cs="黑体"/>
          <w:color w:val="auto"/>
          <w:sz w:val="24"/>
          <w:szCs w:val="24"/>
          <w:lang w:val="en-US" w:eastAsia="zh-CN"/>
        </w:rPr>
        <w:t>；</w:t>
      </w:r>
    </w:p>
    <w:p w14:paraId="5EB62671">
      <w:pPr>
        <w:pStyle w:val="27"/>
        <w:keepNext w:val="0"/>
        <w:keepLines w:val="0"/>
        <w:pageBreakBefore w:val="0"/>
        <w:kinsoku/>
        <w:overflowPunct/>
        <w:topLinePunct w:val="0"/>
        <w:autoSpaceDE/>
        <w:autoSpaceDN/>
        <w:bidi w:val="0"/>
        <w:adjustRightInd/>
        <w:spacing w:line="500" w:lineRule="exact"/>
        <w:textAlignment w:val="auto"/>
        <w:rPr>
          <w:rFonts w:hint="eastAsia"/>
          <w:lang w:val="en-US" w:eastAsia="zh-CN"/>
        </w:rPr>
      </w:pPr>
      <w:r>
        <w:rPr>
          <w:rStyle w:val="47"/>
          <w:rFonts w:hint="eastAsia" w:ascii="黑体" w:hAnsi="黑体" w:eastAsia="黑体" w:cs="黑体"/>
          <w:b w:val="0"/>
          <w:bCs w:val="0"/>
          <w:color w:val="auto"/>
          <w:sz w:val="24"/>
          <w:szCs w:val="24"/>
          <w:highlight w:val="none"/>
          <w:lang w:val="en-US" w:eastAsia="zh-CN"/>
        </w:rPr>
        <w:t>6.公司依法缴纳的近六个月任意一个月的完税证明；</w:t>
      </w:r>
    </w:p>
    <w:p w14:paraId="09B06799">
      <w:pPr>
        <w:keepNext w:val="0"/>
        <w:keepLines w:val="0"/>
        <w:pageBreakBefore w:val="0"/>
        <w:widowControl/>
        <w:suppressLineNumbers w:val="0"/>
        <w:kinsoku/>
        <w:wordWrap w:val="0"/>
        <w:overflowPunct/>
        <w:topLinePunct w:val="0"/>
        <w:autoSpaceDE/>
        <w:autoSpaceDN/>
        <w:bidi w:val="0"/>
        <w:adjustRightInd/>
        <w:snapToGrid/>
        <w:spacing w:line="500" w:lineRule="exact"/>
        <w:jc w:val="left"/>
        <w:textAlignment w:val="auto"/>
        <w:rPr>
          <w:rStyle w:val="47"/>
          <w:rFonts w:hint="eastAsia" w:ascii="黑体" w:hAnsi="黑体" w:eastAsia="黑体" w:cs="黑体"/>
          <w:b w:val="0"/>
          <w:bCs w:val="0"/>
          <w:color w:val="auto"/>
          <w:sz w:val="24"/>
          <w:szCs w:val="24"/>
          <w:highlight w:val="none"/>
          <w:lang w:val="en-US" w:eastAsia="zh-CN"/>
        </w:rPr>
      </w:pPr>
      <w:r>
        <w:rPr>
          <w:rFonts w:hint="eastAsia" w:ascii="黑体" w:hAnsi="黑体" w:eastAsia="黑体" w:cs="黑体"/>
          <w:color w:val="auto"/>
          <w:sz w:val="24"/>
          <w:szCs w:val="24"/>
          <w:lang w:val="en-US" w:eastAsia="zh-CN"/>
        </w:rPr>
        <w:t>7、</w:t>
      </w:r>
      <w:r>
        <w:rPr>
          <w:rStyle w:val="47"/>
          <w:rFonts w:hint="eastAsia" w:ascii="黑体" w:hAnsi="黑体" w:eastAsia="黑体" w:cs="黑体"/>
          <w:b w:val="0"/>
          <w:bCs w:val="0"/>
          <w:color w:val="auto"/>
          <w:sz w:val="24"/>
          <w:szCs w:val="24"/>
          <w:highlight w:val="none"/>
          <w:lang w:val="en-US" w:eastAsia="zh-CN"/>
        </w:rPr>
        <w:t>投标人近3年(投标截止时间往前推算)，凡拟参加本次招标项目的投标人，如在“信用中国”网站被列入失信被执行人、重大税收违法失信主体(信用中国首页-点击信用服务-查询）、中国政府采购网（http://www.ccgp.gov.cn/search/cr/）严重违法失信行为记录名单的（尚在处罚期内的）。将拒绝其参加本次招标活动；（提供查询结果网页截图并加盖供应商公章，提供截图日期需在本项目领取磋商文件期内）。</w:t>
      </w:r>
    </w:p>
    <w:p w14:paraId="06D6FB0C">
      <w:pPr>
        <w:pStyle w:val="27"/>
        <w:keepNext w:val="0"/>
        <w:keepLines w:val="0"/>
        <w:pageBreakBefore w:val="0"/>
        <w:kinsoku/>
        <w:overflowPunct/>
        <w:topLinePunct w:val="0"/>
        <w:autoSpaceDE/>
        <w:autoSpaceDN/>
        <w:bidi w:val="0"/>
        <w:adjustRightInd/>
        <w:spacing w:line="500" w:lineRule="exact"/>
        <w:textAlignment w:val="auto"/>
        <w:rPr>
          <w:rFonts w:hint="eastAsia" w:ascii="黑体" w:hAnsi="黑体" w:eastAsia="黑体" w:cs="黑体"/>
          <w:color w:val="auto"/>
          <w:sz w:val="24"/>
          <w:szCs w:val="40"/>
          <w:lang w:val="en-US" w:eastAsia="zh-CN"/>
        </w:rPr>
      </w:pPr>
      <w:r>
        <w:rPr>
          <w:rFonts w:hint="eastAsia" w:ascii="黑体" w:hAnsi="黑体" w:eastAsia="黑体" w:cs="黑体"/>
          <w:color w:val="auto"/>
          <w:sz w:val="24"/>
          <w:szCs w:val="40"/>
          <w:lang w:val="en-US" w:eastAsia="zh-CN"/>
        </w:rPr>
        <w:t>8、本项目特定的资格要求：供应商须具备【水利水电工程施工总承包二级】（含）以上资质，拟派项目经理须具备【水利水电工程二级】(含)以上注册建造师执业资格并取得水利水电中级或以上职称，具备有效的B类安全生产考核合格证书且在有效期内，且不得担任其他在建工程的项目经理，并提供近六个月任意一个月社保缴纳证明；</w:t>
      </w:r>
    </w:p>
    <w:p w14:paraId="2C57ACFE">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500" w:lineRule="exact"/>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9、提供针对本次项目《反商业贿赂承诺书》;</w:t>
      </w:r>
    </w:p>
    <w:p w14:paraId="665BDD82">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500" w:lineRule="exact"/>
        <w:textAlignment w:val="auto"/>
        <w:rPr>
          <w:rFonts w:hint="eastAsia" w:ascii="黑体" w:hAnsi="黑体" w:eastAsia="黑体" w:cs="黑体"/>
          <w:color w:val="auto"/>
          <w:sz w:val="24"/>
          <w:lang w:val="en-US" w:eastAsia="zh-CN"/>
        </w:rPr>
      </w:pPr>
      <w:r>
        <w:rPr>
          <w:rFonts w:hint="eastAsia" w:ascii="黑体" w:hAnsi="黑体" w:eastAsia="黑体" w:cs="黑体"/>
          <w:color w:val="auto"/>
          <w:sz w:val="24"/>
          <w:lang w:val="en-US" w:eastAsia="zh-CN"/>
        </w:rPr>
        <w:t>10、提供参加政府采购活动前3年内在经营活动中没有重大违法记录的书面声明；</w:t>
      </w:r>
    </w:p>
    <w:p w14:paraId="2EABCE13">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500" w:lineRule="exact"/>
        <w:textAlignment w:val="auto"/>
        <w:rPr>
          <w:rFonts w:hint="eastAsia" w:ascii="黑体" w:hAnsi="黑体" w:eastAsia="黑体" w:cs="黑体"/>
          <w:color w:val="auto"/>
          <w:sz w:val="24"/>
          <w:lang w:val="en-US" w:eastAsia="zh-CN"/>
        </w:rPr>
      </w:pPr>
      <w:r>
        <w:rPr>
          <w:rFonts w:hint="eastAsia" w:ascii="黑体" w:hAnsi="黑体" w:eastAsia="黑体" w:cs="黑体"/>
          <w:color w:val="auto"/>
          <w:sz w:val="24"/>
          <w:lang w:val="en-US" w:eastAsia="zh-CN"/>
        </w:rPr>
        <w:t>11、缴纳投标保证金的有效凭证；</w:t>
      </w:r>
    </w:p>
    <w:p w14:paraId="1756C2E7">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500" w:lineRule="exact"/>
        <w:textAlignment w:val="auto"/>
        <w:rPr>
          <w:rFonts w:hint="eastAsia" w:ascii="黑体" w:hAnsi="黑体" w:eastAsia="黑体" w:cs="黑体"/>
          <w:color w:val="auto"/>
          <w:sz w:val="24"/>
          <w:lang w:eastAsia="zh-CN"/>
        </w:rPr>
      </w:pPr>
      <w:r>
        <w:rPr>
          <w:rFonts w:hint="eastAsia" w:ascii="黑体" w:hAnsi="黑体" w:eastAsia="黑体" w:cs="黑体"/>
          <w:color w:val="auto"/>
          <w:sz w:val="24"/>
          <w:lang w:eastAsia="zh-CN"/>
        </w:rPr>
        <w:t>1</w:t>
      </w:r>
      <w:r>
        <w:rPr>
          <w:rFonts w:hint="eastAsia" w:ascii="黑体" w:hAnsi="黑体" w:eastAsia="黑体" w:cs="黑体"/>
          <w:color w:val="auto"/>
          <w:sz w:val="24"/>
          <w:lang w:val="en-US" w:eastAsia="zh-CN"/>
        </w:rPr>
        <w:t>2</w:t>
      </w:r>
      <w:r>
        <w:rPr>
          <w:rFonts w:hint="eastAsia" w:ascii="黑体" w:hAnsi="黑体" w:eastAsia="黑体" w:cs="黑体"/>
          <w:color w:val="auto"/>
          <w:sz w:val="24"/>
          <w:lang w:eastAsia="zh-CN"/>
        </w:rPr>
        <w:t>、中小企业声明函；</w:t>
      </w:r>
    </w:p>
    <w:p w14:paraId="580B345E">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500" w:lineRule="exact"/>
        <w:textAlignment w:val="auto"/>
        <w:rPr>
          <w:rFonts w:hint="eastAsia" w:ascii="黑体" w:hAnsi="黑体" w:eastAsia="黑体" w:cs="黑体"/>
          <w:color w:val="auto"/>
          <w:sz w:val="24"/>
          <w:lang w:eastAsia="zh-CN"/>
        </w:rPr>
      </w:pPr>
      <w:r>
        <w:rPr>
          <w:rFonts w:hint="eastAsia" w:ascii="黑体" w:hAnsi="黑体" w:eastAsia="黑体" w:cs="黑体"/>
          <w:color w:val="auto"/>
          <w:sz w:val="24"/>
          <w:lang w:eastAsia="zh-CN"/>
        </w:rPr>
        <w:t>12、其他资格证明文件；</w:t>
      </w:r>
    </w:p>
    <w:p w14:paraId="790C4A31">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500" w:lineRule="exact"/>
        <w:textAlignment w:val="auto"/>
        <w:rPr>
          <w:rFonts w:hint="eastAsia" w:ascii="黑体" w:hAnsi="黑体" w:eastAsia="黑体" w:cs="黑体"/>
          <w:color w:val="auto"/>
          <w:sz w:val="24"/>
          <w:lang w:eastAsia="zh-CN"/>
        </w:rPr>
      </w:pPr>
      <w:r>
        <w:rPr>
          <w:rFonts w:hint="eastAsia" w:ascii="黑体" w:hAnsi="黑体" w:eastAsia="黑体" w:cs="黑体"/>
          <w:color w:val="auto"/>
          <w:sz w:val="24"/>
          <w:lang w:eastAsia="zh-CN"/>
        </w:rPr>
        <w:t>13、投标人关联单位的说明。</w:t>
      </w:r>
    </w:p>
    <w:p w14:paraId="797318E0">
      <w:pPr>
        <w:spacing w:line="360" w:lineRule="auto"/>
        <w:rPr>
          <w:rFonts w:hint="eastAsia" w:ascii="黑体" w:hAnsi="黑体" w:eastAsia="黑体" w:cs="黑体"/>
          <w:color w:val="auto"/>
        </w:rPr>
      </w:pPr>
      <w:bookmarkStart w:id="263" w:name="_Toc14118"/>
      <w:bookmarkStart w:id="264" w:name="_Toc3620"/>
      <w:bookmarkStart w:id="265" w:name="_Toc16750"/>
      <w:bookmarkStart w:id="266" w:name="_Toc11138"/>
      <w:bookmarkStart w:id="267" w:name="_Toc21614"/>
      <w:bookmarkStart w:id="268" w:name="_Toc515647804"/>
      <w:bookmarkStart w:id="269" w:name="_Toc16568"/>
      <w:bookmarkStart w:id="270" w:name="_Toc30630"/>
      <w:bookmarkStart w:id="271" w:name="_Toc30524"/>
    </w:p>
    <w:bookmarkEnd w:id="263"/>
    <w:bookmarkEnd w:id="264"/>
    <w:bookmarkEnd w:id="265"/>
    <w:bookmarkEnd w:id="266"/>
    <w:bookmarkEnd w:id="267"/>
    <w:bookmarkEnd w:id="268"/>
    <w:bookmarkEnd w:id="269"/>
    <w:bookmarkEnd w:id="270"/>
    <w:bookmarkEnd w:id="271"/>
    <w:p w14:paraId="5F3065DC">
      <w:pPr>
        <w:rPr>
          <w:rFonts w:hint="eastAsia" w:ascii="黑体" w:hAnsi="黑体" w:eastAsia="黑体" w:cs="黑体"/>
          <w:color w:val="auto"/>
          <w:sz w:val="28"/>
          <w:szCs w:val="28"/>
        </w:rPr>
      </w:pPr>
      <w:r>
        <w:rPr>
          <w:rFonts w:hint="eastAsia" w:ascii="黑体" w:hAnsi="黑体" w:eastAsia="黑体" w:cs="黑体"/>
          <w:color w:val="auto"/>
          <w:sz w:val="28"/>
          <w:szCs w:val="28"/>
        </w:rPr>
        <w:br w:type="page"/>
      </w:r>
    </w:p>
    <w:p w14:paraId="62FF22EF">
      <w:pPr>
        <w:pStyle w:val="6"/>
        <w:spacing w:before="0" w:line="240" w:lineRule="atLeast"/>
        <w:ind w:left="1079" w:leftChars="257" w:hanging="540"/>
        <w:jc w:val="center"/>
        <w:rPr>
          <w:rFonts w:hint="eastAsia" w:ascii="黑体" w:hAnsi="黑体" w:eastAsia="黑体" w:cs="黑体"/>
          <w:color w:val="auto"/>
          <w:sz w:val="28"/>
          <w:szCs w:val="28"/>
        </w:rPr>
      </w:pPr>
      <w:r>
        <w:rPr>
          <w:rFonts w:hint="eastAsia" w:ascii="黑体" w:hAnsi="黑体" w:eastAsia="黑体" w:cs="黑体"/>
          <w:color w:val="auto"/>
          <w:sz w:val="28"/>
          <w:szCs w:val="28"/>
        </w:rPr>
        <w:t>1</w:t>
      </w:r>
      <w:r>
        <w:rPr>
          <w:rFonts w:hint="eastAsia" w:ascii="黑体" w:hAnsi="黑体" w:cs="黑体"/>
          <w:color w:val="auto"/>
          <w:sz w:val="28"/>
          <w:szCs w:val="28"/>
          <w:lang w:eastAsia="zh-CN"/>
        </w:rPr>
        <w:t>、</w:t>
      </w:r>
      <w:r>
        <w:rPr>
          <w:rFonts w:hint="eastAsia" w:ascii="黑体" w:hAnsi="黑体" w:eastAsia="黑体" w:cs="黑体"/>
          <w:color w:val="auto"/>
          <w:sz w:val="28"/>
          <w:szCs w:val="28"/>
          <w:lang w:eastAsia="zh-CN"/>
        </w:rPr>
        <w:t>报价</w:t>
      </w:r>
      <w:r>
        <w:rPr>
          <w:rFonts w:hint="eastAsia" w:ascii="黑体" w:hAnsi="黑体" w:eastAsia="黑体" w:cs="黑体"/>
          <w:color w:val="auto"/>
          <w:sz w:val="28"/>
          <w:szCs w:val="28"/>
        </w:rPr>
        <w:t>一览表（</w:t>
      </w:r>
      <w:r>
        <w:rPr>
          <w:rFonts w:hint="eastAsia" w:ascii="黑体" w:hAnsi="黑体" w:eastAsia="黑体" w:cs="黑体"/>
          <w:color w:val="auto"/>
          <w:sz w:val="28"/>
          <w:szCs w:val="28"/>
          <w:lang w:eastAsia="zh-CN"/>
        </w:rPr>
        <w:t>响应文件</w:t>
      </w:r>
      <w:r>
        <w:rPr>
          <w:rFonts w:hint="eastAsia" w:ascii="黑体" w:hAnsi="黑体" w:eastAsia="黑体" w:cs="黑体"/>
          <w:color w:val="auto"/>
          <w:sz w:val="28"/>
          <w:szCs w:val="28"/>
        </w:rPr>
        <w:t>格式一）</w:t>
      </w:r>
      <w:bookmarkStart w:id="272" w:name="_Hlt520356241"/>
      <w:bookmarkEnd w:id="272"/>
      <w:bookmarkStart w:id="273" w:name="_Toc494296984"/>
    </w:p>
    <w:p w14:paraId="52164FC5">
      <w:pPr>
        <w:pStyle w:val="6"/>
        <w:spacing w:before="0" w:after="0" w:line="240" w:lineRule="auto"/>
        <w:ind w:left="0" w:leftChars="0" w:firstLine="0"/>
        <w:jc w:val="center"/>
        <w:rPr>
          <w:rFonts w:hint="eastAsia" w:ascii="黑体" w:hAnsi="黑体" w:eastAsia="黑体" w:cs="黑体"/>
          <w:color w:val="auto"/>
          <w:sz w:val="28"/>
          <w:szCs w:val="36"/>
        </w:rPr>
      </w:pPr>
      <w:r>
        <w:rPr>
          <w:rFonts w:hint="eastAsia" w:ascii="黑体" w:hAnsi="黑体" w:eastAsia="黑体" w:cs="黑体"/>
          <w:b/>
          <w:color w:val="auto"/>
          <w:sz w:val="28"/>
          <w:szCs w:val="36"/>
          <w:lang w:eastAsia="zh-CN"/>
        </w:rPr>
        <w:t>报价</w:t>
      </w:r>
      <w:r>
        <w:rPr>
          <w:rFonts w:hint="eastAsia" w:ascii="黑体" w:hAnsi="黑体" w:eastAsia="黑体" w:cs="黑体"/>
          <w:b/>
          <w:color w:val="auto"/>
          <w:sz w:val="28"/>
          <w:szCs w:val="36"/>
        </w:rPr>
        <w:t>一览表</w:t>
      </w:r>
      <w:bookmarkEnd w:id="273"/>
    </w:p>
    <w:p w14:paraId="657C24A3">
      <w:pPr>
        <w:tabs>
          <w:tab w:val="left" w:pos="1800"/>
          <w:tab w:val="left" w:pos="5580"/>
        </w:tabs>
        <w:spacing w:line="240" w:lineRule="atLeast"/>
        <w:ind w:right="-867" w:rightChars="-413"/>
        <w:rPr>
          <w:rFonts w:hint="eastAsia" w:ascii="黑体" w:hAnsi="黑体" w:eastAsia="黑体" w:cs="黑体"/>
          <w:color w:val="auto"/>
          <w:sz w:val="24"/>
        </w:rPr>
      </w:pPr>
    </w:p>
    <w:p w14:paraId="0231CDB2">
      <w:pPr>
        <w:tabs>
          <w:tab w:val="left" w:pos="1800"/>
          <w:tab w:val="left" w:pos="5580"/>
        </w:tabs>
        <w:spacing w:line="240" w:lineRule="atLeast"/>
        <w:ind w:right="-867" w:rightChars="-413"/>
        <w:rPr>
          <w:rFonts w:hint="eastAsia" w:ascii="黑体" w:hAnsi="黑体" w:eastAsia="黑体" w:cs="黑体"/>
          <w:color w:val="auto"/>
          <w:sz w:val="24"/>
        </w:rPr>
      </w:pPr>
      <w:r>
        <w:rPr>
          <w:rFonts w:hint="eastAsia" w:ascii="黑体" w:hAnsi="黑体" w:eastAsia="黑体" w:cs="黑体"/>
          <w:color w:val="auto"/>
          <w:sz w:val="24"/>
        </w:rPr>
        <w:t xml:space="preserve">项目名称：　   </w:t>
      </w:r>
      <w:r>
        <w:rPr>
          <w:rFonts w:hint="eastAsia" w:ascii="黑体" w:hAnsi="黑体" w:eastAsia="黑体" w:cs="黑体"/>
          <w:color w:val="auto"/>
          <w:sz w:val="24"/>
          <w:lang w:val="en-US" w:eastAsia="zh-CN"/>
        </w:rPr>
        <w:t xml:space="preserve">  项目</w:t>
      </w:r>
      <w:r>
        <w:rPr>
          <w:rFonts w:hint="eastAsia" w:ascii="黑体" w:hAnsi="黑体" w:eastAsia="黑体" w:cs="黑体"/>
          <w:color w:val="auto"/>
          <w:sz w:val="24"/>
        </w:rPr>
        <w:t xml:space="preserve">编号：                    报价单位：人民币    </w:t>
      </w:r>
      <w:r>
        <w:rPr>
          <w:rFonts w:hint="eastAsia" w:ascii="黑体" w:hAnsi="黑体" w:eastAsia="黑体" w:cs="黑体"/>
          <w:b/>
          <w:color w:val="auto"/>
          <w:sz w:val="24"/>
        </w:rPr>
        <w:t>元</w:t>
      </w:r>
    </w:p>
    <w:tbl>
      <w:tblPr>
        <w:tblStyle w:val="38"/>
        <w:tblW w:w="9760" w:type="dxa"/>
        <w:tblInd w:w="-56" w:type="dxa"/>
        <w:tblLayout w:type="fixed"/>
        <w:tblCellMar>
          <w:top w:w="0" w:type="dxa"/>
          <w:left w:w="0" w:type="dxa"/>
          <w:bottom w:w="0" w:type="dxa"/>
          <w:right w:w="0" w:type="dxa"/>
        </w:tblCellMar>
      </w:tblPr>
      <w:tblGrid>
        <w:gridCol w:w="1840"/>
        <w:gridCol w:w="2760"/>
        <w:gridCol w:w="2130"/>
        <w:gridCol w:w="1680"/>
        <w:gridCol w:w="1350"/>
      </w:tblGrid>
      <w:tr w14:paraId="5ABB443B">
        <w:tblPrEx>
          <w:tblCellMar>
            <w:top w:w="0" w:type="dxa"/>
            <w:left w:w="0" w:type="dxa"/>
            <w:bottom w:w="0" w:type="dxa"/>
            <w:right w:w="0" w:type="dxa"/>
          </w:tblCellMar>
        </w:tblPrEx>
        <w:trPr>
          <w:trHeight w:val="1499" w:hRule="atLeast"/>
        </w:trPr>
        <w:tc>
          <w:tcPr>
            <w:tcW w:w="1840" w:type="dxa"/>
            <w:tcBorders>
              <w:top w:val="single" w:color="auto" w:sz="4" w:space="0"/>
              <w:left w:val="single" w:color="auto" w:sz="4" w:space="0"/>
              <w:bottom w:val="single" w:color="auto" w:sz="8" w:space="0"/>
              <w:right w:val="single" w:color="auto" w:sz="4" w:space="0"/>
            </w:tcBorders>
            <w:vAlign w:val="center"/>
          </w:tcPr>
          <w:p w14:paraId="59636EFA">
            <w:pPr>
              <w:tabs>
                <w:tab w:val="left" w:pos="5580"/>
              </w:tabs>
              <w:spacing w:line="240" w:lineRule="atLeast"/>
              <w:ind w:right="-199" w:firstLine="240" w:firstLineChars="100"/>
              <w:jc w:val="left"/>
              <w:rPr>
                <w:rFonts w:hint="eastAsia" w:ascii="黑体" w:hAnsi="黑体" w:eastAsia="黑体" w:cs="黑体"/>
                <w:color w:val="auto"/>
                <w:sz w:val="24"/>
              </w:rPr>
            </w:pPr>
            <w:r>
              <w:rPr>
                <w:rFonts w:hint="eastAsia" w:ascii="黑体" w:hAnsi="黑体" w:eastAsia="黑体" w:cs="黑体"/>
                <w:color w:val="auto"/>
                <w:sz w:val="24"/>
                <w:lang w:val="en-US" w:eastAsia="zh-CN"/>
              </w:rPr>
              <w:t>项目</w:t>
            </w:r>
            <w:r>
              <w:rPr>
                <w:rFonts w:hint="eastAsia" w:ascii="黑体" w:hAnsi="黑体" w:eastAsia="黑体" w:cs="黑体"/>
                <w:color w:val="auto"/>
                <w:sz w:val="24"/>
              </w:rPr>
              <w:t>名称</w:t>
            </w:r>
          </w:p>
        </w:tc>
        <w:tc>
          <w:tcPr>
            <w:tcW w:w="2760" w:type="dxa"/>
            <w:tcBorders>
              <w:top w:val="single" w:color="auto" w:sz="4" w:space="0"/>
              <w:left w:val="single" w:color="auto" w:sz="8" w:space="0"/>
              <w:bottom w:val="single" w:color="auto" w:sz="8" w:space="0"/>
              <w:right w:val="single" w:color="auto" w:sz="4" w:space="0"/>
            </w:tcBorders>
            <w:vAlign w:val="center"/>
          </w:tcPr>
          <w:p w14:paraId="1321C550">
            <w:pPr>
              <w:tabs>
                <w:tab w:val="left" w:pos="5580"/>
              </w:tabs>
              <w:spacing w:line="240" w:lineRule="atLeast"/>
              <w:jc w:val="center"/>
              <w:rPr>
                <w:rFonts w:hint="eastAsia" w:ascii="黑体" w:hAnsi="黑体" w:eastAsia="黑体" w:cs="黑体"/>
                <w:color w:val="auto"/>
                <w:sz w:val="24"/>
              </w:rPr>
            </w:pPr>
            <w:r>
              <w:rPr>
                <w:rFonts w:hint="eastAsia" w:ascii="黑体" w:hAnsi="黑体" w:eastAsia="黑体" w:cs="黑体"/>
                <w:color w:val="auto"/>
                <w:sz w:val="24"/>
                <w:lang w:eastAsia="zh-CN"/>
              </w:rPr>
              <w:t>报价</w:t>
            </w:r>
            <w:r>
              <w:rPr>
                <w:rFonts w:hint="eastAsia" w:ascii="黑体" w:hAnsi="黑体" w:eastAsia="黑体" w:cs="黑体"/>
                <w:color w:val="auto"/>
                <w:sz w:val="24"/>
              </w:rPr>
              <w:t>总价</w:t>
            </w:r>
          </w:p>
        </w:tc>
        <w:tc>
          <w:tcPr>
            <w:tcW w:w="2130" w:type="dxa"/>
            <w:tcBorders>
              <w:top w:val="single" w:color="auto" w:sz="8" w:space="0"/>
              <w:left w:val="nil"/>
              <w:bottom w:val="single" w:color="auto" w:sz="8" w:space="0"/>
              <w:right w:val="single" w:color="auto" w:sz="4" w:space="0"/>
            </w:tcBorders>
            <w:vAlign w:val="center"/>
          </w:tcPr>
          <w:p w14:paraId="37A5F366">
            <w:pPr>
              <w:tabs>
                <w:tab w:val="left" w:pos="5580"/>
              </w:tabs>
              <w:spacing w:line="240" w:lineRule="atLeast"/>
              <w:jc w:val="center"/>
              <w:rPr>
                <w:rFonts w:hint="eastAsia" w:ascii="黑体" w:hAnsi="黑体" w:eastAsia="黑体" w:cs="黑体"/>
                <w:color w:val="auto"/>
                <w:sz w:val="24"/>
              </w:rPr>
            </w:pPr>
            <w:r>
              <w:rPr>
                <w:rFonts w:hint="eastAsia" w:ascii="黑体" w:hAnsi="黑体" w:eastAsia="黑体" w:cs="黑体"/>
                <w:color w:val="auto"/>
                <w:sz w:val="24"/>
                <w:lang w:val="en-US" w:eastAsia="zh-CN"/>
              </w:rPr>
              <w:t>工期</w:t>
            </w:r>
          </w:p>
        </w:tc>
        <w:tc>
          <w:tcPr>
            <w:tcW w:w="1680" w:type="dxa"/>
            <w:tcBorders>
              <w:top w:val="single" w:color="auto" w:sz="8" w:space="0"/>
              <w:left w:val="nil"/>
              <w:bottom w:val="single" w:color="auto" w:sz="8" w:space="0"/>
              <w:right w:val="single" w:color="auto" w:sz="4" w:space="0"/>
            </w:tcBorders>
            <w:vAlign w:val="center"/>
          </w:tcPr>
          <w:p w14:paraId="6F1B4718">
            <w:pPr>
              <w:tabs>
                <w:tab w:val="left" w:pos="5580"/>
              </w:tabs>
              <w:spacing w:line="240" w:lineRule="atLeast"/>
              <w:jc w:val="center"/>
              <w:rPr>
                <w:rFonts w:hint="eastAsia" w:ascii="黑体" w:hAnsi="黑体" w:eastAsia="黑体" w:cs="黑体"/>
                <w:color w:val="auto"/>
                <w:sz w:val="24"/>
                <w:lang w:val="en-US" w:eastAsia="zh-CN"/>
              </w:rPr>
            </w:pPr>
            <w:r>
              <w:rPr>
                <w:rFonts w:hint="eastAsia" w:ascii="黑体" w:hAnsi="黑体" w:eastAsia="黑体" w:cs="黑体"/>
                <w:color w:val="auto"/>
                <w:sz w:val="24"/>
                <w:lang w:val="en-US" w:eastAsia="zh-CN"/>
              </w:rPr>
              <w:t>质量</w:t>
            </w:r>
          </w:p>
        </w:tc>
        <w:tc>
          <w:tcPr>
            <w:tcW w:w="1350" w:type="dxa"/>
            <w:tcBorders>
              <w:top w:val="single" w:color="auto" w:sz="8" w:space="0"/>
              <w:left w:val="single" w:color="auto" w:sz="4" w:space="0"/>
              <w:bottom w:val="single" w:color="auto" w:sz="8" w:space="0"/>
              <w:right w:val="single" w:color="auto" w:sz="8" w:space="0"/>
            </w:tcBorders>
            <w:vAlign w:val="center"/>
          </w:tcPr>
          <w:p w14:paraId="41EB55D3">
            <w:pPr>
              <w:tabs>
                <w:tab w:val="left" w:pos="5580"/>
              </w:tabs>
              <w:spacing w:line="240" w:lineRule="atLeast"/>
              <w:jc w:val="center"/>
              <w:rPr>
                <w:rFonts w:hint="eastAsia" w:ascii="黑体" w:hAnsi="黑体" w:eastAsia="黑体" w:cs="黑体"/>
                <w:color w:val="auto"/>
                <w:sz w:val="24"/>
              </w:rPr>
            </w:pPr>
            <w:r>
              <w:rPr>
                <w:rFonts w:hint="eastAsia" w:ascii="黑体" w:hAnsi="黑体" w:eastAsia="黑体" w:cs="黑体"/>
                <w:color w:val="auto"/>
                <w:sz w:val="24"/>
              </w:rPr>
              <w:t>备注</w:t>
            </w:r>
          </w:p>
        </w:tc>
      </w:tr>
      <w:tr w14:paraId="103F424D">
        <w:tblPrEx>
          <w:tblCellMar>
            <w:top w:w="0" w:type="dxa"/>
            <w:left w:w="0" w:type="dxa"/>
            <w:bottom w:w="0" w:type="dxa"/>
            <w:right w:w="0" w:type="dxa"/>
          </w:tblCellMar>
        </w:tblPrEx>
        <w:trPr>
          <w:cantSplit/>
          <w:trHeight w:val="3672" w:hRule="atLeast"/>
        </w:trPr>
        <w:tc>
          <w:tcPr>
            <w:tcW w:w="1840" w:type="dxa"/>
            <w:tcBorders>
              <w:top w:val="single" w:color="auto" w:sz="8" w:space="0"/>
              <w:left w:val="single" w:color="auto" w:sz="4" w:space="0"/>
              <w:bottom w:val="single" w:color="auto" w:sz="4" w:space="0"/>
              <w:right w:val="single" w:color="auto" w:sz="4" w:space="0"/>
            </w:tcBorders>
            <w:vAlign w:val="center"/>
          </w:tcPr>
          <w:p w14:paraId="373226EF">
            <w:pPr>
              <w:tabs>
                <w:tab w:val="left" w:pos="5580"/>
              </w:tabs>
              <w:spacing w:line="240" w:lineRule="atLeast"/>
              <w:ind w:left="1079" w:leftChars="257" w:hanging="540"/>
              <w:jc w:val="center"/>
              <w:rPr>
                <w:rFonts w:hint="eastAsia" w:ascii="黑体" w:hAnsi="黑体" w:eastAsia="黑体" w:cs="黑体"/>
                <w:color w:val="auto"/>
                <w:sz w:val="24"/>
              </w:rPr>
            </w:pPr>
          </w:p>
        </w:tc>
        <w:tc>
          <w:tcPr>
            <w:tcW w:w="2760" w:type="dxa"/>
            <w:tcBorders>
              <w:top w:val="single" w:color="auto" w:sz="8" w:space="0"/>
              <w:left w:val="single" w:color="auto" w:sz="8" w:space="0"/>
              <w:bottom w:val="single" w:color="auto" w:sz="4" w:space="0"/>
              <w:right w:val="single" w:color="auto" w:sz="4" w:space="0"/>
            </w:tcBorders>
            <w:vAlign w:val="center"/>
          </w:tcPr>
          <w:p w14:paraId="6B03CDBC">
            <w:pPr>
              <w:tabs>
                <w:tab w:val="left" w:pos="5580"/>
              </w:tabs>
              <w:spacing w:line="240" w:lineRule="atLeast"/>
              <w:jc w:val="left"/>
              <w:rPr>
                <w:rFonts w:hint="eastAsia" w:ascii="黑体" w:hAnsi="黑体" w:eastAsia="黑体" w:cs="黑体"/>
                <w:color w:val="auto"/>
                <w:sz w:val="24"/>
              </w:rPr>
            </w:pPr>
            <w:r>
              <w:rPr>
                <w:rFonts w:hint="eastAsia" w:ascii="黑体" w:hAnsi="黑体" w:eastAsia="黑体" w:cs="黑体"/>
                <w:color w:val="auto"/>
                <w:sz w:val="24"/>
              </w:rPr>
              <w:t>大写：</w:t>
            </w:r>
          </w:p>
          <w:p w14:paraId="2D87F8B1">
            <w:pPr>
              <w:tabs>
                <w:tab w:val="left" w:pos="5580"/>
              </w:tabs>
              <w:spacing w:line="240" w:lineRule="atLeast"/>
              <w:jc w:val="left"/>
              <w:rPr>
                <w:rFonts w:hint="eastAsia" w:ascii="黑体" w:hAnsi="黑体" w:eastAsia="黑体" w:cs="黑体"/>
                <w:color w:val="auto"/>
                <w:sz w:val="24"/>
              </w:rPr>
            </w:pPr>
          </w:p>
          <w:p w14:paraId="7D86B4D0">
            <w:pPr>
              <w:tabs>
                <w:tab w:val="left" w:pos="5580"/>
              </w:tabs>
              <w:spacing w:line="240" w:lineRule="atLeast"/>
              <w:jc w:val="left"/>
              <w:rPr>
                <w:rFonts w:hint="eastAsia" w:ascii="黑体" w:hAnsi="黑体" w:eastAsia="黑体" w:cs="黑体"/>
                <w:color w:val="auto"/>
                <w:sz w:val="24"/>
              </w:rPr>
            </w:pPr>
          </w:p>
          <w:p w14:paraId="691747E5">
            <w:pPr>
              <w:tabs>
                <w:tab w:val="left" w:pos="5580"/>
              </w:tabs>
              <w:spacing w:line="240" w:lineRule="atLeast"/>
              <w:jc w:val="left"/>
              <w:rPr>
                <w:rFonts w:hint="eastAsia" w:ascii="黑体" w:hAnsi="黑体" w:eastAsia="黑体" w:cs="黑体"/>
                <w:color w:val="auto"/>
                <w:sz w:val="24"/>
              </w:rPr>
            </w:pPr>
          </w:p>
          <w:p w14:paraId="1DA4C61A">
            <w:pPr>
              <w:tabs>
                <w:tab w:val="left" w:pos="5580"/>
              </w:tabs>
              <w:spacing w:line="240" w:lineRule="atLeast"/>
              <w:jc w:val="left"/>
              <w:rPr>
                <w:rFonts w:hint="eastAsia" w:ascii="黑体" w:hAnsi="黑体" w:eastAsia="黑体" w:cs="黑体"/>
                <w:color w:val="auto"/>
                <w:sz w:val="24"/>
              </w:rPr>
            </w:pPr>
          </w:p>
          <w:p w14:paraId="4960ABD4">
            <w:pPr>
              <w:tabs>
                <w:tab w:val="left" w:pos="5580"/>
              </w:tabs>
              <w:spacing w:line="240" w:lineRule="atLeast"/>
              <w:jc w:val="left"/>
              <w:rPr>
                <w:rFonts w:hint="eastAsia" w:ascii="黑体" w:hAnsi="黑体" w:eastAsia="黑体" w:cs="黑体"/>
                <w:color w:val="auto"/>
                <w:sz w:val="24"/>
              </w:rPr>
            </w:pPr>
          </w:p>
          <w:p w14:paraId="3FAD8086">
            <w:pPr>
              <w:tabs>
                <w:tab w:val="left" w:pos="5580"/>
              </w:tabs>
              <w:spacing w:line="240" w:lineRule="atLeast"/>
              <w:jc w:val="left"/>
              <w:rPr>
                <w:rFonts w:hint="eastAsia" w:ascii="黑体" w:hAnsi="黑体" w:eastAsia="黑体" w:cs="黑体"/>
                <w:color w:val="auto"/>
                <w:sz w:val="24"/>
              </w:rPr>
            </w:pPr>
            <w:r>
              <w:rPr>
                <w:rFonts w:hint="eastAsia" w:ascii="黑体" w:hAnsi="黑体" w:eastAsia="黑体" w:cs="黑体"/>
                <w:color w:val="auto"/>
                <w:sz w:val="24"/>
              </w:rPr>
              <w:t>小写：</w:t>
            </w:r>
          </w:p>
        </w:tc>
        <w:tc>
          <w:tcPr>
            <w:tcW w:w="2130" w:type="dxa"/>
            <w:tcBorders>
              <w:top w:val="single" w:color="auto" w:sz="8" w:space="0"/>
              <w:left w:val="nil"/>
              <w:bottom w:val="single" w:color="auto" w:sz="4" w:space="0"/>
              <w:right w:val="single" w:color="auto" w:sz="4" w:space="0"/>
            </w:tcBorders>
            <w:vAlign w:val="center"/>
          </w:tcPr>
          <w:p w14:paraId="15EC9555">
            <w:pPr>
              <w:tabs>
                <w:tab w:val="left" w:pos="5580"/>
              </w:tabs>
              <w:spacing w:line="240" w:lineRule="atLeast"/>
              <w:ind w:left="1079" w:leftChars="257" w:hanging="540"/>
              <w:jc w:val="center"/>
              <w:rPr>
                <w:rFonts w:hint="eastAsia" w:ascii="黑体" w:hAnsi="黑体" w:eastAsia="黑体" w:cs="黑体"/>
                <w:color w:val="auto"/>
                <w:sz w:val="24"/>
              </w:rPr>
            </w:pPr>
          </w:p>
        </w:tc>
        <w:tc>
          <w:tcPr>
            <w:tcW w:w="1680" w:type="dxa"/>
            <w:tcBorders>
              <w:top w:val="single" w:color="auto" w:sz="8" w:space="0"/>
              <w:left w:val="nil"/>
              <w:bottom w:val="single" w:color="auto" w:sz="4" w:space="0"/>
              <w:right w:val="single" w:color="auto" w:sz="4" w:space="0"/>
            </w:tcBorders>
            <w:vAlign w:val="center"/>
          </w:tcPr>
          <w:p w14:paraId="46C74DB8">
            <w:pPr>
              <w:tabs>
                <w:tab w:val="left" w:pos="5580"/>
              </w:tabs>
              <w:spacing w:line="240" w:lineRule="atLeast"/>
              <w:ind w:left="1079" w:leftChars="257" w:hanging="540"/>
              <w:jc w:val="center"/>
              <w:rPr>
                <w:rFonts w:hint="eastAsia" w:ascii="黑体" w:hAnsi="黑体" w:eastAsia="黑体" w:cs="黑体"/>
                <w:color w:val="auto"/>
                <w:sz w:val="24"/>
              </w:rPr>
            </w:pPr>
          </w:p>
        </w:tc>
        <w:tc>
          <w:tcPr>
            <w:tcW w:w="1350" w:type="dxa"/>
            <w:tcBorders>
              <w:top w:val="single" w:color="auto" w:sz="8" w:space="0"/>
              <w:left w:val="single" w:color="auto" w:sz="4" w:space="0"/>
              <w:bottom w:val="single" w:color="auto" w:sz="4" w:space="0"/>
              <w:right w:val="single" w:color="auto" w:sz="8" w:space="0"/>
            </w:tcBorders>
            <w:vAlign w:val="center"/>
          </w:tcPr>
          <w:p w14:paraId="4BF36234">
            <w:pPr>
              <w:tabs>
                <w:tab w:val="left" w:pos="5580"/>
              </w:tabs>
              <w:spacing w:line="240" w:lineRule="atLeast"/>
              <w:ind w:left="1079" w:leftChars="257" w:hanging="540"/>
              <w:jc w:val="center"/>
              <w:rPr>
                <w:rFonts w:hint="eastAsia" w:ascii="黑体" w:hAnsi="黑体" w:eastAsia="黑体" w:cs="黑体"/>
                <w:color w:val="auto"/>
                <w:sz w:val="24"/>
              </w:rPr>
            </w:pPr>
          </w:p>
        </w:tc>
      </w:tr>
    </w:tbl>
    <w:p w14:paraId="71A2C286">
      <w:pPr>
        <w:pStyle w:val="18"/>
        <w:tabs>
          <w:tab w:val="left" w:pos="5580"/>
        </w:tabs>
        <w:spacing w:line="360" w:lineRule="auto"/>
        <w:rPr>
          <w:rFonts w:hint="eastAsia" w:ascii="黑体" w:hAnsi="黑体" w:eastAsia="黑体" w:cs="黑体"/>
          <w:color w:val="auto"/>
          <w:sz w:val="24"/>
        </w:rPr>
      </w:pPr>
      <w:r>
        <w:rPr>
          <w:rFonts w:hint="eastAsia" w:ascii="黑体" w:hAnsi="黑体" w:eastAsia="黑体" w:cs="黑体"/>
          <w:color w:val="auto"/>
          <w:sz w:val="24"/>
          <w:lang w:eastAsia="zh-CN"/>
        </w:rPr>
        <w:t>供应商</w:t>
      </w:r>
      <w:r>
        <w:rPr>
          <w:rFonts w:hint="eastAsia" w:ascii="黑体" w:hAnsi="黑体" w:eastAsia="黑体" w:cs="黑体"/>
          <w:color w:val="auto"/>
          <w:sz w:val="24"/>
        </w:rPr>
        <w:t>名称（</w:t>
      </w:r>
      <w:r>
        <w:rPr>
          <w:rFonts w:hint="eastAsia" w:ascii="黑体" w:hAnsi="黑体" w:eastAsia="黑体" w:cs="黑体"/>
          <w:color w:val="auto"/>
          <w:sz w:val="24"/>
          <w:lang w:val="en-US" w:eastAsia="zh-CN"/>
        </w:rPr>
        <w:t>加盖公</w:t>
      </w:r>
      <w:r>
        <w:rPr>
          <w:rFonts w:hint="eastAsia" w:ascii="黑体" w:hAnsi="黑体" w:eastAsia="黑体" w:cs="黑体"/>
          <w:color w:val="auto"/>
          <w:sz w:val="24"/>
        </w:rPr>
        <w:t>章）：</w:t>
      </w:r>
      <w:r>
        <w:rPr>
          <w:rFonts w:hint="eastAsia" w:ascii="黑体" w:hAnsi="黑体" w:eastAsia="黑体" w:cs="黑体"/>
          <w:color w:val="auto"/>
          <w:sz w:val="24"/>
          <w:u w:val="single"/>
        </w:rPr>
        <w:t xml:space="preserve">                       </w:t>
      </w:r>
    </w:p>
    <w:p w14:paraId="156CDC2C">
      <w:pPr>
        <w:pStyle w:val="18"/>
        <w:tabs>
          <w:tab w:val="left" w:pos="5580"/>
        </w:tabs>
        <w:spacing w:line="360" w:lineRule="auto"/>
        <w:rPr>
          <w:rFonts w:hint="eastAsia" w:ascii="黑体" w:hAnsi="黑体" w:eastAsia="黑体" w:cs="黑体"/>
          <w:color w:val="auto"/>
          <w:sz w:val="24"/>
        </w:rPr>
      </w:pPr>
      <w:r>
        <w:rPr>
          <w:rFonts w:hint="eastAsia" w:ascii="黑体" w:hAnsi="黑体" w:eastAsia="黑体" w:cs="黑体"/>
          <w:color w:val="auto"/>
          <w:sz w:val="24"/>
        </w:rPr>
        <w:t>法定代表人或委托代理(签字):</w:t>
      </w:r>
      <w:r>
        <w:rPr>
          <w:rFonts w:hint="eastAsia" w:ascii="黑体" w:hAnsi="黑体" w:eastAsia="黑体" w:cs="黑体"/>
          <w:color w:val="auto"/>
          <w:sz w:val="24"/>
          <w:u w:val="single"/>
        </w:rPr>
        <w:tab/>
      </w:r>
    </w:p>
    <w:p w14:paraId="14BF799C">
      <w:pPr>
        <w:pStyle w:val="18"/>
        <w:tabs>
          <w:tab w:val="left" w:pos="5580"/>
        </w:tabs>
        <w:spacing w:line="360" w:lineRule="auto"/>
        <w:rPr>
          <w:rFonts w:hint="eastAsia" w:ascii="黑体" w:hAnsi="黑体" w:eastAsia="黑体" w:cs="黑体"/>
          <w:color w:val="auto"/>
          <w:sz w:val="24"/>
        </w:rPr>
      </w:pPr>
      <w:r>
        <w:rPr>
          <w:rFonts w:hint="eastAsia" w:ascii="黑体" w:hAnsi="黑体" w:eastAsia="黑体" w:cs="黑体"/>
          <w:color w:val="auto"/>
          <w:sz w:val="24"/>
        </w:rPr>
        <w:t>注:</w:t>
      </w:r>
      <w:r>
        <w:rPr>
          <w:rFonts w:hint="eastAsia" w:ascii="黑体" w:hAnsi="黑体" w:eastAsia="黑体" w:cs="黑体"/>
          <w:color w:val="auto"/>
          <w:sz w:val="24"/>
          <w:lang w:val="en-US" w:eastAsia="zh-CN"/>
        </w:rPr>
        <w:t xml:space="preserve"> </w:t>
      </w:r>
      <w:r>
        <w:rPr>
          <w:rFonts w:hint="eastAsia" w:ascii="黑体" w:hAnsi="黑体" w:eastAsia="黑体" w:cs="黑体"/>
          <w:color w:val="auto"/>
          <w:sz w:val="24"/>
        </w:rPr>
        <w:t>1、此表应按</w:t>
      </w:r>
      <w:r>
        <w:rPr>
          <w:rFonts w:hint="eastAsia" w:ascii="黑体" w:hAnsi="黑体" w:eastAsia="黑体" w:cs="黑体"/>
          <w:color w:val="auto"/>
          <w:sz w:val="24"/>
          <w:lang w:eastAsia="zh-CN"/>
        </w:rPr>
        <w:t>供应商</w:t>
      </w:r>
      <w:r>
        <w:rPr>
          <w:rFonts w:hint="eastAsia" w:ascii="黑体" w:hAnsi="黑体" w:eastAsia="黑体" w:cs="黑体"/>
          <w:color w:val="auto"/>
          <w:sz w:val="24"/>
        </w:rPr>
        <w:t>须知的规定</w:t>
      </w:r>
      <w:r>
        <w:rPr>
          <w:rFonts w:hint="eastAsia" w:ascii="黑体" w:hAnsi="黑体" w:eastAsia="黑体" w:cs="黑体"/>
          <w:color w:val="auto"/>
          <w:sz w:val="24"/>
          <w:lang w:val="en-US" w:eastAsia="zh-CN"/>
        </w:rPr>
        <w:t>制作</w:t>
      </w:r>
      <w:r>
        <w:rPr>
          <w:rFonts w:hint="eastAsia" w:ascii="黑体" w:hAnsi="黑体" w:eastAsia="黑体" w:cs="黑体"/>
          <w:color w:val="auto"/>
          <w:sz w:val="24"/>
        </w:rPr>
        <w:t>。</w:t>
      </w:r>
    </w:p>
    <w:p w14:paraId="3C4D6009">
      <w:pPr>
        <w:pStyle w:val="18"/>
        <w:tabs>
          <w:tab w:val="left" w:pos="5580"/>
        </w:tabs>
        <w:spacing w:line="360" w:lineRule="auto"/>
        <w:ind w:firstLine="480" w:firstLineChars="200"/>
        <w:rPr>
          <w:rFonts w:hint="eastAsia" w:ascii="黑体" w:hAnsi="黑体" w:eastAsia="黑体" w:cs="黑体"/>
          <w:color w:val="auto"/>
          <w:sz w:val="24"/>
        </w:rPr>
      </w:pPr>
      <w:r>
        <w:rPr>
          <w:rFonts w:hint="eastAsia" w:ascii="黑体" w:hAnsi="黑体" w:eastAsia="黑体" w:cs="黑体"/>
          <w:color w:val="auto"/>
          <w:sz w:val="24"/>
          <w:lang w:val="en-US" w:eastAsia="zh-CN"/>
        </w:rPr>
        <w:t>2、</w:t>
      </w:r>
      <w:r>
        <w:rPr>
          <w:rFonts w:hint="eastAsia" w:ascii="黑体" w:hAnsi="黑体" w:eastAsia="黑体" w:cs="黑体"/>
          <w:color w:val="auto"/>
          <w:sz w:val="24"/>
        </w:rPr>
        <w:t>此表中，</w:t>
      </w:r>
      <w:r>
        <w:rPr>
          <w:rFonts w:hint="eastAsia" w:ascii="黑体" w:hAnsi="黑体" w:eastAsia="黑体" w:cs="黑体"/>
          <w:color w:val="auto"/>
          <w:sz w:val="24"/>
          <w:lang w:eastAsia="zh-CN"/>
        </w:rPr>
        <w:t>报价</w:t>
      </w:r>
      <w:r>
        <w:rPr>
          <w:rFonts w:hint="eastAsia" w:ascii="黑体" w:hAnsi="黑体" w:eastAsia="黑体" w:cs="黑体"/>
          <w:color w:val="auto"/>
          <w:sz w:val="24"/>
        </w:rPr>
        <w:t>总价应和</w:t>
      </w:r>
      <w:r>
        <w:rPr>
          <w:rFonts w:hint="eastAsia" w:ascii="黑体" w:hAnsi="黑体" w:eastAsia="黑体" w:cs="黑体"/>
          <w:color w:val="auto"/>
          <w:sz w:val="24"/>
          <w:lang w:eastAsia="zh-CN"/>
        </w:rPr>
        <w:t>报价</w:t>
      </w:r>
      <w:r>
        <w:rPr>
          <w:rFonts w:hint="eastAsia" w:ascii="黑体" w:hAnsi="黑体" w:eastAsia="黑体" w:cs="黑体"/>
          <w:color w:val="auto"/>
          <w:sz w:val="24"/>
        </w:rPr>
        <w:t>分项报价表的总价相一致。</w:t>
      </w:r>
    </w:p>
    <w:p w14:paraId="660EE0AA">
      <w:pPr>
        <w:pStyle w:val="18"/>
        <w:tabs>
          <w:tab w:val="left" w:pos="5580"/>
        </w:tabs>
        <w:spacing w:line="360" w:lineRule="auto"/>
        <w:ind w:firstLine="480" w:firstLineChars="200"/>
        <w:rPr>
          <w:rFonts w:hint="eastAsia" w:ascii="黑体" w:hAnsi="黑体" w:eastAsia="黑体" w:cs="黑体"/>
          <w:color w:val="auto"/>
          <w:sz w:val="24"/>
        </w:rPr>
      </w:pPr>
      <w:r>
        <w:rPr>
          <w:rFonts w:hint="eastAsia" w:ascii="黑体" w:hAnsi="黑体" w:eastAsia="黑体" w:cs="黑体"/>
          <w:color w:val="auto"/>
          <w:sz w:val="24"/>
          <w:lang w:val="en-US" w:eastAsia="zh-CN"/>
        </w:rPr>
        <w:t>3、</w:t>
      </w:r>
      <w:r>
        <w:rPr>
          <w:rFonts w:hint="eastAsia" w:ascii="黑体" w:hAnsi="黑体" w:eastAsia="黑体" w:cs="黑体"/>
          <w:color w:val="auto"/>
          <w:sz w:val="24"/>
          <w:lang w:eastAsia="zh-CN"/>
        </w:rPr>
        <w:t>供应</w:t>
      </w:r>
      <w:r>
        <w:rPr>
          <w:rFonts w:hint="eastAsia" w:ascii="黑体" w:hAnsi="黑体" w:eastAsia="黑体" w:cs="黑体"/>
          <w:color w:val="auto"/>
          <w:sz w:val="24"/>
        </w:rPr>
        <w:t>商报价时包含税费等一切与本次项目相关的费用。</w:t>
      </w:r>
    </w:p>
    <w:p w14:paraId="597F3FE8">
      <w:pPr>
        <w:pStyle w:val="18"/>
        <w:numPr>
          <w:ilvl w:val="0"/>
          <w:numId w:val="0"/>
        </w:numPr>
        <w:tabs>
          <w:tab w:val="left" w:pos="5580"/>
        </w:tabs>
        <w:spacing w:line="240" w:lineRule="atLeast"/>
        <w:outlineLvl w:val="9"/>
        <w:rPr>
          <w:rFonts w:hint="eastAsia" w:ascii="黑体" w:hAnsi="黑体" w:eastAsia="黑体" w:cs="黑体"/>
          <w:b/>
          <w:color w:val="auto"/>
          <w:kern w:val="0"/>
          <w:sz w:val="24"/>
        </w:rPr>
      </w:pPr>
    </w:p>
    <w:p w14:paraId="41EA0010">
      <w:pPr>
        <w:pStyle w:val="18"/>
        <w:numPr>
          <w:ilvl w:val="0"/>
          <w:numId w:val="0"/>
        </w:numPr>
        <w:tabs>
          <w:tab w:val="left" w:pos="5580"/>
        </w:tabs>
        <w:spacing w:line="240" w:lineRule="atLeast"/>
        <w:outlineLvl w:val="9"/>
        <w:rPr>
          <w:rFonts w:hint="eastAsia" w:ascii="黑体" w:hAnsi="黑体" w:eastAsia="黑体" w:cs="黑体"/>
          <w:b/>
          <w:color w:val="auto"/>
          <w:kern w:val="0"/>
          <w:sz w:val="24"/>
        </w:rPr>
      </w:pPr>
    </w:p>
    <w:p w14:paraId="71D704E3">
      <w:pPr>
        <w:pStyle w:val="18"/>
        <w:numPr>
          <w:ilvl w:val="0"/>
          <w:numId w:val="0"/>
        </w:numPr>
        <w:tabs>
          <w:tab w:val="left" w:pos="5580"/>
        </w:tabs>
        <w:spacing w:line="240" w:lineRule="atLeast"/>
        <w:outlineLvl w:val="9"/>
        <w:rPr>
          <w:rFonts w:hint="eastAsia" w:ascii="黑体" w:hAnsi="黑体" w:eastAsia="黑体" w:cs="黑体"/>
          <w:b/>
          <w:color w:val="auto"/>
          <w:kern w:val="0"/>
          <w:sz w:val="24"/>
        </w:rPr>
      </w:pPr>
    </w:p>
    <w:p w14:paraId="38ECC4E8">
      <w:pPr>
        <w:pStyle w:val="18"/>
        <w:numPr>
          <w:ilvl w:val="0"/>
          <w:numId w:val="0"/>
        </w:numPr>
        <w:tabs>
          <w:tab w:val="left" w:pos="5580"/>
        </w:tabs>
        <w:spacing w:line="240" w:lineRule="atLeast"/>
        <w:outlineLvl w:val="9"/>
        <w:rPr>
          <w:rFonts w:hint="eastAsia" w:ascii="黑体" w:hAnsi="黑体" w:eastAsia="黑体" w:cs="黑体"/>
          <w:b/>
          <w:color w:val="auto"/>
          <w:kern w:val="0"/>
          <w:sz w:val="24"/>
        </w:rPr>
      </w:pPr>
    </w:p>
    <w:p w14:paraId="7D1D5DA3">
      <w:pPr>
        <w:pStyle w:val="18"/>
        <w:numPr>
          <w:ilvl w:val="0"/>
          <w:numId w:val="0"/>
        </w:numPr>
        <w:tabs>
          <w:tab w:val="left" w:pos="5580"/>
        </w:tabs>
        <w:spacing w:line="240" w:lineRule="atLeast"/>
        <w:outlineLvl w:val="9"/>
        <w:rPr>
          <w:rFonts w:hint="eastAsia" w:ascii="黑体" w:hAnsi="黑体" w:eastAsia="黑体" w:cs="黑体"/>
          <w:b/>
          <w:color w:val="auto"/>
          <w:kern w:val="0"/>
          <w:sz w:val="24"/>
        </w:rPr>
      </w:pPr>
    </w:p>
    <w:p w14:paraId="33A053CC">
      <w:pPr>
        <w:pStyle w:val="18"/>
        <w:numPr>
          <w:ilvl w:val="0"/>
          <w:numId w:val="0"/>
        </w:numPr>
        <w:tabs>
          <w:tab w:val="left" w:pos="5580"/>
        </w:tabs>
        <w:spacing w:line="240" w:lineRule="atLeast"/>
        <w:outlineLvl w:val="9"/>
        <w:rPr>
          <w:rFonts w:hint="eastAsia" w:ascii="黑体" w:hAnsi="黑体" w:eastAsia="黑体" w:cs="黑体"/>
          <w:b/>
          <w:color w:val="auto"/>
          <w:kern w:val="0"/>
          <w:sz w:val="24"/>
        </w:rPr>
      </w:pPr>
    </w:p>
    <w:p w14:paraId="169154D0">
      <w:pPr>
        <w:pStyle w:val="18"/>
        <w:numPr>
          <w:ilvl w:val="0"/>
          <w:numId w:val="0"/>
        </w:numPr>
        <w:tabs>
          <w:tab w:val="left" w:pos="5580"/>
        </w:tabs>
        <w:spacing w:line="240" w:lineRule="atLeast"/>
        <w:outlineLvl w:val="9"/>
        <w:rPr>
          <w:rFonts w:hint="eastAsia" w:ascii="黑体" w:hAnsi="黑体" w:eastAsia="黑体" w:cs="黑体"/>
          <w:b/>
          <w:color w:val="auto"/>
          <w:kern w:val="0"/>
          <w:sz w:val="24"/>
        </w:rPr>
      </w:pPr>
    </w:p>
    <w:p w14:paraId="58D4E973">
      <w:pPr>
        <w:pStyle w:val="18"/>
        <w:numPr>
          <w:ilvl w:val="0"/>
          <w:numId w:val="0"/>
        </w:numPr>
        <w:tabs>
          <w:tab w:val="left" w:pos="5580"/>
        </w:tabs>
        <w:spacing w:line="240" w:lineRule="atLeast"/>
        <w:outlineLvl w:val="9"/>
        <w:rPr>
          <w:rFonts w:hint="eastAsia" w:ascii="黑体" w:hAnsi="黑体" w:eastAsia="黑体" w:cs="黑体"/>
          <w:b/>
          <w:color w:val="auto"/>
          <w:kern w:val="0"/>
          <w:sz w:val="24"/>
        </w:rPr>
      </w:pPr>
    </w:p>
    <w:p w14:paraId="57D75010">
      <w:pPr>
        <w:pStyle w:val="18"/>
        <w:numPr>
          <w:ilvl w:val="0"/>
          <w:numId w:val="0"/>
        </w:numPr>
        <w:tabs>
          <w:tab w:val="left" w:pos="5580"/>
        </w:tabs>
        <w:spacing w:line="240" w:lineRule="atLeast"/>
        <w:outlineLvl w:val="9"/>
        <w:rPr>
          <w:rFonts w:hint="eastAsia" w:ascii="黑体" w:hAnsi="黑体" w:eastAsia="黑体" w:cs="黑体"/>
          <w:b/>
          <w:color w:val="auto"/>
          <w:kern w:val="0"/>
          <w:sz w:val="24"/>
        </w:rPr>
      </w:pPr>
    </w:p>
    <w:p w14:paraId="288E2CA7">
      <w:pPr>
        <w:pStyle w:val="18"/>
        <w:numPr>
          <w:ilvl w:val="0"/>
          <w:numId w:val="0"/>
        </w:numPr>
        <w:tabs>
          <w:tab w:val="left" w:pos="5580"/>
        </w:tabs>
        <w:spacing w:line="240" w:lineRule="atLeast"/>
        <w:outlineLvl w:val="9"/>
        <w:rPr>
          <w:rFonts w:hint="eastAsia" w:ascii="黑体" w:hAnsi="黑体" w:eastAsia="黑体" w:cs="黑体"/>
          <w:b/>
          <w:color w:val="auto"/>
          <w:kern w:val="0"/>
          <w:sz w:val="24"/>
        </w:rPr>
      </w:pPr>
    </w:p>
    <w:p w14:paraId="1AA54758">
      <w:pPr>
        <w:pStyle w:val="18"/>
        <w:numPr>
          <w:ilvl w:val="0"/>
          <w:numId w:val="0"/>
        </w:numPr>
        <w:tabs>
          <w:tab w:val="left" w:pos="5580"/>
        </w:tabs>
        <w:spacing w:line="240" w:lineRule="atLeast"/>
        <w:outlineLvl w:val="9"/>
        <w:rPr>
          <w:rFonts w:hint="eastAsia" w:ascii="黑体" w:hAnsi="黑体" w:eastAsia="黑体" w:cs="黑体"/>
          <w:b/>
          <w:color w:val="auto"/>
          <w:kern w:val="0"/>
          <w:sz w:val="24"/>
        </w:rPr>
      </w:pPr>
    </w:p>
    <w:p w14:paraId="35904527">
      <w:pPr>
        <w:pStyle w:val="18"/>
        <w:numPr>
          <w:ilvl w:val="0"/>
          <w:numId w:val="0"/>
        </w:numPr>
        <w:tabs>
          <w:tab w:val="left" w:pos="5580"/>
        </w:tabs>
        <w:spacing w:line="240" w:lineRule="atLeast"/>
        <w:outlineLvl w:val="9"/>
        <w:rPr>
          <w:rFonts w:hint="eastAsia" w:ascii="黑体" w:hAnsi="黑体" w:eastAsia="黑体" w:cs="黑体"/>
          <w:b/>
          <w:color w:val="auto"/>
          <w:kern w:val="0"/>
          <w:sz w:val="24"/>
        </w:rPr>
      </w:pPr>
    </w:p>
    <w:p w14:paraId="418B61E9">
      <w:pPr>
        <w:pStyle w:val="18"/>
        <w:numPr>
          <w:ilvl w:val="0"/>
          <w:numId w:val="0"/>
        </w:numPr>
        <w:tabs>
          <w:tab w:val="left" w:pos="5580"/>
        </w:tabs>
        <w:spacing w:line="240" w:lineRule="atLeast"/>
        <w:outlineLvl w:val="9"/>
        <w:rPr>
          <w:rFonts w:hint="eastAsia" w:ascii="黑体" w:hAnsi="黑体" w:eastAsia="黑体" w:cs="黑体"/>
          <w:b/>
          <w:color w:val="auto"/>
          <w:kern w:val="0"/>
          <w:sz w:val="24"/>
        </w:rPr>
      </w:pPr>
    </w:p>
    <w:p w14:paraId="2FAFBFCB">
      <w:pPr>
        <w:pStyle w:val="18"/>
        <w:numPr>
          <w:ilvl w:val="0"/>
          <w:numId w:val="0"/>
        </w:numPr>
        <w:tabs>
          <w:tab w:val="left" w:pos="5580"/>
        </w:tabs>
        <w:spacing w:line="240" w:lineRule="atLeast"/>
        <w:jc w:val="center"/>
        <w:outlineLvl w:val="1"/>
        <w:rPr>
          <w:rFonts w:hint="eastAsia" w:ascii="黑体" w:hAnsi="黑体" w:eastAsia="黑体" w:cs="黑体"/>
          <w:color w:val="auto"/>
          <w:sz w:val="28"/>
          <w:szCs w:val="28"/>
        </w:rPr>
      </w:pPr>
      <w:r>
        <w:rPr>
          <w:rFonts w:hint="eastAsia" w:ascii="黑体" w:hAnsi="黑体" w:eastAsia="黑体" w:cs="黑体"/>
          <w:b/>
          <w:color w:val="auto"/>
          <w:kern w:val="0"/>
          <w:sz w:val="28"/>
          <w:szCs w:val="28"/>
          <w:lang w:val="en-US" w:eastAsia="zh-CN"/>
        </w:rPr>
        <w:t>2、具有有效的营业执照；</w:t>
      </w:r>
    </w:p>
    <w:p w14:paraId="7B11DF55">
      <w:pPr>
        <w:pStyle w:val="18"/>
        <w:tabs>
          <w:tab w:val="left" w:pos="5580"/>
        </w:tabs>
        <w:spacing w:line="240" w:lineRule="atLeast"/>
        <w:rPr>
          <w:rFonts w:hint="eastAsia" w:ascii="黑体" w:hAnsi="黑体" w:eastAsia="黑体" w:cs="黑体"/>
          <w:b/>
          <w:color w:val="auto"/>
          <w:sz w:val="24"/>
        </w:rPr>
      </w:pPr>
    </w:p>
    <w:p w14:paraId="068E74FE">
      <w:pPr>
        <w:rPr>
          <w:rFonts w:hint="eastAsia" w:ascii="黑体" w:hAnsi="黑体" w:eastAsia="黑体" w:cs="黑体"/>
          <w:color w:val="auto"/>
          <w:sz w:val="24"/>
          <w:szCs w:val="20"/>
        </w:rPr>
      </w:pPr>
      <w:r>
        <w:rPr>
          <w:rFonts w:hint="eastAsia" w:ascii="黑体" w:hAnsi="黑体" w:eastAsia="黑体" w:cs="黑体"/>
          <w:color w:val="auto"/>
          <w:sz w:val="24"/>
        </w:rPr>
        <w:t xml:space="preserve"> </w:t>
      </w:r>
      <w:r>
        <w:rPr>
          <w:rFonts w:hint="eastAsia" w:ascii="黑体" w:hAnsi="黑体" w:eastAsia="黑体" w:cs="黑体"/>
          <w:color w:val="auto"/>
          <w:sz w:val="24"/>
          <w:szCs w:val="20"/>
        </w:rPr>
        <w:t xml:space="preserve">             </w:t>
      </w:r>
    </w:p>
    <w:p w14:paraId="56EED68A">
      <w:pPr>
        <w:rPr>
          <w:rFonts w:hint="eastAsia" w:ascii="黑体" w:hAnsi="黑体" w:eastAsia="黑体" w:cs="黑体"/>
          <w:color w:val="auto"/>
          <w:sz w:val="24"/>
          <w:szCs w:val="20"/>
        </w:rPr>
      </w:pPr>
    </w:p>
    <w:p w14:paraId="2C129B47">
      <w:pPr>
        <w:rPr>
          <w:rFonts w:hint="eastAsia" w:ascii="黑体" w:hAnsi="黑体" w:eastAsia="黑体" w:cs="黑体"/>
          <w:color w:val="auto"/>
          <w:sz w:val="24"/>
          <w:szCs w:val="20"/>
        </w:rPr>
      </w:pPr>
    </w:p>
    <w:p w14:paraId="76370D1C">
      <w:pPr>
        <w:rPr>
          <w:rFonts w:hint="eastAsia" w:ascii="黑体" w:hAnsi="黑体" w:eastAsia="黑体" w:cs="黑体"/>
          <w:color w:val="auto"/>
          <w:sz w:val="24"/>
          <w:szCs w:val="20"/>
        </w:rPr>
      </w:pPr>
    </w:p>
    <w:p w14:paraId="77759DA1">
      <w:pPr>
        <w:rPr>
          <w:rFonts w:hint="eastAsia" w:ascii="黑体" w:hAnsi="黑体" w:eastAsia="黑体" w:cs="黑体"/>
          <w:color w:val="auto"/>
          <w:sz w:val="24"/>
          <w:szCs w:val="20"/>
        </w:rPr>
      </w:pPr>
    </w:p>
    <w:p w14:paraId="39B98D04">
      <w:pPr>
        <w:rPr>
          <w:rFonts w:hint="eastAsia" w:ascii="黑体" w:hAnsi="黑体" w:eastAsia="黑体" w:cs="黑体"/>
          <w:color w:val="auto"/>
          <w:sz w:val="24"/>
          <w:szCs w:val="20"/>
        </w:rPr>
      </w:pPr>
    </w:p>
    <w:p w14:paraId="012FF3AF">
      <w:pPr>
        <w:rPr>
          <w:rFonts w:hint="eastAsia" w:ascii="黑体" w:hAnsi="黑体" w:eastAsia="黑体" w:cs="黑体"/>
          <w:color w:val="auto"/>
          <w:sz w:val="24"/>
          <w:szCs w:val="20"/>
        </w:rPr>
      </w:pPr>
    </w:p>
    <w:p w14:paraId="6011B2C3">
      <w:pPr>
        <w:rPr>
          <w:rFonts w:hint="eastAsia" w:ascii="黑体" w:hAnsi="黑体" w:eastAsia="黑体" w:cs="黑体"/>
          <w:color w:val="auto"/>
          <w:sz w:val="24"/>
          <w:szCs w:val="20"/>
        </w:rPr>
      </w:pPr>
    </w:p>
    <w:p w14:paraId="6A147D29">
      <w:pPr>
        <w:rPr>
          <w:rFonts w:hint="eastAsia" w:ascii="黑体" w:hAnsi="黑体" w:eastAsia="黑体" w:cs="黑体"/>
          <w:color w:val="auto"/>
          <w:sz w:val="24"/>
          <w:szCs w:val="20"/>
        </w:rPr>
      </w:pPr>
    </w:p>
    <w:p w14:paraId="1990F63E">
      <w:pPr>
        <w:pStyle w:val="56"/>
        <w:rPr>
          <w:rFonts w:hint="eastAsia" w:ascii="黑体" w:hAnsi="黑体" w:eastAsia="黑体" w:cs="黑体"/>
          <w:color w:val="auto"/>
        </w:rPr>
      </w:pPr>
    </w:p>
    <w:p w14:paraId="6C53231E">
      <w:pPr>
        <w:pStyle w:val="57"/>
        <w:rPr>
          <w:rFonts w:hint="eastAsia" w:ascii="黑体" w:hAnsi="黑体" w:eastAsia="黑体" w:cs="黑体"/>
          <w:color w:val="auto"/>
          <w:sz w:val="24"/>
          <w:szCs w:val="20"/>
        </w:rPr>
      </w:pPr>
    </w:p>
    <w:p w14:paraId="23C3A690">
      <w:pPr>
        <w:pStyle w:val="57"/>
        <w:rPr>
          <w:rFonts w:hint="eastAsia" w:ascii="黑体" w:hAnsi="黑体" w:eastAsia="黑体" w:cs="黑体"/>
          <w:color w:val="auto"/>
          <w:sz w:val="24"/>
          <w:szCs w:val="20"/>
        </w:rPr>
      </w:pPr>
    </w:p>
    <w:p w14:paraId="4A139843">
      <w:pPr>
        <w:pStyle w:val="57"/>
        <w:rPr>
          <w:rFonts w:hint="eastAsia" w:ascii="黑体" w:hAnsi="黑体" w:eastAsia="黑体" w:cs="黑体"/>
          <w:color w:val="auto"/>
          <w:sz w:val="24"/>
          <w:szCs w:val="20"/>
        </w:rPr>
      </w:pPr>
    </w:p>
    <w:p w14:paraId="461A8AA3">
      <w:pPr>
        <w:pStyle w:val="57"/>
        <w:rPr>
          <w:rFonts w:hint="eastAsia" w:ascii="黑体" w:hAnsi="黑体" w:eastAsia="黑体" w:cs="黑体"/>
          <w:color w:val="auto"/>
          <w:sz w:val="24"/>
          <w:szCs w:val="20"/>
        </w:rPr>
      </w:pPr>
    </w:p>
    <w:p w14:paraId="5E281F6C">
      <w:pPr>
        <w:pStyle w:val="57"/>
        <w:rPr>
          <w:rFonts w:hint="eastAsia" w:ascii="黑体" w:hAnsi="黑体" w:eastAsia="黑体" w:cs="黑体"/>
          <w:color w:val="auto"/>
          <w:sz w:val="24"/>
          <w:szCs w:val="20"/>
        </w:rPr>
      </w:pPr>
    </w:p>
    <w:p w14:paraId="68FF7A3D">
      <w:pPr>
        <w:pStyle w:val="57"/>
        <w:rPr>
          <w:rFonts w:hint="eastAsia" w:ascii="黑体" w:hAnsi="黑体" w:eastAsia="黑体" w:cs="黑体"/>
          <w:color w:val="auto"/>
          <w:sz w:val="24"/>
          <w:szCs w:val="20"/>
        </w:rPr>
      </w:pPr>
    </w:p>
    <w:p w14:paraId="1FABB0AB">
      <w:pPr>
        <w:pStyle w:val="57"/>
        <w:rPr>
          <w:rFonts w:hint="eastAsia" w:ascii="黑体" w:hAnsi="黑体" w:eastAsia="黑体" w:cs="黑体"/>
          <w:color w:val="auto"/>
          <w:sz w:val="24"/>
          <w:szCs w:val="20"/>
        </w:rPr>
      </w:pPr>
    </w:p>
    <w:p w14:paraId="3871314B">
      <w:pPr>
        <w:pStyle w:val="57"/>
        <w:rPr>
          <w:rFonts w:hint="eastAsia" w:ascii="黑体" w:hAnsi="黑体" w:eastAsia="黑体" w:cs="黑体"/>
          <w:color w:val="auto"/>
          <w:sz w:val="24"/>
          <w:szCs w:val="20"/>
        </w:rPr>
      </w:pPr>
    </w:p>
    <w:p w14:paraId="6F708B44">
      <w:pPr>
        <w:pStyle w:val="57"/>
        <w:rPr>
          <w:rFonts w:hint="eastAsia" w:ascii="黑体" w:hAnsi="黑体" w:eastAsia="黑体" w:cs="黑体"/>
          <w:color w:val="auto"/>
          <w:sz w:val="24"/>
          <w:szCs w:val="20"/>
        </w:rPr>
      </w:pPr>
    </w:p>
    <w:p w14:paraId="6EB06916">
      <w:pPr>
        <w:pStyle w:val="57"/>
        <w:rPr>
          <w:rFonts w:hint="eastAsia" w:ascii="黑体" w:hAnsi="黑体" w:eastAsia="黑体" w:cs="黑体"/>
          <w:color w:val="auto"/>
          <w:sz w:val="24"/>
          <w:szCs w:val="20"/>
        </w:rPr>
      </w:pPr>
    </w:p>
    <w:p w14:paraId="070572E0">
      <w:pPr>
        <w:pStyle w:val="57"/>
        <w:rPr>
          <w:rFonts w:hint="eastAsia" w:ascii="黑体" w:hAnsi="黑体" w:eastAsia="黑体" w:cs="黑体"/>
          <w:color w:val="auto"/>
          <w:sz w:val="24"/>
          <w:szCs w:val="20"/>
        </w:rPr>
      </w:pPr>
    </w:p>
    <w:p w14:paraId="2E1D2A0F">
      <w:pPr>
        <w:pStyle w:val="57"/>
        <w:rPr>
          <w:rFonts w:hint="eastAsia" w:ascii="黑体" w:hAnsi="黑体" w:eastAsia="黑体" w:cs="黑体"/>
          <w:color w:val="auto"/>
          <w:sz w:val="24"/>
          <w:szCs w:val="20"/>
        </w:rPr>
      </w:pPr>
    </w:p>
    <w:p w14:paraId="14381635">
      <w:pPr>
        <w:pStyle w:val="57"/>
        <w:rPr>
          <w:rFonts w:hint="eastAsia" w:ascii="黑体" w:hAnsi="黑体" w:eastAsia="黑体" w:cs="黑体"/>
          <w:color w:val="auto"/>
          <w:sz w:val="24"/>
          <w:szCs w:val="20"/>
        </w:rPr>
      </w:pPr>
    </w:p>
    <w:p w14:paraId="6FD25DB2">
      <w:pPr>
        <w:pStyle w:val="57"/>
        <w:rPr>
          <w:rFonts w:hint="eastAsia" w:ascii="黑体" w:hAnsi="黑体" w:eastAsia="黑体" w:cs="黑体"/>
          <w:color w:val="auto"/>
          <w:sz w:val="24"/>
          <w:szCs w:val="20"/>
        </w:rPr>
      </w:pPr>
    </w:p>
    <w:p w14:paraId="670CC4C5">
      <w:pPr>
        <w:adjustRightInd w:val="0"/>
        <w:snapToGrid w:val="0"/>
        <w:spacing w:before="240" w:beforeLines="100" w:after="240" w:afterLines="100" w:line="360" w:lineRule="exact"/>
        <w:jc w:val="center"/>
        <w:rPr>
          <w:rFonts w:hint="eastAsia" w:ascii="黑体" w:hAnsi="黑体" w:eastAsia="黑体" w:cs="黑体"/>
          <w:b/>
          <w:bCs/>
          <w:color w:val="auto"/>
          <w:kern w:val="0"/>
          <w:sz w:val="24"/>
        </w:rPr>
      </w:pPr>
      <w:bookmarkStart w:id="274" w:name="_Toc4923"/>
      <w:bookmarkStart w:id="275" w:name="_Toc10290"/>
      <w:bookmarkStart w:id="276" w:name="_Toc28445"/>
      <w:bookmarkStart w:id="277" w:name="_Toc22138"/>
      <w:bookmarkStart w:id="278" w:name="_Toc11047"/>
      <w:bookmarkStart w:id="279" w:name="_Toc15480"/>
      <w:bookmarkStart w:id="280" w:name="_Toc8410"/>
      <w:bookmarkStart w:id="281" w:name="_Toc515647809"/>
    </w:p>
    <w:p w14:paraId="5FF6F45F">
      <w:pPr>
        <w:pStyle w:val="11"/>
        <w:rPr>
          <w:rFonts w:hint="eastAsia" w:ascii="黑体" w:hAnsi="黑体" w:eastAsia="黑体" w:cs="黑体"/>
          <w:b/>
          <w:bCs/>
          <w:color w:val="auto"/>
          <w:kern w:val="0"/>
          <w:sz w:val="24"/>
        </w:rPr>
      </w:pPr>
    </w:p>
    <w:p w14:paraId="69207FE3">
      <w:pPr>
        <w:rPr>
          <w:rFonts w:hint="eastAsia" w:ascii="黑体" w:hAnsi="黑体" w:eastAsia="黑体" w:cs="黑体"/>
          <w:b/>
          <w:bCs/>
          <w:color w:val="auto"/>
          <w:kern w:val="0"/>
          <w:sz w:val="24"/>
        </w:rPr>
      </w:pPr>
    </w:p>
    <w:p w14:paraId="54E46D42">
      <w:pPr>
        <w:pStyle w:val="11"/>
        <w:rPr>
          <w:rFonts w:hint="eastAsia" w:ascii="黑体" w:hAnsi="黑体" w:eastAsia="黑体" w:cs="黑体"/>
          <w:b/>
          <w:bCs/>
          <w:color w:val="auto"/>
          <w:kern w:val="0"/>
          <w:sz w:val="24"/>
        </w:rPr>
      </w:pPr>
    </w:p>
    <w:p w14:paraId="3EBED55E">
      <w:pPr>
        <w:rPr>
          <w:rFonts w:hint="eastAsia" w:ascii="黑体" w:hAnsi="黑体" w:eastAsia="黑体" w:cs="黑体"/>
          <w:b/>
          <w:bCs/>
          <w:color w:val="auto"/>
          <w:kern w:val="0"/>
          <w:sz w:val="24"/>
        </w:rPr>
      </w:pPr>
    </w:p>
    <w:p w14:paraId="0AD77227">
      <w:pPr>
        <w:pStyle w:val="11"/>
        <w:rPr>
          <w:rFonts w:hint="eastAsia" w:ascii="黑体" w:hAnsi="黑体" w:eastAsia="黑体" w:cs="黑体"/>
          <w:b/>
          <w:bCs/>
          <w:color w:val="auto"/>
          <w:kern w:val="0"/>
          <w:sz w:val="24"/>
        </w:rPr>
      </w:pPr>
    </w:p>
    <w:p w14:paraId="6600F5CD">
      <w:pPr>
        <w:rPr>
          <w:rFonts w:hint="eastAsia" w:ascii="黑体" w:hAnsi="黑体" w:eastAsia="黑体" w:cs="黑体"/>
          <w:color w:val="auto"/>
        </w:rPr>
      </w:pPr>
    </w:p>
    <w:p w14:paraId="06D8E5C2">
      <w:pPr>
        <w:adjustRightInd w:val="0"/>
        <w:snapToGrid w:val="0"/>
        <w:spacing w:before="240" w:beforeLines="100" w:after="240" w:afterLines="100" w:line="360" w:lineRule="exact"/>
        <w:jc w:val="center"/>
        <w:rPr>
          <w:rFonts w:hint="eastAsia" w:ascii="黑体" w:hAnsi="黑体" w:eastAsia="黑体" w:cs="黑体"/>
          <w:b/>
          <w:bCs/>
          <w:color w:val="auto"/>
          <w:kern w:val="0"/>
          <w:sz w:val="24"/>
        </w:rPr>
      </w:pPr>
    </w:p>
    <w:p w14:paraId="154BB55B">
      <w:pPr>
        <w:rPr>
          <w:rFonts w:hint="eastAsia" w:ascii="黑体" w:hAnsi="黑体" w:eastAsia="黑体" w:cs="黑体"/>
          <w:b/>
          <w:bCs/>
          <w:color w:val="auto"/>
          <w:kern w:val="0"/>
          <w:sz w:val="24"/>
        </w:rPr>
      </w:pPr>
      <w:r>
        <w:rPr>
          <w:rFonts w:hint="eastAsia" w:ascii="黑体" w:hAnsi="黑体" w:eastAsia="黑体" w:cs="黑体"/>
          <w:b/>
          <w:bCs/>
          <w:color w:val="auto"/>
          <w:kern w:val="0"/>
          <w:sz w:val="24"/>
        </w:rPr>
        <w:br w:type="page"/>
      </w:r>
    </w:p>
    <w:p w14:paraId="5AF578F0">
      <w:pPr>
        <w:adjustRightInd w:val="0"/>
        <w:snapToGrid w:val="0"/>
        <w:spacing w:line="360" w:lineRule="auto"/>
        <w:jc w:val="center"/>
        <w:rPr>
          <w:rFonts w:hint="eastAsia" w:ascii="黑体" w:hAnsi="黑体" w:eastAsia="黑体" w:cs="黑体"/>
          <w:b/>
          <w:bCs/>
          <w:color w:val="auto"/>
          <w:kern w:val="0"/>
          <w:sz w:val="28"/>
          <w:szCs w:val="28"/>
        </w:rPr>
      </w:pPr>
      <w:r>
        <w:rPr>
          <w:rFonts w:hint="eastAsia" w:ascii="黑体" w:hAnsi="黑体" w:eastAsia="黑体" w:cs="黑体"/>
          <w:b/>
          <w:bCs/>
          <w:color w:val="auto"/>
          <w:kern w:val="0"/>
          <w:sz w:val="28"/>
          <w:szCs w:val="28"/>
        </w:rPr>
        <w:t>3、法人代表资格证明书及授权书扫描件、被授权人身份证扫描件；(法人需提供法人身份证扫描件及法人代表资格证明书);</w:t>
      </w:r>
    </w:p>
    <w:p w14:paraId="5E0383E2">
      <w:pPr>
        <w:adjustRightInd w:val="0"/>
        <w:snapToGrid w:val="0"/>
        <w:spacing w:line="360" w:lineRule="auto"/>
        <w:jc w:val="center"/>
        <w:rPr>
          <w:rFonts w:hint="eastAsia" w:ascii="黑体" w:hAnsi="黑体" w:eastAsia="黑体" w:cs="黑体"/>
          <w:color w:val="auto"/>
          <w:sz w:val="24"/>
        </w:rPr>
      </w:pPr>
      <w:r>
        <w:rPr>
          <w:rFonts w:hint="eastAsia" w:ascii="黑体" w:hAnsi="黑体" w:eastAsia="黑体" w:cs="黑体"/>
          <w:b/>
          <w:color w:val="auto"/>
          <w:sz w:val="24"/>
        </w:rPr>
        <w:t>（一）法定代表人身份证明书</w:t>
      </w:r>
    </w:p>
    <w:p w14:paraId="208BBF6D">
      <w:pPr>
        <w:spacing w:line="360" w:lineRule="auto"/>
        <w:rPr>
          <w:rFonts w:hint="eastAsia" w:ascii="黑体" w:hAnsi="黑体" w:eastAsia="黑体" w:cs="黑体"/>
          <w:color w:val="auto"/>
          <w:sz w:val="24"/>
        </w:rPr>
      </w:pPr>
      <w:r>
        <w:rPr>
          <w:rFonts w:hint="eastAsia" w:ascii="黑体" w:hAnsi="黑体" w:eastAsia="黑体" w:cs="黑体"/>
          <w:color w:val="auto"/>
          <w:sz w:val="24"/>
          <w:u w:val="single"/>
        </w:rPr>
        <w:t xml:space="preserve">          </w:t>
      </w:r>
      <w:r>
        <w:rPr>
          <w:rFonts w:hint="eastAsia" w:ascii="黑体" w:hAnsi="黑体" w:eastAsia="黑体" w:cs="黑体"/>
          <w:color w:val="auto"/>
          <w:sz w:val="24"/>
        </w:rPr>
        <w:t>同志，现任我单位</w:t>
      </w:r>
      <w:r>
        <w:rPr>
          <w:rFonts w:hint="eastAsia" w:ascii="黑体" w:hAnsi="黑体" w:eastAsia="黑体" w:cs="黑体"/>
          <w:color w:val="auto"/>
          <w:sz w:val="24"/>
          <w:u w:val="single"/>
        </w:rPr>
        <w:t xml:space="preserve">    </w:t>
      </w:r>
      <w:r>
        <w:rPr>
          <w:rFonts w:hint="eastAsia" w:ascii="黑体" w:hAnsi="黑体" w:eastAsia="黑体" w:cs="黑体"/>
          <w:color w:val="auto"/>
          <w:sz w:val="24"/>
        </w:rPr>
        <w:t>（职务）为法定代表人，特此证明。</w:t>
      </w:r>
    </w:p>
    <w:p w14:paraId="6DAAE78E">
      <w:pPr>
        <w:spacing w:line="360" w:lineRule="auto"/>
        <w:ind w:left="0" w:leftChars="0" w:firstLine="0" w:firstLineChars="0"/>
        <w:rPr>
          <w:rFonts w:hint="default" w:ascii="黑体" w:hAnsi="黑体" w:eastAsia="黑体" w:cs="黑体"/>
          <w:color w:val="auto"/>
          <w:sz w:val="24"/>
          <w:lang w:val="en-US" w:eastAsia="zh-CN"/>
        </w:rPr>
      </w:pPr>
      <w:r>
        <w:rPr>
          <w:rFonts w:hint="eastAsia" w:ascii="黑体" w:hAnsi="黑体" w:eastAsia="黑体" w:cs="黑体"/>
          <w:color w:val="auto"/>
          <w:sz w:val="24"/>
        </w:rPr>
        <w:t>单位：</w:t>
      </w:r>
      <w:r>
        <w:rPr>
          <w:rFonts w:hint="eastAsia" w:ascii="黑体" w:hAnsi="黑体" w:eastAsia="黑体" w:cs="黑体"/>
          <w:color w:val="auto"/>
          <w:sz w:val="24"/>
          <w:u w:val="single"/>
        </w:rPr>
        <w:t xml:space="preserve">                      </w:t>
      </w:r>
      <w:r>
        <w:rPr>
          <w:rFonts w:hint="eastAsia" w:ascii="黑体" w:hAnsi="黑体" w:eastAsia="黑体" w:cs="黑体"/>
          <w:color w:val="auto"/>
          <w:sz w:val="24"/>
        </w:rPr>
        <w:t>签发日期：</w:t>
      </w:r>
      <w:r>
        <w:rPr>
          <w:rFonts w:hint="eastAsia" w:ascii="黑体" w:hAnsi="黑体" w:eastAsia="黑体" w:cs="黑体"/>
          <w:color w:val="auto"/>
          <w:sz w:val="24"/>
          <w:u w:val="single"/>
        </w:rPr>
        <w:t xml:space="preserve">          </w:t>
      </w:r>
      <w:r>
        <w:rPr>
          <w:rFonts w:hint="eastAsia" w:ascii="黑体" w:hAnsi="黑体" w:eastAsia="黑体" w:cs="黑体"/>
          <w:color w:val="auto"/>
          <w:sz w:val="24"/>
          <w:u w:val="single"/>
          <w:lang w:val="en-US" w:eastAsia="zh-CN"/>
        </w:rPr>
        <w:t xml:space="preserve">            </w:t>
      </w:r>
    </w:p>
    <w:p w14:paraId="6AB63E1B">
      <w:pPr>
        <w:spacing w:line="360" w:lineRule="auto"/>
        <w:ind w:left="0" w:leftChars="0" w:firstLine="0" w:firstLineChars="0"/>
        <w:rPr>
          <w:rFonts w:hint="eastAsia" w:ascii="黑体" w:hAnsi="黑体" w:eastAsia="黑体" w:cs="黑体"/>
          <w:color w:val="auto"/>
          <w:sz w:val="24"/>
        </w:rPr>
      </w:pPr>
      <w:r>
        <w:rPr>
          <w:rFonts w:hint="eastAsia" w:ascii="黑体" w:hAnsi="黑体" w:eastAsia="黑体" w:cs="黑体"/>
          <w:color w:val="auto"/>
          <w:sz w:val="24"/>
        </w:rPr>
        <w:t>法定代表人：</w:t>
      </w:r>
      <w:r>
        <w:rPr>
          <w:rFonts w:hint="eastAsia" w:ascii="黑体" w:hAnsi="黑体" w:eastAsia="黑体" w:cs="黑体"/>
          <w:color w:val="auto"/>
          <w:sz w:val="24"/>
          <w:u w:val="single"/>
        </w:rPr>
        <w:t xml:space="preserve">                </w:t>
      </w:r>
      <w:r>
        <w:rPr>
          <w:rFonts w:hint="eastAsia" w:ascii="黑体" w:hAnsi="黑体" w:eastAsia="黑体" w:cs="黑体"/>
          <w:color w:val="auto"/>
          <w:sz w:val="24"/>
        </w:rPr>
        <w:t>性别：</w:t>
      </w:r>
      <w:r>
        <w:rPr>
          <w:rFonts w:hint="eastAsia" w:ascii="黑体" w:hAnsi="黑体" w:eastAsia="黑体" w:cs="黑体"/>
          <w:color w:val="auto"/>
          <w:sz w:val="24"/>
          <w:u w:val="single"/>
        </w:rPr>
        <w:t xml:space="preserve">          </w:t>
      </w:r>
      <w:r>
        <w:rPr>
          <w:rFonts w:hint="eastAsia" w:ascii="黑体" w:hAnsi="黑体" w:eastAsia="黑体" w:cs="黑体"/>
          <w:color w:val="auto"/>
          <w:sz w:val="24"/>
          <w:u w:val="single"/>
          <w:lang w:val="en-US" w:eastAsia="zh-CN"/>
        </w:rPr>
        <w:t xml:space="preserve">     </w:t>
      </w:r>
      <w:r>
        <w:rPr>
          <w:rFonts w:hint="eastAsia" w:ascii="黑体" w:hAnsi="黑体" w:eastAsia="黑体" w:cs="黑体"/>
          <w:color w:val="auto"/>
          <w:sz w:val="24"/>
          <w:u w:val="single"/>
        </w:rPr>
        <w:t xml:space="preserve">           </w:t>
      </w:r>
    </w:p>
    <w:p w14:paraId="2276236B">
      <w:pPr>
        <w:spacing w:line="360" w:lineRule="auto"/>
        <w:ind w:left="0" w:leftChars="0" w:firstLine="0" w:firstLineChars="0"/>
        <w:rPr>
          <w:rFonts w:hint="eastAsia" w:ascii="黑体" w:hAnsi="黑体" w:eastAsia="黑体" w:cs="黑体"/>
          <w:color w:val="auto"/>
          <w:sz w:val="24"/>
        </w:rPr>
      </w:pPr>
      <w:r>
        <w:rPr>
          <w:rFonts w:hint="eastAsia" w:ascii="黑体" w:hAnsi="黑体" w:eastAsia="黑体" w:cs="黑体"/>
          <w:color w:val="auto"/>
          <w:sz w:val="24"/>
        </w:rPr>
        <w:t>身份证号码：</w:t>
      </w:r>
      <w:r>
        <w:rPr>
          <w:rFonts w:hint="eastAsia" w:ascii="黑体" w:hAnsi="黑体" w:eastAsia="黑体" w:cs="黑体"/>
          <w:color w:val="auto"/>
          <w:sz w:val="24"/>
          <w:u w:val="single"/>
        </w:rPr>
        <w:t xml:space="preserve">                </w:t>
      </w:r>
      <w:r>
        <w:rPr>
          <w:rFonts w:hint="eastAsia" w:ascii="黑体" w:hAnsi="黑体" w:eastAsia="黑体" w:cs="黑体"/>
          <w:color w:val="auto"/>
          <w:sz w:val="24"/>
        </w:rPr>
        <w:t>联系电话：</w:t>
      </w:r>
      <w:r>
        <w:rPr>
          <w:rFonts w:hint="eastAsia" w:ascii="黑体" w:hAnsi="黑体" w:eastAsia="黑体" w:cs="黑体"/>
          <w:color w:val="auto"/>
          <w:sz w:val="24"/>
          <w:u w:val="single"/>
        </w:rPr>
        <w:t xml:space="preserve">                      </w:t>
      </w:r>
    </w:p>
    <w:p w14:paraId="53448A44">
      <w:pPr>
        <w:spacing w:line="360" w:lineRule="auto"/>
        <w:ind w:left="0" w:leftChars="0" w:firstLine="0" w:firstLineChars="0"/>
        <w:rPr>
          <w:rFonts w:hint="eastAsia" w:ascii="黑体" w:hAnsi="黑体" w:eastAsia="黑体" w:cs="黑体"/>
          <w:color w:val="auto"/>
          <w:sz w:val="24"/>
        </w:rPr>
      </w:pPr>
      <w:r>
        <w:rPr>
          <w:rFonts w:hint="eastAsia" w:ascii="黑体" w:hAnsi="黑体" w:eastAsia="黑体" w:cs="黑体"/>
          <w:color w:val="auto"/>
          <w:sz w:val="24"/>
        </w:rPr>
        <w:t>说明：</w:t>
      </w:r>
    </w:p>
    <w:p w14:paraId="0B1FD251">
      <w:pPr>
        <w:spacing w:line="360" w:lineRule="auto"/>
        <w:ind w:left="0" w:leftChars="0" w:firstLine="0" w:firstLineChars="0"/>
        <w:rPr>
          <w:rFonts w:hint="eastAsia" w:ascii="黑体" w:hAnsi="黑体" w:eastAsia="黑体" w:cs="黑体"/>
          <w:color w:val="auto"/>
          <w:sz w:val="24"/>
        </w:rPr>
      </w:pPr>
      <w:r>
        <w:rPr>
          <w:rFonts w:hint="eastAsia" w:ascii="黑体" w:hAnsi="黑体" w:eastAsia="黑体" w:cs="黑体"/>
          <w:color w:val="auto"/>
          <w:sz w:val="24"/>
        </w:rPr>
        <w:t>1、法定代表人为企业事业单位、国家机关、社会团体的主要行政负责人。</w:t>
      </w:r>
    </w:p>
    <w:p w14:paraId="42A268A8">
      <w:pPr>
        <w:spacing w:line="360" w:lineRule="auto"/>
        <w:ind w:left="0" w:leftChars="0" w:firstLine="0" w:firstLineChars="0"/>
        <w:rPr>
          <w:rFonts w:hint="eastAsia" w:ascii="黑体" w:hAnsi="黑体" w:eastAsia="黑体" w:cs="黑体"/>
          <w:color w:val="auto"/>
          <w:sz w:val="24"/>
        </w:rPr>
      </w:pPr>
      <w:r>
        <w:rPr>
          <w:rFonts w:hint="eastAsia" w:ascii="黑体" w:hAnsi="黑体" w:eastAsia="黑体" w:cs="黑体"/>
          <w:color w:val="auto"/>
          <w:sz w:val="24"/>
        </w:rPr>
        <w:t>2、内容必须填写真实、清楚、涂改无效，不得转让。</w:t>
      </w:r>
    </w:p>
    <w:p w14:paraId="291C1268">
      <w:pPr>
        <w:spacing w:line="360" w:lineRule="auto"/>
        <w:ind w:left="0" w:leftChars="0" w:firstLine="0" w:firstLineChars="0"/>
        <w:rPr>
          <w:rFonts w:hint="eastAsia" w:ascii="黑体" w:hAnsi="黑体" w:eastAsia="黑体" w:cs="黑体"/>
          <w:color w:val="auto"/>
          <w:sz w:val="24"/>
        </w:rPr>
      </w:pPr>
      <w:r>
        <w:rPr>
          <w:rFonts w:hint="eastAsia" w:ascii="黑体" w:hAnsi="黑体" w:eastAsia="黑体" w:cs="黑体"/>
          <w:color w:val="auto"/>
          <w:sz w:val="24"/>
        </w:rPr>
        <w:t>3、将此证明书</w:t>
      </w:r>
      <w:r>
        <w:rPr>
          <w:rFonts w:hint="eastAsia" w:ascii="黑体" w:hAnsi="黑体" w:eastAsia="黑体" w:cs="黑体"/>
          <w:color w:val="auto"/>
          <w:sz w:val="24"/>
          <w:lang w:val="en-US" w:eastAsia="zh-CN"/>
        </w:rPr>
        <w:t>扫描</w:t>
      </w:r>
      <w:r>
        <w:rPr>
          <w:rFonts w:hint="eastAsia" w:ascii="黑体" w:hAnsi="黑体" w:eastAsia="黑体" w:cs="黑体"/>
          <w:color w:val="auto"/>
          <w:sz w:val="24"/>
        </w:rPr>
        <w:t>件</w:t>
      </w:r>
      <w:r>
        <w:rPr>
          <w:rFonts w:hint="eastAsia" w:ascii="黑体" w:hAnsi="黑体" w:eastAsia="黑体" w:cs="黑体"/>
          <w:color w:val="auto"/>
          <w:sz w:val="24"/>
          <w:lang w:val="en-US" w:eastAsia="zh-CN"/>
        </w:rPr>
        <w:t>上传至投标文件内</w:t>
      </w:r>
      <w:r>
        <w:rPr>
          <w:rFonts w:hint="eastAsia" w:ascii="黑体" w:hAnsi="黑体" w:eastAsia="黑体" w:cs="黑体"/>
          <w:color w:val="auto"/>
          <w:sz w:val="24"/>
        </w:rPr>
        <w:t>。</w:t>
      </w:r>
    </w:p>
    <w:p w14:paraId="47FE3475">
      <w:pPr>
        <w:spacing w:line="360" w:lineRule="auto"/>
        <w:ind w:left="0" w:leftChars="0" w:firstLine="0" w:firstLineChars="0"/>
        <w:rPr>
          <w:rFonts w:hint="eastAsia" w:ascii="黑体" w:hAnsi="黑体" w:eastAsia="黑体" w:cs="黑体"/>
          <w:color w:val="auto"/>
          <w:sz w:val="24"/>
        </w:rPr>
      </w:pPr>
      <w:r>
        <w:rPr>
          <w:rFonts w:hint="eastAsia" w:ascii="黑体" w:hAnsi="黑体" w:eastAsia="黑体" w:cs="黑体"/>
          <w:color w:val="auto"/>
          <w:sz w:val="24"/>
        </w:rPr>
        <w:t xml:space="preserve">  附：法定代表人身份证复印件</w:t>
      </w:r>
    </w:p>
    <w:tbl>
      <w:tblPr>
        <w:tblStyle w:val="39"/>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4610"/>
        <w:gridCol w:w="4485"/>
      </w:tblGrid>
      <w:tr w14:paraId="7C076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25" w:hRule="atLeast"/>
        </w:trPr>
        <w:tc>
          <w:tcPr>
            <w:tcW w:w="4610" w:type="dxa"/>
            <w:shd w:val="clear" w:color="auto" w:fill="FFFFFF" w:themeFill="background1"/>
            <w:vAlign w:val="center"/>
          </w:tcPr>
          <w:p w14:paraId="5BB0DFB5">
            <w:pPr>
              <w:pStyle w:val="27"/>
              <w:jc w:val="center"/>
              <w:rPr>
                <w:rFonts w:hint="eastAsia"/>
                <w:vertAlign w:val="baseline"/>
              </w:rPr>
            </w:pPr>
          </w:p>
          <w:p w14:paraId="5432AF87">
            <w:pPr>
              <w:pStyle w:val="14"/>
              <w:jc w:val="center"/>
              <w:rPr>
                <w:rFonts w:hint="eastAsia"/>
                <w:vertAlign w:val="baseline"/>
              </w:rPr>
            </w:pPr>
          </w:p>
          <w:p w14:paraId="4391BFAB">
            <w:pPr>
              <w:jc w:val="center"/>
              <w:rPr>
                <w:rFonts w:hint="eastAsia"/>
                <w:vertAlign w:val="baseline"/>
              </w:rPr>
            </w:pPr>
          </w:p>
          <w:p w14:paraId="2E86601A">
            <w:pPr>
              <w:jc w:val="center"/>
              <w:rPr>
                <w:rFonts w:hint="eastAsia" w:hAnsi="宋体"/>
                <w:szCs w:val="21"/>
              </w:rPr>
            </w:pPr>
          </w:p>
          <w:p w14:paraId="38C6A99E">
            <w:pPr>
              <w:jc w:val="center"/>
              <w:rPr>
                <w:rFonts w:hint="eastAsia"/>
                <w:b/>
                <w:bCs/>
                <w:szCs w:val="21"/>
              </w:rPr>
            </w:pPr>
            <w:r>
              <w:rPr>
                <w:rFonts w:hint="eastAsia" w:hAnsi="宋体"/>
                <w:b/>
                <w:bCs/>
                <w:szCs w:val="21"/>
              </w:rPr>
              <w:t>法定代表人身份证复印件正面</w:t>
            </w:r>
          </w:p>
          <w:p w14:paraId="05103477">
            <w:pPr>
              <w:pStyle w:val="14"/>
              <w:jc w:val="center"/>
              <w:rPr>
                <w:rFonts w:hint="eastAsia"/>
                <w:vertAlign w:val="baseline"/>
              </w:rPr>
            </w:pPr>
          </w:p>
          <w:p w14:paraId="78C2A071">
            <w:pPr>
              <w:jc w:val="center"/>
              <w:rPr>
                <w:rFonts w:hint="eastAsia"/>
                <w:vertAlign w:val="baseline"/>
              </w:rPr>
            </w:pPr>
          </w:p>
          <w:p w14:paraId="05B7765D">
            <w:pPr>
              <w:pStyle w:val="27"/>
              <w:jc w:val="center"/>
              <w:rPr>
                <w:rFonts w:hint="eastAsia"/>
                <w:vertAlign w:val="baseline"/>
              </w:rPr>
            </w:pPr>
          </w:p>
          <w:p w14:paraId="0764AF00">
            <w:pPr>
              <w:pStyle w:val="14"/>
              <w:jc w:val="center"/>
              <w:rPr>
                <w:rFonts w:hint="eastAsia"/>
                <w:vertAlign w:val="baseline"/>
              </w:rPr>
            </w:pPr>
          </w:p>
          <w:p w14:paraId="321A16A2">
            <w:pPr>
              <w:jc w:val="center"/>
              <w:rPr>
                <w:rFonts w:hint="eastAsia"/>
                <w:vertAlign w:val="baseline"/>
              </w:rPr>
            </w:pPr>
          </w:p>
          <w:p w14:paraId="5592CEBB">
            <w:pPr>
              <w:pStyle w:val="27"/>
              <w:jc w:val="center"/>
              <w:rPr>
                <w:rFonts w:hint="eastAsia"/>
              </w:rPr>
            </w:pPr>
          </w:p>
        </w:tc>
        <w:tc>
          <w:tcPr>
            <w:tcW w:w="4485" w:type="dxa"/>
            <w:shd w:val="clear" w:color="auto" w:fill="FFFFFF" w:themeFill="background1"/>
            <w:vAlign w:val="center"/>
          </w:tcPr>
          <w:p w14:paraId="4CBE4EFB">
            <w:pPr>
              <w:jc w:val="center"/>
              <w:rPr>
                <w:rFonts w:hint="eastAsia"/>
                <w:b/>
                <w:bCs/>
                <w:szCs w:val="21"/>
              </w:rPr>
            </w:pPr>
            <w:r>
              <w:rPr>
                <w:rFonts w:hint="eastAsia" w:hAnsi="宋体"/>
                <w:b/>
                <w:bCs/>
                <w:szCs w:val="21"/>
              </w:rPr>
              <w:t>法定代表人身份证复印件正面</w:t>
            </w:r>
          </w:p>
          <w:p w14:paraId="46740299">
            <w:pPr>
              <w:pStyle w:val="27"/>
              <w:jc w:val="center"/>
              <w:rPr>
                <w:rFonts w:hint="eastAsia"/>
                <w:vertAlign w:val="baseline"/>
              </w:rPr>
            </w:pPr>
          </w:p>
        </w:tc>
      </w:tr>
    </w:tbl>
    <w:p w14:paraId="74CEB220">
      <w:pPr>
        <w:autoSpaceDE w:val="0"/>
        <w:autoSpaceDN w:val="0"/>
        <w:adjustRightInd w:val="0"/>
        <w:spacing w:line="360" w:lineRule="auto"/>
        <w:ind w:left="0" w:leftChars="0" w:right="246" w:firstLine="0" w:firstLineChars="0"/>
        <w:rPr>
          <w:rFonts w:hint="eastAsia" w:ascii="黑体" w:hAnsi="黑体" w:eastAsia="黑体" w:cs="黑体"/>
          <w:color w:val="auto"/>
          <w:kern w:val="0"/>
          <w:sz w:val="24"/>
          <w:u w:val="single"/>
        </w:rPr>
      </w:pPr>
      <w:r>
        <w:rPr>
          <w:rFonts w:hint="eastAsia" w:ascii="黑体" w:hAnsi="黑体" w:eastAsia="黑体" w:cs="黑体"/>
          <w:color w:val="auto"/>
          <w:kern w:val="0"/>
          <w:sz w:val="24"/>
        </w:rPr>
        <w:t>投标人（</w:t>
      </w:r>
      <w:r>
        <w:rPr>
          <w:rFonts w:hint="eastAsia" w:ascii="黑体" w:hAnsi="黑体" w:eastAsia="黑体" w:cs="黑体"/>
          <w:color w:val="auto"/>
          <w:kern w:val="0"/>
          <w:sz w:val="24"/>
          <w:lang w:val="en-US" w:eastAsia="zh-CN"/>
        </w:rPr>
        <w:t>加</w:t>
      </w:r>
      <w:r>
        <w:rPr>
          <w:rFonts w:hint="eastAsia" w:ascii="黑体" w:hAnsi="黑体" w:eastAsia="黑体" w:cs="黑体"/>
          <w:color w:val="auto"/>
          <w:kern w:val="0"/>
          <w:sz w:val="24"/>
        </w:rPr>
        <w:t>盖</w:t>
      </w:r>
      <w:r>
        <w:rPr>
          <w:rFonts w:hint="eastAsia" w:ascii="黑体" w:hAnsi="黑体" w:eastAsia="黑体" w:cs="黑体"/>
          <w:color w:val="auto"/>
          <w:kern w:val="0"/>
          <w:sz w:val="24"/>
          <w:lang w:val="en-US" w:eastAsia="zh-CN"/>
        </w:rPr>
        <w:t>公</w:t>
      </w:r>
      <w:r>
        <w:rPr>
          <w:rFonts w:hint="eastAsia" w:ascii="黑体" w:hAnsi="黑体" w:eastAsia="黑体" w:cs="黑体"/>
          <w:color w:val="auto"/>
          <w:kern w:val="0"/>
          <w:sz w:val="24"/>
        </w:rPr>
        <w:t>章）：</w:t>
      </w:r>
      <w:r>
        <w:rPr>
          <w:rFonts w:hint="eastAsia" w:ascii="黑体" w:hAnsi="黑体" w:eastAsia="黑体" w:cs="黑体"/>
          <w:color w:val="auto"/>
          <w:kern w:val="0"/>
          <w:sz w:val="24"/>
          <w:u w:val="single"/>
        </w:rPr>
        <w:t xml:space="preserve">      </w:t>
      </w:r>
      <w:r>
        <w:rPr>
          <w:rFonts w:hint="eastAsia" w:ascii="黑体" w:hAnsi="黑体" w:eastAsia="黑体" w:cs="黑体"/>
          <w:color w:val="auto"/>
          <w:kern w:val="0"/>
          <w:sz w:val="24"/>
          <w:u w:val="single"/>
          <w:lang w:val="en-US" w:eastAsia="zh-CN"/>
        </w:rPr>
        <w:t xml:space="preserve">              </w:t>
      </w:r>
      <w:r>
        <w:rPr>
          <w:rFonts w:hint="eastAsia" w:ascii="黑体" w:hAnsi="黑体" w:eastAsia="黑体" w:cs="黑体"/>
          <w:color w:val="auto"/>
          <w:kern w:val="0"/>
          <w:sz w:val="24"/>
          <w:u w:val="single"/>
        </w:rPr>
        <w:t xml:space="preserve">     </w:t>
      </w:r>
    </w:p>
    <w:p w14:paraId="20D85991">
      <w:pPr>
        <w:adjustRightInd w:val="0"/>
        <w:snapToGrid w:val="0"/>
        <w:spacing w:line="360" w:lineRule="auto"/>
        <w:ind w:left="0" w:leftChars="0" w:firstLine="0" w:firstLineChars="0"/>
        <w:rPr>
          <w:rFonts w:hint="default" w:ascii="黑体" w:hAnsi="黑体" w:eastAsia="黑体" w:cs="黑体"/>
          <w:color w:val="auto"/>
          <w:sz w:val="24"/>
          <w:lang w:val="en-US" w:eastAsia="zh-CN"/>
        </w:rPr>
      </w:pPr>
      <w:r>
        <w:rPr>
          <w:rFonts w:hint="eastAsia" w:ascii="黑体" w:hAnsi="黑体" w:eastAsia="黑体" w:cs="黑体"/>
          <w:color w:val="auto"/>
          <w:sz w:val="24"/>
        </w:rPr>
        <w:t>法定代表人（签章）：</w:t>
      </w:r>
      <w:r>
        <w:rPr>
          <w:rFonts w:hint="eastAsia" w:ascii="黑体" w:hAnsi="黑体" w:eastAsia="黑体" w:cs="黑体"/>
          <w:color w:val="auto"/>
          <w:sz w:val="24"/>
          <w:u w:val="single"/>
        </w:rPr>
        <w:t xml:space="preserve">             </w:t>
      </w:r>
      <w:r>
        <w:rPr>
          <w:rFonts w:hint="eastAsia" w:ascii="黑体" w:hAnsi="黑体" w:eastAsia="黑体" w:cs="黑体"/>
          <w:color w:val="auto"/>
          <w:sz w:val="24"/>
          <w:u w:val="single"/>
          <w:lang w:val="en-US" w:eastAsia="zh-CN"/>
        </w:rPr>
        <w:t xml:space="preserve">            </w:t>
      </w:r>
    </w:p>
    <w:p w14:paraId="54110F5E">
      <w:pPr>
        <w:adjustRightInd w:val="0"/>
        <w:snapToGrid w:val="0"/>
        <w:spacing w:line="360" w:lineRule="auto"/>
        <w:ind w:left="0" w:leftChars="0" w:firstLine="0" w:firstLineChars="0"/>
        <w:rPr>
          <w:rFonts w:hint="default" w:ascii="黑体" w:hAnsi="黑体" w:eastAsia="黑体" w:cs="黑体"/>
          <w:color w:val="auto"/>
          <w:sz w:val="24"/>
          <w:u w:val="single"/>
          <w:lang w:val="en-US" w:eastAsia="zh-CN"/>
        </w:rPr>
      </w:pPr>
      <w:r>
        <w:rPr>
          <w:rFonts w:hint="eastAsia" w:ascii="黑体" w:hAnsi="黑体" w:eastAsia="黑体" w:cs="黑体"/>
          <w:color w:val="auto"/>
          <w:sz w:val="24"/>
        </w:rPr>
        <w:t>日   期：</w:t>
      </w:r>
      <w:r>
        <w:rPr>
          <w:rFonts w:hint="eastAsia" w:ascii="黑体" w:hAnsi="黑体" w:eastAsia="黑体" w:cs="黑体"/>
          <w:color w:val="auto"/>
          <w:sz w:val="24"/>
          <w:u w:val="single"/>
        </w:rPr>
        <w:t xml:space="preserve">                        </w:t>
      </w:r>
      <w:r>
        <w:rPr>
          <w:rFonts w:hint="eastAsia" w:ascii="黑体" w:hAnsi="黑体" w:eastAsia="黑体" w:cs="黑体"/>
          <w:color w:val="auto"/>
          <w:sz w:val="24"/>
          <w:u w:val="single"/>
          <w:lang w:val="en-US" w:eastAsia="zh-CN"/>
        </w:rPr>
        <w:t xml:space="preserve">            </w:t>
      </w:r>
    </w:p>
    <w:p w14:paraId="31F736B4">
      <w:pPr>
        <w:pStyle w:val="18"/>
        <w:tabs>
          <w:tab w:val="left" w:pos="5580"/>
        </w:tabs>
        <w:spacing w:line="360" w:lineRule="auto"/>
        <w:ind w:left="0" w:leftChars="0" w:firstLine="0" w:firstLineChars="0"/>
        <w:rPr>
          <w:rFonts w:hint="eastAsia" w:ascii="黑体" w:hAnsi="黑体" w:eastAsia="黑体" w:cs="黑体"/>
          <w:color w:val="auto"/>
          <w:sz w:val="24"/>
        </w:rPr>
      </w:pPr>
      <w:r>
        <w:rPr>
          <w:rFonts w:hint="eastAsia" w:ascii="黑体" w:hAnsi="黑体" w:eastAsia="黑体" w:cs="黑体"/>
          <w:color w:val="auto"/>
          <w:sz w:val="24"/>
        </w:rPr>
        <w:t>说明：1. 投标人为自然人的，应提供身份证明的复印件。</w:t>
      </w:r>
    </w:p>
    <w:p w14:paraId="465A80CF">
      <w:pPr>
        <w:pStyle w:val="18"/>
        <w:tabs>
          <w:tab w:val="left" w:pos="5580"/>
        </w:tabs>
        <w:spacing w:line="360" w:lineRule="auto"/>
        <w:ind w:left="0" w:leftChars="0" w:firstLine="0" w:firstLineChars="0"/>
        <w:rPr>
          <w:rFonts w:hint="eastAsia" w:ascii="黑体" w:hAnsi="黑体" w:eastAsia="黑体" w:cs="黑体"/>
          <w:color w:val="auto"/>
          <w:sz w:val="24"/>
        </w:rPr>
      </w:pPr>
      <w:r>
        <w:rPr>
          <w:rFonts w:hint="eastAsia" w:ascii="黑体" w:hAnsi="黑体" w:eastAsia="黑体" w:cs="黑体"/>
          <w:color w:val="auto"/>
          <w:sz w:val="24"/>
        </w:rPr>
        <w:t xml:space="preserve">        2.联合体投标应提供联合体各方满足以上要求的证明文件。</w:t>
      </w:r>
    </w:p>
    <w:p w14:paraId="3C19333E">
      <w:pPr>
        <w:pStyle w:val="6"/>
        <w:tabs>
          <w:tab w:val="left" w:pos="540"/>
        </w:tabs>
        <w:spacing w:line="240" w:lineRule="atLeast"/>
        <w:jc w:val="center"/>
        <w:rPr>
          <w:rFonts w:hint="eastAsia" w:ascii="黑体" w:hAnsi="黑体" w:eastAsia="黑体" w:cs="黑体"/>
          <w:color w:val="auto"/>
          <w:szCs w:val="28"/>
        </w:rPr>
      </w:pPr>
      <w:r>
        <w:rPr>
          <w:rFonts w:hint="eastAsia" w:ascii="黑体" w:hAnsi="黑体" w:eastAsia="黑体" w:cs="黑体"/>
          <w:color w:val="auto"/>
          <w:sz w:val="24"/>
          <w:szCs w:val="24"/>
        </w:rPr>
        <w:br w:type="page"/>
      </w:r>
      <w:bookmarkStart w:id="282" w:name="_Toc515647807"/>
      <w:bookmarkStart w:id="283" w:name="_Toc23503"/>
      <w:bookmarkStart w:id="284" w:name="_Toc1083"/>
      <w:bookmarkStart w:id="285" w:name="_Toc22472"/>
      <w:r>
        <w:rPr>
          <w:rFonts w:hint="eastAsia" w:ascii="黑体" w:hAnsi="黑体" w:eastAsia="黑体" w:cs="黑体"/>
          <w:color w:val="auto"/>
          <w:sz w:val="24"/>
          <w:szCs w:val="24"/>
        </w:rPr>
        <w:t xml:space="preserve">  </w:t>
      </w:r>
      <w:bookmarkStart w:id="286" w:name="_Toc29028"/>
      <w:bookmarkStart w:id="287" w:name="_Toc1846"/>
      <w:bookmarkStart w:id="288" w:name="_Toc23386"/>
      <w:r>
        <w:rPr>
          <w:rFonts w:hint="eastAsia" w:ascii="黑体" w:hAnsi="黑体" w:eastAsia="黑体" w:cs="黑体"/>
          <w:color w:val="auto"/>
          <w:sz w:val="28"/>
          <w:szCs w:val="24"/>
        </w:rPr>
        <w:t>（二）法定代表人授权委托书</w:t>
      </w:r>
      <w:bookmarkEnd w:id="282"/>
      <w:bookmarkEnd w:id="283"/>
      <w:bookmarkEnd w:id="284"/>
      <w:bookmarkEnd w:id="285"/>
      <w:bookmarkEnd w:id="286"/>
      <w:bookmarkEnd w:id="287"/>
      <w:bookmarkEnd w:id="288"/>
    </w:p>
    <w:p w14:paraId="38F49B5E">
      <w:pPr>
        <w:pStyle w:val="18"/>
        <w:tabs>
          <w:tab w:val="left" w:pos="5580"/>
        </w:tabs>
        <w:spacing w:line="480" w:lineRule="auto"/>
        <w:ind w:left="0" w:leftChars="0" w:firstLine="420" w:firstLineChars="175"/>
        <w:rPr>
          <w:rFonts w:hint="eastAsia" w:ascii="黑体" w:hAnsi="黑体" w:eastAsia="黑体" w:cs="黑体"/>
          <w:color w:val="auto"/>
          <w:sz w:val="24"/>
        </w:rPr>
      </w:pPr>
      <w:bookmarkStart w:id="289" w:name="_Toc30228"/>
      <w:bookmarkStart w:id="290" w:name="_Toc6592"/>
      <w:bookmarkStart w:id="291" w:name="_Toc5232"/>
      <w:r>
        <w:rPr>
          <w:rFonts w:hint="eastAsia" w:ascii="黑体" w:hAnsi="黑体" w:eastAsia="黑体" w:cs="黑体"/>
          <w:color w:val="auto"/>
          <w:sz w:val="24"/>
        </w:rPr>
        <w:t>本授权书声明：注册于</w:t>
      </w:r>
      <w:r>
        <w:rPr>
          <w:rFonts w:hint="eastAsia" w:ascii="黑体" w:hAnsi="黑体" w:eastAsia="黑体" w:cs="黑体"/>
          <w:bCs/>
          <w:color w:val="auto"/>
          <w:sz w:val="24"/>
          <w:u w:val="single"/>
        </w:rPr>
        <w:t>（国家或地区的名称）</w:t>
      </w:r>
      <w:r>
        <w:rPr>
          <w:rFonts w:hint="eastAsia" w:ascii="黑体" w:hAnsi="黑体" w:eastAsia="黑体" w:cs="黑体"/>
          <w:color w:val="auto"/>
          <w:sz w:val="24"/>
        </w:rPr>
        <w:t>的</w:t>
      </w:r>
      <w:r>
        <w:rPr>
          <w:rFonts w:hint="eastAsia" w:ascii="黑体" w:hAnsi="黑体" w:eastAsia="黑体" w:cs="黑体"/>
          <w:bCs/>
          <w:color w:val="auto"/>
          <w:sz w:val="24"/>
        </w:rPr>
        <w:t>（</w:t>
      </w:r>
      <w:r>
        <w:rPr>
          <w:rFonts w:hint="eastAsia" w:ascii="黑体" w:hAnsi="黑体" w:eastAsia="黑体" w:cs="黑体"/>
          <w:bCs/>
          <w:color w:val="auto"/>
          <w:sz w:val="24"/>
          <w:u w:val="single"/>
        </w:rPr>
        <w:t>投标人</w:t>
      </w:r>
      <w:r>
        <w:rPr>
          <w:rFonts w:hint="eastAsia" w:ascii="黑体" w:hAnsi="黑体" w:eastAsia="黑体" w:cs="黑体"/>
          <w:bCs/>
          <w:color w:val="auto"/>
          <w:sz w:val="24"/>
        </w:rPr>
        <w:t>）</w:t>
      </w:r>
      <w:r>
        <w:rPr>
          <w:rFonts w:hint="eastAsia" w:ascii="黑体" w:hAnsi="黑体" w:eastAsia="黑体" w:cs="黑体"/>
          <w:color w:val="auto"/>
          <w:sz w:val="24"/>
        </w:rPr>
        <w:t>的在下面签字的</w:t>
      </w:r>
      <w:r>
        <w:rPr>
          <w:rFonts w:hint="eastAsia" w:ascii="黑体" w:hAnsi="黑体" w:eastAsia="黑体" w:cs="黑体"/>
          <w:bCs/>
          <w:color w:val="auto"/>
          <w:sz w:val="24"/>
        </w:rPr>
        <w:t>（</w:t>
      </w:r>
      <w:r>
        <w:rPr>
          <w:rFonts w:hint="eastAsia" w:ascii="黑体" w:hAnsi="黑体" w:eastAsia="黑体" w:cs="黑体"/>
          <w:bCs/>
          <w:color w:val="auto"/>
          <w:sz w:val="24"/>
          <w:u w:val="single"/>
        </w:rPr>
        <w:t>法人代表姓名、职务</w:t>
      </w:r>
      <w:r>
        <w:rPr>
          <w:rFonts w:hint="eastAsia" w:ascii="黑体" w:hAnsi="黑体" w:eastAsia="黑体" w:cs="黑体"/>
          <w:bCs/>
          <w:color w:val="auto"/>
          <w:sz w:val="24"/>
        </w:rPr>
        <w:t>）</w:t>
      </w:r>
      <w:r>
        <w:rPr>
          <w:rFonts w:hint="eastAsia" w:ascii="黑体" w:hAnsi="黑体" w:eastAsia="黑体" w:cs="黑体"/>
          <w:color w:val="auto"/>
          <w:sz w:val="24"/>
        </w:rPr>
        <w:t>代表我单位授权</w:t>
      </w:r>
      <w:r>
        <w:rPr>
          <w:rFonts w:hint="eastAsia" w:ascii="黑体" w:hAnsi="黑体" w:eastAsia="黑体" w:cs="黑体"/>
          <w:bCs/>
          <w:color w:val="auto"/>
          <w:sz w:val="24"/>
        </w:rPr>
        <w:t>（</w:t>
      </w:r>
      <w:r>
        <w:rPr>
          <w:rFonts w:hint="eastAsia" w:ascii="黑体" w:hAnsi="黑体" w:eastAsia="黑体" w:cs="黑体"/>
          <w:bCs/>
          <w:color w:val="auto"/>
          <w:sz w:val="24"/>
          <w:u w:val="single"/>
        </w:rPr>
        <w:t>单位名称</w:t>
      </w:r>
      <w:r>
        <w:rPr>
          <w:rFonts w:hint="eastAsia" w:ascii="黑体" w:hAnsi="黑体" w:eastAsia="黑体" w:cs="黑体"/>
          <w:bCs/>
          <w:color w:val="auto"/>
          <w:sz w:val="24"/>
        </w:rPr>
        <w:t>）</w:t>
      </w:r>
      <w:r>
        <w:rPr>
          <w:rFonts w:hint="eastAsia" w:ascii="黑体" w:hAnsi="黑体" w:eastAsia="黑体" w:cs="黑体"/>
          <w:color w:val="auto"/>
          <w:sz w:val="24"/>
        </w:rPr>
        <w:t>的在下面签字的</w:t>
      </w:r>
      <w:r>
        <w:rPr>
          <w:rFonts w:hint="eastAsia" w:ascii="黑体" w:hAnsi="黑体" w:eastAsia="黑体" w:cs="黑体"/>
          <w:bCs/>
          <w:color w:val="auto"/>
          <w:sz w:val="24"/>
        </w:rPr>
        <w:t>（</w:t>
      </w:r>
      <w:r>
        <w:rPr>
          <w:rFonts w:hint="eastAsia" w:ascii="黑体" w:hAnsi="黑体" w:eastAsia="黑体" w:cs="黑体"/>
          <w:bCs/>
          <w:color w:val="auto"/>
          <w:sz w:val="24"/>
          <w:u w:val="single"/>
        </w:rPr>
        <w:t>被授权人的姓名、职务</w:t>
      </w:r>
      <w:r>
        <w:rPr>
          <w:rFonts w:hint="eastAsia" w:ascii="黑体" w:hAnsi="黑体" w:eastAsia="黑体" w:cs="黑体"/>
          <w:bCs/>
          <w:color w:val="auto"/>
          <w:sz w:val="24"/>
        </w:rPr>
        <w:t>）</w:t>
      </w:r>
      <w:r>
        <w:rPr>
          <w:rFonts w:hint="eastAsia" w:ascii="黑体" w:hAnsi="黑体" w:eastAsia="黑体" w:cs="黑体"/>
          <w:color w:val="auto"/>
          <w:sz w:val="24"/>
        </w:rPr>
        <w:t>为我单位的合法代理人，就</w:t>
      </w:r>
      <w:r>
        <w:rPr>
          <w:rFonts w:hint="eastAsia" w:ascii="黑体" w:hAnsi="黑体" w:eastAsia="黑体" w:cs="黑体"/>
          <w:bCs/>
          <w:color w:val="auto"/>
          <w:sz w:val="24"/>
        </w:rPr>
        <w:t>（</w:t>
      </w:r>
      <w:r>
        <w:rPr>
          <w:rFonts w:hint="eastAsia" w:ascii="黑体" w:hAnsi="黑体" w:eastAsia="黑体" w:cs="黑体"/>
          <w:bCs/>
          <w:color w:val="auto"/>
          <w:sz w:val="24"/>
          <w:u w:val="single"/>
        </w:rPr>
        <w:t>项目名称</w:t>
      </w:r>
      <w:r>
        <w:rPr>
          <w:rFonts w:hint="eastAsia" w:ascii="黑体" w:hAnsi="黑体" w:eastAsia="黑体" w:cs="黑体"/>
          <w:bCs/>
          <w:color w:val="auto"/>
          <w:sz w:val="24"/>
        </w:rPr>
        <w:t>）</w:t>
      </w:r>
      <w:r>
        <w:rPr>
          <w:rFonts w:hint="eastAsia" w:ascii="黑体" w:hAnsi="黑体" w:eastAsia="黑体" w:cs="黑体"/>
          <w:color w:val="auto"/>
          <w:sz w:val="24"/>
        </w:rPr>
        <w:t>的投标，以我单位名义处理一切与之有关的事务。</w:t>
      </w:r>
      <w:r>
        <w:rPr>
          <w:rFonts w:hint="eastAsia" w:ascii="黑体" w:hAnsi="黑体" w:eastAsia="黑体" w:cs="黑体"/>
          <w:color w:val="auto"/>
          <w:sz w:val="24"/>
        </w:rPr>
        <w:cr/>
      </w:r>
      <w:bookmarkEnd w:id="289"/>
      <w:bookmarkEnd w:id="290"/>
      <w:bookmarkEnd w:id="291"/>
      <w:r>
        <w:rPr>
          <w:rFonts w:hint="eastAsia" w:ascii="黑体" w:hAnsi="黑体" w:eastAsia="黑体" w:cs="黑体"/>
          <w:color w:val="auto"/>
          <w:sz w:val="24"/>
        </w:rPr>
        <w:t>　　本授权书于</w:t>
      </w:r>
      <w:r>
        <w:rPr>
          <w:rFonts w:hint="eastAsia" w:ascii="黑体" w:hAnsi="黑体" w:eastAsia="黑体" w:cs="黑体"/>
          <w:color w:val="auto"/>
          <w:sz w:val="24"/>
          <w:u w:val="single"/>
        </w:rPr>
        <w:t xml:space="preserve">        </w:t>
      </w:r>
      <w:r>
        <w:rPr>
          <w:rFonts w:hint="eastAsia" w:ascii="黑体" w:hAnsi="黑体" w:eastAsia="黑体" w:cs="黑体"/>
          <w:color w:val="auto"/>
          <w:sz w:val="24"/>
        </w:rPr>
        <w:t>年</w:t>
      </w:r>
      <w:r>
        <w:rPr>
          <w:rFonts w:hint="eastAsia" w:ascii="黑体" w:hAnsi="黑体" w:eastAsia="黑体" w:cs="黑体"/>
          <w:color w:val="auto"/>
          <w:sz w:val="24"/>
          <w:u w:val="single"/>
        </w:rPr>
        <w:t xml:space="preserve">     </w:t>
      </w:r>
      <w:r>
        <w:rPr>
          <w:rFonts w:hint="eastAsia" w:ascii="黑体" w:hAnsi="黑体" w:eastAsia="黑体" w:cs="黑体"/>
          <w:color w:val="auto"/>
          <w:sz w:val="24"/>
        </w:rPr>
        <w:t>月</w:t>
      </w:r>
      <w:r>
        <w:rPr>
          <w:rFonts w:hint="eastAsia" w:ascii="黑体" w:hAnsi="黑体" w:eastAsia="黑体" w:cs="黑体"/>
          <w:color w:val="auto"/>
          <w:sz w:val="24"/>
          <w:u w:val="single"/>
        </w:rPr>
        <w:t xml:space="preserve">      </w:t>
      </w:r>
      <w:r>
        <w:rPr>
          <w:rFonts w:hint="eastAsia" w:ascii="黑体" w:hAnsi="黑体" w:eastAsia="黑体" w:cs="黑体"/>
          <w:color w:val="auto"/>
          <w:sz w:val="24"/>
        </w:rPr>
        <w:t>日签字生效,特此声明。</w:t>
      </w:r>
      <w:r>
        <w:rPr>
          <w:rFonts w:hint="eastAsia" w:ascii="黑体" w:hAnsi="黑体" w:eastAsia="黑体" w:cs="黑体"/>
          <w:color w:val="auto"/>
          <w:sz w:val="24"/>
        </w:rPr>
        <w:cr/>
      </w:r>
    </w:p>
    <w:tbl>
      <w:tblPr>
        <w:tblStyle w:val="3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4300"/>
        <w:gridCol w:w="4300"/>
      </w:tblGrid>
      <w:tr w14:paraId="071B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08" w:hRule="atLeast"/>
          <w:jc w:val="center"/>
        </w:trPr>
        <w:tc>
          <w:tcPr>
            <w:tcW w:w="4300" w:type="dxa"/>
            <w:shd w:val="clear" w:color="auto" w:fill="FFFFFF" w:themeFill="background1"/>
            <w:vAlign w:val="center"/>
          </w:tcPr>
          <w:p w14:paraId="4D67D46E">
            <w:pPr>
              <w:jc w:val="center"/>
              <w:rPr>
                <w:rFonts w:hint="default" w:eastAsiaTheme="minorEastAsia"/>
                <w:b/>
                <w:bCs/>
                <w:szCs w:val="21"/>
                <w:lang w:val="en-US" w:eastAsia="zh-CN"/>
              </w:rPr>
            </w:pPr>
            <w:r>
              <w:rPr>
                <w:rFonts w:hint="eastAsia" w:hAnsi="宋体"/>
                <w:b/>
                <w:bCs/>
                <w:szCs w:val="21"/>
              </w:rPr>
              <w:t>法定代表人身份证</w:t>
            </w:r>
            <w:r>
              <w:rPr>
                <w:rFonts w:hint="eastAsia" w:hAnsi="宋体"/>
                <w:b/>
                <w:bCs/>
                <w:szCs w:val="21"/>
                <w:lang w:val="en-US" w:eastAsia="zh-CN"/>
              </w:rPr>
              <w:t>扫描件</w:t>
            </w:r>
          </w:p>
          <w:p w14:paraId="0C2B2577">
            <w:pPr>
              <w:pStyle w:val="18"/>
              <w:tabs>
                <w:tab w:val="left" w:pos="5580"/>
              </w:tabs>
              <w:spacing w:line="240" w:lineRule="atLeast"/>
              <w:jc w:val="center"/>
              <w:rPr>
                <w:rFonts w:hint="eastAsia" w:ascii="黑体" w:hAnsi="黑体" w:eastAsia="黑体" w:cs="黑体"/>
                <w:b/>
                <w:bCs/>
                <w:color w:val="auto"/>
                <w:sz w:val="24"/>
                <w:vertAlign w:val="baseline"/>
              </w:rPr>
            </w:pPr>
          </w:p>
        </w:tc>
        <w:tc>
          <w:tcPr>
            <w:tcW w:w="4300" w:type="dxa"/>
            <w:shd w:val="clear" w:color="auto" w:fill="FFFFFF" w:themeFill="background1"/>
            <w:vAlign w:val="center"/>
          </w:tcPr>
          <w:p w14:paraId="7F74BF97">
            <w:pPr>
              <w:jc w:val="center"/>
              <w:rPr>
                <w:b/>
                <w:bCs/>
                <w:szCs w:val="21"/>
              </w:rPr>
            </w:pPr>
            <w:r>
              <w:rPr>
                <w:rFonts w:hint="eastAsia" w:hAnsi="宋体"/>
                <w:b/>
                <w:bCs/>
                <w:szCs w:val="21"/>
              </w:rPr>
              <w:t>法定代表人身份证</w:t>
            </w:r>
            <w:r>
              <w:rPr>
                <w:rFonts w:hint="eastAsia" w:hAnsi="宋体"/>
                <w:b/>
                <w:bCs/>
                <w:szCs w:val="21"/>
                <w:lang w:val="en-US" w:eastAsia="zh-CN"/>
              </w:rPr>
              <w:t>扫描件</w:t>
            </w:r>
          </w:p>
          <w:p w14:paraId="75FE7118">
            <w:pPr>
              <w:pStyle w:val="18"/>
              <w:tabs>
                <w:tab w:val="left" w:pos="5580"/>
              </w:tabs>
              <w:spacing w:line="240" w:lineRule="atLeast"/>
              <w:jc w:val="center"/>
              <w:rPr>
                <w:rFonts w:hint="eastAsia" w:ascii="黑体" w:hAnsi="黑体" w:eastAsia="黑体" w:cs="黑体"/>
                <w:b/>
                <w:bCs/>
                <w:color w:val="auto"/>
                <w:sz w:val="24"/>
                <w:vertAlign w:val="baseline"/>
              </w:rPr>
            </w:pPr>
          </w:p>
        </w:tc>
      </w:tr>
      <w:tr w14:paraId="2EBA0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58" w:hRule="atLeast"/>
          <w:jc w:val="center"/>
        </w:trPr>
        <w:tc>
          <w:tcPr>
            <w:tcW w:w="4300" w:type="dxa"/>
            <w:shd w:val="clear" w:color="auto" w:fill="FFFFFF" w:themeFill="background1"/>
            <w:vAlign w:val="center"/>
          </w:tcPr>
          <w:p w14:paraId="5168FDD8">
            <w:pPr>
              <w:jc w:val="center"/>
              <w:rPr>
                <w:b/>
                <w:bCs/>
              </w:rPr>
            </w:pPr>
            <w:r>
              <w:rPr>
                <w:rFonts w:hint="eastAsia" w:hAnsi="宋体"/>
                <w:b/>
                <w:bCs/>
              </w:rPr>
              <w:t>被授权委托人身份证复</w:t>
            </w:r>
            <w:r>
              <w:rPr>
                <w:rFonts w:hint="eastAsia" w:hAnsi="宋体"/>
                <w:b/>
                <w:bCs/>
                <w:szCs w:val="21"/>
                <w:lang w:val="en-US" w:eastAsia="zh-CN"/>
              </w:rPr>
              <w:t>扫描件</w:t>
            </w:r>
          </w:p>
          <w:p w14:paraId="3E09AB01">
            <w:pPr>
              <w:pStyle w:val="18"/>
              <w:tabs>
                <w:tab w:val="left" w:pos="5580"/>
              </w:tabs>
              <w:spacing w:line="240" w:lineRule="atLeast"/>
              <w:jc w:val="center"/>
              <w:rPr>
                <w:rFonts w:hint="eastAsia" w:ascii="黑体" w:hAnsi="黑体" w:eastAsia="黑体" w:cs="黑体"/>
                <w:b/>
                <w:bCs/>
                <w:color w:val="auto"/>
                <w:sz w:val="24"/>
                <w:vertAlign w:val="baseline"/>
              </w:rPr>
            </w:pPr>
          </w:p>
        </w:tc>
        <w:tc>
          <w:tcPr>
            <w:tcW w:w="4300" w:type="dxa"/>
            <w:shd w:val="clear" w:color="auto" w:fill="FFFFFF" w:themeFill="background1"/>
            <w:vAlign w:val="center"/>
          </w:tcPr>
          <w:p w14:paraId="5AA83D7F">
            <w:pPr>
              <w:jc w:val="center"/>
              <w:rPr>
                <w:b/>
                <w:bCs/>
              </w:rPr>
            </w:pPr>
            <w:r>
              <w:rPr>
                <w:rFonts w:hint="eastAsia" w:hAnsi="宋体"/>
                <w:b/>
                <w:bCs/>
              </w:rPr>
              <w:t>被授权委托人身份证</w:t>
            </w:r>
            <w:r>
              <w:rPr>
                <w:rFonts w:hint="eastAsia" w:hAnsi="宋体"/>
                <w:b/>
                <w:bCs/>
                <w:szCs w:val="21"/>
                <w:lang w:val="en-US" w:eastAsia="zh-CN"/>
              </w:rPr>
              <w:t>扫描件</w:t>
            </w:r>
          </w:p>
          <w:p w14:paraId="553FC7D1">
            <w:pPr>
              <w:pStyle w:val="18"/>
              <w:tabs>
                <w:tab w:val="left" w:pos="5580"/>
              </w:tabs>
              <w:spacing w:line="240" w:lineRule="atLeast"/>
              <w:jc w:val="center"/>
              <w:rPr>
                <w:rFonts w:hint="eastAsia" w:ascii="黑体" w:hAnsi="黑体" w:eastAsia="黑体" w:cs="黑体"/>
                <w:b/>
                <w:bCs/>
                <w:color w:val="auto"/>
                <w:sz w:val="24"/>
                <w:vertAlign w:val="baseline"/>
              </w:rPr>
            </w:pPr>
          </w:p>
        </w:tc>
      </w:tr>
    </w:tbl>
    <w:p w14:paraId="1D2D911E">
      <w:pPr>
        <w:pStyle w:val="18"/>
        <w:tabs>
          <w:tab w:val="left" w:pos="5580"/>
        </w:tabs>
        <w:spacing w:line="480" w:lineRule="auto"/>
        <w:ind w:left="0" w:leftChars="0" w:firstLine="638" w:firstLineChars="266"/>
        <w:rPr>
          <w:rFonts w:hint="eastAsia" w:ascii="黑体" w:hAnsi="黑体" w:eastAsia="黑体" w:cs="黑体"/>
          <w:color w:val="auto"/>
          <w:sz w:val="24"/>
          <w:u w:val="single"/>
        </w:rPr>
      </w:pPr>
      <w:r>
        <w:rPr>
          <w:rFonts w:hint="eastAsia" w:ascii="黑体" w:hAnsi="黑体" w:eastAsia="黑体" w:cs="黑体"/>
          <w:color w:val="auto"/>
          <w:sz w:val="24"/>
        </w:rPr>
        <w:t>投 标 人（盖章）：</w:t>
      </w:r>
      <w:r>
        <w:rPr>
          <w:rFonts w:hint="eastAsia" w:ascii="黑体" w:hAnsi="黑体" w:eastAsia="黑体" w:cs="黑体"/>
          <w:color w:val="auto"/>
          <w:sz w:val="24"/>
          <w:u w:val="single"/>
        </w:rPr>
        <w:t xml:space="preserve">                           </w:t>
      </w:r>
    </w:p>
    <w:p w14:paraId="2E296F4C">
      <w:pPr>
        <w:pStyle w:val="18"/>
        <w:tabs>
          <w:tab w:val="left" w:pos="5580"/>
        </w:tabs>
        <w:spacing w:line="360" w:lineRule="auto"/>
        <w:ind w:left="0" w:leftChars="0" w:firstLine="638" w:firstLineChars="266"/>
        <w:rPr>
          <w:rFonts w:hint="eastAsia" w:ascii="黑体" w:hAnsi="黑体" w:eastAsia="黑体" w:cs="黑体"/>
          <w:color w:val="auto"/>
          <w:sz w:val="24"/>
        </w:rPr>
      </w:pPr>
      <w:r>
        <w:rPr>
          <w:rFonts w:hint="eastAsia" w:ascii="黑体" w:hAnsi="黑体" w:eastAsia="黑体" w:cs="黑体"/>
          <w:color w:val="auto"/>
          <w:sz w:val="24"/>
        </w:rPr>
        <w:t>法定代表人（签章）：</w:t>
      </w:r>
      <w:r>
        <w:rPr>
          <w:rFonts w:hint="eastAsia" w:ascii="黑体" w:hAnsi="黑体" w:eastAsia="黑体" w:cs="黑体"/>
          <w:color w:val="auto"/>
          <w:sz w:val="24"/>
          <w:u w:val="single"/>
        </w:rPr>
        <w:t xml:space="preserve">                         </w:t>
      </w:r>
    </w:p>
    <w:p w14:paraId="111AF2FC">
      <w:pPr>
        <w:pStyle w:val="18"/>
        <w:tabs>
          <w:tab w:val="left" w:pos="5580"/>
        </w:tabs>
        <w:spacing w:line="360" w:lineRule="auto"/>
        <w:ind w:left="0" w:leftChars="0" w:firstLine="638" w:firstLineChars="266"/>
        <w:rPr>
          <w:rFonts w:hint="eastAsia" w:ascii="黑体" w:hAnsi="黑体" w:eastAsia="黑体" w:cs="黑体"/>
          <w:color w:val="auto"/>
          <w:sz w:val="24"/>
        </w:rPr>
      </w:pPr>
      <w:r>
        <w:rPr>
          <w:rFonts w:hint="eastAsia" w:ascii="黑体" w:hAnsi="黑体" w:eastAsia="黑体" w:cs="黑体"/>
          <w:color w:val="auto"/>
          <w:sz w:val="24"/>
          <w:u w:val="single" w:color="EEECE1"/>
        </w:rPr>
        <w:t>身</w:t>
      </w:r>
      <w:r>
        <w:rPr>
          <w:rFonts w:hint="eastAsia" w:ascii="黑体" w:hAnsi="黑体" w:eastAsia="黑体" w:cs="黑体"/>
          <w:color w:val="auto"/>
          <w:sz w:val="24"/>
        </w:rPr>
        <w:t>份证号码：</w:t>
      </w:r>
      <w:r>
        <w:rPr>
          <w:rFonts w:hint="eastAsia" w:ascii="黑体" w:hAnsi="黑体" w:eastAsia="黑体" w:cs="黑体"/>
          <w:color w:val="auto"/>
          <w:sz w:val="24"/>
          <w:u w:val="single"/>
        </w:rPr>
        <w:t xml:space="preserve">                                 </w:t>
      </w:r>
      <w:r>
        <w:rPr>
          <w:rFonts w:hint="eastAsia" w:ascii="黑体" w:hAnsi="黑体" w:eastAsia="黑体" w:cs="黑体"/>
          <w:color w:val="auto"/>
          <w:sz w:val="24"/>
        </w:rPr>
        <w:t xml:space="preserve"> </w:t>
      </w:r>
    </w:p>
    <w:p w14:paraId="16BA17A3">
      <w:pPr>
        <w:pStyle w:val="18"/>
        <w:tabs>
          <w:tab w:val="left" w:pos="5580"/>
        </w:tabs>
        <w:spacing w:line="360" w:lineRule="auto"/>
        <w:ind w:left="0" w:leftChars="0" w:firstLine="638" w:firstLineChars="266"/>
        <w:rPr>
          <w:rFonts w:hint="eastAsia" w:ascii="黑体" w:hAnsi="黑体" w:eastAsia="黑体" w:cs="黑体"/>
          <w:color w:val="auto"/>
          <w:sz w:val="24"/>
          <w:u w:val="single"/>
        </w:rPr>
      </w:pPr>
      <w:r>
        <w:rPr>
          <w:rFonts w:hint="eastAsia" w:ascii="黑体" w:hAnsi="黑体" w:eastAsia="黑体" w:cs="黑体"/>
          <w:color w:val="auto"/>
          <w:sz w:val="24"/>
        </w:rPr>
        <w:t>委托代理人：</w:t>
      </w:r>
      <w:r>
        <w:rPr>
          <w:rFonts w:hint="eastAsia" w:ascii="黑体" w:hAnsi="黑体" w:eastAsia="黑体" w:cs="黑体"/>
          <w:color w:val="auto"/>
          <w:sz w:val="24"/>
          <w:u w:val="single"/>
        </w:rPr>
        <w:t xml:space="preserve">                                 </w:t>
      </w:r>
    </w:p>
    <w:p w14:paraId="297FFF18">
      <w:pPr>
        <w:pStyle w:val="18"/>
        <w:tabs>
          <w:tab w:val="left" w:pos="5580"/>
        </w:tabs>
        <w:spacing w:line="360" w:lineRule="auto"/>
        <w:ind w:left="0" w:leftChars="0" w:firstLine="638" w:firstLineChars="266"/>
        <w:rPr>
          <w:rFonts w:hint="eastAsia" w:ascii="黑体" w:hAnsi="黑体" w:eastAsia="黑体" w:cs="黑体"/>
          <w:color w:val="auto"/>
          <w:sz w:val="24"/>
        </w:rPr>
      </w:pPr>
      <w:r>
        <w:rPr>
          <w:rFonts w:hint="eastAsia" w:ascii="黑体" w:hAnsi="黑体" w:eastAsia="黑体" w:cs="黑体"/>
          <w:color w:val="auto"/>
          <w:sz w:val="24"/>
        </w:rPr>
        <w:t>身份证号码：</w:t>
      </w:r>
      <w:r>
        <w:rPr>
          <w:rFonts w:hint="eastAsia" w:ascii="黑体" w:hAnsi="黑体" w:eastAsia="黑体" w:cs="黑体"/>
          <w:color w:val="auto"/>
          <w:sz w:val="24"/>
          <w:u w:val="single"/>
        </w:rPr>
        <w:t xml:space="preserve">                                 </w:t>
      </w:r>
      <w:r>
        <w:rPr>
          <w:rFonts w:hint="eastAsia" w:ascii="黑体" w:hAnsi="黑体" w:eastAsia="黑体" w:cs="黑体"/>
          <w:color w:val="auto"/>
          <w:sz w:val="24"/>
        </w:rPr>
        <w:t xml:space="preserve">                            </w:t>
      </w:r>
    </w:p>
    <w:p w14:paraId="68262C82">
      <w:pPr>
        <w:pStyle w:val="18"/>
        <w:tabs>
          <w:tab w:val="left" w:pos="5580"/>
        </w:tabs>
        <w:spacing w:line="360" w:lineRule="auto"/>
        <w:ind w:left="0" w:leftChars="0" w:firstLine="638" w:firstLineChars="266"/>
        <w:rPr>
          <w:rFonts w:hint="eastAsia" w:ascii="黑体" w:hAnsi="黑体" w:eastAsia="黑体" w:cs="黑体"/>
          <w:color w:val="auto"/>
          <w:sz w:val="24"/>
        </w:rPr>
      </w:pPr>
      <w:r>
        <w:rPr>
          <w:rFonts w:hint="eastAsia" w:ascii="黑体" w:hAnsi="黑体" w:eastAsia="黑体" w:cs="黑体"/>
          <w:color w:val="auto"/>
          <w:sz w:val="24"/>
        </w:rPr>
        <w:t>详细通讯地址：</w:t>
      </w:r>
      <w:r>
        <w:rPr>
          <w:rFonts w:hint="eastAsia" w:ascii="黑体" w:hAnsi="黑体" w:eastAsia="黑体" w:cs="黑体"/>
          <w:color w:val="auto"/>
          <w:sz w:val="24"/>
          <w:u w:val="single"/>
        </w:rPr>
        <w:t xml:space="preserve">                               </w:t>
      </w:r>
      <w:r>
        <w:rPr>
          <w:rFonts w:hint="eastAsia" w:ascii="黑体" w:hAnsi="黑体" w:eastAsia="黑体" w:cs="黑体"/>
          <w:color w:val="auto"/>
          <w:sz w:val="24"/>
        </w:rPr>
        <w:t xml:space="preserve">                                  </w:t>
      </w:r>
    </w:p>
    <w:p w14:paraId="595C25D8">
      <w:pPr>
        <w:pStyle w:val="18"/>
        <w:tabs>
          <w:tab w:val="left" w:pos="5580"/>
        </w:tabs>
        <w:spacing w:line="360" w:lineRule="auto"/>
        <w:ind w:left="0" w:leftChars="0" w:firstLine="638" w:firstLineChars="266"/>
        <w:rPr>
          <w:rFonts w:hint="eastAsia" w:ascii="黑体" w:hAnsi="黑体" w:eastAsia="黑体" w:cs="黑体"/>
          <w:color w:val="auto"/>
          <w:sz w:val="24"/>
          <w:u w:val="single"/>
        </w:rPr>
      </w:pPr>
      <w:r>
        <w:rPr>
          <w:rFonts w:hint="eastAsia" w:ascii="黑体" w:hAnsi="黑体" w:eastAsia="黑体" w:cs="黑体"/>
          <w:color w:val="auto"/>
          <w:sz w:val="24"/>
        </w:rPr>
        <w:t>邮 政 编 码 ：</w:t>
      </w:r>
      <w:r>
        <w:rPr>
          <w:rFonts w:hint="eastAsia" w:ascii="黑体" w:hAnsi="黑体" w:eastAsia="黑体" w:cs="黑体"/>
          <w:color w:val="auto"/>
          <w:sz w:val="24"/>
          <w:u w:val="single"/>
        </w:rPr>
        <w:t xml:space="preserve">                               </w:t>
      </w:r>
    </w:p>
    <w:p w14:paraId="33D88302">
      <w:pPr>
        <w:pStyle w:val="18"/>
        <w:tabs>
          <w:tab w:val="left" w:pos="5580"/>
        </w:tabs>
        <w:spacing w:line="360" w:lineRule="auto"/>
        <w:ind w:left="0" w:leftChars="0" w:firstLine="638" w:firstLineChars="266"/>
        <w:rPr>
          <w:rFonts w:hint="eastAsia" w:ascii="黑体" w:hAnsi="黑体" w:eastAsia="黑体" w:cs="黑体"/>
          <w:color w:val="auto"/>
          <w:sz w:val="24"/>
          <w:u w:val="single"/>
        </w:rPr>
      </w:pPr>
      <w:r>
        <w:rPr>
          <w:rFonts w:hint="eastAsia" w:ascii="黑体" w:hAnsi="黑体" w:eastAsia="黑体" w:cs="黑体"/>
          <w:color w:val="auto"/>
          <w:sz w:val="24"/>
        </w:rPr>
        <w:t>日       期 ：</w:t>
      </w:r>
      <w:r>
        <w:rPr>
          <w:rFonts w:hint="eastAsia" w:ascii="黑体" w:hAnsi="黑体" w:eastAsia="黑体" w:cs="黑体"/>
          <w:color w:val="auto"/>
          <w:sz w:val="24"/>
          <w:u w:val="single"/>
        </w:rPr>
        <w:t xml:space="preserve">                               </w:t>
      </w:r>
    </w:p>
    <w:p w14:paraId="681BBC3C">
      <w:pPr>
        <w:pStyle w:val="18"/>
        <w:tabs>
          <w:tab w:val="left" w:pos="5580"/>
        </w:tabs>
        <w:spacing w:line="360" w:lineRule="auto"/>
        <w:ind w:firstLine="480" w:firstLineChars="200"/>
        <w:rPr>
          <w:rFonts w:hint="eastAsia" w:ascii="黑体" w:hAnsi="黑体" w:eastAsia="黑体" w:cs="黑体"/>
          <w:color w:val="auto"/>
          <w:sz w:val="24"/>
          <w:u w:val="single"/>
        </w:rPr>
      </w:pPr>
    </w:p>
    <w:p w14:paraId="2EA83C1F">
      <w:pPr>
        <w:pStyle w:val="18"/>
        <w:tabs>
          <w:tab w:val="left" w:pos="5580"/>
        </w:tabs>
        <w:spacing w:line="360" w:lineRule="auto"/>
        <w:ind w:firstLine="480" w:firstLineChars="200"/>
        <w:rPr>
          <w:rFonts w:hint="eastAsia" w:ascii="黑体" w:hAnsi="黑体" w:eastAsia="黑体" w:cs="黑体"/>
          <w:color w:val="auto"/>
          <w:sz w:val="24"/>
          <w:u w:val="single"/>
        </w:rPr>
      </w:pPr>
    </w:p>
    <w:bookmarkEnd w:id="274"/>
    <w:bookmarkEnd w:id="275"/>
    <w:bookmarkEnd w:id="276"/>
    <w:bookmarkEnd w:id="277"/>
    <w:bookmarkEnd w:id="278"/>
    <w:bookmarkEnd w:id="279"/>
    <w:bookmarkEnd w:id="280"/>
    <w:bookmarkEnd w:id="281"/>
    <w:p w14:paraId="40725302">
      <w:pPr>
        <w:pStyle w:val="6"/>
        <w:tabs>
          <w:tab w:val="left" w:pos="540"/>
        </w:tabs>
        <w:jc w:val="center"/>
        <w:rPr>
          <w:rFonts w:hint="eastAsia" w:ascii="黑体" w:hAnsi="黑体" w:eastAsia="黑体" w:cs="黑体"/>
          <w:color w:val="auto"/>
          <w:sz w:val="24"/>
          <w:szCs w:val="24"/>
          <w:lang w:val="en-US" w:eastAsia="zh-CN"/>
        </w:rPr>
      </w:pPr>
      <w:r>
        <w:rPr>
          <w:rFonts w:hint="eastAsia" w:ascii="黑体" w:hAnsi="黑体" w:cs="黑体"/>
          <w:b/>
          <w:bCs w:val="0"/>
          <w:color w:val="auto"/>
          <w:sz w:val="28"/>
          <w:szCs w:val="28"/>
          <w:lang w:val="en-US" w:eastAsia="zh-CN"/>
        </w:rPr>
        <w:t>4、</w:t>
      </w:r>
      <w:r>
        <w:rPr>
          <w:rFonts w:hint="eastAsia" w:ascii="黑体" w:hAnsi="黑体" w:eastAsia="黑体" w:cs="黑体"/>
          <w:b/>
          <w:bCs w:val="0"/>
          <w:color w:val="auto"/>
          <w:sz w:val="28"/>
          <w:szCs w:val="28"/>
          <w:lang w:val="en-US" w:eastAsia="zh-CN"/>
        </w:rPr>
        <w:t>提供2023年度经会计事务所出具财务审计报告；（新成立公司提供有效期内的银行资信证明）</w:t>
      </w:r>
    </w:p>
    <w:p w14:paraId="38AD1AC7">
      <w:pPr>
        <w:rPr>
          <w:rFonts w:hint="eastAsia" w:ascii="黑体" w:hAnsi="黑体" w:eastAsia="黑体" w:cs="黑体"/>
          <w:color w:val="auto"/>
          <w:sz w:val="24"/>
          <w:lang w:val="en-US" w:eastAsia="zh-CN"/>
        </w:rPr>
      </w:pPr>
    </w:p>
    <w:p w14:paraId="2694BF69">
      <w:pPr>
        <w:pStyle w:val="55"/>
        <w:rPr>
          <w:rFonts w:hint="eastAsia" w:ascii="黑体" w:hAnsi="黑体" w:eastAsia="黑体" w:cs="黑体"/>
          <w:color w:val="auto"/>
          <w:sz w:val="24"/>
          <w:lang w:val="en-US" w:eastAsia="zh-CN"/>
        </w:rPr>
      </w:pPr>
    </w:p>
    <w:p w14:paraId="163380B9">
      <w:pPr>
        <w:rPr>
          <w:rFonts w:hint="eastAsia" w:ascii="黑体" w:hAnsi="黑体" w:eastAsia="黑体" w:cs="黑体"/>
          <w:color w:val="auto"/>
          <w:sz w:val="24"/>
          <w:lang w:val="en-US" w:eastAsia="zh-CN"/>
        </w:rPr>
      </w:pPr>
    </w:p>
    <w:p w14:paraId="2D6E3717">
      <w:pPr>
        <w:pStyle w:val="55"/>
        <w:rPr>
          <w:rFonts w:hint="eastAsia" w:ascii="黑体" w:hAnsi="黑体" w:eastAsia="黑体" w:cs="黑体"/>
          <w:color w:val="auto"/>
          <w:sz w:val="24"/>
          <w:lang w:val="en-US" w:eastAsia="zh-CN"/>
        </w:rPr>
      </w:pPr>
    </w:p>
    <w:p w14:paraId="17158D82">
      <w:pPr>
        <w:rPr>
          <w:rFonts w:hint="eastAsia" w:ascii="黑体" w:hAnsi="黑体" w:eastAsia="黑体" w:cs="黑体"/>
          <w:color w:val="auto"/>
          <w:sz w:val="24"/>
          <w:lang w:val="en-US" w:eastAsia="zh-CN"/>
        </w:rPr>
      </w:pPr>
    </w:p>
    <w:p w14:paraId="7E0256D1">
      <w:pPr>
        <w:pStyle w:val="55"/>
        <w:rPr>
          <w:rFonts w:hint="eastAsia" w:ascii="黑体" w:hAnsi="黑体" w:eastAsia="黑体" w:cs="黑体"/>
          <w:color w:val="auto"/>
          <w:sz w:val="24"/>
          <w:lang w:val="en-US" w:eastAsia="zh-CN"/>
        </w:rPr>
      </w:pPr>
    </w:p>
    <w:p w14:paraId="33523E90">
      <w:pPr>
        <w:rPr>
          <w:rFonts w:hint="eastAsia" w:ascii="黑体" w:hAnsi="黑体" w:eastAsia="黑体" w:cs="黑体"/>
          <w:color w:val="auto"/>
          <w:sz w:val="24"/>
          <w:lang w:val="en-US" w:eastAsia="zh-CN"/>
        </w:rPr>
      </w:pPr>
    </w:p>
    <w:p w14:paraId="6D8F5F0A">
      <w:pPr>
        <w:pStyle w:val="55"/>
        <w:rPr>
          <w:rFonts w:hint="eastAsia" w:ascii="黑体" w:hAnsi="黑体" w:eastAsia="黑体" w:cs="黑体"/>
          <w:color w:val="auto"/>
          <w:sz w:val="24"/>
          <w:lang w:val="en-US" w:eastAsia="zh-CN"/>
        </w:rPr>
      </w:pPr>
    </w:p>
    <w:p w14:paraId="1604B0D8">
      <w:pPr>
        <w:rPr>
          <w:rFonts w:hint="eastAsia" w:ascii="黑体" w:hAnsi="黑体" w:eastAsia="黑体" w:cs="黑体"/>
          <w:color w:val="auto"/>
          <w:sz w:val="24"/>
          <w:lang w:val="en-US" w:eastAsia="zh-CN"/>
        </w:rPr>
      </w:pPr>
    </w:p>
    <w:p w14:paraId="0FB0603F">
      <w:pPr>
        <w:pStyle w:val="55"/>
        <w:rPr>
          <w:rFonts w:hint="eastAsia" w:ascii="黑体" w:hAnsi="黑体" w:eastAsia="黑体" w:cs="黑体"/>
          <w:color w:val="auto"/>
          <w:sz w:val="24"/>
          <w:lang w:val="en-US" w:eastAsia="zh-CN"/>
        </w:rPr>
      </w:pPr>
    </w:p>
    <w:p w14:paraId="4ED24FDC">
      <w:pPr>
        <w:rPr>
          <w:rFonts w:hint="eastAsia" w:ascii="黑体" w:hAnsi="黑体" w:eastAsia="黑体" w:cs="黑体"/>
          <w:color w:val="auto"/>
          <w:sz w:val="24"/>
          <w:lang w:val="en-US" w:eastAsia="zh-CN"/>
        </w:rPr>
      </w:pPr>
    </w:p>
    <w:p w14:paraId="5F605CE5">
      <w:pPr>
        <w:pStyle w:val="55"/>
        <w:rPr>
          <w:rFonts w:hint="eastAsia" w:ascii="黑体" w:hAnsi="黑体" w:eastAsia="黑体" w:cs="黑体"/>
          <w:color w:val="auto"/>
          <w:sz w:val="24"/>
          <w:lang w:val="en-US" w:eastAsia="zh-CN"/>
        </w:rPr>
      </w:pPr>
    </w:p>
    <w:p w14:paraId="31AC0085">
      <w:pPr>
        <w:rPr>
          <w:rFonts w:hint="eastAsia" w:ascii="黑体" w:hAnsi="黑体" w:eastAsia="黑体" w:cs="黑体"/>
          <w:color w:val="auto"/>
          <w:sz w:val="24"/>
          <w:lang w:val="en-US" w:eastAsia="zh-CN"/>
        </w:rPr>
      </w:pPr>
    </w:p>
    <w:p w14:paraId="1D376FA4">
      <w:pPr>
        <w:pStyle w:val="55"/>
        <w:rPr>
          <w:rFonts w:hint="eastAsia" w:ascii="黑体" w:hAnsi="黑体" w:eastAsia="黑体" w:cs="黑体"/>
          <w:color w:val="auto"/>
          <w:sz w:val="24"/>
          <w:lang w:val="en-US" w:eastAsia="zh-CN"/>
        </w:rPr>
      </w:pPr>
    </w:p>
    <w:p w14:paraId="0D7DEC0D">
      <w:pPr>
        <w:rPr>
          <w:rFonts w:hint="eastAsia" w:ascii="黑体" w:hAnsi="黑体" w:eastAsia="黑体" w:cs="黑体"/>
          <w:color w:val="auto"/>
          <w:sz w:val="24"/>
          <w:lang w:val="en-US" w:eastAsia="zh-CN"/>
        </w:rPr>
      </w:pPr>
    </w:p>
    <w:p w14:paraId="05AEF127">
      <w:pPr>
        <w:pStyle w:val="55"/>
        <w:rPr>
          <w:rFonts w:hint="eastAsia" w:ascii="黑体" w:hAnsi="黑体" w:eastAsia="黑体" w:cs="黑体"/>
          <w:color w:val="auto"/>
          <w:sz w:val="24"/>
          <w:lang w:val="en-US" w:eastAsia="zh-CN"/>
        </w:rPr>
      </w:pPr>
    </w:p>
    <w:p w14:paraId="5D569B06">
      <w:pPr>
        <w:rPr>
          <w:rFonts w:hint="eastAsia" w:ascii="黑体" w:hAnsi="黑体" w:eastAsia="黑体" w:cs="黑体"/>
          <w:color w:val="auto"/>
          <w:lang w:val="en-US" w:eastAsia="zh-CN"/>
        </w:rPr>
      </w:pPr>
    </w:p>
    <w:p w14:paraId="29101B35">
      <w:pPr>
        <w:pStyle w:val="6"/>
        <w:spacing w:before="0" w:line="360" w:lineRule="exact"/>
        <w:outlineLvl w:val="9"/>
        <w:rPr>
          <w:rFonts w:hint="eastAsia" w:ascii="黑体" w:hAnsi="黑体" w:eastAsia="黑体" w:cs="黑体"/>
          <w:color w:val="auto"/>
          <w:sz w:val="24"/>
          <w:lang w:val="en-US" w:eastAsia="zh-CN"/>
        </w:rPr>
      </w:pPr>
    </w:p>
    <w:p w14:paraId="58ACEEDB">
      <w:pPr>
        <w:pStyle w:val="55"/>
        <w:jc w:val="center"/>
        <w:rPr>
          <w:rFonts w:hint="eastAsia" w:ascii="黑体" w:hAnsi="黑体" w:eastAsia="黑体" w:cs="黑体"/>
          <w:b/>
          <w:bCs/>
          <w:color w:val="auto"/>
          <w:sz w:val="28"/>
          <w:szCs w:val="28"/>
        </w:rPr>
      </w:pPr>
      <w:r>
        <w:rPr>
          <w:rFonts w:hint="eastAsia" w:ascii="黑体" w:hAnsi="黑体" w:eastAsia="黑体" w:cs="黑体"/>
          <w:b/>
          <w:bCs/>
          <w:color w:val="auto"/>
          <w:sz w:val="28"/>
          <w:szCs w:val="28"/>
          <w:lang w:val="en-US" w:eastAsia="zh-CN"/>
        </w:rPr>
        <w:t>5、公司依法缴纳近六个月任意一个月的社保缴纳凭证；</w:t>
      </w:r>
    </w:p>
    <w:p w14:paraId="3188009C">
      <w:pPr>
        <w:pStyle w:val="55"/>
        <w:rPr>
          <w:rFonts w:hint="eastAsia" w:ascii="黑体" w:hAnsi="黑体" w:eastAsia="黑体" w:cs="黑体"/>
          <w:b/>
          <w:bCs/>
          <w:color w:val="auto"/>
          <w:sz w:val="28"/>
          <w:szCs w:val="28"/>
        </w:rPr>
      </w:pPr>
    </w:p>
    <w:p w14:paraId="15376826">
      <w:pPr>
        <w:pStyle w:val="55"/>
        <w:rPr>
          <w:rFonts w:hint="eastAsia" w:ascii="黑体" w:hAnsi="黑体" w:eastAsia="黑体" w:cs="黑体"/>
          <w:b/>
          <w:bCs/>
          <w:color w:val="auto"/>
          <w:sz w:val="28"/>
          <w:szCs w:val="28"/>
        </w:rPr>
      </w:pPr>
    </w:p>
    <w:p w14:paraId="62A82B78">
      <w:pPr>
        <w:pStyle w:val="55"/>
        <w:rPr>
          <w:rFonts w:hint="eastAsia" w:ascii="黑体" w:hAnsi="黑体" w:eastAsia="黑体" w:cs="黑体"/>
          <w:b/>
          <w:bCs/>
          <w:color w:val="auto"/>
          <w:sz w:val="28"/>
          <w:szCs w:val="28"/>
        </w:rPr>
      </w:pPr>
    </w:p>
    <w:p w14:paraId="467B8510">
      <w:pPr>
        <w:rPr>
          <w:rFonts w:hint="eastAsia" w:ascii="黑体" w:hAnsi="黑体" w:eastAsia="黑体" w:cs="黑体"/>
          <w:b/>
          <w:bCs/>
          <w:color w:val="auto"/>
          <w:sz w:val="28"/>
          <w:szCs w:val="28"/>
        </w:rPr>
      </w:pPr>
    </w:p>
    <w:p w14:paraId="3DCE9C90">
      <w:pPr>
        <w:pStyle w:val="55"/>
        <w:rPr>
          <w:rFonts w:hint="eastAsia" w:ascii="黑体" w:hAnsi="黑体" w:eastAsia="黑体" w:cs="黑体"/>
          <w:b/>
          <w:bCs/>
          <w:color w:val="auto"/>
          <w:sz w:val="28"/>
          <w:szCs w:val="28"/>
        </w:rPr>
      </w:pPr>
    </w:p>
    <w:p w14:paraId="35A9B26D">
      <w:pPr>
        <w:spacing w:line="360" w:lineRule="exact"/>
        <w:rPr>
          <w:rFonts w:hint="eastAsia" w:ascii="黑体" w:hAnsi="黑体" w:eastAsia="黑体" w:cs="黑体"/>
          <w:color w:val="auto"/>
          <w:sz w:val="28"/>
          <w:szCs w:val="28"/>
        </w:rPr>
      </w:pPr>
    </w:p>
    <w:p w14:paraId="100E5688">
      <w:pPr>
        <w:rPr>
          <w:rFonts w:hint="eastAsia" w:ascii="黑体" w:hAnsi="黑体" w:eastAsia="黑体" w:cs="黑体"/>
          <w:color w:val="auto"/>
          <w:sz w:val="24"/>
          <w:lang w:val="en-US" w:eastAsia="zh-CN"/>
        </w:rPr>
      </w:pPr>
      <w:bookmarkStart w:id="292" w:name="_Toc515647814"/>
      <w:bookmarkStart w:id="293" w:name="_Toc2502"/>
      <w:bookmarkStart w:id="294" w:name="_Toc23044"/>
      <w:r>
        <w:rPr>
          <w:rFonts w:hint="eastAsia" w:ascii="黑体" w:hAnsi="黑体" w:eastAsia="黑体" w:cs="黑体"/>
          <w:color w:val="auto"/>
          <w:sz w:val="24"/>
          <w:lang w:val="en-US" w:eastAsia="zh-CN"/>
        </w:rPr>
        <w:br w:type="page"/>
      </w:r>
    </w:p>
    <w:p w14:paraId="72A681C9">
      <w:pPr>
        <w:pStyle w:val="6"/>
        <w:spacing w:before="0" w:line="360" w:lineRule="exact"/>
        <w:jc w:val="center"/>
        <w:rPr>
          <w:rFonts w:hint="eastAsia" w:ascii="黑体" w:hAnsi="黑体" w:eastAsia="黑体" w:cs="黑体"/>
          <w:color w:val="auto"/>
          <w:sz w:val="28"/>
          <w:szCs w:val="28"/>
          <w:lang w:val="en-US" w:eastAsia="zh-CN"/>
        </w:rPr>
      </w:pPr>
      <w:r>
        <w:rPr>
          <w:rFonts w:hint="eastAsia" w:ascii="黑体" w:hAnsi="黑体" w:cs="黑体"/>
          <w:color w:val="auto"/>
          <w:sz w:val="28"/>
          <w:szCs w:val="28"/>
          <w:lang w:val="en-US" w:eastAsia="zh-CN"/>
        </w:rPr>
        <w:t>6、</w:t>
      </w:r>
      <w:r>
        <w:rPr>
          <w:rFonts w:hint="eastAsia" w:ascii="黑体" w:hAnsi="黑体" w:eastAsia="黑体" w:cs="黑体"/>
          <w:color w:val="auto"/>
          <w:sz w:val="28"/>
          <w:szCs w:val="28"/>
          <w:lang w:val="en-US" w:eastAsia="zh-CN"/>
        </w:rPr>
        <w:t>公司依法缴纳的近六个月任意一个月的完税证明；</w:t>
      </w:r>
    </w:p>
    <w:p w14:paraId="5BC35F1F">
      <w:pPr>
        <w:pStyle w:val="6"/>
        <w:spacing w:before="0" w:after="0" w:line="360" w:lineRule="auto"/>
        <w:ind w:left="0" w:leftChars="0" w:firstLine="420" w:firstLineChars="175"/>
        <w:rPr>
          <w:rFonts w:hint="eastAsia" w:ascii="黑体" w:hAnsi="黑体" w:eastAsia="黑体" w:cs="黑体"/>
          <w:color w:val="auto"/>
          <w:sz w:val="24"/>
          <w:lang w:val="en-US" w:eastAsia="zh-CN"/>
        </w:rPr>
      </w:pPr>
      <w:r>
        <w:rPr>
          <w:rFonts w:hint="eastAsia" w:ascii="黑体" w:hAnsi="黑体" w:eastAsia="黑体" w:cs="黑体"/>
          <w:color w:val="auto"/>
          <w:sz w:val="24"/>
          <w:lang w:val="en-US" w:eastAsia="zh-CN"/>
        </w:rPr>
        <w:t>注：①若为零申报企业，需提供无欠税证明或国家税务总局电子税务局“申报结果查询截图”。</w:t>
      </w:r>
    </w:p>
    <w:p w14:paraId="26993B6F">
      <w:pPr>
        <w:pStyle w:val="6"/>
        <w:spacing w:before="0" w:after="0" w:line="360" w:lineRule="auto"/>
        <w:ind w:left="0" w:leftChars="0" w:firstLine="420" w:firstLineChars="175"/>
        <w:rPr>
          <w:rFonts w:hint="eastAsia" w:ascii="黑体" w:hAnsi="黑体" w:eastAsia="黑体" w:cs="黑体"/>
          <w:color w:val="auto"/>
          <w:sz w:val="24"/>
          <w:lang w:val="en-US" w:eastAsia="zh-CN"/>
        </w:rPr>
      </w:pPr>
      <w:r>
        <w:rPr>
          <w:rFonts w:hint="eastAsia" w:ascii="黑体" w:hAnsi="黑体" w:eastAsia="黑体" w:cs="黑体"/>
          <w:color w:val="auto"/>
          <w:sz w:val="24"/>
          <w:lang w:val="en-US" w:eastAsia="zh-CN"/>
        </w:rPr>
        <w:t>②“税种”非社会保险</w:t>
      </w:r>
      <w:r>
        <w:rPr>
          <w:rFonts w:hint="eastAsia" w:ascii="黑体" w:hAnsi="黑体" w:cs="黑体"/>
          <w:color w:val="auto"/>
          <w:sz w:val="24"/>
          <w:lang w:val="en-US" w:eastAsia="zh-CN"/>
        </w:rPr>
        <w:t>类</w:t>
      </w:r>
      <w:r>
        <w:rPr>
          <w:rFonts w:hint="eastAsia" w:ascii="黑体" w:hAnsi="黑体" w:eastAsia="黑体" w:cs="黑体"/>
          <w:color w:val="auto"/>
          <w:sz w:val="24"/>
          <w:lang w:val="en-US" w:eastAsia="zh-CN"/>
        </w:rPr>
        <w:t>；</w:t>
      </w:r>
    </w:p>
    <w:p w14:paraId="167259FB">
      <w:pPr>
        <w:pStyle w:val="18"/>
        <w:tabs>
          <w:tab w:val="left" w:pos="5580"/>
        </w:tabs>
        <w:spacing w:line="360" w:lineRule="exact"/>
        <w:ind w:left="1079" w:leftChars="257" w:hanging="540"/>
        <w:rPr>
          <w:rFonts w:hint="eastAsia" w:ascii="黑体" w:hAnsi="黑体" w:eastAsia="黑体" w:cs="黑体"/>
          <w:color w:val="auto"/>
          <w:sz w:val="24"/>
        </w:rPr>
      </w:pPr>
    </w:p>
    <w:p w14:paraId="15131400">
      <w:pPr>
        <w:pStyle w:val="18"/>
        <w:tabs>
          <w:tab w:val="left" w:pos="5580"/>
        </w:tabs>
        <w:spacing w:line="360" w:lineRule="exact"/>
        <w:ind w:left="1079" w:leftChars="257" w:hanging="540"/>
        <w:rPr>
          <w:rFonts w:hint="eastAsia" w:ascii="黑体" w:hAnsi="黑体" w:eastAsia="黑体" w:cs="黑体"/>
          <w:color w:val="auto"/>
          <w:sz w:val="24"/>
        </w:rPr>
      </w:pPr>
    </w:p>
    <w:p w14:paraId="738BB976">
      <w:pPr>
        <w:pStyle w:val="11"/>
        <w:rPr>
          <w:rFonts w:hint="eastAsia" w:ascii="黑体" w:hAnsi="黑体" w:eastAsia="黑体" w:cs="黑体"/>
          <w:color w:val="auto"/>
          <w:sz w:val="24"/>
        </w:rPr>
      </w:pPr>
    </w:p>
    <w:p w14:paraId="1A6E31CF">
      <w:pPr>
        <w:rPr>
          <w:rFonts w:hint="eastAsia" w:ascii="黑体" w:hAnsi="黑体" w:eastAsia="黑体" w:cs="黑体"/>
          <w:color w:val="auto"/>
          <w:sz w:val="24"/>
        </w:rPr>
      </w:pPr>
    </w:p>
    <w:p w14:paraId="208AC12B">
      <w:pPr>
        <w:pStyle w:val="55"/>
        <w:rPr>
          <w:rFonts w:hint="eastAsia" w:ascii="黑体" w:hAnsi="黑体" w:eastAsia="黑体" w:cs="黑体"/>
          <w:color w:val="auto"/>
          <w:sz w:val="24"/>
        </w:rPr>
      </w:pPr>
    </w:p>
    <w:p w14:paraId="21B84EA2">
      <w:pPr>
        <w:rPr>
          <w:rFonts w:hint="eastAsia" w:ascii="黑体" w:hAnsi="黑体" w:eastAsia="黑体" w:cs="黑体"/>
          <w:color w:val="auto"/>
          <w:sz w:val="24"/>
        </w:rPr>
      </w:pPr>
    </w:p>
    <w:p w14:paraId="583CA763">
      <w:pPr>
        <w:pStyle w:val="55"/>
        <w:rPr>
          <w:rFonts w:hint="eastAsia" w:ascii="黑体" w:hAnsi="黑体" w:eastAsia="黑体" w:cs="黑体"/>
          <w:color w:val="auto"/>
        </w:rPr>
      </w:pPr>
    </w:p>
    <w:p w14:paraId="5E903203">
      <w:pPr>
        <w:pStyle w:val="18"/>
        <w:tabs>
          <w:tab w:val="left" w:pos="5580"/>
        </w:tabs>
        <w:spacing w:line="360" w:lineRule="exact"/>
        <w:ind w:left="1079" w:leftChars="257" w:hanging="540"/>
        <w:rPr>
          <w:rFonts w:hint="eastAsia" w:ascii="黑体" w:hAnsi="黑体" w:eastAsia="黑体" w:cs="黑体"/>
          <w:color w:val="auto"/>
          <w:sz w:val="24"/>
        </w:rPr>
      </w:pPr>
    </w:p>
    <w:p w14:paraId="03622840">
      <w:pPr>
        <w:pStyle w:val="18"/>
        <w:tabs>
          <w:tab w:val="left" w:pos="5580"/>
        </w:tabs>
        <w:spacing w:line="360" w:lineRule="exact"/>
        <w:rPr>
          <w:rFonts w:hint="eastAsia" w:ascii="黑体" w:hAnsi="黑体" w:eastAsia="黑体" w:cs="黑体"/>
          <w:b/>
          <w:color w:val="auto"/>
          <w:kern w:val="0"/>
          <w:sz w:val="24"/>
          <w:szCs w:val="20"/>
          <w:lang w:val="en-US" w:eastAsia="zh-CN" w:bidi="ar-SA"/>
        </w:rPr>
      </w:pPr>
    </w:p>
    <w:p w14:paraId="6DA08EBD">
      <w:pPr>
        <w:pStyle w:val="18"/>
        <w:tabs>
          <w:tab w:val="left" w:pos="5580"/>
        </w:tabs>
        <w:spacing w:line="360" w:lineRule="exact"/>
        <w:rPr>
          <w:rFonts w:hint="eastAsia" w:ascii="黑体" w:hAnsi="黑体" w:eastAsia="黑体" w:cs="黑体"/>
          <w:b/>
          <w:color w:val="auto"/>
          <w:kern w:val="0"/>
          <w:sz w:val="24"/>
          <w:szCs w:val="20"/>
          <w:lang w:val="en-US" w:eastAsia="zh-CN" w:bidi="ar-SA"/>
        </w:rPr>
      </w:pPr>
    </w:p>
    <w:p w14:paraId="2E123C77">
      <w:pPr>
        <w:pStyle w:val="18"/>
        <w:keepNext w:val="0"/>
        <w:keepLines w:val="0"/>
        <w:pageBreakBefore w:val="0"/>
        <w:widowControl w:val="0"/>
        <w:tabs>
          <w:tab w:val="left" w:pos="5580"/>
        </w:tabs>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黑体" w:hAnsi="黑体" w:eastAsia="黑体" w:cs="黑体"/>
          <w:color w:val="auto"/>
          <w:sz w:val="24"/>
          <w:highlight w:val="yellow"/>
        </w:rPr>
      </w:pPr>
      <w:r>
        <w:rPr>
          <w:rStyle w:val="47"/>
          <w:rFonts w:hint="eastAsia" w:ascii="黑体" w:hAnsi="黑体" w:eastAsia="黑体" w:cs="黑体"/>
          <w:b/>
          <w:bCs/>
          <w:color w:val="auto"/>
          <w:sz w:val="28"/>
          <w:szCs w:val="28"/>
          <w:highlight w:val="none"/>
          <w:lang w:val="en-US" w:eastAsia="zh-CN"/>
        </w:rPr>
        <w:t>7、投标人近3年(投标截止时间往前推算)，凡拟参加本次招标项目的投标人，如在“信用中国”网站被列入失信被执行人、重大税收违法失信主体(信用中国首页-点击信用服务-查询）、中国政府采购网（http://www.ccgp.gov.cn/search/cr/）严重违法失信行为记录名单的（尚在处罚期内的）。将拒绝其参加本次招标活动；（提供查询结果网页截图并加盖供应商公章，提供截图日期需在本项目领取磋商文件期内）。</w:t>
      </w:r>
    </w:p>
    <w:p w14:paraId="6671D97D">
      <w:pPr>
        <w:pStyle w:val="18"/>
        <w:tabs>
          <w:tab w:val="left" w:pos="5580"/>
        </w:tabs>
        <w:spacing w:line="360" w:lineRule="exact"/>
        <w:ind w:left="1079" w:leftChars="257" w:hanging="540"/>
        <w:rPr>
          <w:rFonts w:hint="eastAsia" w:ascii="黑体" w:hAnsi="黑体" w:eastAsia="黑体" w:cs="黑体"/>
          <w:color w:val="auto"/>
          <w:sz w:val="24"/>
        </w:rPr>
      </w:pPr>
    </w:p>
    <w:p w14:paraId="7D2E38C5">
      <w:pPr>
        <w:pStyle w:val="6"/>
        <w:spacing w:before="0" w:line="360" w:lineRule="exact"/>
        <w:outlineLvl w:val="9"/>
        <w:rPr>
          <w:rFonts w:hint="eastAsia" w:ascii="黑体" w:hAnsi="黑体" w:eastAsia="黑体" w:cs="黑体"/>
          <w:color w:val="auto"/>
          <w:sz w:val="24"/>
          <w:lang w:val="en-US" w:eastAsia="zh-CN"/>
        </w:rPr>
      </w:pPr>
    </w:p>
    <w:p w14:paraId="4E0DA6C0">
      <w:pPr>
        <w:pStyle w:val="6"/>
        <w:spacing w:before="0" w:line="360" w:lineRule="exact"/>
        <w:outlineLvl w:val="9"/>
        <w:rPr>
          <w:rFonts w:hint="eastAsia" w:ascii="黑体" w:hAnsi="黑体" w:eastAsia="黑体" w:cs="黑体"/>
          <w:color w:val="auto"/>
          <w:sz w:val="24"/>
          <w:lang w:val="en-US" w:eastAsia="zh-CN"/>
        </w:rPr>
      </w:pPr>
    </w:p>
    <w:p w14:paraId="5951687F">
      <w:pPr>
        <w:pStyle w:val="6"/>
        <w:spacing w:before="0" w:line="360" w:lineRule="exact"/>
        <w:outlineLvl w:val="9"/>
        <w:rPr>
          <w:rFonts w:hint="eastAsia" w:ascii="黑体" w:hAnsi="黑体" w:eastAsia="黑体" w:cs="黑体"/>
          <w:color w:val="auto"/>
          <w:sz w:val="24"/>
          <w:lang w:val="en-US" w:eastAsia="zh-CN"/>
        </w:rPr>
      </w:pPr>
    </w:p>
    <w:p w14:paraId="77B7B14C">
      <w:pPr>
        <w:rPr>
          <w:rFonts w:hint="eastAsia" w:ascii="黑体" w:hAnsi="黑体" w:eastAsia="黑体" w:cs="黑体"/>
          <w:color w:val="auto"/>
          <w:sz w:val="24"/>
          <w:lang w:val="en-US" w:eastAsia="zh-CN"/>
        </w:rPr>
      </w:pPr>
    </w:p>
    <w:p w14:paraId="3EB42EFA">
      <w:pPr>
        <w:pStyle w:val="55"/>
        <w:rPr>
          <w:rFonts w:hint="eastAsia" w:ascii="黑体" w:hAnsi="黑体" w:eastAsia="黑体" w:cs="黑体"/>
          <w:color w:val="auto"/>
          <w:sz w:val="24"/>
          <w:lang w:val="en-US" w:eastAsia="zh-CN"/>
        </w:rPr>
      </w:pPr>
    </w:p>
    <w:p w14:paraId="2C0BABE9">
      <w:pPr>
        <w:rPr>
          <w:rFonts w:hint="eastAsia" w:ascii="黑体" w:hAnsi="黑体" w:eastAsia="黑体" w:cs="黑体"/>
          <w:color w:val="auto"/>
          <w:sz w:val="24"/>
          <w:lang w:val="en-US" w:eastAsia="zh-CN"/>
        </w:rPr>
      </w:pPr>
    </w:p>
    <w:p w14:paraId="275CDC58">
      <w:pPr>
        <w:pStyle w:val="54"/>
        <w:rPr>
          <w:rFonts w:hint="eastAsia" w:ascii="黑体" w:hAnsi="黑体" w:eastAsia="黑体" w:cs="黑体"/>
          <w:color w:val="auto"/>
          <w:sz w:val="24"/>
          <w:lang w:val="en-US" w:eastAsia="zh-CN"/>
        </w:rPr>
      </w:pPr>
    </w:p>
    <w:p w14:paraId="2C0EF44B">
      <w:pPr>
        <w:pStyle w:val="54"/>
        <w:rPr>
          <w:rFonts w:hint="eastAsia" w:ascii="黑体" w:hAnsi="黑体" w:eastAsia="黑体" w:cs="黑体"/>
          <w:color w:val="auto"/>
          <w:sz w:val="24"/>
          <w:lang w:val="en-US" w:eastAsia="zh-CN"/>
        </w:rPr>
      </w:pPr>
    </w:p>
    <w:p w14:paraId="5D6071D6">
      <w:pPr>
        <w:pStyle w:val="54"/>
        <w:rPr>
          <w:rFonts w:hint="eastAsia" w:ascii="黑体" w:hAnsi="黑体" w:eastAsia="黑体" w:cs="黑体"/>
          <w:color w:val="auto"/>
          <w:sz w:val="24"/>
          <w:lang w:val="en-US" w:eastAsia="zh-CN"/>
        </w:rPr>
      </w:pPr>
    </w:p>
    <w:p w14:paraId="4C655918">
      <w:pPr>
        <w:rPr>
          <w:rFonts w:hint="eastAsia" w:ascii="黑体" w:hAnsi="黑体" w:eastAsia="黑体" w:cs="黑体"/>
          <w:color w:val="auto"/>
          <w:sz w:val="24"/>
          <w:lang w:val="en-US" w:eastAsia="zh-CN"/>
        </w:rPr>
      </w:pPr>
      <w:r>
        <w:rPr>
          <w:rFonts w:hint="eastAsia" w:ascii="黑体" w:hAnsi="黑体" w:eastAsia="黑体" w:cs="黑体"/>
          <w:color w:val="auto"/>
          <w:sz w:val="24"/>
          <w:lang w:val="en-US" w:eastAsia="zh-CN"/>
        </w:rPr>
        <w:br w:type="page"/>
      </w:r>
    </w:p>
    <w:p w14:paraId="0EAB594A">
      <w:pPr>
        <w:jc w:val="center"/>
        <w:rPr>
          <w:rFonts w:hint="eastAsia" w:ascii="黑体" w:hAnsi="黑体" w:eastAsia="黑体" w:cs="黑体"/>
          <w:b/>
          <w:bCs/>
          <w:color w:val="auto"/>
          <w:sz w:val="28"/>
          <w:szCs w:val="36"/>
          <w:lang w:val="en-US" w:eastAsia="zh-CN"/>
        </w:rPr>
      </w:pPr>
      <w:r>
        <w:rPr>
          <w:rFonts w:hint="eastAsia" w:ascii="黑体" w:hAnsi="黑体" w:eastAsia="黑体" w:cs="黑体"/>
          <w:b/>
          <w:bCs/>
          <w:color w:val="auto"/>
          <w:sz w:val="28"/>
          <w:szCs w:val="36"/>
          <w:lang w:val="en-US" w:eastAsia="zh-CN"/>
        </w:rPr>
        <w:t>8、供应商须具备【水利水电工程施工总承包二级】（含）以上资质，拟派项目经理须具备【水利水电工程二级】(含)以上注册建造师执业资格并取得水利水电中级或以上职称，具备有效的B类安全生产考核合格证书且在有效期内，且不得担任其他在建工程的项目经理，并提供近六个月任意一个月社保缴纳证明；</w:t>
      </w:r>
    </w:p>
    <w:p w14:paraId="5C76AA29">
      <w:pPr>
        <w:rPr>
          <w:rFonts w:hint="eastAsia" w:ascii="黑体" w:hAnsi="黑体" w:eastAsia="黑体" w:cs="黑体"/>
          <w:b/>
          <w:bCs/>
          <w:sz w:val="28"/>
          <w:szCs w:val="36"/>
          <w:lang w:val="en-US" w:eastAsia="zh-CN"/>
        </w:rPr>
      </w:pPr>
    </w:p>
    <w:p w14:paraId="1248EE5B">
      <w:pPr>
        <w:rPr>
          <w:rFonts w:hint="eastAsia" w:ascii="黑体" w:hAnsi="黑体" w:eastAsia="黑体" w:cs="黑体"/>
          <w:b/>
          <w:bCs/>
          <w:sz w:val="28"/>
          <w:szCs w:val="36"/>
          <w:lang w:val="en-US" w:eastAsia="zh-CN"/>
        </w:rPr>
      </w:pPr>
    </w:p>
    <w:p w14:paraId="22601E2E">
      <w:pPr>
        <w:rPr>
          <w:rFonts w:hint="eastAsia" w:ascii="黑体" w:hAnsi="黑体" w:eastAsia="黑体" w:cs="黑体"/>
          <w:b/>
          <w:bCs/>
          <w:sz w:val="28"/>
          <w:szCs w:val="36"/>
          <w:lang w:val="en-US" w:eastAsia="zh-CN"/>
        </w:rPr>
      </w:pPr>
    </w:p>
    <w:p w14:paraId="383F202E">
      <w:pPr>
        <w:rPr>
          <w:rFonts w:hint="eastAsia" w:ascii="黑体" w:hAnsi="黑体" w:eastAsia="黑体" w:cs="黑体"/>
          <w:b/>
          <w:bCs/>
          <w:sz w:val="28"/>
          <w:szCs w:val="36"/>
          <w:lang w:val="en-US" w:eastAsia="zh-CN"/>
        </w:rPr>
      </w:pPr>
    </w:p>
    <w:p w14:paraId="784B999D">
      <w:pPr>
        <w:rPr>
          <w:rFonts w:hint="eastAsia" w:ascii="黑体" w:hAnsi="黑体" w:eastAsia="黑体" w:cs="黑体"/>
          <w:b/>
          <w:bCs/>
          <w:sz w:val="28"/>
          <w:szCs w:val="36"/>
          <w:lang w:val="en-US" w:eastAsia="zh-CN"/>
        </w:rPr>
      </w:pPr>
    </w:p>
    <w:p w14:paraId="5C8E9749">
      <w:pPr>
        <w:rPr>
          <w:rFonts w:hint="eastAsia" w:ascii="黑体" w:hAnsi="黑体" w:eastAsia="黑体" w:cs="黑体"/>
          <w:b/>
          <w:bCs/>
          <w:sz w:val="28"/>
          <w:szCs w:val="36"/>
          <w:lang w:val="en-US" w:eastAsia="zh-CN"/>
        </w:rPr>
      </w:pPr>
    </w:p>
    <w:p w14:paraId="19F22849">
      <w:pPr>
        <w:jc w:val="center"/>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9、提供参加政府采购活动前3年内在经营活动中没有重大违法记录的书面声明；</w:t>
      </w:r>
    </w:p>
    <w:p w14:paraId="3968F522">
      <w:pPr>
        <w:rPr>
          <w:rFonts w:hint="eastAsia" w:ascii="黑体" w:hAnsi="黑体" w:cs="黑体"/>
          <w:b/>
          <w:bCs/>
          <w:color w:val="auto"/>
          <w:sz w:val="28"/>
          <w:szCs w:val="28"/>
          <w:lang w:val="en-US" w:eastAsia="zh-CN"/>
        </w:rPr>
      </w:pPr>
    </w:p>
    <w:p w14:paraId="0FFA5604">
      <w:pPr>
        <w:rPr>
          <w:rFonts w:hint="eastAsia" w:ascii="黑体" w:hAnsi="黑体" w:cs="黑体"/>
          <w:b/>
          <w:bCs/>
          <w:color w:val="auto"/>
          <w:sz w:val="28"/>
          <w:szCs w:val="28"/>
          <w:lang w:val="en-US" w:eastAsia="zh-CN"/>
        </w:rPr>
      </w:pPr>
    </w:p>
    <w:p w14:paraId="19324151">
      <w:pPr>
        <w:rPr>
          <w:rFonts w:hint="eastAsia" w:ascii="黑体" w:hAnsi="黑体" w:cs="黑体"/>
          <w:b/>
          <w:bCs/>
          <w:color w:val="auto"/>
          <w:sz w:val="28"/>
          <w:szCs w:val="28"/>
          <w:lang w:val="en-US" w:eastAsia="zh-CN"/>
        </w:rPr>
      </w:pPr>
    </w:p>
    <w:p w14:paraId="5C968BDA">
      <w:pPr>
        <w:rPr>
          <w:rFonts w:hint="eastAsia" w:ascii="黑体" w:hAnsi="黑体" w:cs="黑体"/>
          <w:b/>
          <w:bCs/>
          <w:color w:val="auto"/>
          <w:sz w:val="28"/>
          <w:szCs w:val="28"/>
          <w:lang w:val="en-US" w:eastAsia="zh-CN"/>
        </w:rPr>
      </w:pPr>
    </w:p>
    <w:p w14:paraId="4F5B8B38">
      <w:pPr>
        <w:rPr>
          <w:rFonts w:hint="eastAsia" w:ascii="黑体" w:hAnsi="黑体" w:cs="黑体"/>
          <w:b/>
          <w:bCs/>
          <w:color w:val="auto"/>
          <w:sz w:val="28"/>
          <w:szCs w:val="28"/>
          <w:lang w:val="en-US" w:eastAsia="zh-CN"/>
        </w:rPr>
      </w:pPr>
    </w:p>
    <w:p w14:paraId="0E9EF889">
      <w:pPr>
        <w:rPr>
          <w:rFonts w:hint="eastAsia" w:ascii="黑体" w:hAnsi="黑体" w:cs="黑体"/>
          <w:b/>
          <w:bCs/>
          <w:color w:val="auto"/>
          <w:sz w:val="28"/>
          <w:szCs w:val="28"/>
          <w:lang w:val="en-US" w:eastAsia="zh-CN"/>
        </w:rPr>
      </w:pPr>
    </w:p>
    <w:p w14:paraId="562B00A3">
      <w:pPr>
        <w:rPr>
          <w:rFonts w:hint="eastAsia" w:ascii="黑体" w:hAnsi="黑体" w:cs="黑体"/>
          <w:b/>
          <w:bCs/>
          <w:color w:val="auto"/>
          <w:sz w:val="28"/>
          <w:szCs w:val="28"/>
          <w:lang w:val="en-US" w:eastAsia="zh-CN"/>
        </w:rPr>
      </w:pPr>
      <w:r>
        <w:rPr>
          <w:rFonts w:hint="eastAsia" w:ascii="黑体" w:hAnsi="黑体" w:cs="黑体"/>
          <w:b/>
          <w:bCs/>
          <w:color w:val="auto"/>
          <w:sz w:val="28"/>
          <w:szCs w:val="28"/>
          <w:lang w:val="en-US" w:eastAsia="zh-CN"/>
        </w:rPr>
        <w:br w:type="page"/>
      </w:r>
    </w:p>
    <w:p w14:paraId="6AC2E83B">
      <w:pPr>
        <w:jc w:val="center"/>
        <w:rPr>
          <w:rFonts w:hint="eastAsia" w:ascii="黑体" w:hAnsi="黑体" w:eastAsia="黑体" w:cs="黑体"/>
          <w:b/>
          <w:bCs/>
          <w:color w:val="auto"/>
          <w:sz w:val="28"/>
          <w:szCs w:val="28"/>
          <w:lang w:val="en-US" w:eastAsia="zh-CN"/>
        </w:rPr>
      </w:pPr>
      <w:r>
        <w:rPr>
          <w:rFonts w:hint="eastAsia" w:ascii="黑体" w:hAnsi="黑体" w:cs="黑体"/>
          <w:b/>
          <w:bCs/>
          <w:color w:val="auto"/>
          <w:sz w:val="28"/>
          <w:szCs w:val="28"/>
          <w:lang w:val="en-US" w:eastAsia="zh-CN"/>
        </w:rPr>
        <w:t>10、</w:t>
      </w:r>
      <w:r>
        <w:rPr>
          <w:rStyle w:val="47"/>
          <w:rFonts w:hint="eastAsia" w:ascii="黑体" w:hAnsi="黑体" w:eastAsia="黑体" w:cs="黑体"/>
          <w:b/>
          <w:bCs/>
          <w:color w:val="auto"/>
          <w:sz w:val="28"/>
          <w:szCs w:val="28"/>
          <w:highlight w:val="none"/>
          <w:lang w:val="en-US" w:eastAsia="zh-CN"/>
        </w:rPr>
        <w:t>提供针对本次采购项目的《反商业贿赂承诺书》；</w:t>
      </w:r>
    </w:p>
    <w:p w14:paraId="396F02D7">
      <w:pPr>
        <w:rPr>
          <w:rFonts w:hint="eastAsia" w:ascii="黑体" w:hAnsi="黑体" w:eastAsia="黑体" w:cs="黑体"/>
          <w:color w:val="auto"/>
          <w:lang w:val="en-US" w:eastAsia="zh-CN"/>
        </w:rPr>
      </w:pPr>
    </w:p>
    <w:p w14:paraId="6F46D87E">
      <w:pPr>
        <w:pStyle w:val="11"/>
        <w:spacing w:line="600" w:lineRule="auto"/>
        <w:rPr>
          <w:rFonts w:hint="eastAsia" w:ascii="黑体" w:hAnsi="黑体" w:eastAsia="黑体" w:cs="黑体"/>
          <w:color w:val="auto"/>
          <w:sz w:val="24"/>
          <w:szCs w:val="32"/>
        </w:rPr>
      </w:pPr>
      <w:r>
        <w:rPr>
          <w:rFonts w:hint="eastAsia" w:ascii="黑体" w:hAnsi="黑体" w:eastAsia="黑体" w:cs="黑体"/>
          <w:color w:val="auto"/>
          <w:sz w:val="24"/>
          <w:szCs w:val="32"/>
        </w:rPr>
        <w:t>我公司承诺在</w:t>
      </w:r>
      <w:r>
        <w:rPr>
          <w:rFonts w:hint="eastAsia" w:ascii="黑体" w:hAnsi="黑体" w:eastAsia="黑体" w:cs="黑体"/>
          <w:color w:val="auto"/>
          <w:sz w:val="24"/>
          <w:szCs w:val="32"/>
          <w:u w:val="single"/>
          <w:lang w:eastAsia="zh-CN"/>
        </w:rPr>
        <w:t>（</w:t>
      </w:r>
      <w:r>
        <w:rPr>
          <w:rFonts w:hint="eastAsia" w:ascii="黑体" w:hAnsi="黑体" w:eastAsia="黑体" w:cs="黑体"/>
          <w:color w:val="auto"/>
          <w:sz w:val="24"/>
          <w:szCs w:val="32"/>
          <w:u w:val="single"/>
          <w:lang w:val="en-US" w:eastAsia="zh-CN"/>
        </w:rPr>
        <w:t>项目名称</w:t>
      </w:r>
      <w:r>
        <w:rPr>
          <w:rFonts w:hint="eastAsia" w:ascii="黑体" w:hAnsi="黑体" w:eastAsia="黑体" w:cs="黑体"/>
          <w:color w:val="auto"/>
          <w:sz w:val="24"/>
          <w:szCs w:val="32"/>
          <w:u w:val="single"/>
          <w:lang w:eastAsia="zh-CN"/>
        </w:rPr>
        <w:t>）</w:t>
      </w:r>
      <w:r>
        <w:rPr>
          <w:rFonts w:hint="eastAsia" w:ascii="黑体" w:hAnsi="黑体" w:eastAsia="黑体" w:cs="黑体"/>
          <w:color w:val="auto"/>
          <w:sz w:val="24"/>
          <w:szCs w:val="32"/>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0CCE842E">
      <w:pPr>
        <w:pStyle w:val="18"/>
        <w:tabs>
          <w:tab w:val="left" w:pos="5580"/>
        </w:tabs>
        <w:spacing w:line="480" w:lineRule="auto"/>
        <w:rPr>
          <w:rFonts w:hint="eastAsia" w:ascii="黑体" w:hAnsi="黑体" w:eastAsia="黑体" w:cs="黑体"/>
          <w:color w:val="auto"/>
          <w:sz w:val="24"/>
          <w:u w:val="single"/>
        </w:rPr>
      </w:pPr>
      <w:r>
        <w:rPr>
          <w:rFonts w:hint="eastAsia" w:ascii="黑体" w:hAnsi="黑体" w:eastAsia="黑体" w:cs="黑体"/>
          <w:color w:val="auto"/>
          <w:sz w:val="24"/>
        </w:rPr>
        <w:t>投标人（盖章）：</w:t>
      </w:r>
      <w:r>
        <w:rPr>
          <w:rFonts w:hint="eastAsia" w:ascii="黑体" w:hAnsi="黑体" w:eastAsia="黑体" w:cs="黑体"/>
          <w:color w:val="auto"/>
          <w:sz w:val="24"/>
          <w:u w:val="single"/>
        </w:rPr>
        <w:t xml:space="preserve">                          </w:t>
      </w:r>
      <w:r>
        <w:rPr>
          <w:rFonts w:hint="eastAsia" w:ascii="黑体" w:hAnsi="黑体" w:eastAsia="黑体" w:cs="黑体"/>
          <w:color w:val="auto"/>
          <w:sz w:val="24"/>
          <w:u w:val="single"/>
          <w:lang w:val="en-US" w:eastAsia="zh-CN"/>
        </w:rPr>
        <w:t xml:space="preserve">  </w:t>
      </w:r>
      <w:r>
        <w:rPr>
          <w:rFonts w:hint="eastAsia" w:ascii="黑体" w:hAnsi="黑体" w:eastAsia="黑体" w:cs="黑体"/>
          <w:color w:val="auto"/>
          <w:sz w:val="24"/>
          <w:u w:val="single"/>
        </w:rPr>
        <w:t xml:space="preserve"> </w:t>
      </w:r>
    </w:p>
    <w:p w14:paraId="001DF482">
      <w:pPr>
        <w:pStyle w:val="18"/>
        <w:tabs>
          <w:tab w:val="left" w:pos="5580"/>
        </w:tabs>
        <w:spacing w:line="360" w:lineRule="auto"/>
        <w:ind w:left="0" w:leftChars="0" w:firstLine="0" w:firstLineChars="0"/>
        <w:rPr>
          <w:rFonts w:hint="eastAsia" w:ascii="黑体" w:hAnsi="黑体" w:eastAsia="黑体" w:cs="黑体"/>
          <w:color w:val="auto"/>
          <w:sz w:val="24"/>
        </w:rPr>
      </w:pPr>
      <w:r>
        <w:rPr>
          <w:rFonts w:hint="eastAsia" w:ascii="黑体" w:hAnsi="黑体" w:eastAsia="黑体" w:cs="黑体"/>
          <w:color w:val="auto"/>
          <w:sz w:val="24"/>
        </w:rPr>
        <w:t>法定代表人（签章）：</w:t>
      </w:r>
      <w:r>
        <w:rPr>
          <w:rFonts w:hint="eastAsia" w:ascii="黑体" w:hAnsi="黑体" w:eastAsia="黑体" w:cs="黑体"/>
          <w:color w:val="auto"/>
          <w:sz w:val="24"/>
          <w:u w:val="single"/>
        </w:rPr>
        <w:t xml:space="preserve">                         </w:t>
      </w:r>
    </w:p>
    <w:p w14:paraId="020274B4">
      <w:pPr>
        <w:rPr>
          <w:rFonts w:hint="eastAsia" w:ascii="黑体" w:hAnsi="黑体" w:eastAsia="黑体" w:cs="黑体"/>
          <w:color w:val="auto"/>
          <w:lang w:val="en-US" w:eastAsia="zh-CN"/>
        </w:rPr>
      </w:pPr>
    </w:p>
    <w:p w14:paraId="789177E4">
      <w:pPr>
        <w:pStyle w:val="18"/>
        <w:tabs>
          <w:tab w:val="left" w:pos="5580"/>
        </w:tabs>
        <w:spacing w:line="360" w:lineRule="exact"/>
        <w:ind w:left="1079" w:leftChars="257" w:hanging="540"/>
        <w:rPr>
          <w:rFonts w:hint="eastAsia" w:ascii="黑体" w:hAnsi="黑体" w:eastAsia="黑体" w:cs="黑体"/>
          <w:color w:val="auto"/>
          <w:sz w:val="24"/>
        </w:rPr>
      </w:pPr>
    </w:p>
    <w:p w14:paraId="7F4489E8">
      <w:pPr>
        <w:pStyle w:val="54"/>
        <w:ind w:left="0" w:leftChars="0" w:firstLine="0" w:firstLineChars="0"/>
        <w:rPr>
          <w:rFonts w:hint="default" w:ascii="黑体" w:hAnsi="黑体" w:eastAsia="黑体" w:cs="黑体"/>
          <w:color w:val="auto"/>
          <w:sz w:val="24"/>
          <w:lang w:val="en-US" w:eastAsia="zh-CN"/>
        </w:rPr>
      </w:pPr>
    </w:p>
    <w:p w14:paraId="351CCE1C">
      <w:pPr>
        <w:pStyle w:val="54"/>
        <w:rPr>
          <w:rFonts w:hint="eastAsia" w:ascii="黑体" w:hAnsi="黑体" w:eastAsia="黑体" w:cs="黑体"/>
          <w:color w:val="auto"/>
          <w:sz w:val="24"/>
        </w:rPr>
      </w:pPr>
    </w:p>
    <w:p w14:paraId="7D341F8B">
      <w:pPr>
        <w:pStyle w:val="54"/>
        <w:rPr>
          <w:rFonts w:hint="eastAsia" w:ascii="黑体" w:hAnsi="黑体" w:eastAsia="黑体" w:cs="黑体"/>
          <w:color w:val="auto"/>
          <w:sz w:val="24"/>
        </w:rPr>
      </w:pPr>
    </w:p>
    <w:p w14:paraId="00C5A5CD">
      <w:pPr>
        <w:pStyle w:val="27"/>
        <w:jc w:val="center"/>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11</w:t>
      </w:r>
      <w:r>
        <w:rPr>
          <w:rFonts w:hint="eastAsia" w:ascii="黑体" w:hAnsi="黑体" w:eastAsia="黑体" w:cs="黑体"/>
          <w:b/>
          <w:bCs/>
          <w:color w:val="auto"/>
          <w:sz w:val="28"/>
          <w:szCs w:val="28"/>
        </w:rPr>
        <w:t>、</w:t>
      </w:r>
      <w:r>
        <w:rPr>
          <w:rFonts w:hint="eastAsia" w:ascii="黑体" w:hAnsi="黑体" w:eastAsia="黑体" w:cs="黑体"/>
          <w:b/>
          <w:bCs/>
          <w:color w:val="auto"/>
          <w:sz w:val="28"/>
          <w:szCs w:val="28"/>
          <w:lang w:eastAsia="zh-CN"/>
        </w:rPr>
        <w:t>缴纳投标保证金的有效凭证；</w:t>
      </w:r>
    </w:p>
    <w:p w14:paraId="30727E9F">
      <w:pPr>
        <w:pStyle w:val="27"/>
        <w:ind w:left="718" w:leftChars="342"/>
        <w:rPr>
          <w:rFonts w:hint="eastAsia" w:ascii="黑体" w:hAnsi="黑体" w:eastAsia="黑体" w:cs="黑体"/>
          <w:color w:val="auto"/>
        </w:rPr>
      </w:pPr>
    </w:p>
    <w:p w14:paraId="6F265394">
      <w:pPr>
        <w:pStyle w:val="27"/>
        <w:rPr>
          <w:rFonts w:hint="eastAsia" w:ascii="黑体" w:hAnsi="黑体" w:eastAsia="黑体" w:cs="黑体"/>
          <w:color w:val="auto"/>
        </w:rPr>
      </w:pPr>
    </w:p>
    <w:p w14:paraId="32D43A34">
      <w:pPr>
        <w:pStyle w:val="18"/>
        <w:tabs>
          <w:tab w:val="left" w:pos="5580"/>
        </w:tabs>
        <w:spacing w:line="360" w:lineRule="exact"/>
        <w:ind w:left="1260" w:leftChars="344" w:hanging="538"/>
        <w:rPr>
          <w:rFonts w:hint="eastAsia" w:ascii="黑体" w:hAnsi="黑体" w:eastAsia="黑体" w:cs="黑体"/>
          <w:color w:val="auto"/>
          <w:sz w:val="24"/>
        </w:rPr>
      </w:pPr>
      <w:r>
        <w:rPr>
          <w:rFonts w:hint="eastAsia" w:ascii="黑体" w:hAnsi="黑体" w:eastAsia="黑体" w:cs="黑体"/>
          <w:color w:val="auto"/>
        </w:rPr>
        <w:t xml:space="preserve">    </w:t>
      </w:r>
    </w:p>
    <w:bookmarkEnd w:id="292"/>
    <w:bookmarkEnd w:id="293"/>
    <w:bookmarkEnd w:id="294"/>
    <w:p w14:paraId="00F57270">
      <w:pPr>
        <w:pStyle w:val="18"/>
        <w:tabs>
          <w:tab w:val="left" w:pos="5580"/>
        </w:tabs>
        <w:spacing w:line="360" w:lineRule="exact"/>
        <w:rPr>
          <w:rFonts w:hint="eastAsia" w:ascii="黑体" w:hAnsi="黑体" w:eastAsia="黑体" w:cs="黑体"/>
          <w:color w:val="auto"/>
          <w:sz w:val="24"/>
          <w:u w:val="single"/>
        </w:rPr>
      </w:pPr>
    </w:p>
    <w:p w14:paraId="47BC77BE">
      <w:pPr>
        <w:pStyle w:val="6"/>
        <w:spacing w:before="0" w:line="360" w:lineRule="exact"/>
        <w:jc w:val="center"/>
        <w:outlineLvl w:val="9"/>
        <w:rPr>
          <w:rFonts w:hint="eastAsia" w:ascii="黑体" w:hAnsi="黑体" w:eastAsia="黑体" w:cs="黑体"/>
          <w:color w:val="auto"/>
          <w:sz w:val="24"/>
          <w:lang w:val="en-US" w:eastAsia="zh-CN"/>
        </w:rPr>
      </w:pPr>
      <w:bookmarkStart w:id="295" w:name="_Toc16476"/>
      <w:bookmarkStart w:id="296" w:name="_Toc11668"/>
      <w:bookmarkStart w:id="297" w:name="_Toc16724"/>
      <w:bookmarkStart w:id="298" w:name="_Toc27251"/>
      <w:bookmarkStart w:id="299" w:name="_Toc30691"/>
      <w:bookmarkStart w:id="300" w:name="_Toc10181"/>
      <w:bookmarkStart w:id="301" w:name="_Toc26673"/>
      <w:bookmarkStart w:id="302" w:name="_Toc14251"/>
    </w:p>
    <w:p w14:paraId="0377AF2B">
      <w:pPr>
        <w:pStyle w:val="6"/>
        <w:spacing w:before="0" w:line="360" w:lineRule="exact"/>
        <w:jc w:val="center"/>
        <w:outlineLvl w:val="9"/>
        <w:rPr>
          <w:rFonts w:hint="eastAsia" w:ascii="黑体" w:hAnsi="黑体" w:eastAsia="黑体" w:cs="黑体"/>
          <w:color w:val="auto"/>
          <w:sz w:val="24"/>
          <w:lang w:val="en-US" w:eastAsia="zh-CN"/>
        </w:rPr>
      </w:pPr>
    </w:p>
    <w:p w14:paraId="6C3449A4">
      <w:pPr>
        <w:pStyle w:val="6"/>
        <w:spacing w:before="0" w:line="360" w:lineRule="exact"/>
        <w:jc w:val="center"/>
        <w:outlineLvl w:val="9"/>
        <w:rPr>
          <w:rFonts w:hint="eastAsia" w:ascii="黑体" w:hAnsi="黑体" w:eastAsia="黑体" w:cs="黑体"/>
          <w:color w:val="auto"/>
          <w:sz w:val="24"/>
          <w:lang w:val="en-US" w:eastAsia="zh-CN"/>
        </w:rPr>
      </w:pPr>
    </w:p>
    <w:p w14:paraId="79B9FF34">
      <w:pPr>
        <w:pStyle w:val="6"/>
        <w:spacing w:before="0" w:line="360" w:lineRule="exact"/>
        <w:jc w:val="center"/>
        <w:outlineLvl w:val="9"/>
        <w:rPr>
          <w:rFonts w:hint="eastAsia" w:ascii="黑体" w:hAnsi="黑体" w:eastAsia="黑体" w:cs="黑体"/>
          <w:color w:val="auto"/>
          <w:sz w:val="24"/>
          <w:lang w:val="en-US" w:eastAsia="zh-CN"/>
        </w:rPr>
      </w:pPr>
    </w:p>
    <w:bookmarkEnd w:id="295"/>
    <w:bookmarkEnd w:id="296"/>
    <w:bookmarkEnd w:id="297"/>
    <w:bookmarkEnd w:id="298"/>
    <w:bookmarkEnd w:id="299"/>
    <w:bookmarkEnd w:id="300"/>
    <w:bookmarkEnd w:id="301"/>
    <w:bookmarkEnd w:id="302"/>
    <w:p w14:paraId="27BE905B">
      <w:pPr>
        <w:pStyle w:val="18"/>
        <w:tabs>
          <w:tab w:val="left" w:pos="5580"/>
        </w:tabs>
        <w:spacing w:line="360" w:lineRule="exact"/>
        <w:ind w:left="1079" w:leftChars="257" w:hanging="540"/>
        <w:rPr>
          <w:rFonts w:hint="eastAsia" w:ascii="黑体" w:hAnsi="黑体" w:eastAsia="黑体" w:cs="黑体"/>
          <w:color w:val="auto"/>
          <w:sz w:val="24"/>
          <w:u w:val="single"/>
        </w:rPr>
      </w:pPr>
    </w:p>
    <w:bookmarkEnd w:id="257"/>
    <w:bookmarkEnd w:id="258"/>
    <w:p w14:paraId="1A61990C">
      <w:pPr>
        <w:pStyle w:val="18"/>
        <w:tabs>
          <w:tab w:val="left" w:pos="5580"/>
        </w:tabs>
        <w:spacing w:line="360" w:lineRule="exact"/>
        <w:ind w:left="1079" w:leftChars="257" w:hanging="540"/>
        <w:jc w:val="center"/>
        <w:rPr>
          <w:rFonts w:hint="eastAsia" w:ascii="黑体" w:hAnsi="黑体" w:eastAsia="黑体" w:cs="黑体"/>
          <w:b/>
          <w:color w:val="auto"/>
          <w:kern w:val="0"/>
          <w:sz w:val="24"/>
        </w:rPr>
      </w:pPr>
      <w:bookmarkStart w:id="303" w:name="_Toc9513_WPSOffice_Level2"/>
      <w:bookmarkStart w:id="304" w:name="_Toc24267_WPSOffice_Level2"/>
      <w:bookmarkStart w:id="305" w:name="_Toc23485"/>
      <w:bookmarkStart w:id="306" w:name="_Toc5279"/>
      <w:bookmarkStart w:id="307" w:name="_Toc6295"/>
      <w:bookmarkStart w:id="308" w:name="_Toc515647817"/>
      <w:bookmarkStart w:id="309" w:name="_Toc14915"/>
      <w:bookmarkStart w:id="310" w:name="_Toc5068"/>
      <w:bookmarkStart w:id="311" w:name="_Toc23960"/>
      <w:bookmarkStart w:id="312" w:name="_Toc2041"/>
      <w:bookmarkStart w:id="313" w:name="_Toc26170"/>
    </w:p>
    <w:p w14:paraId="6EC74E24">
      <w:pPr>
        <w:pStyle w:val="18"/>
        <w:tabs>
          <w:tab w:val="left" w:pos="5580"/>
        </w:tabs>
        <w:spacing w:line="360" w:lineRule="exact"/>
        <w:ind w:left="1079" w:leftChars="257" w:hanging="540"/>
        <w:jc w:val="center"/>
        <w:rPr>
          <w:rFonts w:hint="eastAsia" w:ascii="黑体" w:hAnsi="黑体" w:eastAsia="黑体" w:cs="黑体"/>
          <w:b/>
          <w:color w:val="auto"/>
          <w:kern w:val="0"/>
          <w:sz w:val="24"/>
        </w:rPr>
      </w:pPr>
    </w:p>
    <w:p w14:paraId="24A284C4">
      <w:pPr>
        <w:pStyle w:val="11"/>
        <w:rPr>
          <w:rFonts w:hint="eastAsia" w:ascii="黑体" w:hAnsi="黑体" w:eastAsia="黑体" w:cs="黑体"/>
          <w:b/>
          <w:color w:val="auto"/>
          <w:kern w:val="0"/>
          <w:sz w:val="24"/>
        </w:rPr>
      </w:pPr>
    </w:p>
    <w:p w14:paraId="253A388E">
      <w:pPr>
        <w:pStyle w:val="27"/>
        <w:rPr>
          <w:rFonts w:hint="eastAsia" w:ascii="黑体" w:hAnsi="黑体" w:eastAsia="黑体" w:cs="黑体"/>
          <w:b/>
          <w:color w:val="auto"/>
          <w:kern w:val="0"/>
          <w:sz w:val="24"/>
        </w:rPr>
      </w:pPr>
    </w:p>
    <w:bookmarkEnd w:id="303"/>
    <w:bookmarkEnd w:id="304"/>
    <w:bookmarkEnd w:id="305"/>
    <w:bookmarkEnd w:id="306"/>
    <w:bookmarkEnd w:id="307"/>
    <w:p w14:paraId="10CC6407">
      <w:pPr>
        <w:rPr>
          <w:rFonts w:hint="eastAsia" w:ascii="黑体" w:hAnsi="黑体" w:eastAsia="黑体" w:cs="黑体"/>
          <w:b/>
          <w:bCs/>
          <w:color w:val="auto"/>
          <w:sz w:val="28"/>
          <w:szCs w:val="28"/>
          <w:highlight w:val="none"/>
          <w:lang w:val="en-US" w:eastAsia="zh-CN"/>
        </w:rPr>
      </w:pPr>
      <w:r>
        <w:rPr>
          <w:rFonts w:hint="eastAsia" w:ascii="黑体" w:hAnsi="黑体" w:eastAsia="黑体" w:cs="黑体"/>
          <w:b/>
          <w:bCs/>
          <w:color w:val="auto"/>
          <w:sz w:val="28"/>
          <w:szCs w:val="28"/>
          <w:highlight w:val="none"/>
          <w:lang w:val="en-US" w:eastAsia="zh-CN"/>
        </w:rPr>
        <w:br w:type="page"/>
      </w:r>
    </w:p>
    <w:p w14:paraId="33F911CF">
      <w:pPr>
        <w:pStyle w:val="27"/>
        <w:shd w:val="clear" w:color="auto" w:fill="auto"/>
        <w:ind w:firstLine="560" w:firstLineChars="200"/>
        <w:jc w:val="center"/>
        <w:rPr>
          <w:rFonts w:hint="eastAsia" w:ascii="黑体" w:hAnsi="黑体" w:eastAsia="黑体" w:cs="黑体"/>
          <w:b/>
          <w:bCs/>
          <w:color w:val="auto"/>
          <w:kern w:val="0"/>
          <w:sz w:val="28"/>
          <w:szCs w:val="28"/>
          <w:highlight w:val="none"/>
          <w:lang w:val="en-US" w:eastAsia="zh-CN" w:bidi="ar-SA"/>
        </w:rPr>
      </w:pPr>
      <w:r>
        <w:rPr>
          <w:rFonts w:hint="eastAsia" w:ascii="黑体" w:hAnsi="黑体" w:eastAsia="黑体" w:cs="黑体"/>
          <w:b/>
          <w:bCs/>
          <w:color w:val="auto"/>
          <w:kern w:val="0"/>
          <w:sz w:val="28"/>
          <w:szCs w:val="28"/>
          <w:highlight w:val="none"/>
          <w:lang w:val="en-US" w:eastAsia="zh-CN" w:bidi="ar-SA"/>
        </w:rPr>
        <w:t>12、中小企业声明函；</w:t>
      </w:r>
    </w:p>
    <w:p w14:paraId="002D9D53">
      <w:pPr>
        <w:pStyle w:val="14"/>
        <w:keepNext w:val="0"/>
        <w:keepLines w:val="0"/>
        <w:pageBreakBefore w:val="0"/>
        <w:widowControl w:val="0"/>
        <w:shd w:val="clear" w:color="auto" w:fill="auto"/>
        <w:tabs>
          <w:tab w:val="left" w:pos="567"/>
        </w:tabs>
        <w:kinsoku/>
        <w:wordWrap/>
        <w:overflowPunct/>
        <w:topLinePunct w:val="0"/>
        <w:autoSpaceDE w:val="0"/>
        <w:autoSpaceDN w:val="0"/>
        <w:bidi w:val="0"/>
        <w:adjustRightInd/>
        <w:snapToGrid/>
        <w:ind w:firstLine="480" w:firstLineChars="200"/>
        <w:jc w:val="center"/>
        <w:textAlignment w:val="auto"/>
        <w:rPr>
          <w:rFonts w:hint="eastAsia" w:ascii="黑体" w:hAnsi="黑体" w:eastAsia="黑体" w:cs="黑体"/>
          <w:b/>
          <w:bCs/>
          <w:color w:val="auto"/>
          <w:kern w:val="0"/>
          <w:sz w:val="24"/>
          <w:szCs w:val="24"/>
          <w:highlight w:val="none"/>
          <w:lang w:val="en-US" w:eastAsia="zh-CN" w:bidi="ar-SA"/>
        </w:rPr>
      </w:pPr>
    </w:p>
    <w:p w14:paraId="13B292CD">
      <w:pPr>
        <w:pStyle w:val="14"/>
        <w:keepNext w:val="0"/>
        <w:keepLines w:val="0"/>
        <w:pageBreakBefore w:val="0"/>
        <w:widowControl w:val="0"/>
        <w:shd w:val="clear" w:color="auto" w:fill="auto"/>
        <w:tabs>
          <w:tab w:val="left" w:pos="567"/>
        </w:tabs>
        <w:kinsoku/>
        <w:wordWrap/>
        <w:overflowPunct/>
        <w:topLinePunct w:val="0"/>
        <w:autoSpaceDE w:val="0"/>
        <w:autoSpaceDN w:val="0"/>
        <w:bidi w:val="0"/>
        <w:adjustRightInd/>
        <w:snapToGrid/>
        <w:ind w:firstLine="480" w:firstLineChars="200"/>
        <w:jc w:val="center"/>
        <w:textAlignment w:val="auto"/>
        <w:rPr>
          <w:rFonts w:hint="eastAsia" w:ascii="黑体" w:hAnsi="黑体" w:eastAsia="黑体" w:cs="黑体"/>
          <w:color w:val="auto"/>
          <w:lang w:val="en-US" w:eastAsia="zh-CN"/>
        </w:rPr>
      </w:pPr>
      <w:r>
        <w:rPr>
          <w:rFonts w:hint="eastAsia" w:ascii="黑体" w:hAnsi="黑体" w:eastAsia="黑体" w:cs="黑体"/>
          <w:b/>
          <w:bCs/>
          <w:color w:val="auto"/>
          <w:kern w:val="0"/>
          <w:sz w:val="24"/>
          <w:szCs w:val="24"/>
          <w:highlight w:val="none"/>
          <w:lang w:val="en-US" w:eastAsia="zh-CN" w:bidi="ar-SA"/>
        </w:rPr>
        <w:t>中小企业声明函（工程)</w:t>
      </w:r>
    </w:p>
    <w:p w14:paraId="078935D2">
      <w:pPr>
        <w:pStyle w:val="14"/>
        <w:keepNext w:val="0"/>
        <w:keepLines w:val="0"/>
        <w:pageBreakBefore w:val="0"/>
        <w:widowControl w:val="0"/>
        <w:shd w:val="clear" w:color="auto" w:fill="auto"/>
        <w:tabs>
          <w:tab w:val="left" w:pos="567"/>
        </w:tabs>
        <w:kinsoku/>
        <w:wordWrap/>
        <w:overflowPunct/>
        <w:topLinePunct w:val="0"/>
        <w:autoSpaceDE w:val="0"/>
        <w:autoSpaceDN w:val="0"/>
        <w:bidi w:val="0"/>
        <w:adjustRightInd/>
        <w:snapToGrid/>
        <w:spacing w:line="360" w:lineRule="auto"/>
        <w:ind w:firstLine="480" w:firstLineChars="200"/>
        <w:jc w:val="left"/>
        <w:textAlignment w:val="auto"/>
        <w:rPr>
          <w:rFonts w:hint="eastAsia" w:ascii="黑体" w:hAnsi="黑体" w:eastAsia="黑体" w:cs="黑体"/>
          <w:b w:val="0"/>
          <w:bCs w:val="0"/>
          <w:color w:val="auto"/>
          <w:kern w:val="0"/>
          <w:sz w:val="24"/>
          <w:szCs w:val="24"/>
          <w:highlight w:val="none"/>
          <w:lang w:val="en-US" w:eastAsia="zh-CN" w:bidi="ar-SA"/>
        </w:rPr>
      </w:pPr>
      <w:r>
        <w:rPr>
          <w:rFonts w:hint="eastAsia" w:ascii="黑体" w:hAnsi="黑体" w:eastAsia="黑体" w:cs="黑体"/>
          <w:b w:val="0"/>
          <w:bCs w:val="0"/>
          <w:color w:val="auto"/>
          <w:kern w:val="0"/>
          <w:sz w:val="24"/>
          <w:szCs w:val="24"/>
          <w:highlight w:val="none"/>
          <w:lang w:val="en-US" w:eastAsia="zh-CN" w:bidi="ar-SA"/>
        </w:rPr>
        <w:t>本公司郑重声明，根据《政府采购促进中小企业发展管理办法》（财库[2020]46号）的规定，本公司参加（单位名称）的（项目名称）采购活动，工程的施工单位全部为符合政策要求的中小企业承建。相关企业的具体情况如下：</w:t>
      </w:r>
    </w:p>
    <w:p w14:paraId="5B5A1A96">
      <w:pPr>
        <w:pStyle w:val="14"/>
        <w:keepNext w:val="0"/>
        <w:keepLines w:val="0"/>
        <w:pageBreakBefore w:val="0"/>
        <w:widowControl w:val="0"/>
        <w:shd w:val="clear" w:color="auto" w:fill="auto"/>
        <w:tabs>
          <w:tab w:val="left" w:pos="567"/>
        </w:tabs>
        <w:kinsoku/>
        <w:wordWrap/>
        <w:overflowPunct/>
        <w:topLinePunct w:val="0"/>
        <w:autoSpaceDE w:val="0"/>
        <w:autoSpaceDN w:val="0"/>
        <w:bidi w:val="0"/>
        <w:adjustRightInd/>
        <w:snapToGrid/>
        <w:spacing w:line="360" w:lineRule="auto"/>
        <w:ind w:firstLine="480" w:firstLineChars="200"/>
        <w:jc w:val="left"/>
        <w:textAlignment w:val="auto"/>
        <w:rPr>
          <w:rFonts w:hint="eastAsia" w:ascii="黑体" w:hAnsi="黑体" w:eastAsia="黑体" w:cs="黑体"/>
          <w:b w:val="0"/>
          <w:bCs w:val="0"/>
          <w:color w:val="auto"/>
          <w:kern w:val="0"/>
          <w:sz w:val="24"/>
          <w:szCs w:val="24"/>
          <w:highlight w:val="none"/>
          <w:lang w:val="en-US" w:eastAsia="zh-CN" w:bidi="ar-SA"/>
        </w:rPr>
      </w:pPr>
      <w:r>
        <w:rPr>
          <w:rFonts w:hint="eastAsia" w:ascii="黑体" w:hAnsi="黑体" w:eastAsia="黑体" w:cs="黑体"/>
          <w:b w:val="0"/>
          <w:bCs w:val="0"/>
          <w:color w:val="auto"/>
          <w:kern w:val="0"/>
          <w:sz w:val="24"/>
          <w:szCs w:val="24"/>
          <w:highlight w:val="none"/>
          <w:lang w:val="en-US" w:eastAsia="zh-CN" w:bidi="ar-SA"/>
        </w:rPr>
        <w:t>1.（标的名称），属于（采购文件中明确的所属行业）；承建企业为（企业名称），从业人员</w:t>
      </w:r>
      <w:r>
        <w:rPr>
          <w:rFonts w:hint="eastAsia" w:ascii="黑体" w:hAnsi="黑体" w:eastAsia="黑体" w:cs="黑体"/>
          <w:b w:val="0"/>
          <w:bCs w:val="0"/>
          <w:color w:val="auto"/>
          <w:kern w:val="0"/>
          <w:sz w:val="24"/>
          <w:szCs w:val="24"/>
          <w:highlight w:val="none"/>
          <w:u w:val="single"/>
          <w:lang w:val="en-US" w:eastAsia="zh-CN" w:bidi="ar-SA"/>
        </w:rPr>
        <w:t xml:space="preserve">   </w:t>
      </w:r>
      <w:r>
        <w:rPr>
          <w:rFonts w:hint="eastAsia" w:ascii="黑体" w:hAnsi="黑体" w:eastAsia="黑体" w:cs="黑体"/>
          <w:b w:val="0"/>
          <w:bCs w:val="0"/>
          <w:color w:val="auto"/>
          <w:kern w:val="0"/>
          <w:sz w:val="24"/>
          <w:szCs w:val="24"/>
          <w:highlight w:val="none"/>
          <w:lang w:val="en-US" w:eastAsia="zh-CN" w:bidi="ar-SA"/>
        </w:rPr>
        <w:t>人，营业收入为</w:t>
      </w:r>
      <w:r>
        <w:rPr>
          <w:rFonts w:hint="eastAsia" w:ascii="黑体" w:hAnsi="黑体" w:eastAsia="黑体" w:cs="黑体"/>
          <w:b w:val="0"/>
          <w:bCs w:val="0"/>
          <w:color w:val="auto"/>
          <w:kern w:val="0"/>
          <w:sz w:val="24"/>
          <w:szCs w:val="24"/>
          <w:highlight w:val="none"/>
          <w:u w:val="single"/>
          <w:lang w:val="en-US" w:eastAsia="zh-CN" w:bidi="ar-SA"/>
        </w:rPr>
        <w:t xml:space="preserve">   </w:t>
      </w:r>
      <w:r>
        <w:rPr>
          <w:rFonts w:hint="eastAsia" w:ascii="黑体" w:hAnsi="黑体" w:eastAsia="黑体" w:cs="黑体"/>
          <w:b/>
          <w:bCs/>
          <w:color w:val="auto"/>
          <w:kern w:val="0"/>
          <w:sz w:val="24"/>
          <w:szCs w:val="24"/>
          <w:highlight w:val="none"/>
          <w:lang w:val="en-US" w:eastAsia="zh-CN" w:bidi="ar-SA"/>
        </w:rPr>
        <w:t>万元</w:t>
      </w:r>
      <w:r>
        <w:rPr>
          <w:rFonts w:hint="eastAsia" w:ascii="黑体" w:hAnsi="黑体" w:eastAsia="黑体" w:cs="黑体"/>
          <w:b w:val="0"/>
          <w:bCs w:val="0"/>
          <w:color w:val="auto"/>
          <w:kern w:val="0"/>
          <w:sz w:val="24"/>
          <w:szCs w:val="24"/>
          <w:highlight w:val="none"/>
          <w:lang w:val="en-US" w:eastAsia="zh-CN" w:bidi="ar-SA"/>
        </w:rPr>
        <w:t>，资产总额为</w:t>
      </w:r>
      <w:r>
        <w:rPr>
          <w:rFonts w:hint="eastAsia" w:ascii="黑体" w:hAnsi="黑体" w:eastAsia="黑体" w:cs="黑体"/>
          <w:b w:val="0"/>
          <w:bCs w:val="0"/>
          <w:color w:val="auto"/>
          <w:kern w:val="0"/>
          <w:sz w:val="24"/>
          <w:szCs w:val="24"/>
          <w:highlight w:val="none"/>
          <w:u w:val="single"/>
          <w:lang w:val="en-US" w:eastAsia="zh-CN" w:bidi="ar-SA"/>
        </w:rPr>
        <w:t xml:space="preserve">   </w:t>
      </w:r>
      <w:r>
        <w:rPr>
          <w:rFonts w:hint="eastAsia" w:ascii="黑体" w:hAnsi="黑体" w:eastAsia="黑体" w:cs="黑体"/>
          <w:b/>
          <w:bCs/>
          <w:color w:val="auto"/>
          <w:kern w:val="0"/>
          <w:sz w:val="24"/>
          <w:szCs w:val="24"/>
          <w:highlight w:val="none"/>
          <w:lang w:val="en-US" w:eastAsia="zh-CN" w:bidi="ar-SA"/>
        </w:rPr>
        <w:t>万元</w:t>
      </w:r>
      <w:r>
        <w:rPr>
          <w:rFonts w:hint="eastAsia" w:ascii="黑体" w:hAnsi="黑体" w:eastAsia="黑体" w:cs="黑体"/>
          <w:b w:val="0"/>
          <w:bCs w:val="0"/>
          <w:color w:val="auto"/>
          <w:kern w:val="0"/>
          <w:sz w:val="24"/>
          <w:szCs w:val="24"/>
          <w:highlight w:val="none"/>
          <w:lang w:val="en-US" w:eastAsia="zh-CN" w:bidi="ar-SA"/>
        </w:rPr>
        <w:t>，属于</w:t>
      </w:r>
      <w:r>
        <w:rPr>
          <w:rFonts w:hint="eastAsia" w:ascii="黑体" w:hAnsi="黑体" w:eastAsia="黑体" w:cs="黑体"/>
          <w:b w:val="0"/>
          <w:bCs w:val="0"/>
          <w:color w:val="auto"/>
          <w:kern w:val="0"/>
          <w:sz w:val="24"/>
          <w:szCs w:val="24"/>
          <w:highlight w:val="none"/>
          <w:u w:val="single"/>
          <w:lang w:val="en-US" w:eastAsia="zh-CN" w:bidi="ar-SA"/>
        </w:rPr>
        <w:t xml:space="preserve">       </w:t>
      </w:r>
      <w:r>
        <w:rPr>
          <w:rFonts w:hint="eastAsia" w:ascii="黑体" w:hAnsi="黑体" w:eastAsia="黑体" w:cs="黑体"/>
          <w:b w:val="0"/>
          <w:bCs w:val="0"/>
          <w:color w:val="auto"/>
          <w:kern w:val="0"/>
          <w:sz w:val="24"/>
          <w:szCs w:val="24"/>
          <w:highlight w:val="none"/>
          <w:lang w:val="en-US" w:eastAsia="zh-CN" w:bidi="ar-SA"/>
        </w:rPr>
        <w:t>（中型企业、小型企业、微型企业）；</w:t>
      </w:r>
    </w:p>
    <w:p w14:paraId="42561836">
      <w:pPr>
        <w:pStyle w:val="14"/>
        <w:keepNext w:val="0"/>
        <w:keepLines w:val="0"/>
        <w:pageBreakBefore w:val="0"/>
        <w:widowControl w:val="0"/>
        <w:shd w:val="clear" w:color="auto" w:fill="auto"/>
        <w:tabs>
          <w:tab w:val="left" w:pos="567"/>
        </w:tabs>
        <w:kinsoku/>
        <w:wordWrap/>
        <w:overflowPunct/>
        <w:topLinePunct w:val="0"/>
        <w:autoSpaceDE w:val="0"/>
        <w:autoSpaceDN w:val="0"/>
        <w:bidi w:val="0"/>
        <w:adjustRightInd/>
        <w:snapToGrid/>
        <w:spacing w:line="360" w:lineRule="auto"/>
        <w:ind w:firstLine="480" w:firstLineChars="200"/>
        <w:jc w:val="left"/>
        <w:textAlignment w:val="auto"/>
        <w:rPr>
          <w:rFonts w:hint="eastAsia" w:ascii="黑体" w:hAnsi="黑体" w:eastAsia="黑体" w:cs="黑体"/>
          <w:b w:val="0"/>
          <w:bCs w:val="0"/>
          <w:color w:val="auto"/>
          <w:kern w:val="0"/>
          <w:sz w:val="24"/>
          <w:szCs w:val="24"/>
          <w:highlight w:val="none"/>
          <w:lang w:val="en-US" w:eastAsia="zh-CN" w:bidi="ar-SA"/>
        </w:rPr>
      </w:pPr>
      <w:r>
        <w:rPr>
          <w:rFonts w:hint="eastAsia" w:ascii="黑体" w:hAnsi="黑体" w:eastAsia="黑体" w:cs="黑体"/>
          <w:b w:val="0"/>
          <w:bCs w:val="0"/>
          <w:color w:val="auto"/>
          <w:kern w:val="0"/>
          <w:sz w:val="24"/>
          <w:szCs w:val="24"/>
          <w:highlight w:val="none"/>
          <w:lang w:val="en-US" w:eastAsia="zh-CN" w:bidi="ar-SA"/>
        </w:rPr>
        <w:t>2.（标的名称），属于（采购文件中明确的所属行业）；承建企业为（企业名称），从业人员</w:t>
      </w:r>
      <w:r>
        <w:rPr>
          <w:rFonts w:hint="eastAsia" w:ascii="黑体" w:hAnsi="黑体" w:eastAsia="黑体" w:cs="黑体"/>
          <w:b w:val="0"/>
          <w:bCs w:val="0"/>
          <w:color w:val="auto"/>
          <w:kern w:val="0"/>
          <w:sz w:val="24"/>
          <w:szCs w:val="24"/>
          <w:highlight w:val="none"/>
          <w:u w:val="single"/>
          <w:lang w:val="en-US" w:eastAsia="zh-CN" w:bidi="ar-SA"/>
        </w:rPr>
        <w:t xml:space="preserve">   </w:t>
      </w:r>
      <w:r>
        <w:rPr>
          <w:rFonts w:hint="eastAsia" w:ascii="黑体" w:hAnsi="黑体" w:eastAsia="黑体" w:cs="黑体"/>
          <w:b w:val="0"/>
          <w:bCs w:val="0"/>
          <w:color w:val="auto"/>
          <w:kern w:val="0"/>
          <w:sz w:val="24"/>
          <w:szCs w:val="24"/>
          <w:highlight w:val="none"/>
          <w:lang w:val="en-US" w:eastAsia="zh-CN" w:bidi="ar-SA"/>
        </w:rPr>
        <w:t>人，营业收入为</w:t>
      </w:r>
      <w:r>
        <w:rPr>
          <w:rFonts w:hint="eastAsia" w:ascii="黑体" w:hAnsi="黑体" w:eastAsia="黑体" w:cs="黑体"/>
          <w:b w:val="0"/>
          <w:bCs w:val="0"/>
          <w:color w:val="auto"/>
          <w:kern w:val="0"/>
          <w:sz w:val="24"/>
          <w:szCs w:val="24"/>
          <w:highlight w:val="none"/>
          <w:u w:val="single"/>
          <w:lang w:val="en-US" w:eastAsia="zh-CN" w:bidi="ar-SA"/>
        </w:rPr>
        <w:t xml:space="preserve">   </w:t>
      </w:r>
      <w:r>
        <w:rPr>
          <w:rFonts w:hint="eastAsia" w:ascii="黑体" w:hAnsi="黑体" w:eastAsia="黑体" w:cs="黑体"/>
          <w:b/>
          <w:bCs/>
          <w:color w:val="auto"/>
          <w:kern w:val="0"/>
          <w:sz w:val="24"/>
          <w:szCs w:val="24"/>
          <w:highlight w:val="none"/>
          <w:lang w:val="en-US" w:eastAsia="zh-CN" w:bidi="ar-SA"/>
        </w:rPr>
        <w:t>万元</w:t>
      </w:r>
      <w:r>
        <w:rPr>
          <w:rFonts w:hint="eastAsia" w:ascii="黑体" w:hAnsi="黑体" w:eastAsia="黑体" w:cs="黑体"/>
          <w:b w:val="0"/>
          <w:bCs w:val="0"/>
          <w:color w:val="auto"/>
          <w:kern w:val="0"/>
          <w:sz w:val="24"/>
          <w:szCs w:val="24"/>
          <w:highlight w:val="none"/>
          <w:lang w:val="en-US" w:eastAsia="zh-CN" w:bidi="ar-SA"/>
        </w:rPr>
        <w:t>，资产总额为</w:t>
      </w:r>
      <w:r>
        <w:rPr>
          <w:rFonts w:hint="eastAsia" w:ascii="黑体" w:hAnsi="黑体" w:eastAsia="黑体" w:cs="黑体"/>
          <w:b w:val="0"/>
          <w:bCs w:val="0"/>
          <w:color w:val="auto"/>
          <w:kern w:val="0"/>
          <w:sz w:val="24"/>
          <w:szCs w:val="24"/>
          <w:highlight w:val="none"/>
          <w:u w:val="single"/>
          <w:lang w:val="en-US" w:eastAsia="zh-CN" w:bidi="ar-SA"/>
        </w:rPr>
        <w:t xml:space="preserve">   </w:t>
      </w:r>
      <w:r>
        <w:rPr>
          <w:rFonts w:hint="eastAsia" w:ascii="黑体" w:hAnsi="黑体" w:eastAsia="黑体" w:cs="黑体"/>
          <w:b/>
          <w:bCs/>
          <w:color w:val="auto"/>
          <w:kern w:val="0"/>
          <w:sz w:val="24"/>
          <w:szCs w:val="24"/>
          <w:highlight w:val="none"/>
          <w:lang w:val="en-US" w:eastAsia="zh-CN" w:bidi="ar-SA"/>
        </w:rPr>
        <w:t>万元</w:t>
      </w:r>
      <w:r>
        <w:rPr>
          <w:rFonts w:hint="eastAsia" w:ascii="黑体" w:hAnsi="黑体" w:eastAsia="黑体" w:cs="黑体"/>
          <w:b w:val="0"/>
          <w:bCs w:val="0"/>
          <w:color w:val="auto"/>
          <w:kern w:val="0"/>
          <w:sz w:val="24"/>
          <w:szCs w:val="24"/>
          <w:highlight w:val="none"/>
          <w:lang w:val="en-US" w:eastAsia="zh-CN" w:bidi="ar-SA"/>
        </w:rPr>
        <w:t>，属于</w:t>
      </w:r>
      <w:r>
        <w:rPr>
          <w:rFonts w:hint="eastAsia" w:ascii="黑体" w:hAnsi="黑体" w:eastAsia="黑体" w:cs="黑体"/>
          <w:b w:val="0"/>
          <w:bCs w:val="0"/>
          <w:color w:val="auto"/>
          <w:kern w:val="0"/>
          <w:sz w:val="24"/>
          <w:szCs w:val="24"/>
          <w:highlight w:val="none"/>
          <w:u w:val="single"/>
          <w:lang w:val="en-US" w:eastAsia="zh-CN" w:bidi="ar-SA"/>
        </w:rPr>
        <w:t xml:space="preserve">       </w:t>
      </w:r>
      <w:r>
        <w:rPr>
          <w:rFonts w:hint="eastAsia" w:ascii="黑体" w:hAnsi="黑体" w:eastAsia="黑体" w:cs="黑体"/>
          <w:b w:val="0"/>
          <w:bCs w:val="0"/>
          <w:color w:val="auto"/>
          <w:kern w:val="0"/>
          <w:sz w:val="24"/>
          <w:szCs w:val="24"/>
          <w:highlight w:val="none"/>
          <w:lang w:val="en-US" w:eastAsia="zh-CN" w:bidi="ar-SA"/>
        </w:rPr>
        <w:t>（中型企业、小型企业、微型企业）；</w:t>
      </w:r>
    </w:p>
    <w:p w14:paraId="41717935">
      <w:pPr>
        <w:pStyle w:val="14"/>
        <w:keepNext w:val="0"/>
        <w:keepLines w:val="0"/>
        <w:pageBreakBefore w:val="0"/>
        <w:widowControl w:val="0"/>
        <w:shd w:val="clear" w:color="auto" w:fill="auto"/>
        <w:tabs>
          <w:tab w:val="left" w:pos="567"/>
        </w:tabs>
        <w:kinsoku/>
        <w:wordWrap/>
        <w:overflowPunct/>
        <w:topLinePunct w:val="0"/>
        <w:autoSpaceDE w:val="0"/>
        <w:autoSpaceDN w:val="0"/>
        <w:bidi w:val="0"/>
        <w:adjustRightInd/>
        <w:snapToGrid/>
        <w:spacing w:line="360" w:lineRule="auto"/>
        <w:ind w:firstLine="480" w:firstLineChars="200"/>
        <w:jc w:val="left"/>
        <w:textAlignment w:val="auto"/>
        <w:rPr>
          <w:rFonts w:hint="eastAsia" w:ascii="黑体" w:hAnsi="黑体" w:eastAsia="黑体" w:cs="黑体"/>
          <w:b w:val="0"/>
          <w:bCs w:val="0"/>
          <w:color w:val="auto"/>
          <w:kern w:val="0"/>
          <w:sz w:val="24"/>
          <w:szCs w:val="24"/>
          <w:highlight w:val="none"/>
          <w:lang w:val="en-US" w:eastAsia="zh-CN" w:bidi="ar-SA"/>
        </w:rPr>
      </w:pPr>
      <w:r>
        <w:rPr>
          <w:rFonts w:hint="eastAsia" w:ascii="黑体" w:hAnsi="黑体" w:eastAsia="黑体" w:cs="黑体"/>
          <w:b w:val="0"/>
          <w:bCs w:val="0"/>
          <w:color w:val="auto"/>
          <w:kern w:val="0"/>
          <w:sz w:val="24"/>
          <w:szCs w:val="24"/>
          <w:highlight w:val="none"/>
          <w:lang w:val="en-US" w:eastAsia="zh-CN" w:bidi="ar-SA"/>
        </w:rPr>
        <w:t>……</w:t>
      </w:r>
    </w:p>
    <w:p w14:paraId="649AF0C9">
      <w:pPr>
        <w:pStyle w:val="14"/>
        <w:keepNext w:val="0"/>
        <w:keepLines w:val="0"/>
        <w:pageBreakBefore w:val="0"/>
        <w:widowControl w:val="0"/>
        <w:shd w:val="clear" w:color="auto" w:fill="auto"/>
        <w:tabs>
          <w:tab w:val="left" w:pos="567"/>
        </w:tabs>
        <w:kinsoku/>
        <w:wordWrap/>
        <w:overflowPunct/>
        <w:topLinePunct w:val="0"/>
        <w:autoSpaceDE w:val="0"/>
        <w:autoSpaceDN w:val="0"/>
        <w:bidi w:val="0"/>
        <w:adjustRightInd/>
        <w:snapToGrid/>
        <w:spacing w:line="360" w:lineRule="auto"/>
        <w:ind w:firstLine="480" w:firstLineChars="200"/>
        <w:jc w:val="left"/>
        <w:textAlignment w:val="auto"/>
        <w:rPr>
          <w:rFonts w:hint="eastAsia" w:ascii="黑体" w:hAnsi="黑体" w:eastAsia="黑体" w:cs="黑体"/>
          <w:b w:val="0"/>
          <w:bCs w:val="0"/>
          <w:color w:val="auto"/>
          <w:kern w:val="0"/>
          <w:sz w:val="24"/>
          <w:szCs w:val="24"/>
          <w:highlight w:val="none"/>
          <w:lang w:val="en-US" w:eastAsia="zh-CN" w:bidi="ar-SA"/>
        </w:rPr>
      </w:pPr>
      <w:r>
        <w:rPr>
          <w:rFonts w:hint="eastAsia" w:ascii="黑体" w:hAnsi="黑体" w:eastAsia="黑体" w:cs="黑体"/>
          <w:b w:val="0"/>
          <w:bCs w:val="0"/>
          <w:color w:val="auto"/>
          <w:kern w:val="0"/>
          <w:sz w:val="24"/>
          <w:szCs w:val="24"/>
          <w:highlight w:val="none"/>
          <w:lang w:val="en-US" w:eastAsia="zh-CN" w:bidi="ar-SA"/>
        </w:rPr>
        <w:t>以上企业，不属于大企业的分支机构，不存在控股股东为大企业的情形，也不存在与大企业的负责人为同一人的情形。</w:t>
      </w:r>
    </w:p>
    <w:p w14:paraId="59A14E17">
      <w:pPr>
        <w:pStyle w:val="14"/>
        <w:keepNext w:val="0"/>
        <w:keepLines w:val="0"/>
        <w:pageBreakBefore w:val="0"/>
        <w:widowControl w:val="0"/>
        <w:shd w:val="clear" w:color="auto" w:fill="auto"/>
        <w:tabs>
          <w:tab w:val="left" w:pos="567"/>
        </w:tabs>
        <w:kinsoku/>
        <w:wordWrap/>
        <w:overflowPunct/>
        <w:topLinePunct w:val="0"/>
        <w:autoSpaceDE w:val="0"/>
        <w:autoSpaceDN w:val="0"/>
        <w:bidi w:val="0"/>
        <w:adjustRightInd/>
        <w:snapToGrid/>
        <w:spacing w:line="360" w:lineRule="auto"/>
        <w:ind w:firstLine="480" w:firstLineChars="200"/>
        <w:jc w:val="left"/>
        <w:textAlignment w:val="auto"/>
        <w:rPr>
          <w:rFonts w:hint="eastAsia" w:ascii="黑体" w:hAnsi="黑体" w:eastAsia="黑体" w:cs="黑体"/>
          <w:b w:val="0"/>
          <w:bCs w:val="0"/>
          <w:color w:val="auto"/>
          <w:kern w:val="0"/>
          <w:sz w:val="24"/>
          <w:szCs w:val="24"/>
          <w:highlight w:val="none"/>
          <w:lang w:val="en-US" w:eastAsia="zh-CN" w:bidi="ar-SA"/>
        </w:rPr>
      </w:pPr>
      <w:r>
        <w:rPr>
          <w:rFonts w:hint="eastAsia" w:ascii="黑体" w:hAnsi="黑体" w:eastAsia="黑体" w:cs="黑体"/>
          <w:b w:val="0"/>
          <w:bCs w:val="0"/>
          <w:color w:val="auto"/>
          <w:kern w:val="0"/>
          <w:sz w:val="24"/>
          <w:szCs w:val="24"/>
          <w:highlight w:val="none"/>
          <w:lang w:val="en-US" w:eastAsia="zh-CN" w:bidi="ar-SA"/>
        </w:rPr>
        <w:t>本企业对上述声明内容的真实性负责。如有虚假，将依法承担相应责任。</w:t>
      </w:r>
    </w:p>
    <w:p w14:paraId="73A36CB0">
      <w:pPr>
        <w:pStyle w:val="14"/>
        <w:keepNext w:val="0"/>
        <w:keepLines w:val="0"/>
        <w:pageBreakBefore w:val="0"/>
        <w:widowControl w:val="0"/>
        <w:shd w:val="clear" w:color="auto" w:fill="auto"/>
        <w:tabs>
          <w:tab w:val="left" w:pos="567"/>
        </w:tabs>
        <w:kinsoku/>
        <w:wordWrap/>
        <w:overflowPunct/>
        <w:topLinePunct w:val="0"/>
        <w:autoSpaceDE w:val="0"/>
        <w:autoSpaceDN w:val="0"/>
        <w:bidi w:val="0"/>
        <w:adjustRightInd/>
        <w:snapToGrid/>
        <w:spacing w:line="360" w:lineRule="auto"/>
        <w:ind w:firstLine="480" w:firstLineChars="200"/>
        <w:jc w:val="left"/>
        <w:textAlignment w:val="auto"/>
        <w:rPr>
          <w:rFonts w:hint="eastAsia" w:ascii="黑体" w:hAnsi="黑体" w:eastAsia="黑体" w:cs="黑体"/>
          <w:b w:val="0"/>
          <w:bCs w:val="0"/>
          <w:color w:val="auto"/>
          <w:kern w:val="0"/>
          <w:sz w:val="24"/>
          <w:szCs w:val="24"/>
          <w:highlight w:val="none"/>
          <w:lang w:val="en-US" w:eastAsia="zh-CN" w:bidi="ar-SA"/>
        </w:rPr>
      </w:pPr>
    </w:p>
    <w:p w14:paraId="010899D8">
      <w:pPr>
        <w:pStyle w:val="14"/>
        <w:keepNext w:val="0"/>
        <w:keepLines w:val="0"/>
        <w:pageBreakBefore w:val="0"/>
        <w:widowControl w:val="0"/>
        <w:shd w:val="clear" w:color="auto" w:fill="auto"/>
        <w:tabs>
          <w:tab w:val="left" w:pos="567"/>
        </w:tabs>
        <w:kinsoku/>
        <w:wordWrap/>
        <w:overflowPunct/>
        <w:topLinePunct w:val="0"/>
        <w:autoSpaceDE w:val="0"/>
        <w:autoSpaceDN w:val="0"/>
        <w:bidi w:val="0"/>
        <w:adjustRightInd/>
        <w:snapToGrid/>
        <w:ind w:firstLine="480" w:firstLineChars="200"/>
        <w:jc w:val="left"/>
        <w:textAlignment w:val="auto"/>
        <w:rPr>
          <w:rFonts w:hint="eastAsia" w:ascii="黑体" w:hAnsi="黑体" w:eastAsia="黑体" w:cs="黑体"/>
          <w:b w:val="0"/>
          <w:bCs w:val="0"/>
          <w:color w:val="auto"/>
          <w:kern w:val="0"/>
          <w:sz w:val="24"/>
          <w:szCs w:val="24"/>
          <w:highlight w:val="none"/>
          <w:lang w:val="en-US" w:eastAsia="zh-CN" w:bidi="ar-SA"/>
        </w:rPr>
      </w:pPr>
    </w:p>
    <w:p w14:paraId="355A3394">
      <w:pPr>
        <w:pStyle w:val="14"/>
        <w:keepNext w:val="0"/>
        <w:keepLines w:val="0"/>
        <w:pageBreakBefore w:val="0"/>
        <w:widowControl w:val="0"/>
        <w:shd w:val="clear" w:color="auto" w:fill="auto"/>
        <w:tabs>
          <w:tab w:val="left" w:pos="567"/>
        </w:tabs>
        <w:kinsoku/>
        <w:wordWrap/>
        <w:overflowPunct/>
        <w:topLinePunct w:val="0"/>
        <w:autoSpaceDE w:val="0"/>
        <w:autoSpaceDN w:val="0"/>
        <w:bidi w:val="0"/>
        <w:adjustRightInd/>
        <w:snapToGrid/>
        <w:ind w:firstLine="480" w:firstLineChars="200"/>
        <w:jc w:val="right"/>
        <w:textAlignment w:val="auto"/>
        <w:rPr>
          <w:rFonts w:hint="eastAsia" w:ascii="黑体" w:hAnsi="黑体" w:eastAsia="黑体" w:cs="黑体"/>
          <w:b w:val="0"/>
          <w:bCs w:val="0"/>
          <w:color w:val="auto"/>
          <w:kern w:val="0"/>
          <w:sz w:val="24"/>
          <w:szCs w:val="24"/>
          <w:highlight w:val="none"/>
          <w:lang w:val="en-US" w:eastAsia="zh-CN" w:bidi="ar-SA"/>
        </w:rPr>
      </w:pPr>
      <w:r>
        <w:rPr>
          <w:rFonts w:hint="eastAsia" w:ascii="黑体" w:hAnsi="黑体" w:eastAsia="黑体" w:cs="黑体"/>
          <w:b w:val="0"/>
          <w:bCs w:val="0"/>
          <w:color w:val="auto"/>
          <w:kern w:val="0"/>
          <w:sz w:val="24"/>
          <w:szCs w:val="24"/>
          <w:highlight w:val="none"/>
          <w:lang w:val="en-US" w:eastAsia="zh-CN" w:bidi="ar-SA"/>
        </w:rPr>
        <w:t>企业名称（加盖公章）：</w:t>
      </w:r>
    </w:p>
    <w:p w14:paraId="53047E16">
      <w:pPr>
        <w:shd w:val="clear" w:color="auto" w:fill="auto"/>
        <w:jc w:val="right"/>
        <w:rPr>
          <w:rFonts w:hint="eastAsia" w:ascii="黑体" w:hAnsi="黑体" w:eastAsia="黑体" w:cs="黑体"/>
          <w:b w:val="0"/>
          <w:bCs w:val="0"/>
          <w:color w:val="auto"/>
          <w:kern w:val="0"/>
          <w:sz w:val="24"/>
          <w:szCs w:val="24"/>
          <w:highlight w:val="none"/>
          <w:lang w:val="en-US" w:eastAsia="zh-CN" w:bidi="ar-SA"/>
        </w:rPr>
      </w:pPr>
    </w:p>
    <w:p w14:paraId="6BF3EFAC">
      <w:pPr>
        <w:shd w:val="clear" w:color="auto" w:fill="auto"/>
        <w:spacing w:line="600" w:lineRule="auto"/>
        <w:ind w:firstLine="480" w:firstLineChars="200"/>
        <w:jc w:val="right"/>
        <w:rPr>
          <w:rFonts w:hint="eastAsia" w:ascii="黑体" w:hAnsi="黑体" w:eastAsia="黑体" w:cs="黑体"/>
          <w:b w:val="0"/>
          <w:bCs w:val="0"/>
          <w:color w:val="auto"/>
          <w:kern w:val="0"/>
          <w:sz w:val="24"/>
          <w:szCs w:val="24"/>
          <w:highlight w:val="none"/>
          <w:lang w:val="en-US" w:eastAsia="zh-CN" w:bidi="ar-SA"/>
        </w:rPr>
      </w:pPr>
      <w:r>
        <w:rPr>
          <w:rFonts w:hint="eastAsia" w:ascii="黑体" w:hAnsi="黑体" w:eastAsia="黑体" w:cs="黑体"/>
          <w:b w:val="0"/>
          <w:bCs w:val="0"/>
          <w:color w:val="auto"/>
          <w:kern w:val="0"/>
          <w:sz w:val="24"/>
          <w:szCs w:val="24"/>
          <w:highlight w:val="none"/>
          <w:lang w:val="en-US" w:eastAsia="zh-CN" w:bidi="ar-SA"/>
        </w:rPr>
        <w:t>日期：</w:t>
      </w:r>
    </w:p>
    <w:p w14:paraId="2D19A416">
      <w:pPr>
        <w:shd w:val="clear" w:color="auto" w:fill="auto"/>
        <w:spacing w:line="600" w:lineRule="auto"/>
        <w:jc w:val="left"/>
        <w:rPr>
          <w:rFonts w:hint="eastAsia" w:ascii="黑体" w:hAnsi="黑体" w:eastAsia="黑体" w:cs="黑体"/>
          <w:b w:val="0"/>
          <w:bCs w:val="0"/>
          <w:color w:val="auto"/>
          <w:kern w:val="0"/>
          <w:sz w:val="24"/>
          <w:szCs w:val="24"/>
          <w:highlight w:val="none"/>
          <w:lang w:val="en-US" w:eastAsia="zh-CN" w:bidi="ar-SA"/>
        </w:rPr>
      </w:pPr>
      <w:r>
        <w:rPr>
          <w:rFonts w:hint="eastAsia" w:ascii="黑体" w:hAnsi="黑体" w:eastAsia="黑体" w:cs="黑体"/>
          <w:b w:val="0"/>
          <w:bCs w:val="0"/>
          <w:color w:val="auto"/>
          <w:kern w:val="0"/>
          <w:sz w:val="24"/>
          <w:szCs w:val="24"/>
          <w:highlight w:val="none"/>
          <w:lang w:val="en-US" w:eastAsia="zh-CN" w:bidi="ar-SA"/>
        </w:rPr>
        <w:t>从业人员、营业收入、资产总额填报上一年度数据，无上一年度数据的新成立企业可不填报。</w:t>
      </w:r>
    </w:p>
    <w:p w14:paraId="4A0C80E9">
      <w:pPr>
        <w:pageBreakBefore w:val="0"/>
        <w:kinsoku/>
        <w:wordWrap/>
        <w:overflowPunct/>
        <w:topLinePunct w:val="0"/>
        <w:bidi w:val="0"/>
        <w:spacing w:line="360" w:lineRule="auto"/>
        <w:jc w:val="both"/>
        <w:textAlignment w:val="auto"/>
        <w:rPr>
          <w:rFonts w:hint="eastAsia" w:ascii="黑体" w:hAnsi="黑体" w:eastAsia="黑体" w:cs="黑体"/>
          <w:b/>
          <w:bCs/>
          <w:i w:val="0"/>
          <w:iCs w:val="0"/>
          <w:color w:val="auto"/>
          <w:sz w:val="24"/>
          <w:szCs w:val="32"/>
          <w:highlight w:val="none"/>
          <w:lang w:val="en-US" w:eastAsia="zh-CN"/>
        </w:rPr>
      </w:pPr>
      <w:r>
        <w:rPr>
          <w:rFonts w:hint="eastAsia" w:ascii="黑体" w:hAnsi="黑体" w:eastAsia="黑体" w:cs="黑体"/>
          <w:b/>
          <w:bCs/>
          <w:i w:val="0"/>
          <w:iCs w:val="0"/>
          <w:color w:val="auto"/>
          <w:sz w:val="24"/>
          <w:szCs w:val="32"/>
          <w:highlight w:val="none"/>
          <w:lang w:val="en-US" w:eastAsia="zh-CN"/>
        </w:rPr>
        <w:t>本项目所属行业为：建筑业。</w:t>
      </w:r>
    </w:p>
    <w:p w14:paraId="13E3F77E">
      <w:pPr>
        <w:pStyle w:val="11"/>
        <w:spacing w:line="360" w:lineRule="auto"/>
        <w:ind w:left="0" w:leftChars="0" w:firstLine="0" w:firstLineChars="0"/>
        <w:jc w:val="both"/>
        <w:rPr>
          <w:rFonts w:hint="eastAsia" w:ascii="黑体" w:hAnsi="黑体" w:eastAsia="黑体" w:cs="黑体"/>
          <w:b/>
          <w:bCs/>
          <w:color w:val="auto"/>
          <w:kern w:val="2"/>
          <w:sz w:val="24"/>
          <w:szCs w:val="20"/>
          <w:highlight w:val="none"/>
          <w:lang w:val="en-US" w:eastAsia="zh-CN" w:bidi="ar-SA"/>
        </w:rPr>
      </w:pPr>
      <w:r>
        <w:rPr>
          <w:rFonts w:hint="eastAsia" w:ascii="黑体" w:hAnsi="黑体" w:eastAsia="黑体" w:cs="黑体"/>
          <w:b/>
          <w:bCs/>
          <w:color w:val="auto"/>
          <w:kern w:val="2"/>
          <w:sz w:val="24"/>
          <w:szCs w:val="20"/>
          <w:highlight w:val="none"/>
          <w:lang w:val="en-US" w:eastAsia="zh-CN" w:bidi="ar-SA"/>
        </w:rPr>
        <w:t>注：潜在投标企业属于中小微企业的，请在投标文件中提供“中小企业声明函”，如果未提供或提供虛假的“中小企业声明函”，投标企业将承担由此造成的一切不利后果。</w:t>
      </w:r>
    </w:p>
    <w:p w14:paraId="0D78B918">
      <w:pPr>
        <w:rPr>
          <w:rFonts w:hint="eastAsia" w:ascii="黑体" w:hAnsi="黑体" w:eastAsia="黑体" w:cs="黑体"/>
          <w:color w:val="auto"/>
          <w:lang w:val="en-US" w:eastAsia="zh-CN"/>
        </w:rPr>
      </w:pPr>
    </w:p>
    <w:p w14:paraId="0172599A">
      <w:pPr>
        <w:jc w:val="left"/>
        <w:rPr>
          <w:rFonts w:hint="eastAsia" w:ascii="黑体" w:hAnsi="黑体" w:eastAsia="黑体" w:cs="黑体"/>
          <w:b/>
          <w:bCs/>
          <w:color w:val="auto"/>
          <w:kern w:val="0"/>
          <w:sz w:val="24"/>
          <w:szCs w:val="24"/>
          <w:highlight w:val="none"/>
        </w:rPr>
      </w:pPr>
      <w:bookmarkStart w:id="314" w:name="_Toc5022"/>
      <w:bookmarkStart w:id="315" w:name="_Toc6317"/>
      <w:bookmarkStart w:id="316" w:name="_Toc24603"/>
      <w:bookmarkStart w:id="317" w:name="_Toc23068"/>
      <w:bookmarkStart w:id="318" w:name="_Toc22418"/>
      <w:bookmarkStart w:id="319" w:name="_Toc19284"/>
      <w:bookmarkStart w:id="320" w:name="_Toc515647825"/>
      <w:bookmarkStart w:id="321" w:name="_Toc11935"/>
      <w:bookmarkStart w:id="322" w:name="_Toc25937"/>
      <w:bookmarkStart w:id="323" w:name="_Toc10067"/>
      <w:bookmarkStart w:id="324" w:name="OLE_LINK14"/>
      <w:bookmarkStart w:id="325" w:name="OLE_LINK13"/>
      <w:r>
        <w:rPr>
          <w:rFonts w:hint="eastAsia" w:ascii="黑体" w:hAnsi="黑体" w:eastAsia="黑体" w:cs="黑体"/>
          <w:b/>
          <w:bCs/>
          <w:color w:val="auto"/>
          <w:kern w:val="0"/>
          <w:sz w:val="24"/>
          <w:szCs w:val="24"/>
          <w:highlight w:val="none"/>
        </w:rPr>
        <w:br w:type="page"/>
      </w:r>
      <w:r>
        <w:rPr>
          <w:rFonts w:hint="eastAsia" w:ascii="黑体" w:hAnsi="黑体" w:eastAsia="黑体" w:cs="黑体"/>
          <w:b/>
          <w:bCs/>
          <w:color w:val="auto"/>
          <w:kern w:val="0"/>
          <w:sz w:val="24"/>
          <w:szCs w:val="24"/>
          <w:highlight w:val="none"/>
        </w:rPr>
        <w:t>附：</w:t>
      </w:r>
    </w:p>
    <w:p w14:paraId="4DE44593">
      <w:pPr>
        <w:jc w:val="center"/>
        <w:rPr>
          <w:rFonts w:hint="eastAsia"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中小微企业划型标准</w:t>
      </w:r>
    </w:p>
    <w:tbl>
      <w:tblPr>
        <w:tblStyle w:val="38"/>
        <w:tblW w:w="9256" w:type="dxa"/>
        <w:jc w:val="center"/>
        <w:tblLayout w:type="fixed"/>
        <w:tblCellMar>
          <w:top w:w="0" w:type="dxa"/>
          <w:left w:w="108" w:type="dxa"/>
          <w:bottom w:w="0" w:type="dxa"/>
          <w:right w:w="108" w:type="dxa"/>
        </w:tblCellMar>
      </w:tblPr>
      <w:tblGrid>
        <w:gridCol w:w="1358"/>
        <w:gridCol w:w="1925"/>
        <w:gridCol w:w="1188"/>
        <w:gridCol w:w="2037"/>
        <w:gridCol w:w="1657"/>
        <w:gridCol w:w="1091"/>
      </w:tblGrid>
      <w:tr w14:paraId="0D7CA41F">
        <w:tblPrEx>
          <w:tblCellMar>
            <w:top w:w="0" w:type="dxa"/>
            <w:left w:w="108" w:type="dxa"/>
            <w:bottom w:w="0" w:type="dxa"/>
            <w:right w:w="108" w:type="dxa"/>
          </w:tblCellMar>
        </w:tblPrEx>
        <w:trPr>
          <w:trHeight w:val="534" w:hRule="atLeast"/>
          <w:jc w:val="center"/>
        </w:trPr>
        <w:tc>
          <w:tcPr>
            <w:tcW w:w="1358" w:type="dxa"/>
            <w:tcBorders>
              <w:top w:val="single" w:color="auto" w:sz="4" w:space="0"/>
              <w:left w:val="single" w:color="auto" w:sz="4" w:space="0"/>
              <w:bottom w:val="single" w:color="auto" w:sz="4" w:space="0"/>
              <w:right w:val="single" w:color="auto" w:sz="4" w:space="0"/>
            </w:tcBorders>
            <w:noWrap w:val="0"/>
            <w:vAlign w:val="center"/>
          </w:tcPr>
          <w:p w14:paraId="1A7764C6">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行业名称</w:t>
            </w:r>
          </w:p>
        </w:tc>
        <w:tc>
          <w:tcPr>
            <w:tcW w:w="1925" w:type="dxa"/>
            <w:tcBorders>
              <w:top w:val="single" w:color="auto" w:sz="4" w:space="0"/>
              <w:left w:val="nil"/>
              <w:bottom w:val="single" w:color="auto" w:sz="4" w:space="0"/>
              <w:right w:val="single" w:color="auto" w:sz="4" w:space="0"/>
            </w:tcBorders>
            <w:noWrap w:val="0"/>
            <w:vAlign w:val="center"/>
          </w:tcPr>
          <w:p w14:paraId="03F86258">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指标名称</w:t>
            </w:r>
          </w:p>
        </w:tc>
        <w:tc>
          <w:tcPr>
            <w:tcW w:w="1188" w:type="dxa"/>
            <w:tcBorders>
              <w:top w:val="single" w:color="auto" w:sz="4" w:space="0"/>
              <w:left w:val="nil"/>
              <w:bottom w:val="single" w:color="auto" w:sz="4" w:space="0"/>
              <w:right w:val="single" w:color="auto" w:sz="4" w:space="0"/>
            </w:tcBorders>
            <w:noWrap w:val="0"/>
            <w:vAlign w:val="center"/>
          </w:tcPr>
          <w:p w14:paraId="60A9A571">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计量单位</w:t>
            </w:r>
          </w:p>
        </w:tc>
        <w:tc>
          <w:tcPr>
            <w:tcW w:w="2037" w:type="dxa"/>
            <w:tcBorders>
              <w:top w:val="single" w:color="auto" w:sz="4" w:space="0"/>
              <w:left w:val="nil"/>
              <w:bottom w:val="single" w:color="auto" w:sz="4" w:space="0"/>
              <w:right w:val="single" w:color="auto" w:sz="4" w:space="0"/>
            </w:tcBorders>
            <w:noWrap w:val="0"/>
            <w:vAlign w:val="center"/>
          </w:tcPr>
          <w:p w14:paraId="52FD7E73">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中型</w:t>
            </w:r>
          </w:p>
        </w:tc>
        <w:tc>
          <w:tcPr>
            <w:tcW w:w="1657" w:type="dxa"/>
            <w:tcBorders>
              <w:top w:val="single" w:color="auto" w:sz="4" w:space="0"/>
              <w:left w:val="nil"/>
              <w:bottom w:val="single" w:color="auto" w:sz="4" w:space="0"/>
              <w:right w:val="single" w:color="auto" w:sz="4" w:space="0"/>
            </w:tcBorders>
            <w:noWrap w:val="0"/>
            <w:vAlign w:val="center"/>
          </w:tcPr>
          <w:p w14:paraId="07EFE997">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小型</w:t>
            </w:r>
          </w:p>
        </w:tc>
        <w:tc>
          <w:tcPr>
            <w:tcW w:w="1091" w:type="dxa"/>
            <w:tcBorders>
              <w:top w:val="single" w:color="auto" w:sz="4" w:space="0"/>
              <w:left w:val="nil"/>
              <w:bottom w:val="single" w:color="auto" w:sz="4" w:space="0"/>
              <w:right w:val="single" w:color="auto" w:sz="4" w:space="0"/>
            </w:tcBorders>
            <w:noWrap w:val="0"/>
            <w:vAlign w:val="center"/>
          </w:tcPr>
          <w:p w14:paraId="434843D6">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微型</w:t>
            </w:r>
          </w:p>
        </w:tc>
      </w:tr>
      <w:tr w14:paraId="368ADEE8">
        <w:trPr>
          <w:trHeight w:val="534" w:hRule="atLeast"/>
          <w:jc w:val="center"/>
        </w:trPr>
        <w:tc>
          <w:tcPr>
            <w:tcW w:w="1358" w:type="dxa"/>
            <w:tcBorders>
              <w:top w:val="nil"/>
              <w:left w:val="single" w:color="auto" w:sz="4" w:space="0"/>
              <w:bottom w:val="single" w:color="auto" w:sz="4" w:space="0"/>
              <w:right w:val="single" w:color="auto" w:sz="4" w:space="0"/>
            </w:tcBorders>
            <w:noWrap w:val="0"/>
            <w:vAlign w:val="center"/>
          </w:tcPr>
          <w:p w14:paraId="3EEDBD7F">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农、林、牧、渔</w:t>
            </w:r>
          </w:p>
        </w:tc>
        <w:tc>
          <w:tcPr>
            <w:tcW w:w="1925" w:type="dxa"/>
            <w:tcBorders>
              <w:top w:val="nil"/>
              <w:left w:val="nil"/>
              <w:bottom w:val="single" w:color="auto" w:sz="4" w:space="0"/>
              <w:right w:val="single" w:color="auto" w:sz="4" w:space="0"/>
            </w:tcBorders>
            <w:noWrap w:val="0"/>
            <w:vAlign w:val="center"/>
          </w:tcPr>
          <w:p w14:paraId="7A655BA2">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营业收入（Y）</w:t>
            </w:r>
          </w:p>
        </w:tc>
        <w:tc>
          <w:tcPr>
            <w:tcW w:w="1188" w:type="dxa"/>
            <w:tcBorders>
              <w:top w:val="nil"/>
              <w:left w:val="nil"/>
              <w:bottom w:val="single" w:color="auto" w:sz="4" w:space="0"/>
              <w:right w:val="single" w:color="auto" w:sz="4" w:space="0"/>
            </w:tcBorders>
            <w:noWrap w:val="0"/>
            <w:vAlign w:val="center"/>
          </w:tcPr>
          <w:p w14:paraId="5EF2C341">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万元</w:t>
            </w:r>
          </w:p>
        </w:tc>
        <w:tc>
          <w:tcPr>
            <w:tcW w:w="2037" w:type="dxa"/>
            <w:tcBorders>
              <w:top w:val="nil"/>
              <w:left w:val="nil"/>
              <w:bottom w:val="single" w:color="auto" w:sz="4" w:space="0"/>
              <w:right w:val="single" w:color="auto" w:sz="4" w:space="0"/>
            </w:tcBorders>
            <w:noWrap w:val="0"/>
            <w:vAlign w:val="center"/>
          </w:tcPr>
          <w:p w14:paraId="454A90DB">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500≤Y＜20000</w:t>
            </w:r>
          </w:p>
        </w:tc>
        <w:tc>
          <w:tcPr>
            <w:tcW w:w="1657" w:type="dxa"/>
            <w:tcBorders>
              <w:top w:val="nil"/>
              <w:left w:val="nil"/>
              <w:bottom w:val="single" w:color="auto" w:sz="4" w:space="0"/>
              <w:right w:val="single" w:color="auto" w:sz="4" w:space="0"/>
            </w:tcBorders>
            <w:noWrap w:val="0"/>
            <w:vAlign w:val="center"/>
          </w:tcPr>
          <w:p w14:paraId="0DDD1A4F">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50≤Y＜500</w:t>
            </w:r>
          </w:p>
        </w:tc>
        <w:tc>
          <w:tcPr>
            <w:tcW w:w="1091" w:type="dxa"/>
            <w:tcBorders>
              <w:top w:val="nil"/>
              <w:left w:val="nil"/>
              <w:bottom w:val="single" w:color="auto" w:sz="4" w:space="0"/>
              <w:right w:val="single" w:color="auto" w:sz="4" w:space="0"/>
            </w:tcBorders>
            <w:noWrap w:val="0"/>
            <w:vAlign w:val="center"/>
          </w:tcPr>
          <w:p w14:paraId="3E85431B">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Y＜50</w:t>
            </w:r>
          </w:p>
        </w:tc>
      </w:tr>
      <w:tr w14:paraId="0A104C0E">
        <w:trPr>
          <w:trHeight w:val="272" w:hRule="atLeast"/>
          <w:jc w:val="center"/>
        </w:trPr>
        <w:tc>
          <w:tcPr>
            <w:tcW w:w="1358" w:type="dxa"/>
            <w:vMerge w:val="restart"/>
            <w:tcBorders>
              <w:top w:val="nil"/>
              <w:left w:val="single" w:color="auto" w:sz="4" w:space="0"/>
              <w:bottom w:val="single" w:color="auto" w:sz="4" w:space="0"/>
              <w:right w:val="single" w:color="auto" w:sz="4" w:space="0"/>
            </w:tcBorders>
            <w:noWrap w:val="0"/>
            <w:vAlign w:val="center"/>
          </w:tcPr>
          <w:p w14:paraId="6A20E78D">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工业</w:t>
            </w:r>
          </w:p>
        </w:tc>
        <w:tc>
          <w:tcPr>
            <w:tcW w:w="1925" w:type="dxa"/>
            <w:tcBorders>
              <w:top w:val="nil"/>
              <w:left w:val="nil"/>
              <w:bottom w:val="single" w:color="auto" w:sz="4" w:space="0"/>
              <w:right w:val="single" w:color="auto" w:sz="4" w:space="0"/>
            </w:tcBorders>
            <w:noWrap w:val="0"/>
            <w:vAlign w:val="center"/>
          </w:tcPr>
          <w:p w14:paraId="24C2AA9F">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从业人员（X）</w:t>
            </w:r>
          </w:p>
        </w:tc>
        <w:tc>
          <w:tcPr>
            <w:tcW w:w="1188" w:type="dxa"/>
            <w:tcBorders>
              <w:top w:val="nil"/>
              <w:left w:val="nil"/>
              <w:bottom w:val="single" w:color="auto" w:sz="4" w:space="0"/>
              <w:right w:val="single" w:color="auto" w:sz="4" w:space="0"/>
            </w:tcBorders>
            <w:noWrap w:val="0"/>
            <w:vAlign w:val="center"/>
          </w:tcPr>
          <w:p w14:paraId="460D8DE0">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人</w:t>
            </w:r>
          </w:p>
        </w:tc>
        <w:tc>
          <w:tcPr>
            <w:tcW w:w="2037" w:type="dxa"/>
            <w:tcBorders>
              <w:top w:val="nil"/>
              <w:left w:val="nil"/>
              <w:bottom w:val="single" w:color="auto" w:sz="4" w:space="0"/>
              <w:right w:val="single" w:color="auto" w:sz="4" w:space="0"/>
            </w:tcBorders>
            <w:noWrap w:val="0"/>
            <w:vAlign w:val="center"/>
          </w:tcPr>
          <w:p w14:paraId="26EC1EB3">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300≤X＜1000</w:t>
            </w:r>
          </w:p>
        </w:tc>
        <w:tc>
          <w:tcPr>
            <w:tcW w:w="1657" w:type="dxa"/>
            <w:tcBorders>
              <w:top w:val="nil"/>
              <w:left w:val="nil"/>
              <w:bottom w:val="single" w:color="auto" w:sz="4" w:space="0"/>
              <w:right w:val="single" w:color="auto" w:sz="4" w:space="0"/>
            </w:tcBorders>
            <w:noWrap w:val="0"/>
            <w:vAlign w:val="center"/>
          </w:tcPr>
          <w:p w14:paraId="42EC2934">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20≤X＜300</w:t>
            </w:r>
          </w:p>
        </w:tc>
        <w:tc>
          <w:tcPr>
            <w:tcW w:w="1091" w:type="dxa"/>
            <w:tcBorders>
              <w:top w:val="nil"/>
              <w:left w:val="nil"/>
              <w:bottom w:val="single" w:color="auto" w:sz="4" w:space="0"/>
              <w:right w:val="single" w:color="auto" w:sz="4" w:space="0"/>
            </w:tcBorders>
            <w:noWrap w:val="0"/>
            <w:vAlign w:val="center"/>
          </w:tcPr>
          <w:p w14:paraId="05545280">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X＜20</w:t>
            </w:r>
          </w:p>
        </w:tc>
      </w:tr>
      <w:tr w14:paraId="7369CD24">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noWrap w:val="0"/>
            <w:vAlign w:val="center"/>
          </w:tcPr>
          <w:p w14:paraId="535BA666">
            <w:pPr>
              <w:widowControl/>
              <w:snapToGrid w:val="0"/>
              <w:contextualSpacing/>
              <w:jc w:val="center"/>
              <w:rPr>
                <w:rFonts w:hint="eastAsia" w:ascii="黑体" w:hAnsi="黑体" w:eastAsia="黑体" w:cs="黑体"/>
                <w:b/>
                <w:bCs w:val="0"/>
                <w:color w:val="auto"/>
                <w:kern w:val="0"/>
                <w:sz w:val="21"/>
                <w:szCs w:val="21"/>
                <w:highlight w:val="none"/>
              </w:rPr>
            </w:pPr>
          </w:p>
        </w:tc>
        <w:tc>
          <w:tcPr>
            <w:tcW w:w="1925" w:type="dxa"/>
            <w:tcBorders>
              <w:top w:val="nil"/>
              <w:left w:val="nil"/>
              <w:bottom w:val="single" w:color="auto" w:sz="4" w:space="0"/>
              <w:right w:val="single" w:color="auto" w:sz="4" w:space="0"/>
            </w:tcBorders>
            <w:noWrap w:val="0"/>
            <w:vAlign w:val="center"/>
          </w:tcPr>
          <w:p w14:paraId="3D69093D">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营业收入（Y）</w:t>
            </w:r>
          </w:p>
        </w:tc>
        <w:tc>
          <w:tcPr>
            <w:tcW w:w="1188" w:type="dxa"/>
            <w:tcBorders>
              <w:top w:val="nil"/>
              <w:left w:val="nil"/>
              <w:bottom w:val="single" w:color="auto" w:sz="4" w:space="0"/>
              <w:right w:val="single" w:color="auto" w:sz="4" w:space="0"/>
            </w:tcBorders>
            <w:noWrap w:val="0"/>
            <w:vAlign w:val="center"/>
          </w:tcPr>
          <w:p w14:paraId="1D475E81">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万元</w:t>
            </w:r>
          </w:p>
        </w:tc>
        <w:tc>
          <w:tcPr>
            <w:tcW w:w="2037" w:type="dxa"/>
            <w:tcBorders>
              <w:top w:val="nil"/>
              <w:left w:val="nil"/>
              <w:bottom w:val="single" w:color="auto" w:sz="4" w:space="0"/>
              <w:right w:val="single" w:color="auto" w:sz="4" w:space="0"/>
            </w:tcBorders>
            <w:noWrap w:val="0"/>
            <w:vAlign w:val="center"/>
          </w:tcPr>
          <w:p w14:paraId="4E51D595">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2000≤Y＜40000</w:t>
            </w:r>
          </w:p>
        </w:tc>
        <w:tc>
          <w:tcPr>
            <w:tcW w:w="1657" w:type="dxa"/>
            <w:tcBorders>
              <w:top w:val="nil"/>
              <w:left w:val="nil"/>
              <w:bottom w:val="single" w:color="auto" w:sz="4" w:space="0"/>
              <w:right w:val="single" w:color="auto" w:sz="4" w:space="0"/>
            </w:tcBorders>
            <w:noWrap w:val="0"/>
            <w:vAlign w:val="center"/>
          </w:tcPr>
          <w:p w14:paraId="30B508DA">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300≤Y＜2000</w:t>
            </w:r>
          </w:p>
        </w:tc>
        <w:tc>
          <w:tcPr>
            <w:tcW w:w="1091" w:type="dxa"/>
            <w:tcBorders>
              <w:top w:val="nil"/>
              <w:left w:val="nil"/>
              <w:bottom w:val="single" w:color="auto" w:sz="4" w:space="0"/>
              <w:right w:val="single" w:color="auto" w:sz="4" w:space="0"/>
            </w:tcBorders>
            <w:noWrap w:val="0"/>
            <w:vAlign w:val="center"/>
          </w:tcPr>
          <w:p w14:paraId="07CC0DAC">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Y＜300</w:t>
            </w:r>
          </w:p>
        </w:tc>
      </w:tr>
      <w:tr w14:paraId="015D11CF">
        <w:tblPrEx>
          <w:tblCellMar>
            <w:top w:w="0" w:type="dxa"/>
            <w:left w:w="108" w:type="dxa"/>
            <w:bottom w:w="0" w:type="dxa"/>
            <w:right w:w="108" w:type="dxa"/>
          </w:tblCellMar>
        </w:tblPrEx>
        <w:trPr>
          <w:trHeight w:val="401" w:hRule="atLeast"/>
          <w:jc w:val="center"/>
        </w:trPr>
        <w:tc>
          <w:tcPr>
            <w:tcW w:w="1358" w:type="dxa"/>
            <w:vMerge w:val="restart"/>
            <w:tcBorders>
              <w:top w:val="nil"/>
              <w:left w:val="single" w:color="auto" w:sz="4" w:space="0"/>
              <w:bottom w:val="single" w:color="auto" w:sz="4" w:space="0"/>
              <w:right w:val="single" w:color="auto" w:sz="4" w:space="0"/>
            </w:tcBorders>
            <w:noWrap w:val="0"/>
            <w:vAlign w:val="center"/>
          </w:tcPr>
          <w:p w14:paraId="20B54B41">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建筑业</w:t>
            </w:r>
          </w:p>
        </w:tc>
        <w:tc>
          <w:tcPr>
            <w:tcW w:w="1925" w:type="dxa"/>
            <w:tcBorders>
              <w:top w:val="nil"/>
              <w:left w:val="nil"/>
              <w:bottom w:val="single" w:color="auto" w:sz="4" w:space="0"/>
              <w:right w:val="single" w:color="auto" w:sz="4" w:space="0"/>
            </w:tcBorders>
            <w:noWrap w:val="0"/>
            <w:vAlign w:val="center"/>
          </w:tcPr>
          <w:p w14:paraId="6B615A80">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营业收入（Y）</w:t>
            </w:r>
          </w:p>
        </w:tc>
        <w:tc>
          <w:tcPr>
            <w:tcW w:w="1188" w:type="dxa"/>
            <w:tcBorders>
              <w:top w:val="nil"/>
              <w:left w:val="nil"/>
              <w:bottom w:val="single" w:color="auto" w:sz="4" w:space="0"/>
              <w:right w:val="single" w:color="auto" w:sz="4" w:space="0"/>
            </w:tcBorders>
            <w:noWrap w:val="0"/>
            <w:vAlign w:val="center"/>
          </w:tcPr>
          <w:p w14:paraId="1F895159">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万元</w:t>
            </w:r>
          </w:p>
        </w:tc>
        <w:tc>
          <w:tcPr>
            <w:tcW w:w="2037" w:type="dxa"/>
            <w:tcBorders>
              <w:top w:val="nil"/>
              <w:left w:val="nil"/>
              <w:bottom w:val="single" w:color="auto" w:sz="4" w:space="0"/>
              <w:right w:val="single" w:color="auto" w:sz="4" w:space="0"/>
            </w:tcBorders>
            <w:noWrap w:val="0"/>
            <w:vAlign w:val="center"/>
          </w:tcPr>
          <w:p w14:paraId="03650722">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6000≤Y＜80000</w:t>
            </w:r>
          </w:p>
        </w:tc>
        <w:tc>
          <w:tcPr>
            <w:tcW w:w="1657" w:type="dxa"/>
            <w:tcBorders>
              <w:top w:val="nil"/>
              <w:left w:val="nil"/>
              <w:bottom w:val="single" w:color="auto" w:sz="4" w:space="0"/>
              <w:right w:val="single" w:color="auto" w:sz="4" w:space="0"/>
            </w:tcBorders>
            <w:noWrap w:val="0"/>
            <w:vAlign w:val="center"/>
          </w:tcPr>
          <w:p w14:paraId="4E394BD9">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300≤Y＜6000</w:t>
            </w:r>
          </w:p>
        </w:tc>
        <w:tc>
          <w:tcPr>
            <w:tcW w:w="1091" w:type="dxa"/>
            <w:tcBorders>
              <w:top w:val="nil"/>
              <w:left w:val="nil"/>
              <w:bottom w:val="single" w:color="auto" w:sz="4" w:space="0"/>
              <w:right w:val="single" w:color="auto" w:sz="4" w:space="0"/>
            </w:tcBorders>
            <w:noWrap w:val="0"/>
            <w:vAlign w:val="center"/>
          </w:tcPr>
          <w:p w14:paraId="0F4C3C58">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Y＜300</w:t>
            </w:r>
          </w:p>
        </w:tc>
      </w:tr>
      <w:tr w14:paraId="12E7986A">
        <w:trPr>
          <w:trHeight w:val="401" w:hRule="atLeast"/>
          <w:jc w:val="center"/>
        </w:trPr>
        <w:tc>
          <w:tcPr>
            <w:tcW w:w="1358" w:type="dxa"/>
            <w:vMerge w:val="continue"/>
            <w:tcBorders>
              <w:top w:val="nil"/>
              <w:left w:val="single" w:color="auto" w:sz="4" w:space="0"/>
              <w:bottom w:val="single" w:color="auto" w:sz="4" w:space="0"/>
              <w:right w:val="single" w:color="auto" w:sz="4" w:space="0"/>
            </w:tcBorders>
            <w:noWrap w:val="0"/>
            <w:vAlign w:val="center"/>
          </w:tcPr>
          <w:p w14:paraId="540B1B95">
            <w:pPr>
              <w:widowControl/>
              <w:snapToGrid w:val="0"/>
              <w:contextualSpacing/>
              <w:jc w:val="center"/>
              <w:rPr>
                <w:rFonts w:hint="eastAsia" w:ascii="黑体" w:hAnsi="黑体" w:eastAsia="黑体" w:cs="黑体"/>
                <w:b/>
                <w:bCs w:val="0"/>
                <w:color w:val="auto"/>
                <w:kern w:val="0"/>
                <w:sz w:val="21"/>
                <w:szCs w:val="21"/>
                <w:highlight w:val="none"/>
              </w:rPr>
            </w:pPr>
          </w:p>
        </w:tc>
        <w:tc>
          <w:tcPr>
            <w:tcW w:w="1925" w:type="dxa"/>
            <w:tcBorders>
              <w:top w:val="nil"/>
              <w:left w:val="nil"/>
              <w:bottom w:val="single" w:color="auto" w:sz="4" w:space="0"/>
              <w:right w:val="single" w:color="auto" w:sz="4" w:space="0"/>
            </w:tcBorders>
            <w:noWrap w:val="0"/>
            <w:vAlign w:val="center"/>
          </w:tcPr>
          <w:p w14:paraId="2728AACF">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资产总额（Z）</w:t>
            </w:r>
          </w:p>
        </w:tc>
        <w:tc>
          <w:tcPr>
            <w:tcW w:w="1188" w:type="dxa"/>
            <w:tcBorders>
              <w:top w:val="nil"/>
              <w:left w:val="nil"/>
              <w:bottom w:val="single" w:color="auto" w:sz="4" w:space="0"/>
              <w:right w:val="single" w:color="auto" w:sz="4" w:space="0"/>
            </w:tcBorders>
            <w:noWrap w:val="0"/>
            <w:vAlign w:val="center"/>
          </w:tcPr>
          <w:p w14:paraId="7458E795">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万元</w:t>
            </w:r>
          </w:p>
        </w:tc>
        <w:tc>
          <w:tcPr>
            <w:tcW w:w="2037" w:type="dxa"/>
            <w:tcBorders>
              <w:top w:val="nil"/>
              <w:left w:val="nil"/>
              <w:bottom w:val="single" w:color="auto" w:sz="4" w:space="0"/>
              <w:right w:val="single" w:color="auto" w:sz="4" w:space="0"/>
            </w:tcBorders>
            <w:noWrap w:val="0"/>
            <w:vAlign w:val="center"/>
          </w:tcPr>
          <w:p w14:paraId="049FF227">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5000≤Z＜80000</w:t>
            </w:r>
          </w:p>
        </w:tc>
        <w:tc>
          <w:tcPr>
            <w:tcW w:w="1657" w:type="dxa"/>
            <w:tcBorders>
              <w:top w:val="nil"/>
              <w:left w:val="nil"/>
              <w:bottom w:val="single" w:color="auto" w:sz="4" w:space="0"/>
              <w:right w:val="single" w:color="auto" w:sz="4" w:space="0"/>
            </w:tcBorders>
            <w:noWrap w:val="0"/>
            <w:vAlign w:val="center"/>
          </w:tcPr>
          <w:p w14:paraId="6B85C08F">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300≤Z＜5000</w:t>
            </w:r>
          </w:p>
        </w:tc>
        <w:tc>
          <w:tcPr>
            <w:tcW w:w="1091" w:type="dxa"/>
            <w:tcBorders>
              <w:top w:val="nil"/>
              <w:left w:val="nil"/>
              <w:bottom w:val="single" w:color="auto" w:sz="4" w:space="0"/>
              <w:right w:val="single" w:color="auto" w:sz="4" w:space="0"/>
            </w:tcBorders>
            <w:noWrap w:val="0"/>
            <w:vAlign w:val="center"/>
          </w:tcPr>
          <w:p w14:paraId="6E9A8EA6">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Z＜300</w:t>
            </w:r>
          </w:p>
        </w:tc>
      </w:tr>
      <w:tr w14:paraId="38386108">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noWrap w:val="0"/>
            <w:vAlign w:val="center"/>
          </w:tcPr>
          <w:p w14:paraId="02E5B669">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批发业</w:t>
            </w:r>
          </w:p>
        </w:tc>
        <w:tc>
          <w:tcPr>
            <w:tcW w:w="1925" w:type="dxa"/>
            <w:tcBorders>
              <w:top w:val="nil"/>
              <w:left w:val="nil"/>
              <w:bottom w:val="single" w:color="auto" w:sz="4" w:space="0"/>
              <w:right w:val="single" w:color="auto" w:sz="4" w:space="0"/>
            </w:tcBorders>
            <w:noWrap w:val="0"/>
            <w:vAlign w:val="center"/>
          </w:tcPr>
          <w:p w14:paraId="37AEF803">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从业人员（X）</w:t>
            </w:r>
          </w:p>
        </w:tc>
        <w:tc>
          <w:tcPr>
            <w:tcW w:w="1188" w:type="dxa"/>
            <w:tcBorders>
              <w:top w:val="nil"/>
              <w:left w:val="nil"/>
              <w:bottom w:val="single" w:color="auto" w:sz="4" w:space="0"/>
              <w:right w:val="single" w:color="auto" w:sz="4" w:space="0"/>
            </w:tcBorders>
            <w:noWrap w:val="0"/>
            <w:vAlign w:val="center"/>
          </w:tcPr>
          <w:p w14:paraId="14EDF08B">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人</w:t>
            </w:r>
          </w:p>
        </w:tc>
        <w:tc>
          <w:tcPr>
            <w:tcW w:w="2037" w:type="dxa"/>
            <w:tcBorders>
              <w:top w:val="nil"/>
              <w:left w:val="nil"/>
              <w:bottom w:val="single" w:color="auto" w:sz="4" w:space="0"/>
              <w:right w:val="single" w:color="auto" w:sz="4" w:space="0"/>
            </w:tcBorders>
            <w:noWrap w:val="0"/>
            <w:vAlign w:val="center"/>
          </w:tcPr>
          <w:p w14:paraId="016606AB">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20≤X＜200</w:t>
            </w:r>
          </w:p>
        </w:tc>
        <w:tc>
          <w:tcPr>
            <w:tcW w:w="1657" w:type="dxa"/>
            <w:tcBorders>
              <w:top w:val="nil"/>
              <w:left w:val="nil"/>
              <w:bottom w:val="single" w:color="auto" w:sz="4" w:space="0"/>
              <w:right w:val="single" w:color="auto" w:sz="4" w:space="0"/>
            </w:tcBorders>
            <w:noWrap w:val="0"/>
            <w:vAlign w:val="center"/>
          </w:tcPr>
          <w:p w14:paraId="68F7CF80">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5≤X＜20</w:t>
            </w:r>
          </w:p>
        </w:tc>
        <w:tc>
          <w:tcPr>
            <w:tcW w:w="1091" w:type="dxa"/>
            <w:tcBorders>
              <w:top w:val="nil"/>
              <w:left w:val="nil"/>
              <w:bottom w:val="single" w:color="auto" w:sz="4" w:space="0"/>
              <w:right w:val="single" w:color="auto" w:sz="4" w:space="0"/>
            </w:tcBorders>
            <w:noWrap w:val="0"/>
            <w:vAlign w:val="center"/>
          </w:tcPr>
          <w:p w14:paraId="3EED751D">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X＜5</w:t>
            </w:r>
          </w:p>
        </w:tc>
      </w:tr>
      <w:tr w14:paraId="502F03F8">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noWrap w:val="0"/>
            <w:vAlign w:val="center"/>
          </w:tcPr>
          <w:p w14:paraId="30272D26">
            <w:pPr>
              <w:widowControl/>
              <w:snapToGrid w:val="0"/>
              <w:contextualSpacing/>
              <w:jc w:val="center"/>
              <w:rPr>
                <w:rFonts w:hint="eastAsia" w:ascii="黑体" w:hAnsi="黑体" w:eastAsia="黑体" w:cs="黑体"/>
                <w:b/>
                <w:bCs w:val="0"/>
                <w:color w:val="auto"/>
                <w:kern w:val="0"/>
                <w:sz w:val="21"/>
                <w:szCs w:val="21"/>
                <w:highlight w:val="none"/>
              </w:rPr>
            </w:pPr>
          </w:p>
        </w:tc>
        <w:tc>
          <w:tcPr>
            <w:tcW w:w="1925" w:type="dxa"/>
            <w:tcBorders>
              <w:top w:val="nil"/>
              <w:left w:val="nil"/>
              <w:bottom w:val="single" w:color="auto" w:sz="4" w:space="0"/>
              <w:right w:val="single" w:color="auto" w:sz="4" w:space="0"/>
            </w:tcBorders>
            <w:noWrap w:val="0"/>
            <w:vAlign w:val="center"/>
          </w:tcPr>
          <w:p w14:paraId="64191E38">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营业收入（Y）</w:t>
            </w:r>
          </w:p>
        </w:tc>
        <w:tc>
          <w:tcPr>
            <w:tcW w:w="1188" w:type="dxa"/>
            <w:tcBorders>
              <w:top w:val="nil"/>
              <w:left w:val="nil"/>
              <w:bottom w:val="single" w:color="auto" w:sz="4" w:space="0"/>
              <w:right w:val="single" w:color="auto" w:sz="4" w:space="0"/>
            </w:tcBorders>
            <w:noWrap w:val="0"/>
            <w:vAlign w:val="center"/>
          </w:tcPr>
          <w:p w14:paraId="24AF7D50">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万元</w:t>
            </w:r>
          </w:p>
        </w:tc>
        <w:tc>
          <w:tcPr>
            <w:tcW w:w="2037" w:type="dxa"/>
            <w:tcBorders>
              <w:top w:val="nil"/>
              <w:left w:val="nil"/>
              <w:bottom w:val="single" w:color="auto" w:sz="4" w:space="0"/>
              <w:right w:val="single" w:color="auto" w:sz="4" w:space="0"/>
            </w:tcBorders>
            <w:noWrap w:val="0"/>
            <w:vAlign w:val="center"/>
          </w:tcPr>
          <w:p w14:paraId="0A972A2A">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5000≤Y＜40000</w:t>
            </w:r>
          </w:p>
        </w:tc>
        <w:tc>
          <w:tcPr>
            <w:tcW w:w="1657" w:type="dxa"/>
            <w:tcBorders>
              <w:top w:val="nil"/>
              <w:left w:val="nil"/>
              <w:bottom w:val="single" w:color="auto" w:sz="4" w:space="0"/>
              <w:right w:val="single" w:color="auto" w:sz="4" w:space="0"/>
            </w:tcBorders>
            <w:noWrap w:val="0"/>
            <w:vAlign w:val="center"/>
          </w:tcPr>
          <w:p w14:paraId="4D1CB57B">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1000≤Y＜5000</w:t>
            </w:r>
          </w:p>
        </w:tc>
        <w:tc>
          <w:tcPr>
            <w:tcW w:w="1091" w:type="dxa"/>
            <w:tcBorders>
              <w:top w:val="nil"/>
              <w:left w:val="nil"/>
              <w:bottom w:val="single" w:color="auto" w:sz="4" w:space="0"/>
              <w:right w:val="single" w:color="auto" w:sz="4" w:space="0"/>
            </w:tcBorders>
            <w:noWrap w:val="0"/>
            <w:vAlign w:val="center"/>
          </w:tcPr>
          <w:p w14:paraId="6A2F76FA">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Y＜1000</w:t>
            </w:r>
          </w:p>
        </w:tc>
      </w:tr>
      <w:tr w14:paraId="1D08E359">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noWrap w:val="0"/>
            <w:vAlign w:val="center"/>
          </w:tcPr>
          <w:p w14:paraId="05456627">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零售业</w:t>
            </w:r>
          </w:p>
        </w:tc>
        <w:tc>
          <w:tcPr>
            <w:tcW w:w="1925" w:type="dxa"/>
            <w:tcBorders>
              <w:top w:val="nil"/>
              <w:left w:val="nil"/>
              <w:bottom w:val="single" w:color="auto" w:sz="4" w:space="0"/>
              <w:right w:val="single" w:color="auto" w:sz="4" w:space="0"/>
            </w:tcBorders>
            <w:noWrap w:val="0"/>
            <w:vAlign w:val="center"/>
          </w:tcPr>
          <w:p w14:paraId="6006B45D">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从业人员（X）</w:t>
            </w:r>
          </w:p>
        </w:tc>
        <w:tc>
          <w:tcPr>
            <w:tcW w:w="1188" w:type="dxa"/>
            <w:tcBorders>
              <w:top w:val="nil"/>
              <w:left w:val="nil"/>
              <w:bottom w:val="single" w:color="auto" w:sz="4" w:space="0"/>
              <w:right w:val="single" w:color="auto" w:sz="4" w:space="0"/>
            </w:tcBorders>
            <w:noWrap w:val="0"/>
            <w:vAlign w:val="center"/>
          </w:tcPr>
          <w:p w14:paraId="5070D2E7">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人</w:t>
            </w:r>
          </w:p>
        </w:tc>
        <w:tc>
          <w:tcPr>
            <w:tcW w:w="2037" w:type="dxa"/>
            <w:tcBorders>
              <w:top w:val="nil"/>
              <w:left w:val="nil"/>
              <w:bottom w:val="single" w:color="auto" w:sz="4" w:space="0"/>
              <w:right w:val="single" w:color="auto" w:sz="4" w:space="0"/>
            </w:tcBorders>
            <w:noWrap w:val="0"/>
            <w:vAlign w:val="center"/>
          </w:tcPr>
          <w:p w14:paraId="113A62D0">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50≤X＜300</w:t>
            </w:r>
          </w:p>
        </w:tc>
        <w:tc>
          <w:tcPr>
            <w:tcW w:w="1657" w:type="dxa"/>
            <w:tcBorders>
              <w:top w:val="nil"/>
              <w:left w:val="nil"/>
              <w:bottom w:val="single" w:color="auto" w:sz="4" w:space="0"/>
              <w:right w:val="single" w:color="auto" w:sz="4" w:space="0"/>
            </w:tcBorders>
            <w:noWrap w:val="0"/>
            <w:vAlign w:val="center"/>
          </w:tcPr>
          <w:p w14:paraId="33A8C8D7">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10≤X＜50</w:t>
            </w:r>
          </w:p>
        </w:tc>
        <w:tc>
          <w:tcPr>
            <w:tcW w:w="1091" w:type="dxa"/>
            <w:tcBorders>
              <w:top w:val="nil"/>
              <w:left w:val="nil"/>
              <w:bottom w:val="single" w:color="auto" w:sz="4" w:space="0"/>
              <w:right w:val="single" w:color="auto" w:sz="4" w:space="0"/>
            </w:tcBorders>
            <w:noWrap w:val="0"/>
            <w:vAlign w:val="center"/>
          </w:tcPr>
          <w:p w14:paraId="2F6A7368">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X＜10</w:t>
            </w:r>
          </w:p>
        </w:tc>
      </w:tr>
      <w:tr w14:paraId="258387CC">
        <w:tblPrEx>
          <w:tblCellMar>
            <w:top w:w="0" w:type="dxa"/>
            <w:left w:w="108" w:type="dxa"/>
            <w:bottom w:w="0" w:type="dxa"/>
            <w:right w:w="108" w:type="dxa"/>
          </w:tblCellMar>
        </w:tblPrEx>
        <w:trPr>
          <w:trHeight w:val="272" w:hRule="atLeast"/>
          <w:jc w:val="center"/>
        </w:trPr>
        <w:tc>
          <w:tcPr>
            <w:tcW w:w="1358" w:type="dxa"/>
            <w:vMerge w:val="continue"/>
            <w:tcBorders>
              <w:top w:val="nil"/>
              <w:left w:val="single" w:color="auto" w:sz="4" w:space="0"/>
              <w:bottom w:val="single" w:color="auto" w:sz="4" w:space="0"/>
              <w:right w:val="single" w:color="auto" w:sz="4" w:space="0"/>
            </w:tcBorders>
            <w:noWrap w:val="0"/>
            <w:vAlign w:val="center"/>
          </w:tcPr>
          <w:p w14:paraId="2F53F39F">
            <w:pPr>
              <w:widowControl/>
              <w:snapToGrid w:val="0"/>
              <w:contextualSpacing/>
              <w:jc w:val="center"/>
              <w:rPr>
                <w:rFonts w:hint="eastAsia" w:ascii="黑体" w:hAnsi="黑体" w:eastAsia="黑体" w:cs="黑体"/>
                <w:b/>
                <w:bCs w:val="0"/>
                <w:color w:val="auto"/>
                <w:kern w:val="0"/>
                <w:sz w:val="21"/>
                <w:szCs w:val="21"/>
                <w:highlight w:val="none"/>
              </w:rPr>
            </w:pPr>
          </w:p>
        </w:tc>
        <w:tc>
          <w:tcPr>
            <w:tcW w:w="1925" w:type="dxa"/>
            <w:tcBorders>
              <w:top w:val="nil"/>
              <w:left w:val="nil"/>
              <w:bottom w:val="single" w:color="auto" w:sz="4" w:space="0"/>
              <w:right w:val="single" w:color="auto" w:sz="4" w:space="0"/>
            </w:tcBorders>
            <w:noWrap w:val="0"/>
            <w:vAlign w:val="center"/>
          </w:tcPr>
          <w:p w14:paraId="1F470764">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营业收入（Y）</w:t>
            </w:r>
          </w:p>
        </w:tc>
        <w:tc>
          <w:tcPr>
            <w:tcW w:w="1188" w:type="dxa"/>
            <w:tcBorders>
              <w:top w:val="nil"/>
              <w:left w:val="nil"/>
              <w:bottom w:val="single" w:color="auto" w:sz="4" w:space="0"/>
              <w:right w:val="single" w:color="auto" w:sz="4" w:space="0"/>
            </w:tcBorders>
            <w:noWrap w:val="0"/>
            <w:vAlign w:val="center"/>
          </w:tcPr>
          <w:p w14:paraId="6DAB7F84">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万元</w:t>
            </w:r>
          </w:p>
        </w:tc>
        <w:tc>
          <w:tcPr>
            <w:tcW w:w="2037" w:type="dxa"/>
            <w:tcBorders>
              <w:top w:val="nil"/>
              <w:left w:val="nil"/>
              <w:bottom w:val="single" w:color="auto" w:sz="4" w:space="0"/>
              <w:right w:val="single" w:color="auto" w:sz="4" w:space="0"/>
            </w:tcBorders>
            <w:noWrap w:val="0"/>
            <w:vAlign w:val="center"/>
          </w:tcPr>
          <w:p w14:paraId="43FD896F">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500≤Y＜20000</w:t>
            </w:r>
          </w:p>
        </w:tc>
        <w:tc>
          <w:tcPr>
            <w:tcW w:w="1657" w:type="dxa"/>
            <w:tcBorders>
              <w:top w:val="nil"/>
              <w:left w:val="nil"/>
              <w:bottom w:val="single" w:color="auto" w:sz="4" w:space="0"/>
              <w:right w:val="single" w:color="auto" w:sz="4" w:space="0"/>
            </w:tcBorders>
            <w:noWrap w:val="0"/>
            <w:vAlign w:val="center"/>
          </w:tcPr>
          <w:p w14:paraId="47AC78E6">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100≤Y＜500</w:t>
            </w:r>
          </w:p>
        </w:tc>
        <w:tc>
          <w:tcPr>
            <w:tcW w:w="1091" w:type="dxa"/>
            <w:tcBorders>
              <w:top w:val="nil"/>
              <w:left w:val="nil"/>
              <w:bottom w:val="single" w:color="auto" w:sz="4" w:space="0"/>
              <w:right w:val="single" w:color="auto" w:sz="4" w:space="0"/>
            </w:tcBorders>
            <w:noWrap w:val="0"/>
            <w:vAlign w:val="center"/>
          </w:tcPr>
          <w:p w14:paraId="1BE18855">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Y＜100</w:t>
            </w:r>
          </w:p>
        </w:tc>
      </w:tr>
      <w:tr w14:paraId="21706CF8">
        <w:trPr>
          <w:trHeight w:val="272" w:hRule="atLeast"/>
          <w:jc w:val="center"/>
        </w:trPr>
        <w:tc>
          <w:tcPr>
            <w:tcW w:w="1358" w:type="dxa"/>
            <w:vMerge w:val="restart"/>
            <w:tcBorders>
              <w:top w:val="nil"/>
              <w:left w:val="single" w:color="auto" w:sz="4" w:space="0"/>
              <w:bottom w:val="single" w:color="auto" w:sz="4" w:space="0"/>
              <w:right w:val="single" w:color="auto" w:sz="4" w:space="0"/>
            </w:tcBorders>
            <w:noWrap w:val="0"/>
            <w:vAlign w:val="center"/>
          </w:tcPr>
          <w:p w14:paraId="5803BF0E">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交通运输业</w:t>
            </w:r>
          </w:p>
        </w:tc>
        <w:tc>
          <w:tcPr>
            <w:tcW w:w="1925" w:type="dxa"/>
            <w:tcBorders>
              <w:top w:val="nil"/>
              <w:left w:val="nil"/>
              <w:bottom w:val="single" w:color="auto" w:sz="4" w:space="0"/>
              <w:right w:val="single" w:color="auto" w:sz="4" w:space="0"/>
            </w:tcBorders>
            <w:noWrap w:val="0"/>
            <w:vAlign w:val="center"/>
          </w:tcPr>
          <w:p w14:paraId="5C711E39">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从业人员（X）</w:t>
            </w:r>
          </w:p>
        </w:tc>
        <w:tc>
          <w:tcPr>
            <w:tcW w:w="1188" w:type="dxa"/>
            <w:tcBorders>
              <w:top w:val="nil"/>
              <w:left w:val="nil"/>
              <w:bottom w:val="single" w:color="auto" w:sz="4" w:space="0"/>
              <w:right w:val="single" w:color="auto" w:sz="4" w:space="0"/>
            </w:tcBorders>
            <w:noWrap w:val="0"/>
            <w:vAlign w:val="center"/>
          </w:tcPr>
          <w:p w14:paraId="6686462D">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人</w:t>
            </w:r>
          </w:p>
        </w:tc>
        <w:tc>
          <w:tcPr>
            <w:tcW w:w="2037" w:type="dxa"/>
            <w:tcBorders>
              <w:top w:val="nil"/>
              <w:left w:val="nil"/>
              <w:bottom w:val="single" w:color="auto" w:sz="4" w:space="0"/>
              <w:right w:val="single" w:color="auto" w:sz="4" w:space="0"/>
            </w:tcBorders>
            <w:noWrap w:val="0"/>
            <w:vAlign w:val="center"/>
          </w:tcPr>
          <w:p w14:paraId="350D4AEB">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300≤X＜1000</w:t>
            </w:r>
          </w:p>
        </w:tc>
        <w:tc>
          <w:tcPr>
            <w:tcW w:w="1657" w:type="dxa"/>
            <w:tcBorders>
              <w:top w:val="nil"/>
              <w:left w:val="nil"/>
              <w:bottom w:val="single" w:color="auto" w:sz="4" w:space="0"/>
              <w:right w:val="single" w:color="auto" w:sz="4" w:space="0"/>
            </w:tcBorders>
            <w:noWrap w:val="0"/>
            <w:vAlign w:val="center"/>
          </w:tcPr>
          <w:p w14:paraId="595356B8">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20≤X＜300</w:t>
            </w:r>
          </w:p>
        </w:tc>
        <w:tc>
          <w:tcPr>
            <w:tcW w:w="1091" w:type="dxa"/>
            <w:tcBorders>
              <w:top w:val="nil"/>
              <w:left w:val="nil"/>
              <w:bottom w:val="single" w:color="auto" w:sz="4" w:space="0"/>
              <w:right w:val="single" w:color="auto" w:sz="4" w:space="0"/>
            </w:tcBorders>
            <w:noWrap w:val="0"/>
            <w:vAlign w:val="center"/>
          </w:tcPr>
          <w:p w14:paraId="0453A4B8">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X＜20</w:t>
            </w:r>
          </w:p>
        </w:tc>
      </w:tr>
      <w:tr w14:paraId="20B06BCF">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noWrap w:val="0"/>
            <w:vAlign w:val="center"/>
          </w:tcPr>
          <w:p w14:paraId="610FEE0D">
            <w:pPr>
              <w:widowControl/>
              <w:snapToGrid w:val="0"/>
              <w:contextualSpacing/>
              <w:jc w:val="center"/>
              <w:rPr>
                <w:rFonts w:hint="eastAsia" w:ascii="黑体" w:hAnsi="黑体" w:eastAsia="黑体" w:cs="黑体"/>
                <w:b/>
                <w:bCs w:val="0"/>
                <w:color w:val="auto"/>
                <w:kern w:val="0"/>
                <w:sz w:val="21"/>
                <w:szCs w:val="21"/>
                <w:highlight w:val="none"/>
              </w:rPr>
            </w:pPr>
          </w:p>
        </w:tc>
        <w:tc>
          <w:tcPr>
            <w:tcW w:w="1925" w:type="dxa"/>
            <w:tcBorders>
              <w:top w:val="nil"/>
              <w:left w:val="nil"/>
              <w:bottom w:val="single" w:color="auto" w:sz="4" w:space="0"/>
              <w:right w:val="single" w:color="auto" w:sz="4" w:space="0"/>
            </w:tcBorders>
            <w:noWrap w:val="0"/>
            <w:vAlign w:val="center"/>
          </w:tcPr>
          <w:p w14:paraId="733E1D00">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营业收入（Y）</w:t>
            </w:r>
          </w:p>
        </w:tc>
        <w:tc>
          <w:tcPr>
            <w:tcW w:w="1188" w:type="dxa"/>
            <w:tcBorders>
              <w:top w:val="nil"/>
              <w:left w:val="nil"/>
              <w:bottom w:val="single" w:color="auto" w:sz="4" w:space="0"/>
              <w:right w:val="single" w:color="auto" w:sz="4" w:space="0"/>
            </w:tcBorders>
            <w:noWrap w:val="0"/>
            <w:vAlign w:val="center"/>
          </w:tcPr>
          <w:p w14:paraId="104514B5">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万元</w:t>
            </w:r>
          </w:p>
        </w:tc>
        <w:tc>
          <w:tcPr>
            <w:tcW w:w="2037" w:type="dxa"/>
            <w:tcBorders>
              <w:top w:val="nil"/>
              <w:left w:val="nil"/>
              <w:bottom w:val="single" w:color="auto" w:sz="4" w:space="0"/>
              <w:right w:val="single" w:color="auto" w:sz="4" w:space="0"/>
            </w:tcBorders>
            <w:noWrap w:val="0"/>
            <w:vAlign w:val="center"/>
          </w:tcPr>
          <w:p w14:paraId="07575C80">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3000≤Y＜30000</w:t>
            </w:r>
          </w:p>
        </w:tc>
        <w:tc>
          <w:tcPr>
            <w:tcW w:w="1657" w:type="dxa"/>
            <w:tcBorders>
              <w:top w:val="nil"/>
              <w:left w:val="nil"/>
              <w:bottom w:val="single" w:color="auto" w:sz="4" w:space="0"/>
              <w:right w:val="single" w:color="auto" w:sz="4" w:space="0"/>
            </w:tcBorders>
            <w:noWrap w:val="0"/>
            <w:vAlign w:val="center"/>
          </w:tcPr>
          <w:p w14:paraId="7A5A8125">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200≤Y＜3000</w:t>
            </w:r>
          </w:p>
        </w:tc>
        <w:tc>
          <w:tcPr>
            <w:tcW w:w="1091" w:type="dxa"/>
            <w:tcBorders>
              <w:top w:val="nil"/>
              <w:left w:val="nil"/>
              <w:bottom w:val="single" w:color="auto" w:sz="4" w:space="0"/>
              <w:right w:val="single" w:color="auto" w:sz="4" w:space="0"/>
            </w:tcBorders>
            <w:noWrap w:val="0"/>
            <w:vAlign w:val="center"/>
          </w:tcPr>
          <w:p w14:paraId="25FE4266">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Y＜200</w:t>
            </w:r>
          </w:p>
        </w:tc>
      </w:tr>
      <w:tr w14:paraId="7E0EFCFE">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noWrap w:val="0"/>
            <w:vAlign w:val="center"/>
          </w:tcPr>
          <w:p w14:paraId="75BA728F">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仓储业</w:t>
            </w:r>
          </w:p>
        </w:tc>
        <w:tc>
          <w:tcPr>
            <w:tcW w:w="1925" w:type="dxa"/>
            <w:tcBorders>
              <w:top w:val="nil"/>
              <w:left w:val="nil"/>
              <w:bottom w:val="single" w:color="auto" w:sz="4" w:space="0"/>
              <w:right w:val="single" w:color="auto" w:sz="4" w:space="0"/>
            </w:tcBorders>
            <w:noWrap w:val="0"/>
            <w:vAlign w:val="center"/>
          </w:tcPr>
          <w:p w14:paraId="189B5A7A">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从业人员（X）</w:t>
            </w:r>
          </w:p>
        </w:tc>
        <w:tc>
          <w:tcPr>
            <w:tcW w:w="1188" w:type="dxa"/>
            <w:tcBorders>
              <w:top w:val="nil"/>
              <w:left w:val="nil"/>
              <w:bottom w:val="single" w:color="auto" w:sz="4" w:space="0"/>
              <w:right w:val="single" w:color="auto" w:sz="4" w:space="0"/>
            </w:tcBorders>
            <w:noWrap w:val="0"/>
            <w:vAlign w:val="center"/>
          </w:tcPr>
          <w:p w14:paraId="53520C56">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人</w:t>
            </w:r>
          </w:p>
        </w:tc>
        <w:tc>
          <w:tcPr>
            <w:tcW w:w="2037" w:type="dxa"/>
            <w:tcBorders>
              <w:top w:val="nil"/>
              <w:left w:val="nil"/>
              <w:bottom w:val="single" w:color="auto" w:sz="4" w:space="0"/>
              <w:right w:val="single" w:color="auto" w:sz="4" w:space="0"/>
            </w:tcBorders>
            <w:noWrap w:val="0"/>
            <w:vAlign w:val="center"/>
          </w:tcPr>
          <w:p w14:paraId="53BD7B7A">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100≤X＜200</w:t>
            </w:r>
          </w:p>
        </w:tc>
        <w:tc>
          <w:tcPr>
            <w:tcW w:w="1657" w:type="dxa"/>
            <w:tcBorders>
              <w:top w:val="nil"/>
              <w:left w:val="nil"/>
              <w:bottom w:val="single" w:color="auto" w:sz="4" w:space="0"/>
              <w:right w:val="single" w:color="auto" w:sz="4" w:space="0"/>
            </w:tcBorders>
            <w:noWrap w:val="0"/>
            <w:vAlign w:val="center"/>
          </w:tcPr>
          <w:p w14:paraId="3F9373B8">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20≤X＜100</w:t>
            </w:r>
          </w:p>
        </w:tc>
        <w:tc>
          <w:tcPr>
            <w:tcW w:w="1091" w:type="dxa"/>
            <w:tcBorders>
              <w:top w:val="nil"/>
              <w:left w:val="nil"/>
              <w:bottom w:val="single" w:color="auto" w:sz="4" w:space="0"/>
              <w:right w:val="single" w:color="auto" w:sz="4" w:space="0"/>
            </w:tcBorders>
            <w:noWrap w:val="0"/>
            <w:vAlign w:val="center"/>
          </w:tcPr>
          <w:p w14:paraId="58AE5914">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X＜20</w:t>
            </w:r>
          </w:p>
        </w:tc>
      </w:tr>
      <w:tr w14:paraId="5B3E8E4A">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noWrap w:val="0"/>
            <w:vAlign w:val="center"/>
          </w:tcPr>
          <w:p w14:paraId="4C52991C">
            <w:pPr>
              <w:widowControl/>
              <w:snapToGrid w:val="0"/>
              <w:contextualSpacing/>
              <w:jc w:val="center"/>
              <w:rPr>
                <w:rFonts w:hint="eastAsia" w:ascii="黑体" w:hAnsi="黑体" w:eastAsia="黑体" w:cs="黑体"/>
                <w:b/>
                <w:bCs w:val="0"/>
                <w:color w:val="auto"/>
                <w:kern w:val="0"/>
                <w:sz w:val="21"/>
                <w:szCs w:val="21"/>
                <w:highlight w:val="none"/>
              </w:rPr>
            </w:pPr>
          </w:p>
        </w:tc>
        <w:tc>
          <w:tcPr>
            <w:tcW w:w="1925" w:type="dxa"/>
            <w:tcBorders>
              <w:top w:val="nil"/>
              <w:left w:val="nil"/>
              <w:bottom w:val="single" w:color="auto" w:sz="4" w:space="0"/>
              <w:right w:val="single" w:color="auto" w:sz="4" w:space="0"/>
            </w:tcBorders>
            <w:noWrap w:val="0"/>
            <w:vAlign w:val="center"/>
          </w:tcPr>
          <w:p w14:paraId="140EC63A">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营业收入（Y）</w:t>
            </w:r>
          </w:p>
        </w:tc>
        <w:tc>
          <w:tcPr>
            <w:tcW w:w="1188" w:type="dxa"/>
            <w:tcBorders>
              <w:top w:val="nil"/>
              <w:left w:val="nil"/>
              <w:bottom w:val="single" w:color="auto" w:sz="4" w:space="0"/>
              <w:right w:val="single" w:color="auto" w:sz="4" w:space="0"/>
            </w:tcBorders>
            <w:noWrap w:val="0"/>
            <w:vAlign w:val="center"/>
          </w:tcPr>
          <w:p w14:paraId="73C784EC">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万元</w:t>
            </w:r>
          </w:p>
        </w:tc>
        <w:tc>
          <w:tcPr>
            <w:tcW w:w="2037" w:type="dxa"/>
            <w:tcBorders>
              <w:top w:val="nil"/>
              <w:left w:val="nil"/>
              <w:bottom w:val="single" w:color="auto" w:sz="4" w:space="0"/>
              <w:right w:val="single" w:color="auto" w:sz="4" w:space="0"/>
            </w:tcBorders>
            <w:noWrap w:val="0"/>
            <w:vAlign w:val="center"/>
          </w:tcPr>
          <w:p w14:paraId="68D05482">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1000≤Y＜30000</w:t>
            </w:r>
          </w:p>
        </w:tc>
        <w:tc>
          <w:tcPr>
            <w:tcW w:w="1657" w:type="dxa"/>
            <w:tcBorders>
              <w:top w:val="nil"/>
              <w:left w:val="nil"/>
              <w:bottom w:val="single" w:color="auto" w:sz="4" w:space="0"/>
              <w:right w:val="single" w:color="auto" w:sz="4" w:space="0"/>
            </w:tcBorders>
            <w:noWrap w:val="0"/>
            <w:vAlign w:val="center"/>
          </w:tcPr>
          <w:p w14:paraId="0AB24625">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100≤Y＜1000</w:t>
            </w:r>
          </w:p>
        </w:tc>
        <w:tc>
          <w:tcPr>
            <w:tcW w:w="1091" w:type="dxa"/>
            <w:tcBorders>
              <w:top w:val="nil"/>
              <w:left w:val="nil"/>
              <w:bottom w:val="single" w:color="auto" w:sz="4" w:space="0"/>
              <w:right w:val="single" w:color="auto" w:sz="4" w:space="0"/>
            </w:tcBorders>
            <w:noWrap w:val="0"/>
            <w:vAlign w:val="center"/>
          </w:tcPr>
          <w:p w14:paraId="427BECE2">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Y＜100</w:t>
            </w:r>
          </w:p>
        </w:tc>
      </w:tr>
      <w:tr w14:paraId="47778FE9">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noWrap w:val="0"/>
            <w:vAlign w:val="center"/>
          </w:tcPr>
          <w:p w14:paraId="2DF7B9BB">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邮政业</w:t>
            </w:r>
          </w:p>
        </w:tc>
        <w:tc>
          <w:tcPr>
            <w:tcW w:w="1925" w:type="dxa"/>
            <w:tcBorders>
              <w:top w:val="nil"/>
              <w:left w:val="nil"/>
              <w:bottom w:val="single" w:color="auto" w:sz="4" w:space="0"/>
              <w:right w:val="single" w:color="auto" w:sz="4" w:space="0"/>
            </w:tcBorders>
            <w:noWrap w:val="0"/>
            <w:vAlign w:val="center"/>
          </w:tcPr>
          <w:p w14:paraId="07F5C66E">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从业人员（X）</w:t>
            </w:r>
          </w:p>
        </w:tc>
        <w:tc>
          <w:tcPr>
            <w:tcW w:w="1188" w:type="dxa"/>
            <w:tcBorders>
              <w:top w:val="nil"/>
              <w:left w:val="nil"/>
              <w:bottom w:val="single" w:color="auto" w:sz="4" w:space="0"/>
              <w:right w:val="single" w:color="auto" w:sz="4" w:space="0"/>
            </w:tcBorders>
            <w:noWrap w:val="0"/>
            <w:vAlign w:val="center"/>
          </w:tcPr>
          <w:p w14:paraId="27759429">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人</w:t>
            </w:r>
          </w:p>
        </w:tc>
        <w:tc>
          <w:tcPr>
            <w:tcW w:w="2037" w:type="dxa"/>
            <w:tcBorders>
              <w:top w:val="nil"/>
              <w:left w:val="nil"/>
              <w:bottom w:val="single" w:color="auto" w:sz="4" w:space="0"/>
              <w:right w:val="single" w:color="auto" w:sz="4" w:space="0"/>
            </w:tcBorders>
            <w:noWrap w:val="0"/>
            <w:vAlign w:val="center"/>
          </w:tcPr>
          <w:p w14:paraId="240DE7CD">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300≤X＜1000</w:t>
            </w:r>
          </w:p>
        </w:tc>
        <w:tc>
          <w:tcPr>
            <w:tcW w:w="1657" w:type="dxa"/>
            <w:tcBorders>
              <w:top w:val="nil"/>
              <w:left w:val="nil"/>
              <w:bottom w:val="single" w:color="auto" w:sz="4" w:space="0"/>
              <w:right w:val="single" w:color="auto" w:sz="4" w:space="0"/>
            </w:tcBorders>
            <w:noWrap w:val="0"/>
            <w:vAlign w:val="center"/>
          </w:tcPr>
          <w:p w14:paraId="346B09BF">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20≤X＜300</w:t>
            </w:r>
          </w:p>
        </w:tc>
        <w:tc>
          <w:tcPr>
            <w:tcW w:w="1091" w:type="dxa"/>
            <w:tcBorders>
              <w:top w:val="nil"/>
              <w:left w:val="nil"/>
              <w:bottom w:val="single" w:color="auto" w:sz="4" w:space="0"/>
              <w:right w:val="single" w:color="auto" w:sz="4" w:space="0"/>
            </w:tcBorders>
            <w:noWrap w:val="0"/>
            <w:vAlign w:val="center"/>
          </w:tcPr>
          <w:p w14:paraId="42E5C868">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X＜20</w:t>
            </w:r>
          </w:p>
        </w:tc>
      </w:tr>
      <w:tr w14:paraId="598C64D5">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noWrap w:val="0"/>
            <w:vAlign w:val="center"/>
          </w:tcPr>
          <w:p w14:paraId="5394BA3E">
            <w:pPr>
              <w:widowControl/>
              <w:snapToGrid w:val="0"/>
              <w:contextualSpacing/>
              <w:jc w:val="center"/>
              <w:rPr>
                <w:rFonts w:hint="eastAsia" w:ascii="黑体" w:hAnsi="黑体" w:eastAsia="黑体" w:cs="黑体"/>
                <w:b/>
                <w:bCs w:val="0"/>
                <w:color w:val="auto"/>
                <w:kern w:val="0"/>
                <w:sz w:val="21"/>
                <w:szCs w:val="21"/>
                <w:highlight w:val="none"/>
              </w:rPr>
            </w:pPr>
          </w:p>
        </w:tc>
        <w:tc>
          <w:tcPr>
            <w:tcW w:w="1925" w:type="dxa"/>
            <w:tcBorders>
              <w:top w:val="nil"/>
              <w:left w:val="nil"/>
              <w:bottom w:val="single" w:color="auto" w:sz="4" w:space="0"/>
              <w:right w:val="single" w:color="auto" w:sz="4" w:space="0"/>
            </w:tcBorders>
            <w:noWrap w:val="0"/>
            <w:vAlign w:val="center"/>
          </w:tcPr>
          <w:p w14:paraId="3577FB1A">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营业收入（Y）</w:t>
            </w:r>
          </w:p>
        </w:tc>
        <w:tc>
          <w:tcPr>
            <w:tcW w:w="1188" w:type="dxa"/>
            <w:tcBorders>
              <w:top w:val="nil"/>
              <w:left w:val="nil"/>
              <w:bottom w:val="single" w:color="auto" w:sz="4" w:space="0"/>
              <w:right w:val="single" w:color="auto" w:sz="4" w:space="0"/>
            </w:tcBorders>
            <w:noWrap w:val="0"/>
            <w:vAlign w:val="center"/>
          </w:tcPr>
          <w:p w14:paraId="7B3D93D4">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万元</w:t>
            </w:r>
          </w:p>
        </w:tc>
        <w:tc>
          <w:tcPr>
            <w:tcW w:w="2037" w:type="dxa"/>
            <w:tcBorders>
              <w:top w:val="nil"/>
              <w:left w:val="nil"/>
              <w:bottom w:val="single" w:color="auto" w:sz="4" w:space="0"/>
              <w:right w:val="single" w:color="auto" w:sz="4" w:space="0"/>
            </w:tcBorders>
            <w:noWrap w:val="0"/>
            <w:vAlign w:val="center"/>
          </w:tcPr>
          <w:p w14:paraId="303E7F5E">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2000≤Y＜30000</w:t>
            </w:r>
          </w:p>
        </w:tc>
        <w:tc>
          <w:tcPr>
            <w:tcW w:w="1657" w:type="dxa"/>
            <w:tcBorders>
              <w:top w:val="nil"/>
              <w:left w:val="nil"/>
              <w:bottom w:val="single" w:color="auto" w:sz="4" w:space="0"/>
              <w:right w:val="single" w:color="auto" w:sz="4" w:space="0"/>
            </w:tcBorders>
            <w:noWrap w:val="0"/>
            <w:vAlign w:val="center"/>
          </w:tcPr>
          <w:p w14:paraId="223266AD">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100≤Y＜2000</w:t>
            </w:r>
          </w:p>
        </w:tc>
        <w:tc>
          <w:tcPr>
            <w:tcW w:w="1091" w:type="dxa"/>
            <w:tcBorders>
              <w:top w:val="nil"/>
              <w:left w:val="nil"/>
              <w:bottom w:val="single" w:color="auto" w:sz="4" w:space="0"/>
              <w:right w:val="single" w:color="auto" w:sz="4" w:space="0"/>
            </w:tcBorders>
            <w:noWrap w:val="0"/>
            <w:vAlign w:val="center"/>
          </w:tcPr>
          <w:p w14:paraId="5DC52035">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Y＜100</w:t>
            </w:r>
          </w:p>
        </w:tc>
      </w:tr>
      <w:tr w14:paraId="39349E52">
        <w:trPr>
          <w:trHeight w:val="272" w:hRule="atLeast"/>
          <w:jc w:val="center"/>
        </w:trPr>
        <w:tc>
          <w:tcPr>
            <w:tcW w:w="1358" w:type="dxa"/>
            <w:vMerge w:val="restart"/>
            <w:tcBorders>
              <w:top w:val="nil"/>
              <w:left w:val="single" w:color="auto" w:sz="4" w:space="0"/>
              <w:bottom w:val="single" w:color="auto" w:sz="4" w:space="0"/>
              <w:right w:val="single" w:color="auto" w:sz="4" w:space="0"/>
            </w:tcBorders>
            <w:noWrap w:val="0"/>
            <w:vAlign w:val="center"/>
          </w:tcPr>
          <w:p w14:paraId="71DA4251">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住宿业</w:t>
            </w:r>
          </w:p>
        </w:tc>
        <w:tc>
          <w:tcPr>
            <w:tcW w:w="1925" w:type="dxa"/>
            <w:tcBorders>
              <w:top w:val="nil"/>
              <w:left w:val="nil"/>
              <w:bottom w:val="single" w:color="auto" w:sz="4" w:space="0"/>
              <w:right w:val="single" w:color="auto" w:sz="4" w:space="0"/>
            </w:tcBorders>
            <w:noWrap w:val="0"/>
            <w:vAlign w:val="center"/>
          </w:tcPr>
          <w:p w14:paraId="533CEBB4">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从业人员（X）</w:t>
            </w:r>
          </w:p>
        </w:tc>
        <w:tc>
          <w:tcPr>
            <w:tcW w:w="1188" w:type="dxa"/>
            <w:tcBorders>
              <w:top w:val="nil"/>
              <w:left w:val="nil"/>
              <w:bottom w:val="single" w:color="auto" w:sz="4" w:space="0"/>
              <w:right w:val="single" w:color="auto" w:sz="4" w:space="0"/>
            </w:tcBorders>
            <w:noWrap w:val="0"/>
            <w:vAlign w:val="center"/>
          </w:tcPr>
          <w:p w14:paraId="6C9D0F4C">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人</w:t>
            </w:r>
          </w:p>
        </w:tc>
        <w:tc>
          <w:tcPr>
            <w:tcW w:w="2037" w:type="dxa"/>
            <w:tcBorders>
              <w:top w:val="nil"/>
              <w:left w:val="nil"/>
              <w:bottom w:val="single" w:color="auto" w:sz="4" w:space="0"/>
              <w:right w:val="single" w:color="auto" w:sz="4" w:space="0"/>
            </w:tcBorders>
            <w:noWrap w:val="0"/>
            <w:vAlign w:val="center"/>
          </w:tcPr>
          <w:p w14:paraId="60A3613F">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100≤X＜300</w:t>
            </w:r>
          </w:p>
        </w:tc>
        <w:tc>
          <w:tcPr>
            <w:tcW w:w="1657" w:type="dxa"/>
            <w:tcBorders>
              <w:top w:val="nil"/>
              <w:left w:val="nil"/>
              <w:bottom w:val="single" w:color="auto" w:sz="4" w:space="0"/>
              <w:right w:val="single" w:color="auto" w:sz="4" w:space="0"/>
            </w:tcBorders>
            <w:noWrap w:val="0"/>
            <w:vAlign w:val="center"/>
          </w:tcPr>
          <w:p w14:paraId="39D3A22F">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10≤X＜100</w:t>
            </w:r>
          </w:p>
        </w:tc>
        <w:tc>
          <w:tcPr>
            <w:tcW w:w="1091" w:type="dxa"/>
            <w:tcBorders>
              <w:top w:val="nil"/>
              <w:left w:val="nil"/>
              <w:bottom w:val="single" w:color="auto" w:sz="4" w:space="0"/>
              <w:right w:val="single" w:color="auto" w:sz="4" w:space="0"/>
            </w:tcBorders>
            <w:noWrap w:val="0"/>
            <w:vAlign w:val="center"/>
          </w:tcPr>
          <w:p w14:paraId="5FDD193B">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X＜10</w:t>
            </w:r>
          </w:p>
        </w:tc>
      </w:tr>
      <w:tr w14:paraId="1BDE29DE">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noWrap w:val="0"/>
            <w:vAlign w:val="center"/>
          </w:tcPr>
          <w:p w14:paraId="54BBD9C9">
            <w:pPr>
              <w:widowControl/>
              <w:snapToGrid w:val="0"/>
              <w:contextualSpacing/>
              <w:jc w:val="center"/>
              <w:rPr>
                <w:rFonts w:hint="eastAsia" w:ascii="黑体" w:hAnsi="黑体" w:eastAsia="黑体" w:cs="黑体"/>
                <w:b/>
                <w:bCs w:val="0"/>
                <w:color w:val="auto"/>
                <w:kern w:val="0"/>
                <w:sz w:val="21"/>
                <w:szCs w:val="21"/>
                <w:highlight w:val="none"/>
              </w:rPr>
            </w:pPr>
          </w:p>
        </w:tc>
        <w:tc>
          <w:tcPr>
            <w:tcW w:w="1925" w:type="dxa"/>
            <w:tcBorders>
              <w:top w:val="nil"/>
              <w:left w:val="nil"/>
              <w:bottom w:val="single" w:color="auto" w:sz="4" w:space="0"/>
              <w:right w:val="single" w:color="auto" w:sz="4" w:space="0"/>
            </w:tcBorders>
            <w:noWrap w:val="0"/>
            <w:vAlign w:val="center"/>
          </w:tcPr>
          <w:p w14:paraId="1F4566A9">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营业收入（Y）</w:t>
            </w:r>
          </w:p>
        </w:tc>
        <w:tc>
          <w:tcPr>
            <w:tcW w:w="1188" w:type="dxa"/>
            <w:tcBorders>
              <w:top w:val="nil"/>
              <w:left w:val="nil"/>
              <w:bottom w:val="single" w:color="auto" w:sz="4" w:space="0"/>
              <w:right w:val="single" w:color="auto" w:sz="4" w:space="0"/>
            </w:tcBorders>
            <w:noWrap w:val="0"/>
            <w:vAlign w:val="center"/>
          </w:tcPr>
          <w:p w14:paraId="59B50611">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万元</w:t>
            </w:r>
          </w:p>
        </w:tc>
        <w:tc>
          <w:tcPr>
            <w:tcW w:w="2037" w:type="dxa"/>
            <w:tcBorders>
              <w:top w:val="nil"/>
              <w:left w:val="nil"/>
              <w:bottom w:val="single" w:color="auto" w:sz="4" w:space="0"/>
              <w:right w:val="single" w:color="auto" w:sz="4" w:space="0"/>
            </w:tcBorders>
            <w:noWrap w:val="0"/>
            <w:vAlign w:val="center"/>
          </w:tcPr>
          <w:p w14:paraId="77DB5963">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2000≤Y＜10000</w:t>
            </w:r>
          </w:p>
        </w:tc>
        <w:tc>
          <w:tcPr>
            <w:tcW w:w="1657" w:type="dxa"/>
            <w:tcBorders>
              <w:top w:val="nil"/>
              <w:left w:val="nil"/>
              <w:bottom w:val="single" w:color="auto" w:sz="4" w:space="0"/>
              <w:right w:val="single" w:color="auto" w:sz="4" w:space="0"/>
            </w:tcBorders>
            <w:noWrap w:val="0"/>
            <w:vAlign w:val="center"/>
          </w:tcPr>
          <w:p w14:paraId="7DB04DB4">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100≤Y＜2000</w:t>
            </w:r>
          </w:p>
        </w:tc>
        <w:tc>
          <w:tcPr>
            <w:tcW w:w="1091" w:type="dxa"/>
            <w:tcBorders>
              <w:top w:val="nil"/>
              <w:left w:val="nil"/>
              <w:bottom w:val="single" w:color="auto" w:sz="4" w:space="0"/>
              <w:right w:val="single" w:color="auto" w:sz="4" w:space="0"/>
            </w:tcBorders>
            <w:noWrap w:val="0"/>
            <w:vAlign w:val="center"/>
          </w:tcPr>
          <w:p w14:paraId="7A0735EA">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Y＜100</w:t>
            </w:r>
          </w:p>
        </w:tc>
      </w:tr>
      <w:tr w14:paraId="311DDD84">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noWrap w:val="0"/>
            <w:vAlign w:val="center"/>
          </w:tcPr>
          <w:p w14:paraId="715E0EF1">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餐饮业</w:t>
            </w:r>
          </w:p>
        </w:tc>
        <w:tc>
          <w:tcPr>
            <w:tcW w:w="1925" w:type="dxa"/>
            <w:tcBorders>
              <w:top w:val="nil"/>
              <w:left w:val="nil"/>
              <w:bottom w:val="single" w:color="auto" w:sz="4" w:space="0"/>
              <w:right w:val="single" w:color="auto" w:sz="4" w:space="0"/>
            </w:tcBorders>
            <w:noWrap w:val="0"/>
            <w:vAlign w:val="center"/>
          </w:tcPr>
          <w:p w14:paraId="79CBC8ED">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从业人员（X）</w:t>
            </w:r>
          </w:p>
        </w:tc>
        <w:tc>
          <w:tcPr>
            <w:tcW w:w="1188" w:type="dxa"/>
            <w:tcBorders>
              <w:top w:val="nil"/>
              <w:left w:val="nil"/>
              <w:bottom w:val="single" w:color="auto" w:sz="4" w:space="0"/>
              <w:right w:val="single" w:color="auto" w:sz="4" w:space="0"/>
            </w:tcBorders>
            <w:noWrap w:val="0"/>
            <w:vAlign w:val="center"/>
          </w:tcPr>
          <w:p w14:paraId="6C54E318">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人</w:t>
            </w:r>
          </w:p>
        </w:tc>
        <w:tc>
          <w:tcPr>
            <w:tcW w:w="2037" w:type="dxa"/>
            <w:tcBorders>
              <w:top w:val="nil"/>
              <w:left w:val="nil"/>
              <w:bottom w:val="single" w:color="auto" w:sz="4" w:space="0"/>
              <w:right w:val="single" w:color="auto" w:sz="4" w:space="0"/>
            </w:tcBorders>
            <w:noWrap w:val="0"/>
            <w:vAlign w:val="center"/>
          </w:tcPr>
          <w:p w14:paraId="09A66720">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100≤X＜300</w:t>
            </w:r>
          </w:p>
        </w:tc>
        <w:tc>
          <w:tcPr>
            <w:tcW w:w="1657" w:type="dxa"/>
            <w:tcBorders>
              <w:top w:val="nil"/>
              <w:left w:val="nil"/>
              <w:bottom w:val="single" w:color="auto" w:sz="4" w:space="0"/>
              <w:right w:val="single" w:color="auto" w:sz="4" w:space="0"/>
            </w:tcBorders>
            <w:noWrap w:val="0"/>
            <w:vAlign w:val="center"/>
          </w:tcPr>
          <w:p w14:paraId="018D277C">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10≤X＜100</w:t>
            </w:r>
          </w:p>
        </w:tc>
        <w:tc>
          <w:tcPr>
            <w:tcW w:w="1091" w:type="dxa"/>
            <w:tcBorders>
              <w:top w:val="nil"/>
              <w:left w:val="nil"/>
              <w:bottom w:val="single" w:color="auto" w:sz="4" w:space="0"/>
              <w:right w:val="single" w:color="auto" w:sz="4" w:space="0"/>
            </w:tcBorders>
            <w:noWrap w:val="0"/>
            <w:vAlign w:val="center"/>
          </w:tcPr>
          <w:p w14:paraId="144C9EFD">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X＜10</w:t>
            </w:r>
          </w:p>
        </w:tc>
      </w:tr>
      <w:tr w14:paraId="431CB678">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noWrap w:val="0"/>
            <w:vAlign w:val="center"/>
          </w:tcPr>
          <w:p w14:paraId="536D8108">
            <w:pPr>
              <w:widowControl/>
              <w:snapToGrid w:val="0"/>
              <w:contextualSpacing/>
              <w:jc w:val="center"/>
              <w:rPr>
                <w:rFonts w:hint="eastAsia" w:ascii="黑体" w:hAnsi="黑体" w:eastAsia="黑体" w:cs="黑体"/>
                <w:b/>
                <w:bCs w:val="0"/>
                <w:color w:val="auto"/>
                <w:kern w:val="0"/>
                <w:sz w:val="21"/>
                <w:szCs w:val="21"/>
                <w:highlight w:val="none"/>
              </w:rPr>
            </w:pPr>
          </w:p>
        </w:tc>
        <w:tc>
          <w:tcPr>
            <w:tcW w:w="1925" w:type="dxa"/>
            <w:tcBorders>
              <w:top w:val="nil"/>
              <w:left w:val="nil"/>
              <w:bottom w:val="single" w:color="auto" w:sz="4" w:space="0"/>
              <w:right w:val="single" w:color="auto" w:sz="4" w:space="0"/>
            </w:tcBorders>
            <w:noWrap w:val="0"/>
            <w:vAlign w:val="center"/>
          </w:tcPr>
          <w:p w14:paraId="2ADF5734">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营业收入（Y）</w:t>
            </w:r>
          </w:p>
        </w:tc>
        <w:tc>
          <w:tcPr>
            <w:tcW w:w="1188" w:type="dxa"/>
            <w:tcBorders>
              <w:top w:val="nil"/>
              <w:left w:val="nil"/>
              <w:bottom w:val="single" w:color="auto" w:sz="4" w:space="0"/>
              <w:right w:val="single" w:color="auto" w:sz="4" w:space="0"/>
            </w:tcBorders>
            <w:noWrap w:val="0"/>
            <w:vAlign w:val="center"/>
          </w:tcPr>
          <w:p w14:paraId="14F76B0E">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万元</w:t>
            </w:r>
          </w:p>
        </w:tc>
        <w:tc>
          <w:tcPr>
            <w:tcW w:w="2037" w:type="dxa"/>
            <w:tcBorders>
              <w:top w:val="nil"/>
              <w:left w:val="nil"/>
              <w:bottom w:val="single" w:color="auto" w:sz="4" w:space="0"/>
              <w:right w:val="single" w:color="auto" w:sz="4" w:space="0"/>
            </w:tcBorders>
            <w:noWrap w:val="0"/>
            <w:vAlign w:val="center"/>
          </w:tcPr>
          <w:p w14:paraId="5602A5F6">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2000≤Y＜10000</w:t>
            </w:r>
          </w:p>
        </w:tc>
        <w:tc>
          <w:tcPr>
            <w:tcW w:w="1657" w:type="dxa"/>
            <w:tcBorders>
              <w:top w:val="nil"/>
              <w:left w:val="nil"/>
              <w:bottom w:val="single" w:color="auto" w:sz="4" w:space="0"/>
              <w:right w:val="single" w:color="auto" w:sz="4" w:space="0"/>
            </w:tcBorders>
            <w:noWrap w:val="0"/>
            <w:vAlign w:val="center"/>
          </w:tcPr>
          <w:p w14:paraId="579CF3FE">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100≤Y＜2000</w:t>
            </w:r>
          </w:p>
        </w:tc>
        <w:tc>
          <w:tcPr>
            <w:tcW w:w="1091" w:type="dxa"/>
            <w:tcBorders>
              <w:top w:val="nil"/>
              <w:left w:val="nil"/>
              <w:bottom w:val="single" w:color="auto" w:sz="4" w:space="0"/>
              <w:right w:val="single" w:color="auto" w:sz="4" w:space="0"/>
            </w:tcBorders>
            <w:noWrap w:val="0"/>
            <w:vAlign w:val="center"/>
          </w:tcPr>
          <w:p w14:paraId="0E54842A">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Y＜100</w:t>
            </w:r>
          </w:p>
        </w:tc>
      </w:tr>
      <w:tr w14:paraId="7F0DFE12">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noWrap w:val="0"/>
            <w:vAlign w:val="center"/>
          </w:tcPr>
          <w:p w14:paraId="6EDD3358">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信息传输业</w:t>
            </w:r>
          </w:p>
        </w:tc>
        <w:tc>
          <w:tcPr>
            <w:tcW w:w="1925" w:type="dxa"/>
            <w:tcBorders>
              <w:top w:val="nil"/>
              <w:left w:val="nil"/>
              <w:bottom w:val="single" w:color="auto" w:sz="4" w:space="0"/>
              <w:right w:val="single" w:color="auto" w:sz="4" w:space="0"/>
            </w:tcBorders>
            <w:noWrap w:val="0"/>
            <w:vAlign w:val="center"/>
          </w:tcPr>
          <w:p w14:paraId="3A24D845">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从业人员（X）</w:t>
            </w:r>
          </w:p>
        </w:tc>
        <w:tc>
          <w:tcPr>
            <w:tcW w:w="1188" w:type="dxa"/>
            <w:tcBorders>
              <w:top w:val="nil"/>
              <w:left w:val="nil"/>
              <w:bottom w:val="single" w:color="auto" w:sz="4" w:space="0"/>
              <w:right w:val="single" w:color="auto" w:sz="4" w:space="0"/>
            </w:tcBorders>
            <w:noWrap w:val="0"/>
            <w:vAlign w:val="center"/>
          </w:tcPr>
          <w:p w14:paraId="33A5ED80">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人</w:t>
            </w:r>
          </w:p>
        </w:tc>
        <w:tc>
          <w:tcPr>
            <w:tcW w:w="2037" w:type="dxa"/>
            <w:tcBorders>
              <w:top w:val="nil"/>
              <w:left w:val="nil"/>
              <w:bottom w:val="single" w:color="auto" w:sz="4" w:space="0"/>
              <w:right w:val="single" w:color="auto" w:sz="4" w:space="0"/>
            </w:tcBorders>
            <w:noWrap w:val="0"/>
            <w:vAlign w:val="center"/>
          </w:tcPr>
          <w:p w14:paraId="6416F7E6">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100≤X＜2000</w:t>
            </w:r>
          </w:p>
        </w:tc>
        <w:tc>
          <w:tcPr>
            <w:tcW w:w="1657" w:type="dxa"/>
            <w:tcBorders>
              <w:top w:val="nil"/>
              <w:left w:val="nil"/>
              <w:bottom w:val="single" w:color="auto" w:sz="4" w:space="0"/>
              <w:right w:val="single" w:color="auto" w:sz="4" w:space="0"/>
            </w:tcBorders>
            <w:noWrap w:val="0"/>
            <w:vAlign w:val="center"/>
          </w:tcPr>
          <w:p w14:paraId="1B2156C2">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10≤X＜100</w:t>
            </w:r>
          </w:p>
        </w:tc>
        <w:tc>
          <w:tcPr>
            <w:tcW w:w="1091" w:type="dxa"/>
            <w:tcBorders>
              <w:top w:val="nil"/>
              <w:left w:val="nil"/>
              <w:bottom w:val="single" w:color="auto" w:sz="4" w:space="0"/>
              <w:right w:val="single" w:color="auto" w:sz="4" w:space="0"/>
            </w:tcBorders>
            <w:noWrap w:val="0"/>
            <w:vAlign w:val="center"/>
          </w:tcPr>
          <w:p w14:paraId="6BF2DEB7">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X＜10</w:t>
            </w:r>
          </w:p>
        </w:tc>
      </w:tr>
      <w:tr w14:paraId="379FC577">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noWrap w:val="0"/>
            <w:vAlign w:val="center"/>
          </w:tcPr>
          <w:p w14:paraId="4CF33414">
            <w:pPr>
              <w:widowControl/>
              <w:snapToGrid w:val="0"/>
              <w:contextualSpacing/>
              <w:jc w:val="center"/>
              <w:rPr>
                <w:rFonts w:hint="eastAsia" w:ascii="黑体" w:hAnsi="黑体" w:eastAsia="黑体" w:cs="黑体"/>
                <w:b/>
                <w:bCs w:val="0"/>
                <w:color w:val="auto"/>
                <w:kern w:val="0"/>
                <w:sz w:val="21"/>
                <w:szCs w:val="21"/>
                <w:highlight w:val="none"/>
              </w:rPr>
            </w:pPr>
          </w:p>
        </w:tc>
        <w:tc>
          <w:tcPr>
            <w:tcW w:w="1925" w:type="dxa"/>
            <w:tcBorders>
              <w:top w:val="nil"/>
              <w:left w:val="nil"/>
              <w:bottom w:val="single" w:color="auto" w:sz="4" w:space="0"/>
              <w:right w:val="single" w:color="auto" w:sz="4" w:space="0"/>
            </w:tcBorders>
            <w:noWrap w:val="0"/>
            <w:vAlign w:val="center"/>
          </w:tcPr>
          <w:p w14:paraId="41BD423B">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营业收入（Y）</w:t>
            </w:r>
          </w:p>
        </w:tc>
        <w:tc>
          <w:tcPr>
            <w:tcW w:w="1188" w:type="dxa"/>
            <w:tcBorders>
              <w:top w:val="nil"/>
              <w:left w:val="nil"/>
              <w:bottom w:val="single" w:color="auto" w:sz="4" w:space="0"/>
              <w:right w:val="single" w:color="auto" w:sz="4" w:space="0"/>
            </w:tcBorders>
            <w:noWrap w:val="0"/>
            <w:vAlign w:val="center"/>
          </w:tcPr>
          <w:p w14:paraId="7A25AC47">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万元</w:t>
            </w:r>
          </w:p>
        </w:tc>
        <w:tc>
          <w:tcPr>
            <w:tcW w:w="2037" w:type="dxa"/>
            <w:tcBorders>
              <w:top w:val="nil"/>
              <w:left w:val="nil"/>
              <w:bottom w:val="single" w:color="auto" w:sz="4" w:space="0"/>
              <w:right w:val="single" w:color="auto" w:sz="4" w:space="0"/>
            </w:tcBorders>
            <w:noWrap w:val="0"/>
            <w:vAlign w:val="center"/>
          </w:tcPr>
          <w:p w14:paraId="6A9FD18A">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1000≤Y＜100000</w:t>
            </w:r>
          </w:p>
        </w:tc>
        <w:tc>
          <w:tcPr>
            <w:tcW w:w="1657" w:type="dxa"/>
            <w:tcBorders>
              <w:top w:val="nil"/>
              <w:left w:val="nil"/>
              <w:bottom w:val="single" w:color="auto" w:sz="4" w:space="0"/>
              <w:right w:val="single" w:color="auto" w:sz="4" w:space="0"/>
            </w:tcBorders>
            <w:noWrap w:val="0"/>
            <w:vAlign w:val="center"/>
          </w:tcPr>
          <w:p w14:paraId="4C93267A">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100≤Y＜1000</w:t>
            </w:r>
          </w:p>
        </w:tc>
        <w:tc>
          <w:tcPr>
            <w:tcW w:w="1091" w:type="dxa"/>
            <w:tcBorders>
              <w:top w:val="nil"/>
              <w:left w:val="nil"/>
              <w:bottom w:val="single" w:color="auto" w:sz="4" w:space="0"/>
              <w:right w:val="single" w:color="auto" w:sz="4" w:space="0"/>
            </w:tcBorders>
            <w:noWrap w:val="0"/>
            <w:vAlign w:val="center"/>
          </w:tcPr>
          <w:p w14:paraId="276807A0">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Y＜100</w:t>
            </w:r>
          </w:p>
        </w:tc>
      </w:tr>
      <w:tr w14:paraId="610EB17D">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noWrap w:val="0"/>
            <w:vAlign w:val="center"/>
          </w:tcPr>
          <w:p w14:paraId="0544D9D9">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软件和信息技术服务业</w:t>
            </w:r>
          </w:p>
        </w:tc>
        <w:tc>
          <w:tcPr>
            <w:tcW w:w="1925" w:type="dxa"/>
            <w:tcBorders>
              <w:top w:val="nil"/>
              <w:left w:val="nil"/>
              <w:bottom w:val="single" w:color="auto" w:sz="4" w:space="0"/>
              <w:right w:val="single" w:color="auto" w:sz="4" w:space="0"/>
            </w:tcBorders>
            <w:noWrap w:val="0"/>
            <w:vAlign w:val="center"/>
          </w:tcPr>
          <w:p w14:paraId="25F73755">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从业人员（X）</w:t>
            </w:r>
          </w:p>
        </w:tc>
        <w:tc>
          <w:tcPr>
            <w:tcW w:w="1188" w:type="dxa"/>
            <w:tcBorders>
              <w:top w:val="nil"/>
              <w:left w:val="nil"/>
              <w:bottom w:val="single" w:color="auto" w:sz="4" w:space="0"/>
              <w:right w:val="single" w:color="auto" w:sz="4" w:space="0"/>
            </w:tcBorders>
            <w:noWrap w:val="0"/>
            <w:vAlign w:val="center"/>
          </w:tcPr>
          <w:p w14:paraId="7A383B5F">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人</w:t>
            </w:r>
          </w:p>
        </w:tc>
        <w:tc>
          <w:tcPr>
            <w:tcW w:w="2037" w:type="dxa"/>
            <w:tcBorders>
              <w:top w:val="nil"/>
              <w:left w:val="nil"/>
              <w:bottom w:val="single" w:color="auto" w:sz="4" w:space="0"/>
              <w:right w:val="single" w:color="auto" w:sz="4" w:space="0"/>
            </w:tcBorders>
            <w:noWrap w:val="0"/>
            <w:vAlign w:val="center"/>
          </w:tcPr>
          <w:p w14:paraId="2C8F2A05">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100≤X＜300</w:t>
            </w:r>
          </w:p>
        </w:tc>
        <w:tc>
          <w:tcPr>
            <w:tcW w:w="1657" w:type="dxa"/>
            <w:tcBorders>
              <w:top w:val="nil"/>
              <w:left w:val="nil"/>
              <w:bottom w:val="single" w:color="auto" w:sz="4" w:space="0"/>
              <w:right w:val="single" w:color="auto" w:sz="4" w:space="0"/>
            </w:tcBorders>
            <w:noWrap w:val="0"/>
            <w:vAlign w:val="center"/>
          </w:tcPr>
          <w:p w14:paraId="1F168D56">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10≤X＜100</w:t>
            </w:r>
          </w:p>
        </w:tc>
        <w:tc>
          <w:tcPr>
            <w:tcW w:w="1091" w:type="dxa"/>
            <w:tcBorders>
              <w:top w:val="nil"/>
              <w:left w:val="nil"/>
              <w:bottom w:val="single" w:color="auto" w:sz="4" w:space="0"/>
              <w:right w:val="single" w:color="auto" w:sz="4" w:space="0"/>
            </w:tcBorders>
            <w:noWrap w:val="0"/>
            <w:vAlign w:val="center"/>
          </w:tcPr>
          <w:p w14:paraId="20DBBB56">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X＜10</w:t>
            </w:r>
          </w:p>
        </w:tc>
      </w:tr>
      <w:tr w14:paraId="2C2DB74E">
        <w:trPr>
          <w:trHeight w:val="401" w:hRule="atLeast"/>
          <w:jc w:val="center"/>
        </w:trPr>
        <w:tc>
          <w:tcPr>
            <w:tcW w:w="1358" w:type="dxa"/>
            <w:vMerge w:val="continue"/>
            <w:tcBorders>
              <w:top w:val="nil"/>
              <w:left w:val="single" w:color="auto" w:sz="4" w:space="0"/>
              <w:bottom w:val="single" w:color="auto" w:sz="4" w:space="0"/>
              <w:right w:val="single" w:color="auto" w:sz="4" w:space="0"/>
            </w:tcBorders>
            <w:noWrap w:val="0"/>
            <w:vAlign w:val="center"/>
          </w:tcPr>
          <w:p w14:paraId="3BC95F24">
            <w:pPr>
              <w:widowControl/>
              <w:snapToGrid w:val="0"/>
              <w:contextualSpacing/>
              <w:jc w:val="center"/>
              <w:rPr>
                <w:rFonts w:hint="eastAsia" w:ascii="黑体" w:hAnsi="黑体" w:eastAsia="黑体" w:cs="黑体"/>
                <w:b/>
                <w:bCs w:val="0"/>
                <w:color w:val="auto"/>
                <w:kern w:val="0"/>
                <w:sz w:val="21"/>
                <w:szCs w:val="21"/>
                <w:highlight w:val="none"/>
              </w:rPr>
            </w:pPr>
          </w:p>
        </w:tc>
        <w:tc>
          <w:tcPr>
            <w:tcW w:w="1925" w:type="dxa"/>
            <w:tcBorders>
              <w:top w:val="nil"/>
              <w:left w:val="nil"/>
              <w:bottom w:val="single" w:color="auto" w:sz="4" w:space="0"/>
              <w:right w:val="single" w:color="auto" w:sz="4" w:space="0"/>
            </w:tcBorders>
            <w:noWrap w:val="0"/>
            <w:vAlign w:val="center"/>
          </w:tcPr>
          <w:p w14:paraId="4DCAD6DE">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营业收入（Y）</w:t>
            </w:r>
          </w:p>
        </w:tc>
        <w:tc>
          <w:tcPr>
            <w:tcW w:w="1188" w:type="dxa"/>
            <w:tcBorders>
              <w:top w:val="nil"/>
              <w:left w:val="nil"/>
              <w:bottom w:val="single" w:color="auto" w:sz="4" w:space="0"/>
              <w:right w:val="single" w:color="auto" w:sz="4" w:space="0"/>
            </w:tcBorders>
            <w:noWrap w:val="0"/>
            <w:vAlign w:val="center"/>
          </w:tcPr>
          <w:p w14:paraId="282839E0">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万元</w:t>
            </w:r>
          </w:p>
        </w:tc>
        <w:tc>
          <w:tcPr>
            <w:tcW w:w="2037" w:type="dxa"/>
            <w:tcBorders>
              <w:top w:val="nil"/>
              <w:left w:val="nil"/>
              <w:bottom w:val="single" w:color="auto" w:sz="4" w:space="0"/>
              <w:right w:val="single" w:color="auto" w:sz="4" w:space="0"/>
            </w:tcBorders>
            <w:noWrap w:val="0"/>
            <w:vAlign w:val="center"/>
          </w:tcPr>
          <w:p w14:paraId="39F9EE4B">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1000≤Y＜10000</w:t>
            </w:r>
          </w:p>
        </w:tc>
        <w:tc>
          <w:tcPr>
            <w:tcW w:w="1657" w:type="dxa"/>
            <w:tcBorders>
              <w:top w:val="nil"/>
              <w:left w:val="nil"/>
              <w:bottom w:val="single" w:color="auto" w:sz="4" w:space="0"/>
              <w:right w:val="single" w:color="auto" w:sz="4" w:space="0"/>
            </w:tcBorders>
            <w:noWrap w:val="0"/>
            <w:vAlign w:val="center"/>
          </w:tcPr>
          <w:p w14:paraId="6E9B3314">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50≤Y＜1000</w:t>
            </w:r>
          </w:p>
        </w:tc>
        <w:tc>
          <w:tcPr>
            <w:tcW w:w="1091" w:type="dxa"/>
            <w:tcBorders>
              <w:top w:val="nil"/>
              <w:left w:val="nil"/>
              <w:bottom w:val="single" w:color="auto" w:sz="4" w:space="0"/>
              <w:right w:val="single" w:color="auto" w:sz="4" w:space="0"/>
            </w:tcBorders>
            <w:noWrap w:val="0"/>
            <w:vAlign w:val="center"/>
          </w:tcPr>
          <w:p w14:paraId="1C953E83">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Y＜50</w:t>
            </w:r>
          </w:p>
        </w:tc>
      </w:tr>
      <w:tr w14:paraId="53F81FD0">
        <w:tblPrEx>
          <w:tblCellMar>
            <w:top w:w="0" w:type="dxa"/>
            <w:left w:w="108" w:type="dxa"/>
            <w:bottom w:w="0" w:type="dxa"/>
            <w:right w:w="108" w:type="dxa"/>
          </w:tblCellMar>
        </w:tblPrEx>
        <w:trPr>
          <w:trHeight w:val="401" w:hRule="atLeast"/>
          <w:jc w:val="center"/>
        </w:trPr>
        <w:tc>
          <w:tcPr>
            <w:tcW w:w="1358" w:type="dxa"/>
            <w:vMerge w:val="restart"/>
            <w:tcBorders>
              <w:top w:val="nil"/>
              <w:left w:val="single" w:color="auto" w:sz="4" w:space="0"/>
              <w:bottom w:val="single" w:color="auto" w:sz="4" w:space="0"/>
              <w:right w:val="single" w:color="auto" w:sz="4" w:space="0"/>
            </w:tcBorders>
            <w:noWrap w:val="0"/>
            <w:vAlign w:val="center"/>
          </w:tcPr>
          <w:p w14:paraId="6C36CAAD">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房地产开发经营</w:t>
            </w:r>
          </w:p>
        </w:tc>
        <w:tc>
          <w:tcPr>
            <w:tcW w:w="1925" w:type="dxa"/>
            <w:tcBorders>
              <w:top w:val="nil"/>
              <w:left w:val="nil"/>
              <w:bottom w:val="single" w:color="auto" w:sz="4" w:space="0"/>
              <w:right w:val="single" w:color="auto" w:sz="4" w:space="0"/>
            </w:tcBorders>
            <w:noWrap w:val="0"/>
            <w:vAlign w:val="center"/>
          </w:tcPr>
          <w:p w14:paraId="3292AF27">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营业收入（Y）</w:t>
            </w:r>
          </w:p>
        </w:tc>
        <w:tc>
          <w:tcPr>
            <w:tcW w:w="1188" w:type="dxa"/>
            <w:tcBorders>
              <w:top w:val="nil"/>
              <w:left w:val="nil"/>
              <w:bottom w:val="single" w:color="auto" w:sz="4" w:space="0"/>
              <w:right w:val="single" w:color="auto" w:sz="4" w:space="0"/>
            </w:tcBorders>
            <w:noWrap w:val="0"/>
            <w:vAlign w:val="center"/>
          </w:tcPr>
          <w:p w14:paraId="167EB6CB">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万元</w:t>
            </w:r>
          </w:p>
        </w:tc>
        <w:tc>
          <w:tcPr>
            <w:tcW w:w="2037" w:type="dxa"/>
            <w:tcBorders>
              <w:top w:val="nil"/>
              <w:left w:val="nil"/>
              <w:bottom w:val="single" w:color="auto" w:sz="4" w:space="0"/>
              <w:right w:val="single" w:color="auto" w:sz="4" w:space="0"/>
            </w:tcBorders>
            <w:noWrap w:val="0"/>
            <w:vAlign w:val="center"/>
          </w:tcPr>
          <w:p w14:paraId="10BBEB35">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1000≤Y＜200000</w:t>
            </w:r>
          </w:p>
        </w:tc>
        <w:tc>
          <w:tcPr>
            <w:tcW w:w="1657" w:type="dxa"/>
            <w:tcBorders>
              <w:top w:val="nil"/>
              <w:left w:val="nil"/>
              <w:bottom w:val="single" w:color="auto" w:sz="4" w:space="0"/>
              <w:right w:val="single" w:color="auto" w:sz="4" w:space="0"/>
            </w:tcBorders>
            <w:noWrap w:val="0"/>
            <w:vAlign w:val="center"/>
          </w:tcPr>
          <w:p w14:paraId="025DB6C8">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100≤X＜1000</w:t>
            </w:r>
          </w:p>
        </w:tc>
        <w:tc>
          <w:tcPr>
            <w:tcW w:w="1091" w:type="dxa"/>
            <w:tcBorders>
              <w:top w:val="nil"/>
              <w:left w:val="nil"/>
              <w:bottom w:val="single" w:color="auto" w:sz="4" w:space="0"/>
              <w:right w:val="single" w:color="auto" w:sz="4" w:space="0"/>
            </w:tcBorders>
            <w:noWrap w:val="0"/>
            <w:vAlign w:val="center"/>
          </w:tcPr>
          <w:p w14:paraId="79B39762">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X＜100</w:t>
            </w:r>
          </w:p>
        </w:tc>
      </w:tr>
      <w:tr w14:paraId="131961CD">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noWrap w:val="0"/>
            <w:vAlign w:val="center"/>
          </w:tcPr>
          <w:p w14:paraId="2161E12A">
            <w:pPr>
              <w:widowControl/>
              <w:snapToGrid w:val="0"/>
              <w:contextualSpacing/>
              <w:jc w:val="center"/>
              <w:rPr>
                <w:rFonts w:hint="eastAsia" w:ascii="黑体" w:hAnsi="黑体" w:eastAsia="黑体" w:cs="黑体"/>
                <w:b/>
                <w:bCs w:val="0"/>
                <w:color w:val="auto"/>
                <w:kern w:val="0"/>
                <w:sz w:val="21"/>
                <w:szCs w:val="21"/>
                <w:highlight w:val="none"/>
              </w:rPr>
            </w:pPr>
          </w:p>
        </w:tc>
        <w:tc>
          <w:tcPr>
            <w:tcW w:w="1925" w:type="dxa"/>
            <w:tcBorders>
              <w:top w:val="nil"/>
              <w:left w:val="nil"/>
              <w:bottom w:val="single" w:color="auto" w:sz="4" w:space="0"/>
              <w:right w:val="single" w:color="auto" w:sz="4" w:space="0"/>
            </w:tcBorders>
            <w:noWrap w:val="0"/>
            <w:vAlign w:val="center"/>
          </w:tcPr>
          <w:p w14:paraId="3C0CD5C4">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资产总额（Z）</w:t>
            </w:r>
          </w:p>
        </w:tc>
        <w:tc>
          <w:tcPr>
            <w:tcW w:w="1188" w:type="dxa"/>
            <w:tcBorders>
              <w:top w:val="nil"/>
              <w:left w:val="nil"/>
              <w:bottom w:val="single" w:color="auto" w:sz="4" w:space="0"/>
              <w:right w:val="single" w:color="auto" w:sz="4" w:space="0"/>
            </w:tcBorders>
            <w:noWrap w:val="0"/>
            <w:vAlign w:val="center"/>
          </w:tcPr>
          <w:p w14:paraId="17AA0F9C">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万元</w:t>
            </w:r>
          </w:p>
        </w:tc>
        <w:tc>
          <w:tcPr>
            <w:tcW w:w="2037" w:type="dxa"/>
            <w:tcBorders>
              <w:top w:val="nil"/>
              <w:left w:val="nil"/>
              <w:bottom w:val="single" w:color="auto" w:sz="4" w:space="0"/>
              <w:right w:val="single" w:color="auto" w:sz="4" w:space="0"/>
            </w:tcBorders>
            <w:noWrap w:val="0"/>
            <w:vAlign w:val="center"/>
          </w:tcPr>
          <w:p w14:paraId="77034F4F">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5000≤Z＜10000</w:t>
            </w:r>
          </w:p>
        </w:tc>
        <w:tc>
          <w:tcPr>
            <w:tcW w:w="1657" w:type="dxa"/>
            <w:tcBorders>
              <w:top w:val="nil"/>
              <w:left w:val="nil"/>
              <w:bottom w:val="single" w:color="auto" w:sz="4" w:space="0"/>
              <w:right w:val="single" w:color="auto" w:sz="4" w:space="0"/>
            </w:tcBorders>
            <w:noWrap w:val="0"/>
            <w:vAlign w:val="center"/>
          </w:tcPr>
          <w:p w14:paraId="374B5414">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2000≤Y＜5000</w:t>
            </w:r>
          </w:p>
        </w:tc>
        <w:tc>
          <w:tcPr>
            <w:tcW w:w="1091" w:type="dxa"/>
            <w:tcBorders>
              <w:top w:val="nil"/>
              <w:left w:val="nil"/>
              <w:bottom w:val="single" w:color="auto" w:sz="4" w:space="0"/>
              <w:right w:val="single" w:color="auto" w:sz="4" w:space="0"/>
            </w:tcBorders>
            <w:noWrap w:val="0"/>
            <w:vAlign w:val="center"/>
          </w:tcPr>
          <w:p w14:paraId="55B8B1B7">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Y＜2000</w:t>
            </w:r>
          </w:p>
        </w:tc>
      </w:tr>
      <w:tr w14:paraId="3DB00D27">
        <w:trPr>
          <w:trHeight w:val="272" w:hRule="atLeast"/>
          <w:jc w:val="center"/>
        </w:trPr>
        <w:tc>
          <w:tcPr>
            <w:tcW w:w="1358" w:type="dxa"/>
            <w:vMerge w:val="restart"/>
            <w:tcBorders>
              <w:top w:val="nil"/>
              <w:left w:val="single" w:color="auto" w:sz="4" w:space="0"/>
              <w:bottom w:val="single" w:color="auto" w:sz="4" w:space="0"/>
              <w:right w:val="single" w:color="auto" w:sz="4" w:space="0"/>
            </w:tcBorders>
            <w:noWrap w:val="0"/>
            <w:vAlign w:val="center"/>
          </w:tcPr>
          <w:p w14:paraId="4AB8B7B5">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物业管理</w:t>
            </w:r>
          </w:p>
        </w:tc>
        <w:tc>
          <w:tcPr>
            <w:tcW w:w="1925" w:type="dxa"/>
            <w:tcBorders>
              <w:top w:val="nil"/>
              <w:left w:val="nil"/>
              <w:bottom w:val="single" w:color="auto" w:sz="4" w:space="0"/>
              <w:right w:val="single" w:color="auto" w:sz="4" w:space="0"/>
            </w:tcBorders>
            <w:noWrap w:val="0"/>
            <w:vAlign w:val="center"/>
          </w:tcPr>
          <w:p w14:paraId="43290943">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从业人员（X）</w:t>
            </w:r>
          </w:p>
        </w:tc>
        <w:tc>
          <w:tcPr>
            <w:tcW w:w="1188" w:type="dxa"/>
            <w:tcBorders>
              <w:top w:val="nil"/>
              <w:left w:val="nil"/>
              <w:bottom w:val="single" w:color="auto" w:sz="4" w:space="0"/>
              <w:right w:val="single" w:color="auto" w:sz="4" w:space="0"/>
            </w:tcBorders>
            <w:noWrap w:val="0"/>
            <w:vAlign w:val="center"/>
          </w:tcPr>
          <w:p w14:paraId="4AAA8434">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人</w:t>
            </w:r>
          </w:p>
        </w:tc>
        <w:tc>
          <w:tcPr>
            <w:tcW w:w="2037" w:type="dxa"/>
            <w:tcBorders>
              <w:top w:val="nil"/>
              <w:left w:val="nil"/>
              <w:bottom w:val="single" w:color="auto" w:sz="4" w:space="0"/>
              <w:right w:val="single" w:color="auto" w:sz="4" w:space="0"/>
            </w:tcBorders>
            <w:noWrap w:val="0"/>
            <w:vAlign w:val="center"/>
          </w:tcPr>
          <w:p w14:paraId="036FD9CE">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300≤X＜1000</w:t>
            </w:r>
          </w:p>
        </w:tc>
        <w:tc>
          <w:tcPr>
            <w:tcW w:w="1657" w:type="dxa"/>
            <w:tcBorders>
              <w:top w:val="nil"/>
              <w:left w:val="nil"/>
              <w:bottom w:val="single" w:color="auto" w:sz="4" w:space="0"/>
              <w:right w:val="single" w:color="auto" w:sz="4" w:space="0"/>
            </w:tcBorders>
            <w:noWrap w:val="0"/>
            <w:vAlign w:val="center"/>
          </w:tcPr>
          <w:p w14:paraId="636E1865">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100≤X＜300</w:t>
            </w:r>
          </w:p>
        </w:tc>
        <w:tc>
          <w:tcPr>
            <w:tcW w:w="1091" w:type="dxa"/>
            <w:tcBorders>
              <w:top w:val="nil"/>
              <w:left w:val="nil"/>
              <w:bottom w:val="single" w:color="auto" w:sz="4" w:space="0"/>
              <w:right w:val="single" w:color="auto" w:sz="4" w:space="0"/>
            </w:tcBorders>
            <w:noWrap w:val="0"/>
            <w:vAlign w:val="center"/>
          </w:tcPr>
          <w:p w14:paraId="371FFB2F">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X＜100</w:t>
            </w:r>
          </w:p>
        </w:tc>
      </w:tr>
      <w:tr w14:paraId="32FD736F">
        <w:trPr>
          <w:trHeight w:val="272" w:hRule="atLeast"/>
          <w:jc w:val="center"/>
        </w:trPr>
        <w:tc>
          <w:tcPr>
            <w:tcW w:w="1358" w:type="dxa"/>
            <w:vMerge w:val="continue"/>
            <w:tcBorders>
              <w:top w:val="nil"/>
              <w:left w:val="single" w:color="auto" w:sz="4" w:space="0"/>
              <w:bottom w:val="single" w:color="auto" w:sz="4" w:space="0"/>
              <w:right w:val="single" w:color="auto" w:sz="4" w:space="0"/>
            </w:tcBorders>
            <w:noWrap w:val="0"/>
            <w:vAlign w:val="center"/>
          </w:tcPr>
          <w:p w14:paraId="0280CA89">
            <w:pPr>
              <w:widowControl/>
              <w:snapToGrid w:val="0"/>
              <w:contextualSpacing/>
              <w:jc w:val="center"/>
              <w:rPr>
                <w:rFonts w:hint="eastAsia" w:ascii="黑体" w:hAnsi="黑体" w:eastAsia="黑体" w:cs="黑体"/>
                <w:b/>
                <w:bCs w:val="0"/>
                <w:color w:val="auto"/>
                <w:kern w:val="0"/>
                <w:sz w:val="21"/>
                <w:szCs w:val="21"/>
                <w:highlight w:val="none"/>
              </w:rPr>
            </w:pPr>
          </w:p>
        </w:tc>
        <w:tc>
          <w:tcPr>
            <w:tcW w:w="1925" w:type="dxa"/>
            <w:tcBorders>
              <w:top w:val="nil"/>
              <w:left w:val="nil"/>
              <w:bottom w:val="single" w:color="auto" w:sz="4" w:space="0"/>
              <w:right w:val="single" w:color="auto" w:sz="4" w:space="0"/>
            </w:tcBorders>
            <w:noWrap w:val="0"/>
            <w:vAlign w:val="center"/>
          </w:tcPr>
          <w:p w14:paraId="0780E2F9">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营业收入（Y）</w:t>
            </w:r>
          </w:p>
        </w:tc>
        <w:tc>
          <w:tcPr>
            <w:tcW w:w="1188" w:type="dxa"/>
            <w:tcBorders>
              <w:top w:val="nil"/>
              <w:left w:val="nil"/>
              <w:bottom w:val="single" w:color="auto" w:sz="4" w:space="0"/>
              <w:right w:val="single" w:color="auto" w:sz="4" w:space="0"/>
            </w:tcBorders>
            <w:noWrap w:val="0"/>
            <w:vAlign w:val="center"/>
          </w:tcPr>
          <w:p w14:paraId="2BA6A638">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万元</w:t>
            </w:r>
          </w:p>
        </w:tc>
        <w:tc>
          <w:tcPr>
            <w:tcW w:w="2037" w:type="dxa"/>
            <w:tcBorders>
              <w:top w:val="nil"/>
              <w:left w:val="nil"/>
              <w:bottom w:val="single" w:color="auto" w:sz="4" w:space="0"/>
              <w:right w:val="single" w:color="auto" w:sz="4" w:space="0"/>
            </w:tcBorders>
            <w:noWrap w:val="0"/>
            <w:vAlign w:val="center"/>
          </w:tcPr>
          <w:p w14:paraId="70B65640">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1000≤Y＜5000</w:t>
            </w:r>
          </w:p>
        </w:tc>
        <w:tc>
          <w:tcPr>
            <w:tcW w:w="1657" w:type="dxa"/>
            <w:tcBorders>
              <w:top w:val="nil"/>
              <w:left w:val="nil"/>
              <w:bottom w:val="single" w:color="auto" w:sz="4" w:space="0"/>
              <w:right w:val="single" w:color="auto" w:sz="4" w:space="0"/>
            </w:tcBorders>
            <w:noWrap w:val="0"/>
            <w:vAlign w:val="center"/>
          </w:tcPr>
          <w:p w14:paraId="59B5F523">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500≤Y＜1000</w:t>
            </w:r>
          </w:p>
        </w:tc>
        <w:tc>
          <w:tcPr>
            <w:tcW w:w="1091" w:type="dxa"/>
            <w:tcBorders>
              <w:top w:val="nil"/>
              <w:left w:val="nil"/>
              <w:bottom w:val="single" w:color="auto" w:sz="4" w:space="0"/>
              <w:right w:val="single" w:color="auto" w:sz="4" w:space="0"/>
            </w:tcBorders>
            <w:noWrap w:val="0"/>
            <w:vAlign w:val="center"/>
          </w:tcPr>
          <w:p w14:paraId="6466746E">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Y＜500</w:t>
            </w:r>
          </w:p>
        </w:tc>
      </w:tr>
      <w:tr w14:paraId="0C82F83C">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noWrap w:val="0"/>
            <w:vAlign w:val="center"/>
          </w:tcPr>
          <w:p w14:paraId="112DA348">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租赁和商务服务业</w:t>
            </w:r>
          </w:p>
        </w:tc>
        <w:tc>
          <w:tcPr>
            <w:tcW w:w="1925" w:type="dxa"/>
            <w:tcBorders>
              <w:top w:val="nil"/>
              <w:left w:val="nil"/>
              <w:bottom w:val="single" w:color="auto" w:sz="4" w:space="0"/>
              <w:right w:val="single" w:color="auto" w:sz="4" w:space="0"/>
            </w:tcBorders>
            <w:noWrap w:val="0"/>
            <w:vAlign w:val="center"/>
          </w:tcPr>
          <w:p w14:paraId="5E4735CC">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从业人员（X）</w:t>
            </w:r>
          </w:p>
        </w:tc>
        <w:tc>
          <w:tcPr>
            <w:tcW w:w="1188" w:type="dxa"/>
            <w:tcBorders>
              <w:top w:val="nil"/>
              <w:left w:val="nil"/>
              <w:bottom w:val="single" w:color="auto" w:sz="4" w:space="0"/>
              <w:right w:val="single" w:color="auto" w:sz="4" w:space="0"/>
            </w:tcBorders>
            <w:noWrap w:val="0"/>
            <w:vAlign w:val="center"/>
          </w:tcPr>
          <w:p w14:paraId="46DFEB5B">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人</w:t>
            </w:r>
          </w:p>
        </w:tc>
        <w:tc>
          <w:tcPr>
            <w:tcW w:w="2037" w:type="dxa"/>
            <w:tcBorders>
              <w:top w:val="nil"/>
              <w:left w:val="nil"/>
              <w:bottom w:val="single" w:color="auto" w:sz="4" w:space="0"/>
              <w:right w:val="single" w:color="auto" w:sz="4" w:space="0"/>
            </w:tcBorders>
            <w:noWrap w:val="0"/>
            <w:vAlign w:val="center"/>
          </w:tcPr>
          <w:p w14:paraId="53C38B45">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100≤X＜300</w:t>
            </w:r>
          </w:p>
        </w:tc>
        <w:tc>
          <w:tcPr>
            <w:tcW w:w="1657" w:type="dxa"/>
            <w:tcBorders>
              <w:top w:val="nil"/>
              <w:left w:val="nil"/>
              <w:bottom w:val="single" w:color="auto" w:sz="4" w:space="0"/>
              <w:right w:val="single" w:color="auto" w:sz="4" w:space="0"/>
            </w:tcBorders>
            <w:noWrap w:val="0"/>
            <w:vAlign w:val="center"/>
          </w:tcPr>
          <w:p w14:paraId="5C6CE853">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10≤X＜100</w:t>
            </w:r>
          </w:p>
        </w:tc>
        <w:tc>
          <w:tcPr>
            <w:tcW w:w="1091" w:type="dxa"/>
            <w:tcBorders>
              <w:top w:val="nil"/>
              <w:left w:val="nil"/>
              <w:bottom w:val="single" w:color="auto" w:sz="4" w:space="0"/>
              <w:right w:val="single" w:color="auto" w:sz="4" w:space="0"/>
            </w:tcBorders>
            <w:noWrap w:val="0"/>
            <w:vAlign w:val="center"/>
          </w:tcPr>
          <w:p w14:paraId="1CC33EB6">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X＜10</w:t>
            </w:r>
          </w:p>
        </w:tc>
      </w:tr>
      <w:tr w14:paraId="2A61C6F9">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noWrap w:val="0"/>
            <w:vAlign w:val="center"/>
          </w:tcPr>
          <w:p w14:paraId="052ADC5D">
            <w:pPr>
              <w:widowControl/>
              <w:snapToGrid w:val="0"/>
              <w:contextualSpacing/>
              <w:jc w:val="center"/>
              <w:rPr>
                <w:rFonts w:hint="eastAsia" w:ascii="黑体" w:hAnsi="黑体" w:eastAsia="黑体" w:cs="黑体"/>
                <w:b/>
                <w:bCs w:val="0"/>
                <w:color w:val="auto"/>
                <w:kern w:val="0"/>
                <w:sz w:val="21"/>
                <w:szCs w:val="21"/>
                <w:highlight w:val="none"/>
              </w:rPr>
            </w:pPr>
          </w:p>
        </w:tc>
        <w:tc>
          <w:tcPr>
            <w:tcW w:w="1925" w:type="dxa"/>
            <w:tcBorders>
              <w:top w:val="nil"/>
              <w:left w:val="nil"/>
              <w:bottom w:val="single" w:color="auto" w:sz="4" w:space="0"/>
              <w:right w:val="single" w:color="auto" w:sz="4" w:space="0"/>
            </w:tcBorders>
            <w:noWrap w:val="0"/>
            <w:vAlign w:val="center"/>
          </w:tcPr>
          <w:p w14:paraId="1A194ED0">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资产总额（Z）</w:t>
            </w:r>
          </w:p>
        </w:tc>
        <w:tc>
          <w:tcPr>
            <w:tcW w:w="1188" w:type="dxa"/>
            <w:tcBorders>
              <w:top w:val="nil"/>
              <w:left w:val="nil"/>
              <w:bottom w:val="single" w:color="auto" w:sz="4" w:space="0"/>
              <w:right w:val="single" w:color="auto" w:sz="4" w:space="0"/>
            </w:tcBorders>
            <w:noWrap w:val="0"/>
            <w:vAlign w:val="center"/>
          </w:tcPr>
          <w:p w14:paraId="0683F6A2">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万元</w:t>
            </w:r>
          </w:p>
        </w:tc>
        <w:tc>
          <w:tcPr>
            <w:tcW w:w="2037" w:type="dxa"/>
            <w:tcBorders>
              <w:top w:val="nil"/>
              <w:left w:val="nil"/>
              <w:bottom w:val="single" w:color="auto" w:sz="4" w:space="0"/>
              <w:right w:val="single" w:color="auto" w:sz="4" w:space="0"/>
            </w:tcBorders>
            <w:noWrap w:val="0"/>
            <w:vAlign w:val="center"/>
          </w:tcPr>
          <w:p w14:paraId="3A7ACEED">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8000≤Z＜120000</w:t>
            </w:r>
          </w:p>
        </w:tc>
        <w:tc>
          <w:tcPr>
            <w:tcW w:w="1657" w:type="dxa"/>
            <w:tcBorders>
              <w:top w:val="nil"/>
              <w:left w:val="nil"/>
              <w:bottom w:val="single" w:color="auto" w:sz="4" w:space="0"/>
              <w:right w:val="single" w:color="auto" w:sz="4" w:space="0"/>
            </w:tcBorders>
            <w:noWrap w:val="0"/>
            <w:vAlign w:val="center"/>
          </w:tcPr>
          <w:p w14:paraId="6112AA9F">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100≤Z＜8000</w:t>
            </w:r>
          </w:p>
        </w:tc>
        <w:tc>
          <w:tcPr>
            <w:tcW w:w="1091" w:type="dxa"/>
            <w:tcBorders>
              <w:top w:val="nil"/>
              <w:left w:val="nil"/>
              <w:bottom w:val="single" w:color="auto" w:sz="4" w:space="0"/>
              <w:right w:val="single" w:color="auto" w:sz="4" w:space="0"/>
            </w:tcBorders>
            <w:noWrap w:val="0"/>
            <w:vAlign w:val="center"/>
          </w:tcPr>
          <w:p w14:paraId="47593ED3">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Y＜100</w:t>
            </w:r>
          </w:p>
        </w:tc>
      </w:tr>
      <w:tr w14:paraId="54BFA968">
        <w:tblPrEx>
          <w:tblCellMar>
            <w:top w:w="0" w:type="dxa"/>
            <w:left w:w="108" w:type="dxa"/>
            <w:bottom w:w="0" w:type="dxa"/>
            <w:right w:w="108" w:type="dxa"/>
          </w:tblCellMar>
        </w:tblPrEx>
        <w:trPr>
          <w:trHeight w:val="543" w:hRule="atLeast"/>
          <w:jc w:val="center"/>
        </w:trPr>
        <w:tc>
          <w:tcPr>
            <w:tcW w:w="1358" w:type="dxa"/>
            <w:tcBorders>
              <w:top w:val="nil"/>
              <w:left w:val="single" w:color="auto" w:sz="4" w:space="0"/>
              <w:bottom w:val="single" w:color="auto" w:sz="4" w:space="0"/>
              <w:right w:val="single" w:color="auto" w:sz="4" w:space="0"/>
            </w:tcBorders>
            <w:noWrap w:val="0"/>
            <w:vAlign w:val="center"/>
          </w:tcPr>
          <w:p w14:paraId="560F56D0">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其他未列明行业</w:t>
            </w:r>
          </w:p>
        </w:tc>
        <w:tc>
          <w:tcPr>
            <w:tcW w:w="1925" w:type="dxa"/>
            <w:tcBorders>
              <w:top w:val="nil"/>
              <w:left w:val="nil"/>
              <w:bottom w:val="single" w:color="auto" w:sz="4" w:space="0"/>
              <w:right w:val="single" w:color="auto" w:sz="4" w:space="0"/>
            </w:tcBorders>
            <w:noWrap w:val="0"/>
            <w:vAlign w:val="center"/>
          </w:tcPr>
          <w:p w14:paraId="6C6AEC82">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从业人员（X）</w:t>
            </w:r>
          </w:p>
        </w:tc>
        <w:tc>
          <w:tcPr>
            <w:tcW w:w="1188" w:type="dxa"/>
            <w:tcBorders>
              <w:top w:val="nil"/>
              <w:left w:val="nil"/>
              <w:bottom w:val="single" w:color="auto" w:sz="4" w:space="0"/>
              <w:right w:val="single" w:color="auto" w:sz="4" w:space="0"/>
            </w:tcBorders>
            <w:noWrap w:val="0"/>
            <w:vAlign w:val="center"/>
          </w:tcPr>
          <w:p w14:paraId="7807E914">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人</w:t>
            </w:r>
          </w:p>
        </w:tc>
        <w:tc>
          <w:tcPr>
            <w:tcW w:w="2037" w:type="dxa"/>
            <w:tcBorders>
              <w:top w:val="nil"/>
              <w:left w:val="nil"/>
              <w:bottom w:val="single" w:color="auto" w:sz="4" w:space="0"/>
              <w:right w:val="single" w:color="auto" w:sz="4" w:space="0"/>
            </w:tcBorders>
            <w:noWrap w:val="0"/>
            <w:vAlign w:val="center"/>
          </w:tcPr>
          <w:p w14:paraId="7E7817FB">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100≤X＜300</w:t>
            </w:r>
          </w:p>
        </w:tc>
        <w:tc>
          <w:tcPr>
            <w:tcW w:w="1657" w:type="dxa"/>
            <w:tcBorders>
              <w:top w:val="nil"/>
              <w:left w:val="nil"/>
              <w:bottom w:val="single" w:color="auto" w:sz="4" w:space="0"/>
              <w:right w:val="single" w:color="auto" w:sz="4" w:space="0"/>
            </w:tcBorders>
            <w:noWrap w:val="0"/>
            <w:vAlign w:val="center"/>
          </w:tcPr>
          <w:p w14:paraId="121D25A4">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10≤X＜100</w:t>
            </w:r>
          </w:p>
        </w:tc>
        <w:tc>
          <w:tcPr>
            <w:tcW w:w="1091" w:type="dxa"/>
            <w:tcBorders>
              <w:top w:val="nil"/>
              <w:left w:val="nil"/>
              <w:bottom w:val="single" w:color="auto" w:sz="4" w:space="0"/>
              <w:right w:val="single" w:color="auto" w:sz="4" w:space="0"/>
            </w:tcBorders>
            <w:noWrap w:val="0"/>
            <w:vAlign w:val="center"/>
          </w:tcPr>
          <w:p w14:paraId="3BE35B57">
            <w:pPr>
              <w:widowControl/>
              <w:snapToGrid w:val="0"/>
              <w:contextualSpacing/>
              <w:jc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0"/>
                <w:sz w:val="21"/>
                <w:szCs w:val="21"/>
                <w:highlight w:val="none"/>
              </w:rPr>
              <w:t>X＜10</w:t>
            </w:r>
          </w:p>
        </w:tc>
      </w:tr>
    </w:tbl>
    <w:p w14:paraId="407DC9D6">
      <w:pPr>
        <w:widowControl/>
        <w:spacing w:before="100" w:beforeAutospacing="1" w:after="100" w:afterAutospacing="1" w:line="360" w:lineRule="auto"/>
        <w:jc w:val="left"/>
        <w:rPr>
          <w:rFonts w:hint="eastAsia" w:ascii="黑体" w:hAnsi="黑体" w:eastAsia="黑体" w:cs="黑体"/>
          <w:color w:val="auto"/>
          <w:sz w:val="28"/>
          <w:szCs w:val="28"/>
        </w:rPr>
      </w:pPr>
      <w:r>
        <w:rPr>
          <w:rFonts w:hint="eastAsia" w:ascii="黑体" w:hAnsi="黑体" w:eastAsia="黑体" w:cs="黑体"/>
          <w:b/>
          <w:color w:val="auto"/>
          <w:sz w:val="24"/>
          <w:szCs w:val="24"/>
          <w:highlight w:val="none"/>
        </w:rPr>
        <w:t>说明：</w:t>
      </w:r>
      <w:r>
        <w:rPr>
          <w:rFonts w:hint="eastAsia" w:ascii="黑体" w:hAnsi="黑体" w:eastAsia="黑体" w:cs="黑体"/>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bookmarkEnd w:id="314"/>
      <w:bookmarkEnd w:id="315"/>
      <w:bookmarkEnd w:id="316"/>
      <w:bookmarkEnd w:id="317"/>
      <w:bookmarkEnd w:id="318"/>
      <w:bookmarkEnd w:id="319"/>
      <w:bookmarkEnd w:id="320"/>
      <w:bookmarkEnd w:id="321"/>
      <w:bookmarkEnd w:id="322"/>
      <w:bookmarkEnd w:id="323"/>
    </w:p>
    <w:bookmarkEnd w:id="324"/>
    <w:bookmarkEnd w:id="325"/>
    <w:p w14:paraId="5DAD9A88">
      <w:pPr>
        <w:pStyle w:val="14"/>
        <w:tabs>
          <w:tab w:val="left" w:pos="567"/>
        </w:tabs>
        <w:rPr>
          <w:rFonts w:hint="eastAsia" w:ascii="黑体" w:hAnsi="黑体" w:eastAsia="黑体" w:cs="黑体"/>
          <w:color w:val="auto"/>
          <w:lang w:val="en-US" w:eastAsia="zh-CN"/>
        </w:rPr>
        <w:sectPr>
          <w:footerReference r:id="rId6" w:type="default"/>
          <w:pgSz w:w="11906" w:h="16838"/>
          <w:pgMar w:top="1440" w:right="1080" w:bottom="1440" w:left="1080" w:header="851" w:footer="992" w:gutter="0"/>
          <w:pgNumType w:fmt="decimal" w:start="1"/>
          <w:cols w:space="720" w:num="1"/>
          <w:docGrid w:type="linesAndChars" w:linePitch="312" w:charSpace="0"/>
        </w:sectPr>
      </w:pPr>
    </w:p>
    <w:p w14:paraId="5620ECB9">
      <w:pPr>
        <w:shd w:val="clear" w:color="auto" w:fill="auto"/>
        <w:spacing w:line="600" w:lineRule="auto"/>
        <w:ind w:firstLine="560" w:firstLineChars="200"/>
        <w:jc w:val="center"/>
        <w:rPr>
          <w:rFonts w:hint="eastAsia" w:ascii="黑体" w:hAnsi="黑体" w:eastAsia="黑体" w:cs="黑体"/>
          <w:b/>
          <w:bCs/>
          <w:color w:val="auto"/>
          <w:kern w:val="2"/>
          <w:sz w:val="28"/>
          <w:szCs w:val="21"/>
          <w:highlight w:val="none"/>
          <w:lang w:val="en-US" w:eastAsia="zh-CN" w:bidi="ar-SA"/>
        </w:rPr>
      </w:pPr>
      <w:r>
        <w:rPr>
          <w:rFonts w:hint="eastAsia" w:ascii="黑体" w:hAnsi="黑体" w:eastAsia="黑体" w:cs="黑体"/>
          <w:b/>
          <w:bCs/>
          <w:color w:val="auto"/>
          <w:kern w:val="2"/>
          <w:sz w:val="28"/>
          <w:szCs w:val="21"/>
          <w:highlight w:val="none"/>
          <w:lang w:val="en-US" w:eastAsia="zh-CN" w:bidi="ar-SA"/>
        </w:rPr>
        <w:t>12.1残疾人福利性单位声明函（残疾人福利性单位提供）</w:t>
      </w:r>
    </w:p>
    <w:p w14:paraId="16E0FAF2">
      <w:pPr>
        <w:shd w:val="clear" w:color="auto" w:fill="auto"/>
        <w:spacing w:line="600" w:lineRule="auto"/>
        <w:ind w:firstLine="480" w:firstLineChars="200"/>
        <w:rPr>
          <w:rFonts w:hint="eastAsia" w:ascii="黑体" w:hAnsi="黑体" w:eastAsia="黑体" w:cs="黑体"/>
          <w:color w:val="auto"/>
          <w:kern w:val="2"/>
          <w:sz w:val="24"/>
          <w:szCs w:val="20"/>
          <w:highlight w:val="none"/>
          <w:lang w:val="en-US" w:eastAsia="zh-CN" w:bidi="ar-SA"/>
        </w:rPr>
      </w:pPr>
      <w:r>
        <w:rPr>
          <w:rFonts w:hint="eastAsia" w:ascii="黑体" w:hAnsi="黑体" w:eastAsia="黑体" w:cs="黑体"/>
          <w:color w:val="auto"/>
          <w:kern w:val="2"/>
          <w:sz w:val="24"/>
          <w:szCs w:val="20"/>
          <w:highlight w:val="none"/>
          <w:lang w:val="en-US" w:eastAsia="zh-CN" w:bidi="ar-SA"/>
        </w:rPr>
        <w:t>本单位郑重声明，根据《财政部 民政部 中国残疾人联合会关于促进残疾人就业政府采购政策的通知》（财库〔2017〕 141号）的规定，本单位为符合条件的残疾人福利性单位，且本单位参加</w:t>
      </w:r>
      <w:r>
        <w:rPr>
          <w:rFonts w:hint="eastAsia" w:ascii="黑体" w:hAnsi="黑体" w:eastAsia="黑体" w:cs="黑体"/>
          <w:color w:val="auto"/>
          <w:kern w:val="2"/>
          <w:sz w:val="24"/>
          <w:szCs w:val="20"/>
          <w:highlight w:val="none"/>
          <w:u w:val="single"/>
          <w:lang w:val="en-US" w:eastAsia="zh-CN" w:bidi="ar-SA"/>
        </w:rPr>
        <w:t xml:space="preserve">         </w:t>
      </w:r>
      <w:r>
        <w:rPr>
          <w:rFonts w:hint="eastAsia" w:ascii="黑体" w:hAnsi="黑体" w:eastAsia="黑体" w:cs="黑体"/>
          <w:color w:val="auto"/>
          <w:kern w:val="2"/>
          <w:sz w:val="24"/>
          <w:szCs w:val="20"/>
          <w:highlight w:val="none"/>
          <w:lang w:val="en-US" w:eastAsia="zh-CN" w:bidi="ar-SA"/>
        </w:rPr>
        <w:t>单位的</w:t>
      </w:r>
      <w:r>
        <w:rPr>
          <w:rFonts w:hint="eastAsia" w:ascii="黑体" w:hAnsi="黑体" w:eastAsia="黑体" w:cs="黑体"/>
          <w:color w:val="auto"/>
          <w:kern w:val="2"/>
          <w:sz w:val="24"/>
          <w:szCs w:val="20"/>
          <w:highlight w:val="none"/>
          <w:u w:val="single"/>
          <w:lang w:val="en-US" w:eastAsia="zh-CN" w:bidi="ar-SA"/>
        </w:rPr>
        <w:t xml:space="preserve">         </w:t>
      </w:r>
      <w:r>
        <w:rPr>
          <w:rFonts w:hint="eastAsia" w:ascii="黑体" w:hAnsi="黑体" w:eastAsia="黑体" w:cs="黑体"/>
          <w:color w:val="auto"/>
          <w:kern w:val="2"/>
          <w:sz w:val="24"/>
          <w:szCs w:val="20"/>
          <w:highlight w:val="none"/>
          <w:lang w:val="en-US" w:eastAsia="zh-CN" w:bidi="ar-SA"/>
        </w:rPr>
        <w:t>项目采购活动提供本单位制造的货物（由本单位承担工程/提供服务），或者提供其他残疾人福利性单位制造的货物（不包括使用非残疾人福利性单位注册商标的货物）。</w:t>
      </w:r>
    </w:p>
    <w:p w14:paraId="37754E5E">
      <w:pPr>
        <w:shd w:val="clear" w:color="auto" w:fill="auto"/>
        <w:spacing w:line="600" w:lineRule="auto"/>
        <w:ind w:firstLine="480" w:firstLineChars="200"/>
        <w:rPr>
          <w:rFonts w:hint="eastAsia" w:ascii="黑体" w:hAnsi="黑体" w:eastAsia="黑体" w:cs="黑体"/>
          <w:color w:val="auto"/>
          <w:kern w:val="2"/>
          <w:sz w:val="24"/>
          <w:szCs w:val="20"/>
          <w:highlight w:val="none"/>
          <w:lang w:val="en-US" w:eastAsia="zh-CN" w:bidi="ar-SA"/>
        </w:rPr>
      </w:pPr>
      <w:r>
        <w:rPr>
          <w:rFonts w:hint="eastAsia" w:ascii="黑体" w:hAnsi="黑体" w:eastAsia="黑体" w:cs="黑体"/>
          <w:color w:val="auto"/>
          <w:kern w:val="2"/>
          <w:sz w:val="24"/>
          <w:szCs w:val="20"/>
          <w:highlight w:val="none"/>
          <w:lang w:val="en-US" w:eastAsia="zh-CN" w:bidi="ar-SA"/>
        </w:rPr>
        <w:t>本单位对上述声明的真实性负责。如有虚假，将依法承担相应责任。</w:t>
      </w:r>
    </w:p>
    <w:p w14:paraId="436DE928">
      <w:pPr>
        <w:shd w:val="clear" w:color="auto" w:fill="auto"/>
        <w:ind w:firstLine="480" w:firstLineChars="200"/>
        <w:jc w:val="both"/>
        <w:rPr>
          <w:rFonts w:hint="eastAsia" w:ascii="黑体" w:hAnsi="黑体" w:eastAsia="黑体" w:cs="黑体"/>
          <w:color w:val="auto"/>
          <w:kern w:val="2"/>
          <w:sz w:val="24"/>
          <w:szCs w:val="20"/>
          <w:highlight w:val="none"/>
          <w:lang w:val="en-US" w:eastAsia="zh-CN" w:bidi="ar-SA"/>
        </w:rPr>
      </w:pPr>
      <w:r>
        <w:rPr>
          <w:rFonts w:hint="eastAsia" w:ascii="黑体" w:hAnsi="黑体" w:eastAsia="黑体" w:cs="黑体"/>
          <w:color w:val="auto"/>
          <w:kern w:val="2"/>
          <w:sz w:val="24"/>
          <w:szCs w:val="20"/>
          <w:highlight w:val="none"/>
          <w:lang w:val="en-US" w:eastAsia="zh-CN" w:bidi="ar-SA"/>
        </w:rPr>
        <w:t>注：残疾人福利性单位享受中小企业同等政策。</w:t>
      </w:r>
    </w:p>
    <w:p w14:paraId="3981EFFB">
      <w:pPr>
        <w:pStyle w:val="27"/>
        <w:shd w:val="clear" w:color="auto" w:fill="auto"/>
        <w:ind w:firstLine="560" w:firstLineChars="200"/>
        <w:jc w:val="left"/>
        <w:rPr>
          <w:rFonts w:hint="eastAsia" w:ascii="黑体" w:hAnsi="黑体" w:eastAsia="黑体" w:cs="黑体"/>
          <w:b/>
          <w:bCs/>
          <w:color w:val="auto"/>
          <w:sz w:val="28"/>
          <w:szCs w:val="28"/>
          <w:lang w:val="en-US" w:eastAsia="zh-CN"/>
        </w:rPr>
      </w:pPr>
    </w:p>
    <w:p w14:paraId="77E685E5">
      <w:pPr>
        <w:shd w:val="clear" w:color="auto" w:fill="auto"/>
        <w:spacing w:line="588" w:lineRule="exact"/>
        <w:ind w:firstLine="624" w:firstLineChars="200"/>
        <w:rPr>
          <w:rFonts w:hint="eastAsia" w:ascii="黑体" w:hAnsi="黑体" w:eastAsia="黑体" w:cs="黑体"/>
          <w:color w:val="auto"/>
          <w:spacing w:val="6"/>
          <w:sz w:val="30"/>
          <w:szCs w:val="30"/>
        </w:rPr>
      </w:pPr>
    </w:p>
    <w:p w14:paraId="149382A1">
      <w:pPr>
        <w:shd w:val="clear" w:color="auto" w:fill="auto"/>
        <w:spacing w:line="588" w:lineRule="exact"/>
        <w:ind w:firstLine="624" w:firstLineChars="200"/>
        <w:rPr>
          <w:rFonts w:hint="eastAsia" w:ascii="黑体" w:hAnsi="黑体" w:eastAsia="黑体" w:cs="黑体"/>
          <w:color w:val="auto"/>
          <w:spacing w:val="6"/>
          <w:sz w:val="30"/>
          <w:szCs w:val="30"/>
        </w:rPr>
      </w:pPr>
    </w:p>
    <w:p w14:paraId="7F9E6CD8">
      <w:pPr>
        <w:shd w:val="clear" w:color="auto" w:fill="auto"/>
        <w:spacing w:line="588" w:lineRule="exact"/>
        <w:ind w:left="0" w:leftChars="0" w:firstLine="0" w:firstLineChars="0"/>
        <w:jc w:val="right"/>
        <w:rPr>
          <w:rFonts w:hint="default" w:ascii="黑体" w:hAnsi="黑体" w:eastAsia="黑体" w:cs="黑体"/>
          <w:color w:val="auto"/>
          <w:kern w:val="2"/>
          <w:sz w:val="24"/>
          <w:szCs w:val="20"/>
          <w:highlight w:val="none"/>
          <w:lang w:val="en-US" w:eastAsia="zh-CN" w:bidi="ar-SA"/>
        </w:rPr>
      </w:pPr>
      <w:r>
        <w:rPr>
          <w:rFonts w:hint="eastAsia" w:ascii="黑体" w:hAnsi="黑体" w:eastAsia="黑体" w:cs="黑体"/>
          <w:color w:val="auto"/>
          <w:kern w:val="2"/>
          <w:sz w:val="24"/>
          <w:szCs w:val="20"/>
          <w:highlight w:val="none"/>
          <w:lang w:val="en-US" w:eastAsia="zh-CN" w:bidi="ar-SA"/>
        </w:rPr>
        <w:t>单位名称（加盖公章）：</w:t>
      </w:r>
    </w:p>
    <w:p w14:paraId="2E59A606">
      <w:pPr>
        <w:shd w:val="clear" w:color="auto" w:fill="auto"/>
        <w:spacing w:line="588" w:lineRule="exact"/>
        <w:ind w:left="0" w:leftChars="0" w:firstLine="0" w:firstLineChars="0"/>
        <w:jc w:val="right"/>
        <w:rPr>
          <w:rFonts w:hint="eastAsia" w:ascii="黑体" w:hAnsi="黑体" w:eastAsia="黑体" w:cs="黑体"/>
          <w:color w:val="auto"/>
          <w:kern w:val="2"/>
          <w:sz w:val="24"/>
          <w:szCs w:val="20"/>
          <w:highlight w:val="none"/>
          <w:lang w:val="en-US" w:eastAsia="zh-CN" w:bidi="ar-SA"/>
        </w:rPr>
      </w:pPr>
      <w:r>
        <w:rPr>
          <w:rFonts w:hint="eastAsia" w:ascii="黑体" w:hAnsi="黑体" w:eastAsia="黑体" w:cs="黑体"/>
          <w:color w:val="auto"/>
          <w:kern w:val="2"/>
          <w:sz w:val="24"/>
          <w:szCs w:val="20"/>
          <w:highlight w:val="none"/>
          <w:lang w:val="en-US" w:eastAsia="zh-CN" w:bidi="ar-SA"/>
        </w:rPr>
        <w:t>日  期：</w:t>
      </w:r>
    </w:p>
    <w:p w14:paraId="0D7687B9">
      <w:pPr>
        <w:pStyle w:val="11"/>
        <w:numPr>
          <w:ilvl w:val="0"/>
          <w:numId w:val="0"/>
        </w:numPr>
        <w:shd w:val="clear" w:color="auto" w:fill="auto"/>
        <w:ind w:leftChars="0"/>
        <w:jc w:val="center"/>
        <w:rPr>
          <w:rFonts w:hint="eastAsia" w:ascii="黑体" w:hAnsi="黑体" w:eastAsia="黑体" w:cs="黑体"/>
          <w:b/>
          <w:bCs/>
          <w:color w:val="auto"/>
          <w:kern w:val="2"/>
          <w:sz w:val="28"/>
          <w:szCs w:val="28"/>
          <w:highlight w:val="none"/>
          <w:lang w:val="en-US" w:eastAsia="zh-CN" w:bidi="ar-SA"/>
        </w:rPr>
      </w:pPr>
      <w:r>
        <w:rPr>
          <w:rFonts w:hint="eastAsia" w:ascii="黑体" w:hAnsi="黑体" w:eastAsia="黑体" w:cs="黑体"/>
          <w:b/>
          <w:bCs/>
          <w:color w:val="auto"/>
          <w:kern w:val="2"/>
          <w:sz w:val="28"/>
          <w:szCs w:val="28"/>
          <w:highlight w:val="none"/>
          <w:lang w:val="en-US" w:eastAsia="zh-CN" w:bidi="ar-SA"/>
        </w:rPr>
        <w:br w:type="page"/>
      </w:r>
      <w:r>
        <w:rPr>
          <w:rFonts w:hint="eastAsia" w:ascii="黑体" w:hAnsi="黑体" w:eastAsia="黑体" w:cs="黑体"/>
          <w:b/>
          <w:bCs/>
          <w:color w:val="auto"/>
          <w:kern w:val="2"/>
          <w:sz w:val="28"/>
          <w:szCs w:val="28"/>
          <w:highlight w:val="none"/>
          <w:lang w:val="en-US" w:eastAsia="zh-CN" w:bidi="ar-SA"/>
        </w:rPr>
        <w:t>12.2监狱企业的证明文件（监狱企业提供）（省级以上监狱管理局、戒毒管理局（含新疆生产建设兵团）出具的属于监狱企业的证明文件）</w:t>
      </w:r>
    </w:p>
    <w:p w14:paraId="06D273ED">
      <w:pPr>
        <w:shd w:val="clear" w:color="auto" w:fill="auto"/>
        <w:jc w:val="both"/>
        <w:rPr>
          <w:rFonts w:hint="eastAsia" w:ascii="黑体" w:hAnsi="黑体" w:eastAsia="黑体" w:cs="黑体"/>
          <w:color w:val="auto"/>
          <w:kern w:val="2"/>
          <w:sz w:val="28"/>
          <w:szCs w:val="28"/>
          <w:highlight w:val="none"/>
          <w:lang w:val="en-US" w:eastAsia="zh-CN" w:bidi="ar-SA"/>
        </w:rPr>
      </w:pPr>
      <w:r>
        <w:rPr>
          <w:rFonts w:hint="eastAsia" w:ascii="黑体" w:hAnsi="黑体" w:eastAsia="黑体" w:cs="黑体"/>
          <w:color w:val="auto"/>
          <w:sz w:val="28"/>
          <w:szCs w:val="28"/>
          <w:lang w:val="en-US" w:eastAsia="zh-CN"/>
        </w:rPr>
        <w:t>注：</w:t>
      </w:r>
      <w:r>
        <w:rPr>
          <w:rFonts w:hint="eastAsia" w:ascii="黑体" w:hAnsi="黑体" w:eastAsia="黑体" w:cs="黑体"/>
          <w:b w:val="0"/>
          <w:bCs w:val="0"/>
          <w:color w:val="auto"/>
          <w:kern w:val="2"/>
          <w:sz w:val="28"/>
          <w:szCs w:val="28"/>
          <w:highlight w:val="none"/>
          <w:lang w:val="en-US" w:eastAsia="zh-CN" w:bidi="ar-SA"/>
        </w:rPr>
        <w:t>监狱企业</w:t>
      </w:r>
      <w:r>
        <w:rPr>
          <w:rFonts w:hint="eastAsia" w:ascii="黑体" w:hAnsi="黑体" w:eastAsia="黑体" w:cs="黑体"/>
          <w:color w:val="auto"/>
          <w:kern w:val="2"/>
          <w:sz w:val="28"/>
          <w:szCs w:val="28"/>
          <w:highlight w:val="none"/>
          <w:lang w:val="en-US" w:eastAsia="zh-CN" w:bidi="ar-SA"/>
        </w:rPr>
        <w:t>享受中小企业同等政策。</w:t>
      </w:r>
    </w:p>
    <w:p w14:paraId="6C756A54">
      <w:pPr>
        <w:pStyle w:val="6"/>
        <w:spacing w:before="0" w:line="360" w:lineRule="exact"/>
        <w:jc w:val="center"/>
        <w:outlineLvl w:val="9"/>
        <w:rPr>
          <w:rFonts w:hint="eastAsia" w:ascii="黑体" w:hAnsi="黑体" w:eastAsia="黑体" w:cs="黑体"/>
          <w:color w:val="auto"/>
          <w:sz w:val="28"/>
          <w:szCs w:val="28"/>
          <w:lang w:val="en-US" w:eastAsia="zh-CN"/>
        </w:rPr>
      </w:pPr>
    </w:p>
    <w:p w14:paraId="761D4B5F">
      <w:pPr>
        <w:pStyle w:val="6"/>
        <w:spacing w:before="0" w:line="360" w:lineRule="exact"/>
        <w:jc w:val="both"/>
        <w:outlineLvl w:val="9"/>
        <w:rPr>
          <w:rFonts w:hint="eastAsia" w:ascii="黑体" w:hAnsi="黑体" w:eastAsia="黑体" w:cs="黑体"/>
          <w:color w:val="auto"/>
          <w:sz w:val="28"/>
          <w:szCs w:val="28"/>
          <w:lang w:val="en-US" w:eastAsia="zh-CN"/>
        </w:rPr>
      </w:pPr>
    </w:p>
    <w:p w14:paraId="5B469D4B">
      <w:pPr>
        <w:pStyle w:val="6"/>
        <w:spacing w:before="0" w:line="360" w:lineRule="exact"/>
        <w:jc w:val="both"/>
        <w:outlineLvl w:val="9"/>
        <w:rPr>
          <w:rFonts w:hint="eastAsia" w:ascii="黑体" w:hAnsi="黑体" w:eastAsia="黑体" w:cs="黑体"/>
          <w:color w:val="auto"/>
          <w:sz w:val="28"/>
          <w:szCs w:val="28"/>
          <w:lang w:val="en-US" w:eastAsia="zh-CN"/>
        </w:rPr>
      </w:pPr>
    </w:p>
    <w:p w14:paraId="47BBFBA9">
      <w:pPr>
        <w:pStyle w:val="6"/>
        <w:spacing w:before="0" w:line="360" w:lineRule="exact"/>
        <w:jc w:val="both"/>
        <w:outlineLvl w:val="9"/>
        <w:rPr>
          <w:rFonts w:hint="eastAsia" w:ascii="黑体" w:hAnsi="黑体" w:eastAsia="黑体" w:cs="黑体"/>
          <w:color w:val="auto"/>
          <w:sz w:val="28"/>
          <w:szCs w:val="28"/>
          <w:lang w:val="en-US" w:eastAsia="zh-CN"/>
        </w:rPr>
      </w:pPr>
    </w:p>
    <w:p w14:paraId="0D4F6916">
      <w:pPr>
        <w:pStyle w:val="6"/>
        <w:spacing w:before="0" w:line="360" w:lineRule="exact"/>
        <w:jc w:val="both"/>
        <w:outlineLvl w:val="9"/>
        <w:rPr>
          <w:rFonts w:hint="eastAsia" w:ascii="黑体" w:hAnsi="黑体" w:eastAsia="黑体" w:cs="黑体"/>
          <w:color w:val="auto"/>
          <w:sz w:val="28"/>
          <w:szCs w:val="28"/>
          <w:lang w:val="en-US" w:eastAsia="zh-CN"/>
        </w:rPr>
      </w:pPr>
    </w:p>
    <w:p w14:paraId="2DEEA541">
      <w:pPr>
        <w:pStyle w:val="6"/>
        <w:spacing w:before="0" w:line="360" w:lineRule="exact"/>
        <w:jc w:val="center"/>
        <w:rPr>
          <w:rFonts w:hint="eastAsia" w:ascii="黑体" w:hAnsi="黑体" w:eastAsia="黑体" w:cs="黑体"/>
          <w:color w:val="auto"/>
          <w:sz w:val="28"/>
          <w:szCs w:val="28"/>
          <w:lang w:eastAsia="zh-CN"/>
        </w:rPr>
      </w:pPr>
      <w:r>
        <w:rPr>
          <w:rFonts w:hint="eastAsia" w:ascii="黑体" w:hAnsi="黑体" w:eastAsia="黑体" w:cs="黑体"/>
          <w:color w:val="auto"/>
          <w:sz w:val="28"/>
          <w:szCs w:val="28"/>
          <w:lang w:val="en-US" w:eastAsia="zh-CN"/>
        </w:rPr>
        <w:t>1</w:t>
      </w:r>
      <w:r>
        <w:rPr>
          <w:rFonts w:hint="eastAsia" w:ascii="黑体" w:hAnsi="黑体" w:cs="黑体"/>
          <w:color w:val="auto"/>
          <w:sz w:val="28"/>
          <w:szCs w:val="28"/>
          <w:lang w:val="en-US" w:eastAsia="zh-CN"/>
        </w:rPr>
        <w:t>2</w:t>
      </w:r>
      <w:r>
        <w:rPr>
          <w:rFonts w:hint="eastAsia" w:ascii="黑体" w:hAnsi="黑体" w:eastAsia="黑体" w:cs="黑体"/>
          <w:color w:val="auto"/>
          <w:sz w:val="28"/>
          <w:szCs w:val="28"/>
        </w:rPr>
        <w:t>、提供有利于</w:t>
      </w:r>
      <w:r>
        <w:rPr>
          <w:rFonts w:hint="eastAsia" w:ascii="黑体" w:hAnsi="黑体" w:eastAsia="黑体" w:cs="黑体"/>
          <w:color w:val="auto"/>
          <w:sz w:val="28"/>
          <w:szCs w:val="28"/>
          <w:lang w:eastAsia="zh-CN"/>
        </w:rPr>
        <w:t>响应文件</w:t>
      </w:r>
      <w:r>
        <w:rPr>
          <w:rFonts w:hint="eastAsia" w:ascii="黑体" w:hAnsi="黑体" w:eastAsia="黑体" w:cs="黑体"/>
          <w:color w:val="auto"/>
          <w:sz w:val="28"/>
          <w:szCs w:val="28"/>
        </w:rPr>
        <w:t>的其他证明材料</w:t>
      </w:r>
      <w:r>
        <w:rPr>
          <w:rFonts w:hint="eastAsia" w:ascii="黑体" w:hAnsi="黑体" w:eastAsia="黑体" w:cs="黑体"/>
          <w:color w:val="auto"/>
          <w:sz w:val="28"/>
          <w:szCs w:val="28"/>
          <w:lang w:eastAsia="zh-CN"/>
        </w:rPr>
        <w:t>；</w:t>
      </w:r>
    </w:p>
    <w:p w14:paraId="2EF74DDE">
      <w:pPr>
        <w:rPr>
          <w:rFonts w:hint="eastAsia" w:ascii="黑体" w:hAnsi="黑体" w:eastAsia="黑体" w:cs="黑体"/>
          <w:b/>
          <w:bCs/>
          <w:color w:val="auto"/>
          <w:sz w:val="28"/>
          <w:szCs w:val="28"/>
          <w:highlight w:val="none"/>
          <w:lang w:val="en-US" w:eastAsia="zh-CN"/>
        </w:rPr>
      </w:pPr>
    </w:p>
    <w:p w14:paraId="47E5A5D1">
      <w:pPr>
        <w:shd w:val="clear" w:color="auto" w:fill="auto"/>
        <w:spacing w:line="360" w:lineRule="auto"/>
        <w:jc w:val="center"/>
        <w:rPr>
          <w:rFonts w:hint="eastAsia" w:ascii="黑体" w:hAnsi="黑体" w:eastAsia="黑体" w:cs="黑体"/>
          <w:b/>
          <w:bCs/>
          <w:color w:val="auto"/>
          <w:sz w:val="28"/>
          <w:szCs w:val="28"/>
          <w:highlight w:val="none"/>
          <w:lang w:val="en-US" w:eastAsia="zh-CN"/>
        </w:rPr>
      </w:pPr>
      <w:r>
        <w:rPr>
          <w:rFonts w:hint="eastAsia" w:ascii="黑体" w:hAnsi="黑体" w:eastAsia="黑体" w:cs="黑体"/>
          <w:b/>
          <w:bCs/>
          <w:color w:val="auto"/>
          <w:sz w:val="28"/>
          <w:szCs w:val="28"/>
          <w:highlight w:val="none"/>
          <w:lang w:val="en-US" w:eastAsia="zh-CN"/>
        </w:rPr>
        <w:br w:type="page"/>
      </w:r>
      <w:r>
        <w:rPr>
          <w:rFonts w:hint="eastAsia" w:ascii="黑体" w:hAnsi="黑体" w:eastAsia="黑体" w:cs="黑体"/>
          <w:b/>
          <w:bCs/>
          <w:color w:val="auto"/>
          <w:sz w:val="28"/>
          <w:szCs w:val="28"/>
          <w:highlight w:val="none"/>
          <w:lang w:val="en-US" w:eastAsia="zh-CN"/>
        </w:rPr>
        <w:t>13、投标人关联单位的说明</w:t>
      </w:r>
    </w:p>
    <w:p w14:paraId="403E6AA7">
      <w:pPr>
        <w:pStyle w:val="14"/>
        <w:tabs>
          <w:tab w:val="left" w:pos="567"/>
        </w:tabs>
        <w:spacing w:line="360" w:lineRule="auto"/>
        <w:ind w:left="736"/>
        <w:rPr>
          <w:rFonts w:hint="eastAsia" w:ascii="黑体" w:hAnsi="黑体" w:eastAsia="黑体" w:cs="黑体"/>
          <w:color w:val="auto"/>
          <w:sz w:val="24"/>
          <w:szCs w:val="24"/>
        </w:rPr>
      </w:pPr>
      <w:r>
        <w:rPr>
          <w:rFonts w:hint="eastAsia" w:ascii="黑体" w:hAnsi="黑体" w:eastAsia="黑体" w:cs="黑体"/>
          <w:color w:val="auto"/>
          <w:sz w:val="24"/>
          <w:szCs w:val="24"/>
        </w:rPr>
        <w:t>说明：投标人应当如实披露与本单位存在下列关联关系的单位名称：</w:t>
      </w:r>
    </w:p>
    <w:p w14:paraId="649C66AF">
      <w:pPr>
        <w:pStyle w:val="100"/>
        <w:numPr>
          <w:ilvl w:val="2"/>
          <w:numId w:val="0"/>
        </w:numPr>
        <w:tabs>
          <w:tab w:val="left" w:pos="1337"/>
        </w:tabs>
        <w:spacing w:before="2" w:after="0" w:line="360" w:lineRule="auto"/>
        <w:ind w:left="693" w:leftChars="330" w:right="0" w:rightChars="0" w:firstLine="156" w:firstLineChars="65"/>
        <w:jc w:val="left"/>
        <w:rPr>
          <w:rFonts w:hint="eastAsia" w:ascii="黑体" w:hAnsi="黑体" w:eastAsia="黑体" w:cs="黑体"/>
          <w:color w:val="auto"/>
          <w:sz w:val="24"/>
          <w:szCs w:val="24"/>
        </w:rPr>
      </w:pPr>
      <w:r>
        <w:rPr>
          <w:rFonts w:hint="eastAsia" w:ascii="黑体" w:hAnsi="黑体" w:eastAsia="黑体" w:cs="黑体"/>
          <w:color w:val="auto"/>
          <w:w w:val="100"/>
          <w:kern w:val="0"/>
          <w:sz w:val="24"/>
          <w:szCs w:val="24"/>
          <w:lang w:val="zh-CN" w:eastAsia="zh-CN" w:bidi="zh-CN"/>
        </w:rPr>
        <w:t>（1）</w:t>
      </w:r>
      <w:r>
        <w:rPr>
          <w:rFonts w:hint="eastAsia" w:ascii="黑体" w:hAnsi="黑体" w:eastAsia="黑体" w:cs="黑体"/>
          <w:color w:val="auto"/>
          <w:sz w:val="24"/>
          <w:szCs w:val="24"/>
        </w:rPr>
        <w:t>与投标人单位负责人为同一人的其他单位；</w:t>
      </w:r>
    </w:p>
    <w:p w14:paraId="12BAFACC">
      <w:pPr>
        <w:pStyle w:val="100"/>
        <w:numPr>
          <w:ilvl w:val="2"/>
          <w:numId w:val="0"/>
        </w:numPr>
        <w:tabs>
          <w:tab w:val="left" w:pos="1337"/>
        </w:tabs>
        <w:spacing w:before="5" w:after="0" w:line="360" w:lineRule="auto"/>
        <w:ind w:left="693" w:leftChars="330" w:right="0" w:rightChars="0" w:firstLine="156" w:firstLineChars="65"/>
        <w:jc w:val="left"/>
        <w:rPr>
          <w:rFonts w:hint="eastAsia" w:ascii="黑体" w:hAnsi="黑体" w:eastAsia="黑体" w:cs="黑体"/>
          <w:color w:val="auto"/>
          <w:sz w:val="24"/>
          <w:szCs w:val="24"/>
        </w:rPr>
      </w:pPr>
      <w:r>
        <w:rPr>
          <w:rFonts w:hint="eastAsia" w:ascii="黑体" w:hAnsi="黑体" w:eastAsia="黑体" w:cs="黑体"/>
          <w:color w:val="auto"/>
          <w:w w:val="100"/>
          <w:kern w:val="0"/>
          <w:sz w:val="24"/>
          <w:szCs w:val="24"/>
          <w:lang w:val="zh-CN" w:eastAsia="zh-CN" w:bidi="zh-CN"/>
        </w:rPr>
        <w:t>（2）</w:t>
      </w:r>
      <w:r>
        <w:rPr>
          <w:rFonts w:hint="eastAsia" w:ascii="黑体" w:hAnsi="黑体" w:eastAsia="黑体" w:cs="黑体"/>
          <w:color w:val="auto"/>
          <w:sz w:val="24"/>
          <w:szCs w:val="24"/>
        </w:rPr>
        <w:t>与投标人存在直接控股、管理关系的其他单位。</w:t>
      </w:r>
    </w:p>
    <w:p w14:paraId="607DE3C2">
      <w:pPr>
        <w:pStyle w:val="18"/>
        <w:spacing w:line="360" w:lineRule="auto"/>
        <w:ind w:left="636" w:leftChars="303" w:firstLine="0" w:firstLineChars="0"/>
        <w:jc w:val="both"/>
        <w:rPr>
          <w:rFonts w:hint="eastAsia" w:ascii="黑体" w:hAnsi="黑体" w:eastAsia="黑体" w:cs="黑体"/>
          <w:color w:val="auto"/>
          <w:sz w:val="24"/>
          <w:szCs w:val="24"/>
        </w:rPr>
      </w:pPr>
      <w:r>
        <w:rPr>
          <w:rFonts w:hint="eastAsia" w:ascii="黑体" w:hAnsi="黑体" w:eastAsia="黑体" w:cs="黑体"/>
          <w:color w:val="auto"/>
          <w:sz w:val="24"/>
          <w:szCs w:val="24"/>
        </w:rPr>
        <w:t>供应商的母公司、子公司（含控股公司）关联企业等情况表</w:t>
      </w:r>
    </w:p>
    <w:tbl>
      <w:tblPr>
        <w:tblStyle w:val="38"/>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9"/>
        <w:gridCol w:w="4399"/>
      </w:tblGrid>
      <w:tr w14:paraId="270F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29" w:type="dxa"/>
            <w:noWrap w:val="0"/>
            <w:vAlign w:val="center"/>
          </w:tcPr>
          <w:p w14:paraId="79A0993D">
            <w:pPr>
              <w:pStyle w:val="18"/>
              <w:spacing w:line="360" w:lineRule="auto"/>
              <w:jc w:val="center"/>
              <w:rPr>
                <w:rFonts w:hint="eastAsia" w:ascii="黑体" w:hAnsi="黑体" w:eastAsia="黑体" w:cs="黑体"/>
                <w:color w:val="auto"/>
                <w:sz w:val="24"/>
              </w:rPr>
            </w:pPr>
          </w:p>
        </w:tc>
        <w:tc>
          <w:tcPr>
            <w:tcW w:w="4399" w:type="dxa"/>
            <w:noWrap w:val="0"/>
            <w:vAlign w:val="center"/>
          </w:tcPr>
          <w:p w14:paraId="17960999">
            <w:pPr>
              <w:pStyle w:val="18"/>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供应商填写</w:t>
            </w:r>
          </w:p>
        </w:tc>
      </w:tr>
      <w:tr w14:paraId="62280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9" w:type="dxa"/>
            <w:noWrap w:val="0"/>
            <w:vAlign w:val="center"/>
          </w:tcPr>
          <w:p w14:paraId="5DA5D8B0">
            <w:pPr>
              <w:pStyle w:val="18"/>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供应商的母公司及其母公司的子公司（含控股公司）的情况</w:t>
            </w:r>
          </w:p>
        </w:tc>
        <w:tc>
          <w:tcPr>
            <w:tcW w:w="4399" w:type="dxa"/>
            <w:noWrap w:val="0"/>
            <w:vAlign w:val="center"/>
          </w:tcPr>
          <w:p w14:paraId="5C314648">
            <w:pPr>
              <w:pStyle w:val="18"/>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叙述或附图表示供应商的母公司及其母公司的子公司（含控股公司）的情况</w:t>
            </w:r>
          </w:p>
        </w:tc>
      </w:tr>
      <w:tr w14:paraId="16281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9" w:type="dxa"/>
            <w:noWrap w:val="0"/>
            <w:vAlign w:val="center"/>
          </w:tcPr>
          <w:p w14:paraId="04A438EA">
            <w:pPr>
              <w:pStyle w:val="18"/>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供应商的子公司（含控股公司）的情况</w:t>
            </w:r>
          </w:p>
        </w:tc>
        <w:tc>
          <w:tcPr>
            <w:tcW w:w="4399" w:type="dxa"/>
            <w:noWrap w:val="0"/>
            <w:vAlign w:val="center"/>
          </w:tcPr>
          <w:p w14:paraId="12DBD5A0">
            <w:pPr>
              <w:pStyle w:val="18"/>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叙述或附图表示供应商子公司（含控股公司）的情况</w:t>
            </w:r>
          </w:p>
        </w:tc>
      </w:tr>
      <w:tr w14:paraId="762B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9" w:type="dxa"/>
            <w:noWrap w:val="0"/>
            <w:vAlign w:val="center"/>
          </w:tcPr>
          <w:p w14:paraId="5C8A2361">
            <w:pPr>
              <w:pStyle w:val="18"/>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供应商的投资参股关系的关联企业的情况</w:t>
            </w:r>
          </w:p>
        </w:tc>
        <w:tc>
          <w:tcPr>
            <w:tcW w:w="4399" w:type="dxa"/>
            <w:noWrap w:val="0"/>
            <w:vAlign w:val="center"/>
          </w:tcPr>
          <w:p w14:paraId="77A19B58">
            <w:pPr>
              <w:pStyle w:val="18"/>
              <w:spacing w:line="360" w:lineRule="auto"/>
              <w:jc w:val="center"/>
              <w:rPr>
                <w:rFonts w:hint="eastAsia" w:ascii="黑体" w:hAnsi="黑体" w:eastAsia="黑体" w:cs="黑体"/>
                <w:color w:val="auto"/>
                <w:sz w:val="24"/>
              </w:rPr>
            </w:pPr>
          </w:p>
        </w:tc>
      </w:tr>
      <w:tr w14:paraId="26AFA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9" w:type="dxa"/>
            <w:noWrap w:val="0"/>
            <w:vAlign w:val="center"/>
          </w:tcPr>
          <w:p w14:paraId="4C8C2607">
            <w:pPr>
              <w:pStyle w:val="18"/>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供应商的法定代表人为同一人的两个及两个以上法人的情况</w:t>
            </w:r>
          </w:p>
        </w:tc>
        <w:tc>
          <w:tcPr>
            <w:tcW w:w="4399" w:type="dxa"/>
            <w:noWrap w:val="0"/>
            <w:vAlign w:val="center"/>
          </w:tcPr>
          <w:p w14:paraId="19EA91AF">
            <w:pPr>
              <w:pStyle w:val="18"/>
              <w:spacing w:line="360" w:lineRule="auto"/>
              <w:jc w:val="center"/>
              <w:rPr>
                <w:rFonts w:hint="eastAsia" w:ascii="黑体" w:hAnsi="黑体" w:eastAsia="黑体" w:cs="黑体"/>
                <w:color w:val="auto"/>
                <w:sz w:val="24"/>
              </w:rPr>
            </w:pPr>
          </w:p>
        </w:tc>
      </w:tr>
    </w:tbl>
    <w:p w14:paraId="7D56EC6E">
      <w:pPr>
        <w:pStyle w:val="18"/>
        <w:spacing w:line="360" w:lineRule="auto"/>
        <w:ind w:left="420" w:leftChars="200" w:firstLine="0" w:firstLineChars="0"/>
        <w:rPr>
          <w:rFonts w:hint="eastAsia" w:ascii="黑体" w:hAnsi="黑体" w:eastAsia="黑体" w:cs="黑体"/>
          <w:color w:val="auto"/>
          <w:sz w:val="24"/>
        </w:rPr>
      </w:pPr>
      <w:r>
        <w:rPr>
          <w:rFonts w:hint="eastAsia" w:ascii="黑体" w:hAnsi="黑体" w:eastAsia="黑体" w:cs="黑体"/>
          <w:color w:val="auto"/>
          <w:sz w:val="24"/>
        </w:rPr>
        <w:t xml:space="preserve">注：1.供应商应如实、全面地填写“供应商关联企业情况表”。若因供应商故意隐瞒，一经查实，将视为供应商弄虚作假，提供了虚假资料，采购人将按相关规定以弄虚作假行为处理。 </w:t>
      </w:r>
    </w:p>
    <w:p w14:paraId="74B12710">
      <w:pPr>
        <w:pStyle w:val="18"/>
        <w:spacing w:line="360" w:lineRule="auto"/>
        <w:ind w:left="420" w:leftChars="200" w:firstLine="0" w:firstLineChars="0"/>
        <w:rPr>
          <w:rFonts w:hint="eastAsia" w:ascii="黑体" w:hAnsi="黑体" w:eastAsia="黑体" w:cs="黑体"/>
          <w:color w:val="auto"/>
          <w:sz w:val="24"/>
        </w:rPr>
      </w:pPr>
      <w:r>
        <w:rPr>
          <w:rFonts w:hint="eastAsia" w:ascii="黑体" w:hAnsi="黑体" w:eastAsia="黑体" w:cs="黑体"/>
          <w:color w:val="auto"/>
          <w:sz w:val="24"/>
        </w:rPr>
        <w:t xml:space="preserve">2.如供应商无上表中所述的相关情况，则供应商可在相应表栏中填写“无”。 </w:t>
      </w:r>
    </w:p>
    <w:p w14:paraId="621A2849">
      <w:pPr>
        <w:pStyle w:val="18"/>
        <w:spacing w:line="360" w:lineRule="auto"/>
        <w:ind w:left="420" w:leftChars="200" w:firstLine="0" w:firstLineChars="0"/>
        <w:rPr>
          <w:rFonts w:hint="eastAsia" w:ascii="黑体" w:hAnsi="黑体" w:eastAsia="黑体" w:cs="黑体"/>
          <w:b/>
          <w:bCs/>
          <w:color w:val="auto"/>
          <w:sz w:val="24"/>
        </w:rPr>
      </w:pPr>
      <w:r>
        <w:rPr>
          <w:rFonts w:hint="eastAsia" w:ascii="黑体" w:hAnsi="黑体" w:eastAsia="黑体" w:cs="黑体"/>
          <w:color w:val="auto"/>
          <w:sz w:val="24"/>
        </w:rPr>
        <w:t xml:space="preserve">3.单位负责人为同一人或者存在直接控股、管理关系的不同供应商，不得同时参加本项目的政府采购活动。 </w:t>
      </w:r>
    </w:p>
    <w:p w14:paraId="5E15252B">
      <w:pPr>
        <w:pStyle w:val="18"/>
        <w:spacing w:line="240" w:lineRule="atLeast"/>
        <w:rPr>
          <w:rFonts w:hint="eastAsia" w:ascii="黑体" w:hAnsi="黑体" w:eastAsia="黑体" w:cs="黑体"/>
          <w:b/>
          <w:bCs/>
          <w:color w:val="auto"/>
          <w:sz w:val="24"/>
        </w:rPr>
      </w:pPr>
    </w:p>
    <w:p w14:paraId="1EEE0CB4">
      <w:pPr>
        <w:widowControl/>
        <w:ind w:left="0" w:leftChars="0" w:firstLine="638" w:firstLineChars="266"/>
        <w:jc w:val="both"/>
        <w:rPr>
          <w:rFonts w:hint="eastAsia" w:ascii="黑体" w:hAnsi="黑体" w:eastAsia="黑体" w:cs="黑体"/>
          <w:color w:val="auto"/>
          <w:kern w:val="0"/>
          <w:sz w:val="24"/>
          <w:szCs w:val="24"/>
          <w:lang w:bidi="ar"/>
        </w:rPr>
      </w:pPr>
      <w:r>
        <w:rPr>
          <w:rFonts w:hint="eastAsia" w:ascii="黑体" w:hAnsi="黑体" w:eastAsia="黑体" w:cs="黑体"/>
          <w:color w:val="auto"/>
          <w:kern w:val="0"/>
          <w:sz w:val="24"/>
          <w:szCs w:val="24"/>
          <w:lang w:bidi="ar"/>
        </w:rPr>
        <w:t>供应商：</w:t>
      </w:r>
      <w:r>
        <w:rPr>
          <w:rFonts w:hint="eastAsia" w:ascii="黑体" w:hAnsi="黑体" w:eastAsia="黑体" w:cs="黑体"/>
          <w:color w:val="auto"/>
          <w:kern w:val="0"/>
          <w:sz w:val="24"/>
          <w:szCs w:val="24"/>
          <w:u w:val="single"/>
          <w:lang w:val="en-US" w:eastAsia="zh-CN" w:bidi="ar"/>
        </w:rPr>
        <w:t xml:space="preserve">          </w:t>
      </w:r>
      <w:r>
        <w:rPr>
          <w:rFonts w:hint="eastAsia" w:ascii="黑体" w:hAnsi="黑体" w:eastAsia="黑体" w:cs="黑体"/>
          <w:color w:val="auto"/>
          <w:kern w:val="0"/>
          <w:sz w:val="24"/>
          <w:szCs w:val="24"/>
          <w:u w:val="none"/>
          <w:lang w:val="en-US" w:eastAsia="zh-CN" w:bidi="ar"/>
        </w:rPr>
        <w:t>（加盖公</w:t>
      </w:r>
      <w:r>
        <w:rPr>
          <w:rFonts w:hint="eastAsia" w:ascii="黑体" w:hAnsi="黑体" w:eastAsia="黑体" w:cs="黑体"/>
          <w:color w:val="auto"/>
          <w:kern w:val="0"/>
          <w:sz w:val="24"/>
          <w:szCs w:val="24"/>
          <w:lang w:bidi="ar"/>
        </w:rPr>
        <w:t xml:space="preserve">章） </w:t>
      </w:r>
    </w:p>
    <w:p w14:paraId="22099896">
      <w:pPr>
        <w:pStyle w:val="128"/>
        <w:ind w:left="0" w:leftChars="0" w:firstLine="638" w:firstLineChars="266"/>
        <w:jc w:val="right"/>
        <w:rPr>
          <w:rFonts w:hint="eastAsia" w:ascii="黑体" w:hAnsi="黑体" w:eastAsia="黑体" w:cs="黑体"/>
          <w:color w:val="auto"/>
          <w:kern w:val="0"/>
          <w:sz w:val="24"/>
          <w:szCs w:val="24"/>
          <w:lang w:val="en-US" w:eastAsia="zh-CN" w:bidi="ar"/>
        </w:rPr>
      </w:pPr>
    </w:p>
    <w:p w14:paraId="41C07DFA">
      <w:pPr>
        <w:pStyle w:val="12"/>
        <w:shd w:val="clear" w:color="auto" w:fill="auto"/>
        <w:ind w:left="0" w:leftChars="0" w:firstLine="638" w:firstLineChars="266"/>
        <w:jc w:val="both"/>
        <w:outlineLvl w:val="1"/>
        <w:rPr>
          <w:rFonts w:hint="eastAsia"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法定代表人或其委托代理人</w:t>
      </w:r>
      <w:r>
        <w:rPr>
          <w:rFonts w:hint="eastAsia" w:ascii="黑体" w:hAnsi="黑体" w:eastAsia="黑体" w:cs="黑体"/>
          <w:color w:val="auto"/>
          <w:kern w:val="0"/>
          <w:sz w:val="24"/>
          <w:szCs w:val="24"/>
          <w:lang w:val="zh-CN" w:eastAsia="zh-CN" w:bidi="ar"/>
        </w:rPr>
        <w:t>：</w:t>
      </w:r>
      <w:r>
        <w:rPr>
          <w:rFonts w:hint="eastAsia" w:ascii="黑体" w:hAnsi="黑体" w:eastAsia="黑体" w:cs="黑体"/>
          <w:color w:val="auto"/>
          <w:kern w:val="0"/>
          <w:sz w:val="24"/>
          <w:szCs w:val="24"/>
          <w:u w:val="single"/>
          <w:lang w:val="en-US" w:eastAsia="zh-CN" w:bidi="ar"/>
        </w:rPr>
        <w:t xml:space="preserve">        </w:t>
      </w:r>
      <w:r>
        <w:rPr>
          <w:rFonts w:hint="eastAsia" w:ascii="黑体" w:hAnsi="黑体" w:eastAsia="黑体" w:cs="黑体"/>
          <w:color w:val="auto"/>
          <w:kern w:val="0"/>
          <w:sz w:val="24"/>
          <w:szCs w:val="24"/>
          <w:lang w:val="en-US" w:eastAsia="zh-CN" w:bidi="ar"/>
        </w:rPr>
        <w:t>（签字或盖章）</w:t>
      </w:r>
    </w:p>
    <w:p w14:paraId="65101B35">
      <w:pPr>
        <w:rPr>
          <w:rFonts w:hint="eastAsia" w:ascii="黑体" w:hAnsi="黑体" w:eastAsia="黑体" w:cs="黑体"/>
          <w:b/>
          <w:bCs/>
          <w:color w:val="auto"/>
          <w:sz w:val="28"/>
          <w:szCs w:val="28"/>
          <w:highlight w:val="none"/>
          <w:lang w:val="en-US" w:eastAsia="zh-CN"/>
        </w:rPr>
      </w:pPr>
    </w:p>
    <w:p w14:paraId="64AE0515">
      <w:pPr>
        <w:rPr>
          <w:rFonts w:hint="eastAsia" w:ascii="黑体" w:hAnsi="黑体" w:eastAsia="黑体" w:cs="黑体"/>
          <w:b/>
          <w:bCs/>
          <w:color w:val="auto"/>
          <w:sz w:val="28"/>
          <w:szCs w:val="28"/>
          <w:highlight w:val="none"/>
          <w:lang w:val="en-US" w:eastAsia="zh-CN"/>
        </w:rPr>
      </w:pPr>
      <w:r>
        <w:rPr>
          <w:rFonts w:hint="eastAsia" w:ascii="黑体" w:hAnsi="黑体" w:eastAsia="黑体" w:cs="黑体"/>
          <w:b/>
          <w:bCs/>
          <w:color w:val="auto"/>
          <w:sz w:val="28"/>
          <w:szCs w:val="28"/>
          <w:highlight w:val="none"/>
          <w:lang w:val="en-US" w:eastAsia="zh-CN"/>
        </w:rPr>
        <w:br w:type="page"/>
      </w:r>
    </w:p>
    <w:p w14:paraId="3CE729D1">
      <w:pPr>
        <w:pStyle w:val="12"/>
        <w:shd w:val="clear" w:color="auto" w:fill="auto"/>
        <w:jc w:val="center"/>
        <w:outlineLvl w:val="1"/>
        <w:rPr>
          <w:rFonts w:hint="eastAsia" w:ascii="黑体" w:hAnsi="黑体" w:eastAsia="黑体" w:cs="黑体"/>
          <w:b/>
          <w:bCs/>
          <w:color w:val="auto"/>
          <w:lang w:val="en-US" w:eastAsia="zh-CN"/>
        </w:rPr>
      </w:pPr>
      <w:r>
        <w:rPr>
          <w:rFonts w:hint="eastAsia" w:ascii="黑体" w:hAnsi="黑体" w:eastAsia="黑体" w:cs="黑体"/>
          <w:b/>
          <w:bCs/>
          <w:color w:val="auto"/>
          <w:sz w:val="28"/>
          <w:szCs w:val="28"/>
          <w:highlight w:val="none"/>
          <w:lang w:val="en-US" w:eastAsia="zh-CN"/>
        </w:rPr>
        <w:t>第二部分商务及技术文件</w:t>
      </w:r>
    </w:p>
    <w:p w14:paraId="00834586">
      <w:pPr>
        <w:keepNext w:val="0"/>
        <w:keepLines w:val="0"/>
        <w:pageBreakBefore w:val="0"/>
        <w:widowControl w:val="0"/>
        <w:shd w:val="clear" w:color="auto" w:fill="auto"/>
        <w:tabs>
          <w:tab w:val="left" w:pos="5580"/>
        </w:tabs>
        <w:kinsoku/>
        <w:wordWrap/>
        <w:overflowPunct/>
        <w:topLinePunct w:val="0"/>
        <w:bidi w:val="0"/>
        <w:snapToGrid/>
        <w:spacing w:line="480" w:lineRule="auto"/>
        <w:ind w:firstLine="662" w:firstLineChars="276"/>
        <w:textAlignment w:val="auto"/>
        <w:outlineLvl w:val="9"/>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1、磋商申请及附录;</w:t>
      </w:r>
    </w:p>
    <w:p w14:paraId="742D1200">
      <w:pPr>
        <w:keepNext w:val="0"/>
        <w:keepLines w:val="0"/>
        <w:pageBreakBefore w:val="0"/>
        <w:widowControl w:val="0"/>
        <w:shd w:val="clear" w:color="auto" w:fill="auto"/>
        <w:tabs>
          <w:tab w:val="left" w:pos="5580"/>
        </w:tabs>
        <w:kinsoku/>
        <w:wordWrap/>
        <w:overflowPunct/>
        <w:topLinePunct w:val="0"/>
        <w:bidi w:val="0"/>
        <w:snapToGrid/>
        <w:spacing w:line="480" w:lineRule="auto"/>
        <w:ind w:firstLine="662" w:firstLineChars="276"/>
        <w:textAlignment w:val="auto"/>
        <w:outlineLvl w:val="9"/>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2、项目管理机构;</w:t>
      </w:r>
    </w:p>
    <w:p w14:paraId="64A1291B">
      <w:pPr>
        <w:keepNext w:val="0"/>
        <w:keepLines w:val="0"/>
        <w:pageBreakBefore w:val="0"/>
        <w:widowControl w:val="0"/>
        <w:shd w:val="clear" w:color="auto" w:fill="auto"/>
        <w:tabs>
          <w:tab w:val="left" w:pos="5580"/>
        </w:tabs>
        <w:kinsoku/>
        <w:wordWrap/>
        <w:overflowPunct/>
        <w:topLinePunct w:val="0"/>
        <w:bidi w:val="0"/>
        <w:snapToGrid/>
        <w:spacing w:line="480" w:lineRule="auto"/>
        <w:ind w:firstLine="662" w:firstLineChars="276"/>
        <w:textAlignment w:val="auto"/>
        <w:outlineLvl w:val="9"/>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2.1项目管理机构组成表；</w:t>
      </w:r>
    </w:p>
    <w:p w14:paraId="0F923106">
      <w:pPr>
        <w:keepNext w:val="0"/>
        <w:keepLines w:val="0"/>
        <w:pageBreakBefore w:val="0"/>
        <w:widowControl w:val="0"/>
        <w:shd w:val="clear" w:color="auto" w:fill="auto"/>
        <w:tabs>
          <w:tab w:val="left" w:pos="5580"/>
        </w:tabs>
        <w:kinsoku/>
        <w:wordWrap/>
        <w:overflowPunct/>
        <w:topLinePunct w:val="0"/>
        <w:bidi w:val="0"/>
        <w:snapToGrid/>
        <w:spacing w:line="480" w:lineRule="auto"/>
        <w:ind w:firstLine="662" w:firstLineChars="276"/>
        <w:textAlignment w:val="auto"/>
        <w:outlineLvl w:val="9"/>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2.2主要人员简历表；</w:t>
      </w:r>
    </w:p>
    <w:p w14:paraId="5DAF4461">
      <w:pPr>
        <w:keepNext w:val="0"/>
        <w:keepLines w:val="0"/>
        <w:pageBreakBefore w:val="0"/>
        <w:widowControl w:val="0"/>
        <w:shd w:val="clear" w:color="auto" w:fill="auto"/>
        <w:tabs>
          <w:tab w:val="left" w:pos="5580"/>
        </w:tabs>
        <w:kinsoku/>
        <w:wordWrap/>
        <w:overflowPunct/>
        <w:topLinePunct w:val="0"/>
        <w:bidi w:val="0"/>
        <w:snapToGrid/>
        <w:spacing w:line="480" w:lineRule="auto"/>
        <w:ind w:firstLine="662" w:firstLineChars="276"/>
        <w:textAlignment w:val="auto"/>
        <w:outlineLvl w:val="9"/>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2.2.1项目经理简历表；</w:t>
      </w:r>
    </w:p>
    <w:p w14:paraId="3085FA09">
      <w:pPr>
        <w:keepNext w:val="0"/>
        <w:keepLines w:val="0"/>
        <w:pageBreakBefore w:val="0"/>
        <w:widowControl w:val="0"/>
        <w:shd w:val="clear" w:color="auto" w:fill="auto"/>
        <w:tabs>
          <w:tab w:val="left" w:pos="5580"/>
        </w:tabs>
        <w:kinsoku/>
        <w:wordWrap/>
        <w:overflowPunct/>
        <w:topLinePunct w:val="0"/>
        <w:bidi w:val="0"/>
        <w:snapToGrid/>
        <w:spacing w:line="480" w:lineRule="auto"/>
        <w:ind w:firstLine="662" w:firstLineChars="276"/>
        <w:textAlignment w:val="auto"/>
        <w:outlineLvl w:val="9"/>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2.2.2主要项目管理人员简历表；</w:t>
      </w:r>
    </w:p>
    <w:p w14:paraId="5696848C">
      <w:pPr>
        <w:keepNext w:val="0"/>
        <w:keepLines w:val="0"/>
        <w:pageBreakBefore w:val="0"/>
        <w:widowControl w:val="0"/>
        <w:shd w:val="clear" w:color="auto" w:fill="auto"/>
        <w:tabs>
          <w:tab w:val="left" w:pos="5580"/>
        </w:tabs>
        <w:kinsoku/>
        <w:wordWrap/>
        <w:overflowPunct/>
        <w:topLinePunct w:val="0"/>
        <w:bidi w:val="0"/>
        <w:snapToGrid/>
        <w:spacing w:line="480" w:lineRule="auto"/>
        <w:ind w:firstLine="662" w:firstLineChars="276"/>
        <w:textAlignment w:val="auto"/>
        <w:outlineLvl w:val="9"/>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3、供应商情况；</w:t>
      </w:r>
    </w:p>
    <w:p w14:paraId="32F274EE">
      <w:pPr>
        <w:keepNext w:val="0"/>
        <w:keepLines w:val="0"/>
        <w:pageBreakBefore w:val="0"/>
        <w:widowControl w:val="0"/>
        <w:shd w:val="clear" w:color="auto" w:fill="auto"/>
        <w:tabs>
          <w:tab w:val="left" w:pos="5580"/>
        </w:tabs>
        <w:kinsoku/>
        <w:wordWrap/>
        <w:overflowPunct/>
        <w:topLinePunct w:val="0"/>
        <w:bidi w:val="0"/>
        <w:snapToGrid/>
        <w:spacing w:line="480" w:lineRule="auto"/>
        <w:ind w:firstLine="662" w:firstLineChars="276"/>
        <w:textAlignment w:val="auto"/>
        <w:outlineLvl w:val="9"/>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3.1供应商基本情况表；</w:t>
      </w:r>
    </w:p>
    <w:p w14:paraId="56A937EB">
      <w:pPr>
        <w:keepNext w:val="0"/>
        <w:keepLines w:val="0"/>
        <w:pageBreakBefore w:val="0"/>
        <w:widowControl w:val="0"/>
        <w:shd w:val="clear" w:color="auto" w:fill="auto"/>
        <w:tabs>
          <w:tab w:val="left" w:pos="5580"/>
        </w:tabs>
        <w:kinsoku/>
        <w:wordWrap/>
        <w:overflowPunct/>
        <w:topLinePunct w:val="0"/>
        <w:bidi w:val="0"/>
        <w:snapToGrid/>
        <w:spacing w:line="480" w:lineRule="auto"/>
        <w:ind w:firstLine="662" w:firstLineChars="276"/>
        <w:textAlignment w:val="auto"/>
        <w:outlineLvl w:val="9"/>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3.2近年完成的类似项目情况表；</w:t>
      </w:r>
    </w:p>
    <w:p w14:paraId="30E9BD16">
      <w:pPr>
        <w:keepNext w:val="0"/>
        <w:keepLines w:val="0"/>
        <w:pageBreakBefore w:val="0"/>
        <w:widowControl w:val="0"/>
        <w:shd w:val="clear" w:color="auto" w:fill="auto"/>
        <w:tabs>
          <w:tab w:val="left" w:pos="5580"/>
        </w:tabs>
        <w:kinsoku/>
        <w:wordWrap/>
        <w:overflowPunct/>
        <w:topLinePunct w:val="0"/>
        <w:bidi w:val="0"/>
        <w:snapToGrid/>
        <w:spacing w:line="480" w:lineRule="auto"/>
        <w:ind w:firstLine="662" w:firstLineChars="276"/>
        <w:textAlignment w:val="auto"/>
        <w:outlineLvl w:val="9"/>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3.3正在施工的和新承建的项目情况表；</w:t>
      </w:r>
    </w:p>
    <w:p w14:paraId="32245435">
      <w:pPr>
        <w:keepNext w:val="0"/>
        <w:keepLines w:val="0"/>
        <w:pageBreakBefore w:val="0"/>
        <w:widowControl w:val="0"/>
        <w:shd w:val="clear" w:color="auto" w:fill="auto"/>
        <w:tabs>
          <w:tab w:val="left" w:pos="5580"/>
        </w:tabs>
        <w:kinsoku/>
        <w:wordWrap/>
        <w:overflowPunct/>
        <w:topLinePunct w:val="0"/>
        <w:bidi w:val="0"/>
        <w:snapToGrid/>
        <w:spacing w:line="480" w:lineRule="auto"/>
        <w:ind w:firstLine="662" w:firstLineChars="276"/>
        <w:textAlignment w:val="auto"/>
        <w:outlineLvl w:val="9"/>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3.4近年发生的诉讼和仲裁情况；</w:t>
      </w:r>
    </w:p>
    <w:p w14:paraId="0806D29D">
      <w:pPr>
        <w:keepNext w:val="0"/>
        <w:keepLines w:val="0"/>
        <w:pageBreakBefore w:val="0"/>
        <w:widowControl w:val="0"/>
        <w:shd w:val="clear" w:color="auto" w:fill="auto"/>
        <w:tabs>
          <w:tab w:val="left" w:pos="5580"/>
        </w:tabs>
        <w:kinsoku/>
        <w:wordWrap/>
        <w:overflowPunct/>
        <w:topLinePunct w:val="0"/>
        <w:bidi w:val="0"/>
        <w:snapToGrid/>
        <w:spacing w:line="480" w:lineRule="auto"/>
        <w:ind w:firstLine="662" w:firstLineChars="276"/>
        <w:textAlignment w:val="auto"/>
        <w:outlineLvl w:val="9"/>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3.5企业其他信誉情况；</w:t>
      </w:r>
    </w:p>
    <w:p w14:paraId="1CFAEF55">
      <w:pPr>
        <w:keepNext w:val="0"/>
        <w:keepLines w:val="0"/>
        <w:pageBreakBefore w:val="0"/>
        <w:widowControl w:val="0"/>
        <w:shd w:val="clear" w:color="auto" w:fill="auto"/>
        <w:tabs>
          <w:tab w:val="left" w:pos="5580"/>
        </w:tabs>
        <w:kinsoku/>
        <w:wordWrap/>
        <w:overflowPunct/>
        <w:topLinePunct w:val="0"/>
        <w:bidi w:val="0"/>
        <w:snapToGrid/>
        <w:spacing w:line="480" w:lineRule="auto"/>
        <w:ind w:firstLine="662" w:firstLineChars="276"/>
        <w:textAlignment w:val="auto"/>
        <w:outlineLvl w:val="9"/>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4、其他需要提供的证明文件;</w:t>
      </w:r>
    </w:p>
    <w:p w14:paraId="3CA5E3F8">
      <w:pPr>
        <w:keepNext w:val="0"/>
        <w:keepLines w:val="0"/>
        <w:pageBreakBefore w:val="0"/>
        <w:widowControl w:val="0"/>
        <w:shd w:val="clear" w:color="auto" w:fill="auto"/>
        <w:tabs>
          <w:tab w:val="left" w:pos="5580"/>
        </w:tabs>
        <w:kinsoku/>
        <w:wordWrap/>
        <w:overflowPunct/>
        <w:topLinePunct w:val="0"/>
        <w:bidi w:val="0"/>
        <w:snapToGrid/>
        <w:spacing w:line="480" w:lineRule="auto"/>
        <w:ind w:firstLine="662" w:firstLineChars="276"/>
        <w:textAlignment w:val="auto"/>
        <w:outlineLvl w:val="9"/>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5、已标价的工程量清单；</w:t>
      </w:r>
    </w:p>
    <w:p w14:paraId="5C903C46">
      <w:pPr>
        <w:keepNext w:val="0"/>
        <w:keepLines w:val="0"/>
        <w:pageBreakBefore w:val="0"/>
        <w:widowControl w:val="0"/>
        <w:shd w:val="clear" w:color="auto" w:fill="auto"/>
        <w:tabs>
          <w:tab w:val="left" w:pos="5580"/>
        </w:tabs>
        <w:kinsoku/>
        <w:wordWrap/>
        <w:overflowPunct/>
        <w:topLinePunct w:val="0"/>
        <w:bidi w:val="0"/>
        <w:snapToGrid/>
        <w:spacing w:line="480" w:lineRule="auto"/>
        <w:ind w:firstLine="662" w:firstLineChars="276"/>
        <w:textAlignment w:val="auto"/>
        <w:outlineLvl w:val="9"/>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6、响应文件还应包括投标人须知的所有技术文件；</w:t>
      </w:r>
    </w:p>
    <w:p w14:paraId="0B75A0B2">
      <w:pPr>
        <w:pStyle w:val="27"/>
        <w:spacing w:line="480" w:lineRule="auto"/>
        <w:ind w:left="0" w:leftChars="0" w:firstLine="638" w:firstLineChars="266"/>
        <w:rPr>
          <w:rFonts w:hint="default"/>
          <w:lang w:val="en-US" w:eastAsia="zh-CN"/>
        </w:rPr>
      </w:pPr>
      <w:r>
        <w:rPr>
          <w:rFonts w:hint="eastAsia" w:ascii="黑体" w:hAnsi="黑体" w:eastAsia="黑体" w:cs="黑体"/>
          <w:color w:val="auto"/>
          <w:sz w:val="24"/>
          <w:highlight w:val="none"/>
          <w:lang w:val="en-US" w:eastAsia="zh-CN"/>
        </w:rPr>
        <w:t>7、响应文件格式范本</w:t>
      </w:r>
    </w:p>
    <w:p w14:paraId="13819FAF">
      <w:pPr>
        <w:numPr>
          <w:ilvl w:val="0"/>
          <w:numId w:val="0"/>
        </w:numPr>
        <w:shd w:val="clear" w:color="auto" w:fill="auto"/>
        <w:jc w:val="center"/>
        <w:rPr>
          <w:rFonts w:hint="eastAsia" w:ascii="黑体" w:hAnsi="黑体" w:eastAsia="黑体" w:cs="黑体"/>
          <w:b/>
          <w:bCs/>
          <w:color w:val="auto"/>
          <w:sz w:val="24"/>
          <w:szCs w:val="24"/>
          <w:highlight w:val="none"/>
          <w:u w:val="none"/>
          <w:lang w:val="en-US" w:eastAsia="zh-CN"/>
        </w:rPr>
      </w:pPr>
      <w:r>
        <w:rPr>
          <w:rFonts w:hint="eastAsia" w:ascii="黑体" w:hAnsi="黑体" w:eastAsia="黑体" w:cs="黑体"/>
          <w:b/>
          <w:bCs/>
          <w:color w:val="auto"/>
          <w:sz w:val="21"/>
          <w:szCs w:val="21"/>
          <w:highlight w:val="none"/>
          <w:u w:val="none"/>
          <w:lang w:val="en-US" w:eastAsia="zh-CN"/>
        </w:rPr>
        <w:br w:type="page"/>
      </w:r>
      <w:r>
        <w:rPr>
          <w:rFonts w:hint="eastAsia" w:ascii="黑体" w:hAnsi="黑体" w:eastAsia="黑体" w:cs="黑体"/>
          <w:b/>
          <w:bCs/>
          <w:color w:val="auto"/>
          <w:sz w:val="28"/>
          <w:szCs w:val="28"/>
          <w:highlight w:val="none"/>
          <w:u w:val="none"/>
          <w:lang w:val="en-US" w:eastAsia="zh-CN"/>
        </w:rPr>
        <w:t>1、磋商申请</w:t>
      </w:r>
    </w:p>
    <w:p w14:paraId="3DB355C3">
      <w:pPr>
        <w:shd w:val="clear" w:color="auto" w:fill="auto"/>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eastAsia="zh-CN"/>
        </w:rPr>
        <w:t>采购</w:t>
      </w:r>
      <w:r>
        <w:rPr>
          <w:rFonts w:hint="eastAsia" w:ascii="黑体" w:hAnsi="黑体" w:eastAsia="黑体" w:cs="黑体"/>
          <w:color w:val="auto"/>
          <w:sz w:val="24"/>
          <w:szCs w:val="24"/>
          <w:highlight w:val="none"/>
        </w:rPr>
        <w:t>人名称）：</w:t>
      </w:r>
    </w:p>
    <w:p w14:paraId="7FF5F350">
      <w:pPr>
        <w:shd w:val="clear" w:color="auto" w:fill="auto"/>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1．我方已仔细研究了</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（项目名称）</w:t>
      </w:r>
      <w:r>
        <w:rPr>
          <w:rFonts w:hint="eastAsia" w:ascii="黑体" w:hAnsi="黑体" w:eastAsia="黑体" w:cs="黑体"/>
          <w:color w:val="auto"/>
          <w:sz w:val="24"/>
          <w:szCs w:val="24"/>
          <w:highlight w:val="none"/>
          <w:lang w:val="en-US" w:eastAsia="zh-CN"/>
        </w:rPr>
        <w:t>磋商</w:t>
      </w:r>
      <w:r>
        <w:rPr>
          <w:rFonts w:hint="eastAsia" w:ascii="黑体" w:hAnsi="黑体" w:eastAsia="黑体" w:cs="黑体"/>
          <w:color w:val="auto"/>
          <w:sz w:val="24"/>
          <w:szCs w:val="24"/>
          <w:highlight w:val="none"/>
        </w:rPr>
        <w:t>文件的全部内容，愿意以人民币（大写）</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元（¥</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）的投标总报价，工期</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日历天，按合同约定实施和完成承包工程，修补工程中的任何缺陷，工程质量达到</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w:t>
      </w:r>
    </w:p>
    <w:p w14:paraId="6C930C52">
      <w:pPr>
        <w:shd w:val="clear" w:color="auto" w:fill="auto"/>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2．我方承诺在投标有效期内不修改、撤销</w:t>
      </w:r>
      <w:r>
        <w:rPr>
          <w:rFonts w:hint="eastAsia" w:ascii="黑体" w:hAnsi="黑体" w:eastAsia="黑体" w:cs="黑体"/>
          <w:color w:val="auto"/>
          <w:sz w:val="24"/>
          <w:szCs w:val="24"/>
          <w:highlight w:val="none"/>
          <w:lang w:eastAsia="zh-CN"/>
        </w:rPr>
        <w:t>响应文件</w:t>
      </w:r>
      <w:r>
        <w:rPr>
          <w:rFonts w:hint="eastAsia" w:ascii="黑体" w:hAnsi="黑体" w:eastAsia="黑体" w:cs="黑体"/>
          <w:color w:val="auto"/>
          <w:sz w:val="24"/>
          <w:szCs w:val="24"/>
          <w:highlight w:val="none"/>
        </w:rPr>
        <w:t>。</w:t>
      </w:r>
    </w:p>
    <w:p w14:paraId="5D62E3E9">
      <w:pPr>
        <w:shd w:val="clear" w:color="auto" w:fill="auto"/>
        <w:spacing w:line="360" w:lineRule="auto"/>
        <w:ind w:left="478" w:leftChars="228" w:firstLine="0" w:firstLineChars="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3.已详细审查全部磋商文件，包括所有补充通知（如有），完全理解并同意放弃对这方面有不明、误解和质疑的权利。</w:t>
      </w:r>
    </w:p>
    <w:p w14:paraId="0D4214A5">
      <w:pPr>
        <w:shd w:val="clear" w:color="auto" w:fill="auto"/>
        <w:spacing w:line="360" w:lineRule="auto"/>
        <w:ind w:left="478" w:leftChars="228" w:firstLine="0" w:firstLineChars="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4.按照贵方可能要求，提供与其投标有关的一切数据或资料，完全理解贵方不一定接受最低价的投标或收到的任何投标。</w:t>
      </w:r>
    </w:p>
    <w:p w14:paraId="6CE71A69">
      <w:pPr>
        <w:shd w:val="clear" w:color="auto" w:fill="auto"/>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．随同本</w:t>
      </w:r>
      <w:r>
        <w:rPr>
          <w:rFonts w:hint="eastAsia" w:ascii="黑体" w:hAnsi="黑体" w:eastAsia="黑体" w:cs="黑体"/>
          <w:color w:val="auto"/>
          <w:sz w:val="24"/>
          <w:szCs w:val="24"/>
          <w:highlight w:val="none"/>
          <w:lang w:val="en-US" w:eastAsia="zh-CN"/>
        </w:rPr>
        <w:t>申请</w:t>
      </w:r>
      <w:r>
        <w:rPr>
          <w:rFonts w:hint="eastAsia" w:ascii="黑体" w:hAnsi="黑体" w:eastAsia="黑体" w:cs="黑体"/>
          <w:color w:val="auto"/>
          <w:sz w:val="24"/>
          <w:szCs w:val="24"/>
          <w:highlight w:val="none"/>
        </w:rPr>
        <w:t>提交</w:t>
      </w:r>
      <w:r>
        <w:rPr>
          <w:rFonts w:hint="eastAsia" w:ascii="黑体" w:hAnsi="黑体" w:eastAsia="黑体" w:cs="黑体"/>
          <w:color w:val="auto"/>
          <w:sz w:val="24"/>
          <w:szCs w:val="24"/>
          <w:highlight w:val="none"/>
          <w:lang w:val="en-US" w:eastAsia="zh-CN"/>
        </w:rPr>
        <w:t>磋商</w:t>
      </w:r>
      <w:r>
        <w:rPr>
          <w:rFonts w:hint="eastAsia" w:ascii="黑体" w:hAnsi="黑体" w:eastAsia="黑体" w:cs="黑体"/>
          <w:color w:val="auto"/>
          <w:sz w:val="24"/>
          <w:szCs w:val="24"/>
          <w:highlight w:val="none"/>
        </w:rPr>
        <w:t>保证金一份，金额为人民币（大写）</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元（¥</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w:t>
      </w:r>
    </w:p>
    <w:p w14:paraId="606FEA31">
      <w:pPr>
        <w:shd w:val="clear" w:color="auto" w:fill="auto"/>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6</w:t>
      </w:r>
      <w:r>
        <w:rPr>
          <w:rFonts w:hint="eastAsia" w:ascii="黑体" w:hAnsi="黑体" w:eastAsia="黑体" w:cs="黑体"/>
          <w:color w:val="auto"/>
          <w:sz w:val="24"/>
          <w:szCs w:val="24"/>
          <w:highlight w:val="none"/>
        </w:rPr>
        <w:t>．如我方中标：</w:t>
      </w:r>
    </w:p>
    <w:p w14:paraId="168E71CA">
      <w:pPr>
        <w:shd w:val="clear" w:color="auto" w:fill="auto"/>
        <w:spacing w:line="360" w:lineRule="auto"/>
        <w:ind w:left="0" w:leftChars="0" w:firstLine="420" w:firstLineChars="175"/>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（1）我方承诺在收到中标通知书后，在中标通知书规定的期限内与你方签订合同。</w:t>
      </w:r>
    </w:p>
    <w:p w14:paraId="67DC3739">
      <w:pPr>
        <w:shd w:val="clear" w:color="auto" w:fill="auto"/>
        <w:spacing w:line="360" w:lineRule="auto"/>
        <w:ind w:left="0" w:leftChars="0" w:firstLine="420" w:firstLineChars="175"/>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（2）随同本</w:t>
      </w:r>
      <w:r>
        <w:rPr>
          <w:rFonts w:hint="eastAsia" w:ascii="黑体" w:hAnsi="黑体" w:eastAsia="黑体" w:cs="黑体"/>
          <w:color w:val="auto"/>
          <w:sz w:val="24"/>
          <w:szCs w:val="24"/>
          <w:highlight w:val="none"/>
          <w:lang w:val="en-US" w:eastAsia="zh-CN"/>
        </w:rPr>
        <w:t>磋商申请</w:t>
      </w:r>
      <w:r>
        <w:rPr>
          <w:rFonts w:hint="eastAsia" w:ascii="黑体" w:hAnsi="黑体" w:eastAsia="黑体" w:cs="黑体"/>
          <w:color w:val="auto"/>
          <w:sz w:val="24"/>
          <w:szCs w:val="24"/>
          <w:highlight w:val="none"/>
        </w:rPr>
        <w:t>递交的附录属于合同文件的组成部分。</w:t>
      </w:r>
    </w:p>
    <w:p w14:paraId="4F192870">
      <w:pPr>
        <w:shd w:val="clear" w:color="auto" w:fill="auto"/>
        <w:spacing w:line="360" w:lineRule="auto"/>
        <w:ind w:left="0" w:leftChars="0" w:firstLine="420" w:firstLineChars="175"/>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（3）我方承诺按照</w:t>
      </w:r>
      <w:r>
        <w:rPr>
          <w:rFonts w:hint="eastAsia" w:ascii="黑体" w:hAnsi="黑体" w:eastAsia="黑体" w:cs="黑体"/>
          <w:color w:val="auto"/>
          <w:sz w:val="24"/>
          <w:szCs w:val="24"/>
          <w:highlight w:val="none"/>
          <w:lang w:val="en-US" w:eastAsia="zh-CN"/>
        </w:rPr>
        <w:t>磋商</w:t>
      </w:r>
      <w:r>
        <w:rPr>
          <w:rFonts w:hint="eastAsia" w:ascii="黑体" w:hAnsi="黑体" w:eastAsia="黑体" w:cs="黑体"/>
          <w:color w:val="auto"/>
          <w:sz w:val="24"/>
          <w:szCs w:val="24"/>
          <w:highlight w:val="none"/>
        </w:rPr>
        <w:t>文件规定向你方递交履约担保。</w:t>
      </w:r>
    </w:p>
    <w:p w14:paraId="1A287C1B">
      <w:pPr>
        <w:shd w:val="clear" w:color="auto" w:fill="auto"/>
        <w:spacing w:line="360" w:lineRule="auto"/>
        <w:ind w:left="0" w:leftChars="0" w:firstLine="420" w:firstLineChars="175"/>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（4）我方承诺在合同约定的期限内完成并移交全部合同工程。</w:t>
      </w:r>
    </w:p>
    <w:p w14:paraId="16BB1CFC">
      <w:pPr>
        <w:shd w:val="clear" w:color="auto" w:fill="auto"/>
        <w:spacing w:line="360" w:lineRule="auto"/>
        <w:ind w:firstLine="480" w:firstLineChars="200"/>
        <w:rPr>
          <w:rFonts w:hint="eastAsia" w:ascii="黑体" w:hAnsi="黑体" w:eastAsia="黑体" w:cs="黑体"/>
          <w:color w:val="auto"/>
        </w:rPr>
      </w:pPr>
      <w:r>
        <w:rPr>
          <w:rFonts w:hint="eastAsia" w:ascii="黑体" w:hAnsi="黑体" w:eastAsia="黑体" w:cs="黑体"/>
          <w:color w:val="auto"/>
          <w:sz w:val="24"/>
          <w:szCs w:val="24"/>
          <w:highlight w:val="none"/>
          <w:lang w:val="en-US" w:eastAsia="zh-CN"/>
        </w:rPr>
        <w:t>7</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（其他补充说明）。</w:t>
      </w:r>
    </w:p>
    <w:p w14:paraId="298F7191">
      <w:pPr>
        <w:shd w:val="clear" w:color="auto" w:fill="auto"/>
        <w:spacing w:line="360" w:lineRule="auto"/>
        <w:ind w:left="420" w:leftChars="200" w:firstLine="420" w:firstLineChars="175"/>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投标人：</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eastAsia="zh-CN"/>
        </w:rPr>
        <w:t>加</w:t>
      </w:r>
      <w:r>
        <w:rPr>
          <w:rFonts w:hint="eastAsia" w:ascii="黑体" w:hAnsi="黑体" w:eastAsia="黑体" w:cs="黑体"/>
          <w:color w:val="auto"/>
          <w:sz w:val="24"/>
          <w:szCs w:val="24"/>
          <w:highlight w:val="none"/>
        </w:rPr>
        <w:t>盖</w:t>
      </w:r>
      <w:r>
        <w:rPr>
          <w:rFonts w:hint="eastAsia" w:ascii="黑体" w:hAnsi="黑体" w:eastAsia="黑体" w:cs="黑体"/>
          <w:color w:val="auto"/>
          <w:sz w:val="24"/>
          <w:szCs w:val="24"/>
          <w:highlight w:val="none"/>
          <w:lang w:eastAsia="zh-CN"/>
        </w:rPr>
        <w:t>公</w:t>
      </w:r>
      <w:r>
        <w:rPr>
          <w:rFonts w:hint="eastAsia" w:ascii="黑体" w:hAnsi="黑体" w:eastAsia="黑体" w:cs="黑体"/>
          <w:color w:val="auto"/>
          <w:sz w:val="24"/>
          <w:szCs w:val="24"/>
          <w:highlight w:val="none"/>
        </w:rPr>
        <w:t>章）</w:t>
      </w:r>
    </w:p>
    <w:p w14:paraId="4417EB26">
      <w:pPr>
        <w:shd w:val="clear" w:color="auto" w:fill="auto"/>
        <w:spacing w:line="360" w:lineRule="auto"/>
        <w:ind w:left="420" w:leftChars="200" w:firstLine="420" w:firstLineChars="175"/>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法定代表人或其委托代理人：</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（签字）</w:t>
      </w:r>
    </w:p>
    <w:p w14:paraId="2D0A0F08">
      <w:pPr>
        <w:shd w:val="clear" w:color="auto" w:fill="auto"/>
        <w:spacing w:line="360" w:lineRule="auto"/>
        <w:ind w:left="420" w:leftChars="200" w:firstLine="420" w:firstLineChars="175"/>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地址：</w:t>
      </w:r>
      <w:r>
        <w:rPr>
          <w:rFonts w:hint="eastAsia" w:ascii="黑体" w:hAnsi="黑体" w:eastAsia="黑体" w:cs="黑体"/>
          <w:color w:val="auto"/>
          <w:sz w:val="24"/>
          <w:szCs w:val="24"/>
          <w:highlight w:val="none"/>
          <w:u w:val="single"/>
        </w:rPr>
        <w:t xml:space="preserve">                                     </w:t>
      </w:r>
    </w:p>
    <w:p w14:paraId="31783873">
      <w:pPr>
        <w:shd w:val="clear" w:color="auto" w:fill="auto"/>
        <w:spacing w:line="360" w:lineRule="auto"/>
        <w:ind w:left="420" w:leftChars="200" w:firstLine="420" w:firstLineChars="175"/>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网址：</w:t>
      </w:r>
      <w:r>
        <w:rPr>
          <w:rFonts w:hint="eastAsia" w:ascii="黑体" w:hAnsi="黑体" w:eastAsia="黑体" w:cs="黑体"/>
          <w:color w:val="auto"/>
          <w:sz w:val="24"/>
          <w:szCs w:val="24"/>
          <w:highlight w:val="none"/>
          <w:u w:val="single"/>
        </w:rPr>
        <w:t xml:space="preserve">                                     </w:t>
      </w:r>
    </w:p>
    <w:p w14:paraId="5C4EB805">
      <w:pPr>
        <w:shd w:val="clear" w:color="auto" w:fill="auto"/>
        <w:spacing w:line="360" w:lineRule="auto"/>
        <w:ind w:left="420" w:leftChars="200" w:firstLine="420" w:firstLineChars="175"/>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电话：</w:t>
      </w:r>
      <w:r>
        <w:rPr>
          <w:rFonts w:hint="eastAsia" w:ascii="黑体" w:hAnsi="黑体" w:eastAsia="黑体" w:cs="黑体"/>
          <w:color w:val="auto"/>
          <w:sz w:val="24"/>
          <w:szCs w:val="24"/>
          <w:highlight w:val="none"/>
          <w:u w:val="single"/>
        </w:rPr>
        <w:t xml:space="preserve">                                     </w:t>
      </w:r>
    </w:p>
    <w:p w14:paraId="3E408E90">
      <w:pPr>
        <w:shd w:val="clear" w:color="auto" w:fill="auto"/>
        <w:spacing w:line="360" w:lineRule="auto"/>
        <w:ind w:left="420" w:leftChars="200" w:firstLine="420" w:firstLineChars="175"/>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传真：</w:t>
      </w:r>
      <w:r>
        <w:rPr>
          <w:rFonts w:hint="eastAsia" w:ascii="黑体" w:hAnsi="黑体" w:eastAsia="黑体" w:cs="黑体"/>
          <w:color w:val="auto"/>
          <w:sz w:val="24"/>
          <w:szCs w:val="24"/>
          <w:highlight w:val="none"/>
          <w:u w:val="single"/>
        </w:rPr>
        <w:t xml:space="preserve">                                     </w:t>
      </w:r>
    </w:p>
    <w:p w14:paraId="186F7232">
      <w:pPr>
        <w:shd w:val="clear" w:color="auto" w:fill="auto"/>
        <w:spacing w:line="360" w:lineRule="auto"/>
        <w:ind w:left="420" w:leftChars="200" w:firstLine="420" w:firstLineChars="175"/>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邮政编码：</w:t>
      </w:r>
      <w:r>
        <w:rPr>
          <w:rFonts w:hint="eastAsia" w:ascii="黑体" w:hAnsi="黑体" w:eastAsia="黑体" w:cs="黑体"/>
          <w:color w:val="auto"/>
          <w:sz w:val="24"/>
          <w:szCs w:val="24"/>
          <w:highlight w:val="none"/>
          <w:u w:val="single"/>
        </w:rPr>
        <w:t xml:space="preserve">                                 </w:t>
      </w:r>
    </w:p>
    <w:p w14:paraId="27B0DA85">
      <w:pPr>
        <w:ind w:left="0" w:leftChars="0" w:firstLine="960" w:firstLineChars="400"/>
        <w:rPr>
          <w:rFonts w:hint="default" w:ascii="黑体" w:hAnsi="黑体" w:eastAsia="黑体" w:cs="黑体"/>
          <w:b w:val="0"/>
          <w:bCs/>
          <w:color w:val="auto"/>
          <w:sz w:val="24"/>
          <w:szCs w:val="24"/>
          <w:highlight w:val="none"/>
          <w:lang w:val="en-US" w:eastAsia="zh-CN"/>
        </w:rPr>
      </w:pPr>
      <w:bookmarkStart w:id="326" w:name="_Toc6972"/>
      <w:bookmarkStart w:id="327" w:name="_Toc11631"/>
      <w:r>
        <w:rPr>
          <w:rFonts w:hint="eastAsia" w:ascii="黑体" w:hAnsi="黑体" w:eastAsia="黑体" w:cs="黑体"/>
          <w:b w:val="0"/>
          <w:bCs/>
          <w:color w:val="auto"/>
          <w:sz w:val="24"/>
          <w:szCs w:val="24"/>
          <w:highlight w:val="none"/>
          <w:lang w:val="en-US" w:eastAsia="zh-CN"/>
        </w:rPr>
        <w:t>年    月    日</w:t>
      </w:r>
    </w:p>
    <w:p w14:paraId="784BC51D">
      <w:pPr>
        <w:rPr>
          <w:rFonts w:hint="eastAsia" w:ascii="黑体" w:hAnsi="黑体" w:eastAsia="黑体" w:cs="黑体"/>
          <w:b/>
          <w:color w:val="auto"/>
          <w:sz w:val="28"/>
          <w:szCs w:val="28"/>
          <w:highlight w:val="none"/>
          <w:lang w:val="en-US" w:eastAsia="zh-CN"/>
        </w:rPr>
      </w:pPr>
      <w:r>
        <w:rPr>
          <w:rFonts w:hint="eastAsia" w:ascii="黑体" w:hAnsi="黑体" w:eastAsia="黑体" w:cs="黑体"/>
          <w:b/>
          <w:color w:val="auto"/>
          <w:sz w:val="28"/>
          <w:szCs w:val="28"/>
          <w:highlight w:val="none"/>
          <w:lang w:val="en-US" w:eastAsia="zh-CN"/>
        </w:rPr>
        <w:br w:type="page"/>
      </w:r>
    </w:p>
    <w:p w14:paraId="55A75B5C">
      <w:pPr>
        <w:shd w:val="clear" w:color="auto" w:fill="auto"/>
        <w:spacing w:line="360" w:lineRule="auto"/>
        <w:ind w:left="420" w:leftChars="200" w:firstLine="490" w:firstLineChars="175"/>
        <w:jc w:val="center"/>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lang w:val="en-US" w:eastAsia="zh-CN"/>
        </w:rPr>
        <w:t>2、</w:t>
      </w:r>
      <w:r>
        <w:rPr>
          <w:rFonts w:hint="eastAsia" w:ascii="黑体" w:hAnsi="黑体" w:eastAsia="黑体" w:cs="黑体"/>
          <w:b/>
          <w:color w:val="auto"/>
          <w:sz w:val="28"/>
          <w:szCs w:val="28"/>
          <w:highlight w:val="none"/>
        </w:rPr>
        <w:t>项目管理机构</w:t>
      </w:r>
      <w:bookmarkEnd w:id="326"/>
      <w:bookmarkEnd w:id="327"/>
    </w:p>
    <w:p w14:paraId="26F87049">
      <w:pPr>
        <w:pStyle w:val="126"/>
        <w:numPr>
          <w:ilvl w:val="0"/>
          <w:numId w:val="0"/>
        </w:numPr>
        <w:shd w:val="clear" w:color="auto" w:fill="auto"/>
        <w:ind w:leftChars="0"/>
        <w:jc w:val="both"/>
        <w:rPr>
          <w:rFonts w:hint="eastAsia" w:ascii="黑体" w:hAnsi="黑体" w:eastAsia="黑体" w:cs="黑体"/>
          <w:b/>
          <w:bCs/>
          <w:color w:val="auto"/>
          <w:sz w:val="24"/>
          <w:szCs w:val="24"/>
          <w:highlight w:val="none"/>
          <w:u w:val="none"/>
        </w:rPr>
      </w:pPr>
      <w:bookmarkStart w:id="328" w:name="_Toc13022"/>
      <w:r>
        <w:rPr>
          <w:rFonts w:hint="eastAsia" w:ascii="黑体" w:hAnsi="黑体" w:eastAsia="黑体" w:cs="黑体"/>
          <w:b/>
          <w:bCs/>
          <w:color w:val="auto"/>
          <w:sz w:val="24"/>
          <w:szCs w:val="24"/>
          <w:highlight w:val="none"/>
          <w:u w:val="none"/>
          <w:lang w:val="en-US" w:eastAsia="zh-CN"/>
        </w:rPr>
        <w:t>2.1</w:t>
      </w:r>
      <w:r>
        <w:rPr>
          <w:rFonts w:hint="eastAsia" w:ascii="黑体" w:hAnsi="黑体" w:eastAsia="黑体" w:cs="黑体"/>
          <w:b/>
          <w:bCs/>
          <w:color w:val="auto"/>
          <w:sz w:val="24"/>
          <w:szCs w:val="24"/>
          <w:highlight w:val="none"/>
          <w:u w:val="none"/>
        </w:rPr>
        <w:t>项目管理机构组成表</w:t>
      </w:r>
      <w:bookmarkEnd w:id="328"/>
    </w:p>
    <w:p w14:paraId="2441D0A5">
      <w:pPr>
        <w:pStyle w:val="126"/>
        <w:shd w:val="clear" w:color="auto" w:fill="auto"/>
        <w:rPr>
          <w:rFonts w:hint="eastAsia" w:ascii="黑体" w:hAnsi="黑体" w:eastAsia="黑体" w:cs="黑体"/>
          <w:b/>
          <w:bCs/>
          <w:color w:val="auto"/>
          <w:sz w:val="24"/>
          <w:szCs w:val="24"/>
          <w:highlight w:val="none"/>
          <w:u w:val="none"/>
        </w:rPr>
      </w:pPr>
      <w:bookmarkStart w:id="329" w:name="_Toc31229"/>
      <w:r>
        <w:rPr>
          <w:rFonts w:hint="eastAsia" w:ascii="黑体" w:hAnsi="黑体" w:eastAsia="黑体" w:cs="黑体"/>
          <w:b/>
          <w:bCs/>
          <w:color w:val="auto"/>
          <w:sz w:val="24"/>
          <w:szCs w:val="24"/>
          <w:highlight w:val="none"/>
          <w:u w:val="none"/>
          <w:lang w:val="en-US" w:eastAsia="zh-CN"/>
        </w:rPr>
        <w:t>项目</w:t>
      </w:r>
      <w:r>
        <w:rPr>
          <w:rFonts w:hint="eastAsia" w:ascii="黑体" w:hAnsi="黑体" w:eastAsia="黑体" w:cs="黑体"/>
          <w:b/>
          <w:bCs/>
          <w:color w:val="auto"/>
          <w:sz w:val="24"/>
          <w:szCs w:val="24"/>
          <w:highlight w:val="none"/>
          <w:u w:val="none"/>
        </w:rPr>
        <w:t>名称：</w:t>
      </w:r>
      <w:bookmarkEnd w:id="329"/>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1122"/>
        <w:gridCol w:w="904"/>
        <w:gridCol w:w="1222"/>
        <w:gridCol w:w="811"/>
        <w:gridCol w:w="1157"/>
        <w:gridCol w:w="779"/>
        <w:gridCol w:w="1751"/>
        <w:gridCol w:w="722"/>
      </w:tblGrid>
      <w:tr w14:paraId="34F8B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430" w:type="dxa"/>
            <w:vMerge w:val="restart"/>
            <w:noWrap w:val="0"/>
            <w:vAlign w:val="center"/>
          </w:tcPr>
          <w:p w14:paraId="3B16CC00">
            <w:pPr>
              <w:shd w:val="clear" w:color="auto" w:fill="auto"/>
              <w:spacing w:line="4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职务</w:t>
            </w:r>
          </w:p>
        </w:tc>
        <w:tc>
          <w:tcPr>
            <w:tcW w:w="1122" w:type="dxa"/>
            <w:vMerge w:val="restart"/>
            <w:noWrap w:val="0"/>
            <w:vAlign w:val="center"/>
          </w:tcPr>
          <w:p w14:paraId="70C88025">
            <w:pPr>
              <w:shd w:val="clear" w:color="auto" w:fill="auto"/>
              <w:spacing w:line="4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姓名</w:t>
            </w:r>
          </w:p>
        </w:tc>
        <w:tc>
          <w:tcPr>
            <w:tcW w:w="904" w:type="dxa"/>
            <w:vMerge w:val="restart"/>
            <w:noWrap w:val="0"/>
            <w:vAlign w:val="center"/>
          </w:tcPr>
          <w:p w14:paraId="65C7A51B">
            <w:pPr>
              <w:shd w:val="clear" w:color="auto" w:fill="auto"/>
              <w:spacing w:line="4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职称</w:t>
            </w:r>
          </w:p>
        </w:tc>
        <w:tc>
          <w:tcPr>
            <w:tcW w:w="5720" w:type="dxa"/>
            <w:gridSpan w:val="5"/>
            <w:noWrap w:val="0"/>
            <w:vAlign w:val="center"/>
          </w:tcPr>
          <w:p w14:paraId="476C8A66">
            <w:pPr>
              <w:shd w:val="clear" w:color="auto" w:fill="auto"/>
              <w:spacing w:line="4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执业或职业资格证明</w:t>
            </w:r>
          </w:p>
        </w:tc>
        <w:tc>
          <w:tcPr>
            <w:tcW w:w="722" w:type="dxa"/>
            <w:noWrap w:val="0"/>
            <w:vAlign w:val="center"/>
          </w:tcPr>
          <w:p w14:paraId="7F0602A3">
            <w:pPr>
              <w:shd w:val="clear" w:color="auto" w:fill="auto"/>
              <w:spacing w:line="4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备注</w:t>
            </w:r>
          </w:p>
        </w:tc>
      </w:tr>
      <w:tr w14:paraId="2B23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30" w:type="dxa"/>
            <w:vMerge w:val="continue"/>
            <w:noWrap w:val="0"/>
            <w:vAlign w:val="center"/>
          </w:tcPr>
          <w:p w14:paraId="7A9BEBEB">
            <w:pPr>
              <w:shd w:val="clear" w:color="auto" w:fill="auto"/>
              <w:rPr>
                <w:rFonts w:hint="eastAsia" w:ascii="黑体" w:hAnsi="黑体" w:eastAsia="黑体" w:cs="黑体"/>
                <w:color w:val="auto"/>
                <w:sz w:val="24"/>
                <w:szCs w:val="24"/>
                <w:highlight w:val="none"/>
              </w:rPr>
            </w:pPr>
          </w:p>
        </w:tc>
        <w:tc>
          <w:tcPr>
            <w:tcW w:w="1122" w:type="dxa"/>
            <w:vMerge w:val="continue"/>
            <w:noWrap w:val="0"/>
            <w:vAlign w:val="center"/>
          </w:tcPr>
          <w:p w14:paraId="65B562DA">
            <w:pPr>
              <w:shd w:val="clear" w:color="auto" w:fill="auto"/>
              <w:rPr>
                <w:rFonts w:hint="eastAsia" w:ascii="黑体" w:hAnsi="黑体" w:eastAsia="黑体" w:cs="黑体"/>
                <w:color w:val="auto"/>
                <w:sz w:val="24"/>
                <w:szCs w:val="24"/>
                <w:highlight w:val="none"/>
              </w:rPr>
            </w:pPr>
          </w:p>
        </w:tc>
        <w:tc>
          <w:tcPr>
            <w:tcW w:w="904" w:type="dxa"/>
            <w:vMerge w:val="continue"/>
            <w:noWrap w:val="0"/>
            <w:vAlign w:val="center"/>
          </w:tcPr>
          <w:p w14:paraId="00E5EDA9">
            <w:pPr>
              <w:shd w:val="clear" w:color="auto" w:fill="auto"/>
              <w:rPr>
                <w:rFonts w:hint="eastAsia" w:ascii="黑体" w:hAnsi="黑体" w:eastAsia="黑体" w:cs="黑体"/>
                <w:color w:val="auto"/>
                <w:sz w:val="24"/>
                <w:szCs w:val="24"/>
                <w:highlight w:val="none"/>
              </w:rPr>
            </w:pPr>
          </w:p>
        </w:tc>
        <w:tc>
          <w:tcPr>
            <w:tcW w:w="1222" w:type="dxa"/>
            <w:noWrap w:val="0"/>
            <w:vAlign w:val="center"/>
          </w:tcPr>
          <w:p w14:paraId="56E5EA0A">
            <w:pPr>
              <w:shd w:val="clear" w:color="auto" w:fill="auto"/>
              <w:spacing w:line="4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证书名称</w:t>
            </w:r>
          </w:p>
        </w:tc>
        <w:tc>
          <w:tcPr>
            <w:tcW w:w="811" w:type="dxa"/>
            <w:noWrap w:val="0"/>
            <w:vAlign w:val="center"/>
          </w:tcPr>
          <w:p w14:paraId="0BCE5556">
            <w:pPr>
              <w:shd w:val="clear" w:color="auto" w:fill="auto"/>
              <w:spacing w:line="4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级别</w:t>
            </w:r>
          </w:p>
        </w:tc>
        <w:tc>
          <w:tcPr>
            <w:tcW w:w="1157" w:type="dxa"/>
            <w:noWrap w:val="0"/>
            <w:vAlign w:val="center"/>
          </w:tcPr>
          <w:p w14:paraId="73452212">
            <w:pPr>
              <w:shd w:val="clear" w:color="auto" w:fill="auto"/>
              <w:spacing w:line="4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证号</w:t>
            </w:r>
          </w:p>
        </w:tc>
        <w:tc>
          <w:tcPr>
            <w:tcW w:w="779" w:type="dxa"/>
            <w:noWrap w:val="0"/>
            <w:vAlign w:val="center"/>
          </w:tcPr>
          <w:p w14:paraId="35932D6C">
            <w:pPr>
              <w:shd w:val="clear" w:color="auto" w:fill="auto"/>
              <w:spacing w:line="4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专业</w:t>
            </w:r>
          </w:p>
        </w:tc>
        <w:tc>
          <w:tcPr>
            <w:tcW w:w="1751" w:type="dxa"/>
            <w:noWrap w:val="0"/>
            <w:vAlign w:val="center"/>
          </w:tcPr>
          <w:p w14:paraId="3D60A39A">
            <w:pPr>
              <w:shd w:val="clear" w:color="auto" w:fill="auto"/>
              <w:spacing w:line="4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养老保险</w:t>
            </w:r>
          </w:p>
        </w:tc>
        <w:tc>
          <w:tcPr>
            <w:tcW w:w="722" w:type="dxa"/>
            <w:noWrap w:val="0"/>
            <w:vAlign w:val="center"/>
          </w:tcPr>
          <w:p w14:paraId="333838AA">
            <w:pPr>
              <w:shd w:val="clear" w:color="auto" w:fill="auto"/>
              <w:spacing w:line="440" w:lineRule="exact"/>
              <w:jc w:val="center"/>
              <w:rPr>
                <w:rFonts w:hint="eastAsia" w:ascii="黑体" w:hAnsi="黑体" w:eastAsia="黑体" w:cs="黑体"/>
                <w:color w:val="auto"/>
                <w:sz w:val="24"/>
                <w:szCs w:val="24"/>
                <w:highlight w:val="none"/>
              </w:rPr>
            </w:pPr>
          </w:p>
        </w:tc>
      </w:tr>
      <w:tr w14:paraId="67B5B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430" w:type="dxa"/>
            <w:noWrap w:val="0"/>
            <w:vAlign w:val="center"/>
          </w:tcPr>
          <w:p w14:paraId="0A5665D2">
            <w:pPr>
              <w:shd w:val="clear" w:color="auto" w:fill="auto"/>
              <w:spacing w:line="440" w:lineRule="exact"/>
              <w:jc w:val="center"/>
              <w:rPr>
                <w:rFonts w:hint="eastAsia" w:ascii="黑体" w:hAnsi="黑体" w:eastAsia="黑体" w:cs="黑体"/>
                <w:color w:val="auto"/>
                <w:sz w:val="24"/>
                <w:szCs w:val="24"/>
                <w:highlight w:val="none"/>
              </w:rPr>
            </w:pPr>
          </w:p>
        </w:tc>
        <w:tc>
          <w:tcPr>
            <w:tcW w:w="1122" w:type="dxa"/>
            <w:noWrap w:val="0"/>
            <w:vAlign w:val="center"/>
          </w:tcPr>
          <w:p w14:paraId="32ACE5D3">
            <w:pPr>
              <w:shd w:val="clear" w:color="auto" w:fill="auto"/>
              <w:spacing w:line="440" w:lineRule="exact"/>
              <w:jc w:val="center"/>
              <w:rPr>
                <w:rFonts w:hint="eastAsia" w:ascii="黑体" w:hAnsi="黑体" w:eastAsia="黑体" w:cs="黑体"/>
                <w:color w:val="auto"/>
                <w:sz w:val="24"/>
                <w:szCs w:val="24"/>
                <w:highlight w:val="none"/>
              </w:rPr>
            </w:pPr>
          </w:p>
        </w:tc>
        <w:tc>
          <w:tcPr>
            <w:tcW w:w="904" w:type="dxa"/>
            <w:noWrap w:val="0"/>
            <w:vAlign w:val="center"/>
          </w:tcPr>
          <w:p w14:paraId="745A38C0">
            <w:pPr>
              <w:shd w:val="clear" w:color="auto" w:fill="auto"/>
              <w:spacing w:line="440" w:lineRule="exact"/>
              <w:jc w:val="center"/>
              <w:rPr>
                <w:rFonts w:hint="eastAsia" w:ascii="黑体" w:hAnsi="黑体" w:eastAsia="黑体" w:cs="黑体"/>
                <w:color w:val="auto"/>
                <w:sz w:val="24"/>
                <w:szCs w:val="24"/>
                <w:highlight w:val="none"/>
              </w:rPr>
            </w:pPr>
          </w:p>
        </w:tc>
        <w:tc>
          <w:tcPr>
            <w:tcW w:w="1222" w:type="dxa"/>
            <w:noWrap w:val="0"/>
            <w:vAlign w:val="center"/>
          </w:tcPr>
          <w:p w14:paraId="7897A5D9">
            <w:pPr>
              <w:shd w:val="clear" w:color="auto" w:fill="auto"/>
              <w:spacing w:line="440" w:lineRule="exact"/>
              <w:jc w:val="center"/>
              <w:rPr>
                <w:rFonts w:hint="eastAsia" w:ascii="黑体" w:hAnsi="黑体" w:eastAsia="黑体" w:cs="黑体"/>
                <w:color w:val="auto"/>
                <w:sz w:val="24"/>
                <w:szCs w:val="24"/>
                <w:highlight w:val="none"/>
              </w:rPr>
            </w:pPr>
          </w:p>
        </w:tc>
        <w:tc>
          <w:tcPr>
            <w:tcW w:w="811" w:type="dxa"/>
            <w:noWrap w:val="0"/>
            <w:vAlign w:val="center"/>
          </w:tcPr>
          <w:p w14:paraId="1C66E0A2">
            <w:pPr>
              <w:shd w:val="clear" w:color="auto" w:fill="auto"/>
              <w:spacing w:line="440" w:lineRule="exact"/>
              <w:jc w:val="center"/>
              <w:rPr>
                <w:rFonts w:hint="eastAsia" w:ascii="黑体" w:hAnsi="黑体" w:eastAsia="黑体" w:cs="黑体"/>
                <w:color w:val="auto"/>
                <w:sz w:val="24"/>
                <w:szCs w:val="24"/>
                <w:highlight w:val="none"/>
              </w:rPr>
            </w:pPr>
          </w:p>
        </w:tc>
        <w:tc>
          <w:tcPr>
            <w:tcW w:w="1157" w:type="dxa"/>
            <w:noWrap w:val="0"/>
            <w:vAlign w:val="center"/>
          </w:tcPr>
          <w:p w14:paraId="3EA9A798">
            <w:pPr>
              <w:shd w:val="clear" w:color="auto" w:fill="auto"/>
              <w:spacing w:line="440" w:lineRule="exact"/>
              <w:jc w:val="center"/>
              <w:rPr>
                <w:rFonts w:hint="eastAsia" w:ascii="黑体" w:hAnsi="黑体" w:eastAsia="黑体" w:cs="黑体"/>
                <w:color w:val="auto"/>
                <w:sz w:val="24"/>
                <w:szCs w:val="24"/>
                <w:highlight w:val="none"/>
              </w:rPr>
            </w:pPr>
          </w:p>
        </w:tc>
        <w:tc>
          <w:tcPr>
            <w:tcW w:w="779" w:type="dxa"/>
            <w:noWrap w:val="0"/>
            <w:vAlign w:val="center"/>
          </w:tcPr>
          <w:p w14:paraId="4BCBA998">
            <w:pPr>
              <w:shd w:val="clear" w:color="auto" w:fill="auto"/>
              <w:spacing w:line="440" w:lineRule="exact"/>
              <w:jc w:val="center"/>
              <w:rPr>
                <w:rFonts w:hint="eastAsia" w:ascii="黑体" w:hAnsi="黑体" w:eastAsia="黑体" w:cs="黑体"/>
                <w:color w:val="auto"/>
                <w:sz w:val="24"/>
                <w:szCs w:val="24"/>
                <w:highlight w:val="none"/>
              </w:rPr>
            </w:pPr>
          </w:p>
        </w:tc>
        <w:tc>
          <w:tcPr>
            <w:tcW w:w="1751" w:type="dxa"/>
            <w:noWrap w:val="0"/>
            <w:vAlign w:val="center"/>
          </w:tcPr>
          <w:p w14:paraId="2E7EF332">
            <w:pPr>
              <w:shd w:val="clear" w:color="auto" w:fill="auto"/>
              <w:spacing w:line="440" w:lineRule="exact"/>
              <w:jc w:val="center"/>
              <w:rPr>
                <w:rFonts w:hint="eastAsia" w:ascii="黑体" w:hAnsi="黑体" w:eastAsia="黑体" w:cs="黑体"/>
                <w:color w:val="auto"/>
                <w:sz w:val="24"/>
                <w:szCs w:val="24"/>
                <w:highlight w:val="none"/>
              </w:rPr>
            </w:pPr>
          </w:p>
        </w:tc>
        <w:tc>
          <w:tcPr>
            <w:tcW w:w="722" w:type="dxa"/>
            <w:noWrap w:val="0"/>
            <w:vAlign w:val="center"/>
          </w:tcPr>
          <w:p w14:paraId="3C63D002">
            <w:pPr>
              <w:shd w:val="clear" w:color="auto" w:fill="auto"/>
              <w:spacing w:line="440" w:lineRule="exact"/>
              <w:jc w:val="center"/>
              <w:rPr>
                <w:rFonts w:hint="eastAsia" w:ascii="黑体" w:hAnsi="黑体" w:eastAsia="黑体" w:cs="黑体"/>
                <w:color w:val="auto"/>
                <w:sz w:val="24"/>
                <w:szCs w:val="24"/>
                <w:highlight w:val="none"/>
              </w:rPr>
            </w:pPr>
          </w:p>
        </w:tc>
      </w:tr>
      <w:tr w14:paraId="5508B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430" w:type="dxa"/>
            <w:noWrap w:val="0"/>
            <w:vAlign w:val="center"/>
          </w:tcPr>
          <w:p w14:paraId="50D202F1">
            <w:pPr>
              <w:shd w:val="clear" w:color="auto" w:fill="auto"/>
              <w:jc w:val="center"/>
              <w:rPr>
                <w:rFonts w:hint="eastAsia" w:ascii="黑体" w:hAnsi="黑体" w:eastAsia="黑体" w:cs="黑体"/>
                <w:bCs/>
                <w:color w:val="auto"/>
                <w:sz w:val="24"/>
                <w:szCs w:val="24"/>
                <w:highlight w:val="none"/>
              </w:rPr>
            </w:pPr>
          </w:p>
        </w:tc>
        <w:tc>
          <w:tcPr>
            <w:tcW w:w="1122" w:type="dxa"/>
            <w:noWrap w:val="0"/>
            <w:vAlign w:val="top"/>
          </w:tcPr>
          <w:p w14:paraId="509ECBD8">
            <w:pPr>
              <w:shd w:val="clear" w:color="auto" w:fill="auto"/>
              <w:spacing w:line="440" w:lineRule="exact"/>
              <w:jc w:val="center"/>
              <w:rPr>
                <w:rFonts w:hint="eastAsia" w:ascii="黑体" w:hAnsi="黑体" w:eastAsia="黑体" w:cs="黑体"/>
                <w:color w:val="auto"/>
                <w:sz w:val="24"/>
                <w:szCs w:val="24"/>
                <w:highlight w:val="none"/>
              </w:rPr>
            </w:pPr>
          </w:p>
        </w:tc>
        <w:tc>
          <w:tcPr>
            <w:tcW w:w="904" w:type="dxa"/>
            <w:noWrap w:val="0"/>
            <w:vAlign w:val="top"/>
          </w:tcPr>
          <w:p w14:paraId="546DD308">
            <w:pPr>
              <w:shd w:val="clear" w:color="auto" w:fill="auto"/>
              <w:spacing w:line="440" w:lineRule="exact"/>
              <w:jc w:val="center"/>
              <w:rPr>
                <w:rFonts w:hint="eastAsia" w:ascii="黑体" w:hAnsi="黑体" w:eastAsia="黑体" w:cs="黑体"/>
                <w:color w:val="auto"/>
                <w:sz w:val="24"/>
                <w:szCs w:val="24"/>
                <w:highlight w:val="none"/>
              </w:rPr>
            </w:pPr>
          </w:p>
        </w:tc>
        <w:tc>
          <w:tcPr>
            <w:tcW w:w="1222" w:type="dxa"/>
            <w:noWrap w:val="0"/>
            <w:vAlign w:val="top"/>
          </w:tcPr>
          <w:p w14:paraId="39E8D134">
            <w:pPr>
              <w:shd w:val="clear" w:color="auto" w:fill="auto"/>
              <w:spacing w:line="440" w:lineRule="exact"/>
              <w:jc w:val="center"/>
              <w:rPr>
                <w:rFonts w:hint="eastAsia" w:ascii="黑体" w:hAnsi="黑体" w:eastAsia="黑体" w:cs="黑体"/>
                <w:color w:val="auto"/>
                <w:sz w:val="24"/>
                <w:szCs w:val="24"/>
                <w:highlight w:val="none"/>
              </w:rPr>
            </w:pPr>
          </w:p>
        </w:tc>
        <w:tc>
          <w:tcPr>
            <w:tcW w:w="811" w:type="dxa"/>
            <w:noWrap w:val="0"/>
            <w:vAlign w:val="top"/>
          </w:tcPr>
          <w:p w14:paraId="04E003CA">
            <w:pPr>
              <w:shd w:val="clear" w:color="auto" w:fill="auto"/>
              <w:spacing w:line="440" w:lineRule="exact"/>
              <w:jc w:val="center"/>
              <w:rPr>
                <w:rFonts w:hint="eastAsia" w:ascii="黑体" w:hAnsi="黑体" w:eastAsia="黑体" w:cs="黑体"/>
                <w:color w:val="auto"/>
                <w:sz w:val="24"/>
                <w:szCs w:val="24"/>
                <w:highlight w:val="none"/>
              </w:rPr>
            </w:pPr>
          </w:p>
        </w:tc>
        <w:tc>
          <w:tcPr>
            <w:tcW w:w="1157" w:type="dxa"/>
            <w:noWrap w:val="0"/>
            <w:vAlign w:val="top"/>
          </w:tcPr>
          <w:p w14:paraId="4997794A">
            <w:pPr>
              <w:shd w:val="clear" w:color="auto" w:fill="auto"/>
              <w:spacing w:line="440" w:lineRule="exact"/>
              <w:jc w:val="center"/>
              <w:rPr>
                <w:rFonts w:hint="eastAsia" w:ascii="黑体" w:hAnsi="黑体" w:eastAsia="黑体" w:cs="黑体"/>
                <w:color w:val="auto"/>
                <w:sz w:val="24"/>
                <w:szCs w:val="24"/>
                <w:highlight w:val="none"/>
              </w:rPr>
            </w:pPr>
          </w:p>
        </w:tc>
        <w:tc>
          <w:tcPr>
            <w:tcW w:w="779" w:type="dxa"/>
            <w:noWrap w:val="0"/>
            <w:vAlign w:val="top"/>
          </w:tcPr>
          <w:p w14:paraId="66E363E7">
            <w:pPr>
              <w:shd w:val="clear" w:color="auto" w:fill="auto"/>
              <w:spacing w:line="440" w:lineRule="exact"/>
              <w:jc w:val="center"/>
              <w:rPr>
                <w:rFonts w:hint="eastAsia" w:ascii="黑体" w:hAnsi="黑体" w:eastAsia="黑体" w:cs="黑体"/>
                <w:color w:val="auto"/>
                <w:sz w:val="24"/>
                <w:szCs w:val="24"/>
                <w:highlight w:val="none"/>
              </w:rPr>
            </w:pPr>
          </w:p>
        </w:tc>
        <w:tc>
          <w:tcPr>
            <w:tcW w:w="1751" w:type="dxa"/>
            <w:noWrap w:val="0"/>
            <w:vAlign w:val="top"/>
          </w:tcPr>
          <w:p w14:paraId="79B5AF24">
            <w:pPr>
              <w:shd w:val="clear" w:color="auto" w:fill="auto"/>
              <w:spacing w:line="440" w:lineRule="exact"/>
              <w:jc w:val="center"/>
              <w:rPr>
                <w:rFonts w:hint="eastAsia" w:ascii="黑体" w:hAnsi="黑体" w:eastAsia="黑体" w:cs="黑体"/>
                <w:color w:val="auto"/>
                <w:sz w:val="24"/>
                <w:szCs w:val="24"/>
                <w:highlight w:val="none"/>
              </w:rPr>
            </w:pPr>
          </w:p>
        </w:tc>
        <w:tc>
          <w:tcPr>
            <w:tcW w:w="722" w:type="dxa"/>
            <w:noWrap w:val="0"/>
            <w:vAlign w:val="top"/>
          </w:tcPr>
          <w:p w14:paraId="08DF0D88">
            <w:pPr>
              <w:shd w:val="clear" w:color="auto" w:fill="auto"/>
              <w:spacing w:line="440" w:lineRule="exact"/>
              <w:jc w:val="center"/>
              <w:rPr>
                <w:rFonts w:hint="eastAsia" w:ascii="黑体" w:hAnsi="黑体" w:eastAsia="黑体" w:cs="黑体"/>
                <w:color w:val="auto"/>
                <w:sz w:val="24"/>
                <w:szCs w:val="24"/>
                <w:highlight w:val="none"/>
              </w:rPr>
            </w:pPr>
          </w:p>
        </w:tc>
      </w:tr>
      <w:tr w14:paraId="3728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430" w:type="dxa"/>
            <w:noWrap w:val="0"/>
            <w:vAlign w:val="center"/>
          </w:tcPr>
          <w:p w14:paraId="0DBDD264">
            <w:pPr>
              <w:shd w:val="clear" w:color="auto" w:fill="auto"/>
              <w:jc w:val="center"/>
              <w:rPr>
                <w:rFonts w:hint="eastAsia" w:ascii="黑体" w:hAnsi="黑体" w:eastAsia="黑体" w:cs="黑体"/>
                <w:bCs/>
                <w:color w:val="auto"/>
                <w:sz w:val="24"/>
                <w:szCs w:val="24"/>
                <w:highlight w:val="none"/>
              </w:rPr>
            </w:pPr>
          </w:p>
        </w:tc>
        <w:tc>
          <w:tcPr>
            <w:tcW w:w="1122" w:type="dxa"/>
            <w:noWrap w:val="0"/>
            <w:vAlign w:val="top"/>
          </w:tcPr>
          <w:p w14:paraId="204508A4">
            <w:pPr>
              <w:shd w:val="clear" w:color="auto" w:fill="auto"/>
              <w:spacing w:line="440" w:lineRule="exact"/>
              <w:jc w:val="center"/>
              <w:rPr>
                <w:rFonts w:hint="eastAsia" w:ascii="黑体" w:hAnsi="黑体" w:eastAsia="黑体" w:cs="黑体"/>
                <w:color w:val="auto"/>
                <w:sz w:val="24"/>
                <w:szCs w:val="24"/>
                <w:highlight w:val="none"/>
              </w:rPr>
            </w:pPr>
          </w:p>
        </w:tc>
        <w:tc>
          <w:tcPr>
            <w:tcW w:w="904" w:type="dxa"/>
            <w:noWrap w:val="0"/>
            <w:vAlign w:val="top"/>
          </w:tcPr>
          <w:p w14:paraId="53109741">
            <w:pPr>
              <w:shd w:val="clear" w:color="auto" w:fill="auto"/>
              <w:spacing w:line="440" w:lineRule="exact"/>
              <w:jc w:val="center"/>
              <w:rPr>
                <w:rFonts w:hint="eastAsia" w:ascii="黑体" w:hAnsi="黑体" w:eastAsia="黑体" w:cs="黑体"/>
                <w:color w:val="auto"/>
                <w:sz w:val="24"/>
                <w:szCs w:val="24"/>
                <w:highlight w:val="none"/>
              </w:rPr>
            </w:pPr>
          </w:p>
        </w:tc>
        <w:tc>
          <w:tcPr>
            <w:tcW w:w="1222" w:type="dxa"/>
            <w:noWrap w:val="0"/>
            <w:vAlign w:val="top"/>
          </w:tcPr>
          <w:p w14:paraId="53A9BA14">
            <w:pPr>
              <w:shd w:val="clear" w:color="auto" w:fill="auto"/>
              <w:spacing w:line="440" w:lineRule="exact"/>
              <w:jc w:val="center"/>
              <w:rPr>
                <w:rFonts w:hint="eastAsia" w:ascii="黑体" w:hAnsi="黑体" w:eastAsia="黑体" w:cs="黑体"/>
                <w:color w:val="auto"/>
                <w:sz w:val="24"/>
                <w:szCs w:val="24"/>
                <w:highlight w:val="none"/>
              </w:rPr>
            </w:pPr>
          </w:p>
        </w:tc>
        <w:tc>
          <w:tcPr>
            <w:tcW w:w="811" w:type="dxa"/>
            <w:noWrap w:val="0"/>
            <w:vAlign w:val="top"/>
          </w:tcPr>
          <w:p w14:paraId="11F7F988">
            <w:pPr>
              <w:shd w:val="clear" w:color="auto" w:fill="auto"/>
              <w:spacing w:line="440" w:lineRule="exact"/>
              <w:jc w:val="center"/>
              <w:rPr>
                <w:rFonts w:hint="eastAsia" w:ascii="黑体" w:hAnsi="黑体" w:eastAsia="黑体" w:cs="黑体"/>
                <w:color w:val="auto"/>
                <w:sz w:val="24"/>
                <w:szCs w:val="24"/>
                <w:highlight w:val="none"/>
              </w:rPr>
            </w:pPr>
          </w:p>
        </w:tc>
        <w:tc>
          <w:tcPr>
            <w:tcW w:w="1157" w:type="dxa"/>
            <w:noWrap w:val="0"/>
            <w:vAlign w:val="top"/>
          </w:tcPr>
          <w:p w14:paraId="4D0E4315">
            <w:pPr>
              <w:shd w:val="clear" w:color="auto" w:fill="auto"/>
              <w:spacing w:line="440" w:lineRule="exact"/>
              <w:jc w:val="center"/>
              <w:rPr>
                <w:rFonts w:hint="eastAsia" w:ascii="黑体" w:hAnsi="黑体" w:eastAsia="黑体" w:cs="黑体"/>
                <w:color w:val="auto"/>
                <w:sz w:val="24"/>
                <w:szCs w:val="24"/>
                <w:highlight w:val="none"/>
              </w:rPr>
            </w:pPr>
          </w:p>
        </w:tc>
        <w:tc>
          <w:tcPr>
            <w:tcW w:w="779" w:type="dxa"/>
            <w:noWrap w:val="0"/>
            <w:vAlign w:val="top"/>
          </w:tcPr>
          <w:p w14:paraId="5BEA925D">
            <w:pPr>
              <w:shd w:val="clear" w:color="auto" w:fill="auto"/>
              <w:spacing w:line="440" w:lineRule="exact"/>
              <w:jc w:val="center"/>
              <w:rPr>
                <w:rFonts w:hint="eastAsia" w:ascii="黑体" w:hAnsi="黑体" w:eastAsia="黑体" w:cs="黑体"/>
                <w:color w:val="auto"/>
                <w:sz w:val="24"/>
                <w:szCs w:val="24"/>
                <w:highlight w:val="none"/>
              </w:rPr>
            </w:pPr>
          </w:p>
        </w:tc>
        <w:tc>
          <w:tcPr>
            <w:tcW w:w="1751" w:type="dxa"/>
            <w:noWrap w:val="0"/>
            <w:vAlign w:val="top"/>
          </w:tcPr>
          <w:p w14:paraId="306707CB">
            <w:pPr>
              <w:shd w:val="clear" w:color="auto" w:fill="auto"/>
              <w:spacing w:line="440" w:lineRule="exact"/>
              <w:jc w:val="center"/>
              <w:rPr>
                <w:rFonts w:hint="eastAsia" w:ascii="黑体" w:hAnsi="黑体" w:eastAsia="黑体" w:cs="黑体"/>
                <w:color w:val="auto"/>
                <w:sz w:val="24"/>
                <w:szCs w:val="24"/>
                <w:highlight w:val="none"/>
              </w:rPr>
            </w:pPr>
          </w:p>
        </w:tc>
        <w:tc>
          <w:tcPr>
            <w:tcW w:w="722" w:type="dxa"/>
            <w:noWrap w:val="0"/>
            <w:vAlign w:val="top"/>
          </w:tcPr>
          <w:p w14:paraId="10FBF610">
            <w:pPr>
              <w:shd w:val="clear" w:color="auto" w:fill="auto"/>
              <w:spacing w:line="440" w:lineRule="exact"/>
              <w:jc w:val="center"/>
              <w:rPr>
                <w:rFonts w:hint="eastAsia" w:ascii="黑体" w:hAnsi="黑体" w:eastAsia="黑体" w:cs="黑体"/>
                <w:color w:val="auto"/>
                <w:sz w:val="24"/>
                <w:szCs w:val="24"/>
                <w:highlight w:val="none"/>
              </w:rPr>
            </w:pPr>
          </w:p>
        </w:tc>
      </w:tr>
      <w:tr w14:paraId="4651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430" w:type="dxa"/>
            <w:noWrap w:val="0"/>
            <w:vAlign w:val="center"/>
          </w:tcPr>
          <w:p w14:paraId="1AFD105E">
            <w:pPr>
              <w:shd w:val="clear" w:color="auto" w:fill="auto"/>
              <w:jc w:val="center"/>
              <w:rPr>
                <w:rFonts w:hint="eastAsia" w:ascii="黑体" w:hAnsi="黑体" w:eastAsia="黑体" w:cs="黑体"/>
                <w:bCs/>
                <w:color w:val="auto"/>
                <w:sz w:val="24"/>
                <w:szCs w:val="24"/>
                <w:highlight w:val="none"/>
              </w:rPr>
            </w:pPr>
          </w:p>
        </w:tc>
        <w:tc>
          <w:tcPr>
            <w:tcW w:w="1122" w:type="dxa"/>
            <w:noWrap w:val="0"/>
            <w:vAlign w:val="top"/>
          </w:tcPr>
          <w:p w14:paraId="05FE2E55">
            <w:pPr>
              <w:shd w:val="clear" w:color="auto" w:fill="auto"/>
              <w:spacing w:line="440" w:lineRule="exact"/>
              <w:jc w:val="center"/>
              <w:rPr>
                <w:rFonts w:hint="eastAsia" w:ascii="黑体" w:hAnsi="黑体" w:eastAsia="黑体" w:cs="黑体"/>
                <w:color w:val="auto"/>
                <w:sz w:val="24"/>
                <w:szCs w:val="24"/>
                <w:highlight w:val="none"/>
              </w:rPr>
            </w:pPr>
          </w:p>
        </w:tc>
        <w:tc>
          <w:tcPr>
            <w:tcW w:w="904" w:type="dxa"/>
            <w:noWrap w:val="0"/>
            <w:vAlign w:val="top"/>
          </w:tcPr>
          <w:p w14:paraId="2D1CAE35">
            <w:pPr>
              <w:shd w:val="clear" w:color="auto" w:fill="auto"/>
              <w:spacing w:line="440" w:lineRule="exact"/>
              <w:jc w:val="center"/>
              <w:rPr>
                <w:rFonts w:hint="eastAsia" w:ascii="黑体" w:hAnsi="黑体" w:eastAsia="黑体" w:cs="黑体"/>
                <w:color w:val="auto"/>
                <w:sz w:val="24"/>
                <w:szCs w:val="24"/>
                <w:highlight w:val="none"/>
              </w:rPr>
            </w:pPr>
          </w:p>
        </w:tc>
        <w:tc>
          <w:tcPr>
            <w:tcW w:w="1222" w:type="dxa"/>
            <w:noWrap w:val="0"/>
            <w:vAlign w:val="top"/>
          </w:tcPr>
          <w:p w14:paraId="63683104">
            <w:pPr>
              <w:shd w:val="clear" w:color="auto" w:fill="auto"/>
              <w:spacing w:line="440" w:lineRule="exact"/>
              <w:jc w:val="center"/>
              <w:rPr>
                <w:rFonts w:hint="eastAsia" w:ascii="黑体" w:hAnsi="黑体" w:eastAsia="黑体" w:cs="黑体"/>
                <w:color w:val="auto"/>
                <w:sz w:val="24"/>
                <w:szCs w:val="24"/>
                <w:highlight w:val="none"/>
              </w:rPr>
            </w:pPr>
          </w:p>
        </w:tc>
        <w:tc>
          <w:tcPr>
            <w:tcW w:w="811" w:type="dxa"/>
            <w:noWrap w:val="0"/>
            <w:vAlign w:val="top"/>
          </w:tcPr>
          <w:p w14:paraId="5909156E">
            <w:pPr>
              <w:shd w:val="clear" w:color="auto" w:fill="auto"/>
              <w:spacing w:line="440" w:lineRule="exact"/>
              <w:jc w:val="center"/>
              <w:rPr>
                <w:rFonts w:hint="eastAsia" w:ascii="黑体" w:hAnsi="黑体" w:eastAsia="黑体" w:cs="黑体"/>
                <w:color w:val="auto"/>
                <w:sz w:val="24"/>
                <w:szCs w:val="24"/>
                <w:highlight w:val="none"/>
              </w:rPr>
            </w:pPr>
          </w:p>
        </w:tc>
        <w:tc>
          <w:tcPr>
            <w:tcW w:w="1157" w:type="dxa"/>
            <w:noWrap w:val="0"/>
            <w:vAlign w:val="top"/>
          </w:tcPr>
          <w:p w14:paraId="16E239BD">
            <w:pPr>
              <w:shd w:val="clear" w:color="auto" w:fill="auto"/>
              <w:spacing w:line="440" w:lineRule="exact"/>
              <w:jc w:val="center"/>
              <w:rPr>
                <w:rFonts w:hint="eastAsia" w:ascii="黑体" w:hAnsi="黑体" w:eastAsia="黑体" w:cs="黑体"/>
                <w:color w:val="auto"/>
                <w:sz w:val="24"/>
                <w:szCs w:val="24"/>
                <w:highlight w:val="none"/>
              </w:rPr>
            </w:pPr>
          </w:p>
        </w:tc>
        <w:tc>
          <w:tcPr>
            <w:tcW w:w="779" w:type="dxa"/>
            <w:noWrap w:val="0"/>
            <w:vAlign w:val="top"/>
          </w:tcPr>
          <w:p w14:paraId="64908416">
            <w:pPr>
              <w:shd w:val="clear" w:color="auto" w:fill="auto"/>
              <w:spacing w:line="440" w:lineRule="exact"/>
              <w:jc w:val="center"/>
              <w:rPr>
                <w:rFonts w:hint="eastAsia" w:ascii="黑体" w:hAnsi="黑体" w:eastAsia="黑体" w:cs="黑体"/>
                <w:color w:val="auto"/>
                <w:sz w:val="24"/>
                <w:szCs w:val="24"/>
                <w:highlight w:val="none"/>
              </w:rPr>
            </w:pPr>
          </w:p>
        </w:tc>
        <w:tc>
          <w:tcPr>
            <w:tcW w:w="1751" w:type="dxa"/>
            <w:noWrap w:val="0"/>
            <w:vAlign w:val="top"/>
          </w:tcPr>
          <w:p w14:paraId="6C603D1B">
            <w:pPr>
              <w:shd w:val="clear" w:color="auto" w:fill="auto"/>
              <w:spacing w:line="440" w:lineRule="exact"/>
              <w:jc w:val="center"/>
              <w:rPr>
                <w:rFonts w:hint="eastAsia" w:ascii="黑体" w:hAnsi="黑体" w:eastAsia="黑体" w:cs="黑体"/>
                <w:color w:val="auto"/>
                <w:sz w:val="24"/>
                <w:szCs w:val="24"/>
                <w:highlight w:val="none"/>
              </w:rPr>
            </w:pPr>
          </w:p>
        </w:tc>
        <w:tc>
          <w:tcPr>
            <w:tcW w:w="722" w:type="dxa"/>
            <w:noWrap w:val="0"/>
            <w:vAlign w:val="top"/>
          </w:tcPr>
          <w:p w14:paraId="0D7CC187">
            <w:pPr>
              <w:shd w:val="clear" w:color="auto" w:fill="auto"/>
              <w:spacing w:line="440" w:lineRule="exact"/>
              <w:jc w:val="center"/>
              <w:rPr>
                <w:rFonts w:hint="eastAsia" w:ascii="黑体" w:hAnsi="黑体" w:eastAsia="黑体" w:cs="黑体"/>
                <w:color w:val="auto"/>
                <w:sz w:val="24"/>
                <w:szCs w:val="24"/>
                <w:highlight w:val="none"/>
              </w:rPr>
            </w:pPr>
          </w:p>
        </w:tc>
      </w:tr>
      <w:tr w14:paraId="1C959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430" w:type="dxa"/>
            <w:noWrap w:val="0"/>
            <w:vAlign w:val="center"/>
          </w:tcPr>
          <w:p w14:paraId="25DE0803">
            <w:pPr>
              <w:shd w:val="clear" w:color="auto" w:fill="auto"/>
              <w:jc w:val="center"/>
              <w:rPr>
                <w:rFonts w:hint="eastAsia" w:ascii="黑体" w:hAnsi="黑体" w:eastAsia="黑体" w:cs="黑体"/>
                <w:bCs/>
                <w:color w:val="auto"/>
                <w:sz w:val="24"/>
                <w:szCs w:val="24"/>
                <w:highlight w:val="none"/>
                <w:lang w:val="en-US" w:eastAsia="zh-CN"/>
              </w:rPr>
            </w:pPr>
          </w:p>
        </w:tc>
        <w:tc>
          <w:tcPr>
            <w:tcW w:w="1122" w:type="dxa"/>
            <w:noWrap w:val="0"/>
            <w:vAlign w:val="top"/>
          </w:tcPr>
          <w:p w14:paraId="0238DE74">
            <w:pPr>
              <w:shd w:val="clear" w:color="auto" w:fill="auto"/>
              <w:spacing w:line="440" w:lineRule="exact"/>
              <w:jc w:val="center"/>
              <w:rPr>
                <w:rFonts w:hint="eastAsia" w:ascii="黑体" w:hAnsi="黑体" w:eastAsia="黑体" w:cs="黑体"/>
                <w:color w:val="auto"/>
                <w:sz w:val="24"/>
                <w:szCs w:val="24"/>
                <w:highlight w:val="none"/>
              </w:rPr>
            </w:pPr>
          </w:p>
        </w:tc>
        <w:tc>
          <w:tcPr>
            <w:tcW w:w="904" w:type="dxa"/>
            <w:noWrap w:val="0"/>
            <w:vAlign w:val="top"/>
          </w:tcPr>
          <w:p w14:paraId="2A688078">
            <w:pPr>
              <w:shd w:val="clear" w:color="auto" w:fill="auto"/>
              <w:spacing w:line="440" w:lineRule="exact"/>
              <w:jc w:val="center"/>
              <w:rPr>
                <w:rFonts w:hint="eastAsia" w:ascii="黑体" w:hAnsi="黑体" w:eastAsia="黑体" w:cs="黑体"/>
                <w:color w:val="auto"/>
                <w:sz w:val="24"/>
                <w:szCs w:val="24"/>
                <w:highlight w:val="none"/>
              </w:rPr>
            </w:pPr>
          </w:p>
        </w:tc>
        <w:tc>
          <w:tcPr>
            <w:tcW w:w="1222" w:type="dxa"/>
            <w:noWrap w:val="0"/>
            <w:vAlign w:val="top"/>
          </w:tcPr>
          <w:p w14:paraId="1E09D557">
            <w:pPr>
              <w:shd w:val="clear" w:color="auto" w:fill="auto"/>
              <w:spacing w:line="440" w:lineRule="exact"/>
              <w:jc w:val="center"/>
              <w:rPr>
                <w:rFonts w:hint="eastAsia" w:ascii="黑体" w:hAnsi="黑体" w:eastAsia="黑体" w:cs="黑体"/>
                <w:color w:val="auto"/>
                <w:sz w:val="24"/>
                <w:szCs w:val="24"/>
                <w:highlight w:val="none"/>
              </w:rPr>
            </w:pPr>
          </w:p>
        </w:tc>
        <w:tc>
          <w:tcPr>
            <w:tcW w:w="811" w:type="dxa"/>
            <w:noWrap w:val="0"/>
            <w:vAlign w:val="top"/>
          </w:tcPr>
          <w:p w14:paraId="4A485981">
            <w:pPr>
              <w:shd w:val="clear" w:color="auto" w:fill="auto"/>
              <w:spacing w:line="440" w:lineRule="exact"/>
              <w:jc w:val="center"/>
              <w:rPr>
                <w:rFonts w:hint="eastAsia" w:ascii="黑体" w:hAnsi="黑体" w:eastAsia="黑体" w:cs="黑体"/>
                <w:color w:val="auto"/>
                <w:sz w:val="24"/>
                <w:szCs w:val="24"/>
                <w:highlight w:val="none"/>
              </w:rPr>
            </w:pPr>
          </w:p>
        </w:tc>
        <w:tc>
          <w:tcPr>
            <w:tcW w:w="1157" w:type="dxa"/>
            <w:noWrap w:val="0"/>
            <w:vAlign w:val="top"/>
          </w:tcPr>
          <w:p w14:paraId="6636EA2F">
            <w:pPr>
              <w:shd w:val="clear" w:color="auto" w:fill="auto"/>
              <w:spacing w:line="440" w:lineRule="exact"/>
              <w:jc w:val="center"/>
              <w:rPr>
                <w:rFonts w:hint="eastAsia" w:ascii="黑体" w:hAnsi="黑体" w:eastAsia="黑体" w:cs="黑体"/>
                <w:color w:val="auto"/>
                <w:sz w:val="24"/>
                <w:szCs w:val="24"/>
                <w:highlight w:val="none"/>
              </w:rPr>
            </w:pPr>
          </w:p>
        </w:tc>
        <w:tc>
          <w:tcPr>
            <w:tcW w:w="779" w:type="dxa"/>
            <w:noWrap w:val="0"/>
            <w:vAlign w:val="top"/>
          </w:tcPr>
          <w:p w14:paraId="3658F0DF">
            <w:pPr>
              <w:shd w:val="clear" w:color="auto" w:fill="auto"/>
              <w:spacing w:line="440" w:lineRule="exact"/>
              <w:jc w:val="center"/>
              <w:rPr>
                <w:rFonts w:hint="eastAsia" w:ascii="黑体" w:hAnsi="黑体" w:eastAsia="黑体" w:cs="黑体"/>
                <w:color w:val="auto"/>
                <w:sz w:val="24"/>
                <w:szCs w:val="24"/>
                <w:highlight w:val="none"/>
              </w:rPr>
            </w:pPr>
          </w:p>
        </w:tc>
        <w:tc>
          <w:tcPr>
            <w:tcW w:w="1751" w:type="dxa"/>
            <w:noWrap w:val="0"/>
            <w:vAlign w:val="top"/>
          </w:tcPr>
          <w:p w14:paraId="23A170DA">
            <w:pPr>
              <w:shd w:val="clear" w:color="auto" w:fill="auto"/>
              <w:spacing w:line="440" w:lineRule="exact"/>
              <w:jc w:val="center"/>
              <w:rPr>
                <w:rFonts w:hint="eastAsia" w:ascii="黑体" w:hAnsi="黑体" w:eastAsia="黑体" w:cs="黑体"/>
                <w:color w:val="auto"/>
                <w:sz w:val="24"/>
                <w:szCs w:val="24"/>
                <w:highlight w:val="none"/>
              </w:rPr>
            </w:pPr>
          </w:p>
        </w:tc>
        <w:tc>
          <w:tcPr>
            <w:tcW w:w="722" w:type="dxa"/>
            <w:noWrap w:val="0"/>
            <w:vAlign w:val="top"/>
          </w:tcPr>
          <w:p w14:paraId="701E27B0">
            <w:pPr>
              <w:shd w:val="clear" w:color="auto" w:fill="auto"/>
              <w:spacing w:line="440" w:lineRule="exact"/>
              <w:jc w:val="center"/>
              <w:rPr>
                <w:rFonts w:hint="eastAsia" w:ascii="黑体" w:hAnsi="黑体" w:eastAsia="黑体" w:cs="黑体"/>
                <w:color w:val="auto"/>
                <w:sz w:val="24"/>
                <w:szCs w:val="24"/>
                <w:highlight w:val="none"/>
              </w:rPr>
            </w:pPr>
          </w:p>
        </w:tc>
      </w:tr>
      <w:tr w14:paraId="48EFC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430" w:type="dxa"/>
            <w:noWrap w:val="0"/>
            <w:vAlign w:val="top"/>
          </w:tcPr>
          <w:p w14:paraId="6F981CB9">
            <w:pPr>
              <w:shd w:val="clear" w:color="auto" w:fill="auto"/>
              <w:spacing w:line="440" w:lineRule="exact"/>
              <w:jc w:val="center"/>
              <w:rPr>
                <w:rFonts w:hint="eastAsia" w:ascii="黑体" w:hAnsi="黑体" w:eastAsia="黑体" w:cs="黑体"/>
                <w:color w:val="auto"/>
                <w:sz w:val="24"/>
                <w:szCs w:val="24"/>
                <w:highlight w:val="none"/>
              </w:rPr>
            </w:pPr>
          </w:p>
        </w:tc>
        <w:tc>
          <w:tcPr>
            <w:tcW w:w="1122" w:type="dxa"/>
            <w:noWrap w:val="0"/>
            <w:vAlign w:val="top"/>
          </w:tcPr>
          <w:p w14:paraId="75D0E3CC">
            <w:pPr>
              <w:shd w:val="clear" w:color="auto" w:fill="auto"/>
              <w:spacing w:line="440" w:lineRule="exact"/>
              <w:jc w:val="center"/>
              <w:rPr>
                <w:rFonts w:hint="eastAsia" w:ascii="黑体" w:hAnsi="黑体" w:eastAsia="黑体" w:cs="黑体"/>
                <w:color w:val="auto"/>
                <w:sz w:val="24"/>
                <w:szCs w:val="24"/>
                <w:highlight w:val="none"/>
              </w:rPr>
            </w:pPr>
          </w:p>
        </w:tc>
        <w:tc>
          <w:tcPr>
            <w:tcW w:w="904" w:type="dxa"/>
            <w:noWrap w:val="0"/>
            <w:vAlign w:val="top"/>
          </w:tcPr>
          <w:p w14:paraId="2ADE551E">
            <w:pPr>
              <w:shd w:val="clear" w:color="auto" w:fill="auto"/>
              <w:spacing w:line="440" w:lineRule="exact"/>
              <w:jc w:val="center"/>
              <w:rPr>
                <w:rFonts w:hint="eastAsia" w:ascii="黑体" w:hAnsi="黑体" w:eastAsia="黑体" w:cs="黑体"/>
                <w:color w:val="auto"/>
                <w:sz w:val="24"/>
                <w:szCs w:val="24"/>
                <w:highlight w:val="none"/>
              </w:rPr>
            </w:pPr>
          </w:p>
        </w:tc>
        <w:tc>
          <w:tcPr>
            <w:tcW w:w="1222" w:type="dxa"/>
            <w:noWrap w:val="0"/>
            <w:vAlign w:val="top"/>
          </w:tcPr>
          <w:p w14:paraId="3F373E16">
            <w:pPr>
              <w:shd w:val="clear" w:color="auto" w:fill="auto"/>
              <w:spacing w:line="440" w:lineRule="exact"/>
              <w:jc w:val="center"/>
              <w:rPr>
                <w:rFonts w:hint="eastAsia" w:ascii="黑体" w:hAnsi="黑体" w:eastAsia="黑体" w:cs="黑体"/>
                <w:color w:val="auto"/>
                <w:sz w:val="24"/>
                <w:szCs w:val="24"/>
                <w:highlight w:val="none"/>
              </w:rPr>
            </w:pPr>
          </w:p>
        </w:tc>
        <w:tc>
          <w:tcPr>
            <w:tcW w:w="811" w:type="dxa"/>
            <w:noWrap w:val="0"/>
            <w:vAlign w:val="top"/>
          </w:tcPr>
          <w:p w14:paraId="1A409B7F">
            <w:pPr>
              <w:shd w:val="clear" w:color="auto" w:fill="auto"/>
              <w:spacing w:line="440" w:lineRule="exact"/>
              <w:jc w:val="center"/>
              <w:rPr>
                <w:rFonts w:hint="eastAsia" w:ascii="黑体" w:hAnsi="黑体" w:eastAsia="黑体" w:cs="黑体"/>
                <w:color w:val="auto"/>
                <w:sz w:val="24"/>
                <w:szCs w:val="24"/>
                <w:highlight w:val="none"/>
              </w:rPr>
            </w:pPr>
          </w:p>
        </w:tc>
        <w:tc>
          <w:tcPr>
            <w:tcW w:w="1157" w:type="dxa"/>
            <w:noWrap w:val="0"/>
            <w:vAlign w:val="top"/>
          </w:tcPr>
          <w:p w14:paraId="6E066C79">
            <w:pPr>
              <w:shd w:val="clear" w:color="auto" w:fill="auto"/>
              <w:spacing w:line="440" w:lineRule="exact"/>
              <w:jc w:val="center"/>
              <w:rPr>
                <w:rFonts w:hint="eastAsia" w:ascii="黑体" w:hAnsi="黑体" w:eastAsia="黑体" w:cs="黑体"/>
                <w:color w:val="auto"/>
                <w:sz w:val="24"/>
                <w:szCs w:val="24"/>
                <w:highlight w:val="none"/>
              </w:rPr>
            </w:pPr>
          </w:p>
        </w:tc>
        <w:tc>
          <w:tcPr>
            <w:tcW w:w="779" w:type="dxa"/>
            <w:noWrap w:val="0"/>
            <w:vAlign w:val="top"/>
          </w:tcPr>
          <w:p w14:paraId="2535B69B">
            <w:pPr>
              <w:shd w:val="clear" w:color="auto" w:fill="auto"/>
              <w:spacing w:line="440" w:lineRule="exact"/>
              <w:jc w:val="center"/>
              <w:rPr>
                <w:rFonts w:hint="eastAsia" w:ascii="黑体" w:hAnsi="黑体" w:eastAsia="黑体" w:cs="黑体"/>
                <w:color w:val="auto"/>
                <w:sz w:val="24"/>
                <w:szCs w:val="24"/>
                <w:highlight w:val="none"/>
              </w:rPr>
            </w:pPr>
          </w:p>
        </w:tc>
        <w:tc>
          <w:tcPr>
            <w:tcW w:w="1751" w:type="dxa"/>
            <w:noWrap w:val="0"/>
            <w:vAlign w:val="top"/>
          </w:tcPr>
          <w:p w14:paraId="2482E822">
            <w:pPr>
              <w:shd w:val="clear" w:color="auto" w:fill="auto"/>
              <w:spacing w:line="440" w:lineRule="exact"/>
              <w:jc w:val="center"/>
              <w:rPr>
                <w:rFonts w:hint="eastAsia" w:ascii="黑体" w:hAnsi="黑体" w:eastAsia="黑体" w:cs="黑体"/>
                <w:color w:val="auto"/>
                <w:sz w:val="24"/>
                <w:szCs w:val="24"/>
                <w:highlight w:val="none"/>
              </w:rPr>
            </w:pPr>
          </w:p>
        </w:tc>
        <w:tc>
          <w:tcPr>
            <w:tcW w:w="722" w:type="dxa"/>
            <w:noWrap w:val="0"/>
            <w:vAlign w:val="top"/>
          </w:tcPr>
          <w:p w14:paraId="28BF5D02">
            <w:pPr>
              <w:shd w:val="clear" w:color="auto" w:fill="auto"/>
              <w:spacing w:line="440" w:lineRule="exact"/>
              <w:jc w:val="center"/>
              <w:rPr>
                <w:rFonts w:hint="eastAsia" w:ascii="黑体" w:hAnsi="黑体" w:eastAsia="黑体" w:cs="黑体"/>
                <w:color w:val="auto"/>
                <w:sz w:val="24"/>
                <w:szCs w:val="24"/>
                <w:highlight w:val="none"/>
              </w:rPr>
            </w:pPr>
          </w:p>
        </w:tc>
      </w:tr>
      <w:tr w14:paraId="72354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6" w:hRule="atLeast"/>
        </w:trPr>
        <w:tc>
          <w:tcPr>
            <w:tcW w:w="1430" w:type="dxa"/>
            <w:noWrap w:val="0"/>
            <w:vAlign w:val="top"/>
          </w:tcPr>
          <w:p w14:paraId="57D3AB64">
            <w:pPr>
              <w:shd w:val="clear" w:color="auto" w:fill="auto"/>
              <w:spacing w:line="440" w:lineRule="exact"/>
              <w:jc w:val="center"/>
              <w:rPr>
                <w:rFonts w:hint="eastAsia" w:ascii="黑体" w:hAnsi="黑体" w:eastAsia="黑体" w:cs="黑体"/>
                <w:bCs/>
                <w:color w:val="auto"/>
                <w:sz w:val="24"/>
                <w:szCs w:val="24"/>
                <w:highlight w:val="none"/>
                <w:lang w:val="en-US" w:eastAsia="zh-CN"/>
              </w:rPr>
            </w:pPr>
          </w:p>
        </w:tc>
        <w:tc>
          <w:tcPr>
            <w:tcW w:w="1122" w:type="dxa"/>
            <w:noWrap w:val="0"/>
            <w:vAlign w:val="top"/>
          </w:tcPr>
          <w:p w14:paraId="6C425700">
            <w:pPr>
              <w:shd w:val="clear" w:color="auto" w:fill="auto"/>
              <w:spacing w:line="440" w:lineRule="exact"/>
              <w:jc w:val="center"/>
              <w:rPr>
                <w:rFonts w:hint="eastAsia" w:ascii="黑体" w:hAnsi="黑体" w:eastAsia="黑体" w:cs="黑体"/>
                <w:color w:val="auto"/>
                <w:sz w:val="24"/>
                <w:szCs w:val="24"/>
                <w:highlight w:val="none"/>
              </w:rPr>
            </w:pPr>
          </w:p>
        </w:tc>
        <w:tc>
          <w:tcPr>
            <w:tcW w:w="904" w:type="dxa"/>
            <w:noWrap w:val="0"/>
            <w:vAlign w:val="top"/>
          </w:tcPr>
          <w:p w14:paraId="0F13A690">
            <w:pPr>
              <w:shd w:val="clear" w:color="auto" w:fill="auto"/>
              <w:spacing w:line="440" w:lineRule="exact"/>
              <w:jc w:val="center"/>
              <w:rPr>
                <w:rFonts w:hint="eastAsia" w:ascii="黑体" w:hAnsi="黑体" w:eastAsia="黑体" w:cs="黑体"/>
                <w:color w:val="auto"/>
                <w:sz w:val="24"/>
                <w:szCs w:val="24"/>
                <w:highlight w:val="none"/>
              </w:rPr>
            </w:pPr>
          </w:p>
        </w:tc>
        <w:tc>
          <w:tcPr>
            <w:tcW w:w="1222" w:type="dxa"/>
            <w:noWrap w:val="0"/>
            <w:vAlign w:val="top"/>
          </w:tcPr>
          <w:p w14:paraId="1D8C146F">
            <w:pPr>
              <w:shd w:val="clear" w:color="auto" w:fill="auto"/>
              <w:spacing w:line="440" w:lineRule="exact"/>
              <w:jc w:val="center"/>
              <w:rPr>
                <w:rFonts w:hint="eastAsia" w:ascii="黑体" w:hAnsi="黑体" w:eastAsia="黑体" w:cs="黑体"/>
                <w:color w:val="auto"/>
                <w:sz w:val="24"/>
                <w:szCs w:val="24"/>
                <w:highlight w:val="none"/>
              </w:rPr>
            </w:pPr>
          </w:p>
        </w:tc>
        <w:tc>
          <w:tcPr>
            <w:tcW w:w="811" w:type="dxa"/>
            <w:noWrap w:val="0"/>
            <w:vAlign w:val="top"/>
          </w:tcPr>
          <w:p w14:paraId="4BD86E97">
            <w:pPr>
              <w:shd w:val="clear" w:color="auto" w:fill="auto"/>
              <w:spacing w:line="440" w:lineRule="exact"/>
              <w:jc w:val="center"/>
              <w:rPr>
                <w:rFonts w:hint="eastAsia" w:ascii="黑体" w:hAnsi="黑体" w:eastAsia="黑体" w:cs="黑体"/>
                <w:color w:val="auto"/>
                <w:sz w:val="24"/>
                <w:szCs w:val="24"/>
                <w:highlight w:val="none"/>
              </w:rPr>
            </w:pPr>
          </w:p>
        </w:tc>
        <w:tc>
          <w:tcPr>
            <w:tcW w:w="1157" w:type="dxa"/>
            <w:noWrap w:val="0"/>
            <w:vAlign w:val="top"/>
          </w:tcPr>
          <w:p w14:paraId="64C9F170">
            <w:pPr>
              <w:shd w:val="clear" w:color="auto" w:fill="auto"/>
              <w:spacing w:line="440" w:lineRule="exact"/>
              <w:jc w:val="center"/>
              <w:rPr>
                <w:rFonts w:hint="eastAsia" w:ascii="黑体" w:hAnsi="黑体" w:eastAsia="黑体" w:cs="黑体"/>
                <w:color w:val="auto"/>
                <w:sz w:val="24"/>
                <w:szCs w:val="24"/>
                <w:highlight w:val="none"/>
              </w:rPr>
            </w:pPr>
          </w:p>
        </w:tc>
        <w:tc>
          <w:tcPr>
            <w:tcW w:w="779" w:type="dxa"/>
            <w:noWrap w:val="0"/>
            <w:vAlign w:val="top"/>
          </w:tcPr>
          <w:p w14:paraId="70CCF149">
            <w:pPr>
              <w:shd w:val="clear" w:color="auto" w:fill="auto"/>
              <w:spacing w:line="440" w:lineRule="exact"/>
              <w:jc w:val="center"/>
              <w:rPr>
                <w:rFonts w:hint="eastAsia" w:ascii="黑体" w:hAnsi="黑体" w:eastAsia="黑体" w:cs="黑体"/>
                <w:color w:val="auto"/>
                <w:sz w:val="24"/>
                <w:szCs w:val="24"/>
                <w:highlight w:val="none"/>
              </w:rPr>
            </w:pPr>
          </w:p>
        </w:tc>
        <w:tc>
          <w:tcPr>
            <w:tcW w:w="1751" w:type="dxa"/>
            <w:noWrap w:val="0"/>
            <w:vAlign w:val="top"/>
          </w:tcPr>
          <w:p w14:paraId="70498294">
            <w:pPr>
              <w:shd w:val="clear" w:color="auto" w:fill="auto"/>
              <w:spacing w:line="440" w:lineRule="exact"/>
              <w:jc w:val="center"/>
              <w:rPr>
                <w:rFonts w:hint="eastAsia" w:ascii="黑体" w:hAnsi="黑体" w:eastAsia="黑体" w:cs="黑体"/>
                <w:color w:val="auto"/>
                <w:sz w:val="24"/>
                <w:szCs w:val="24"/>
                <w:highlight w:val="none"/>
              </w:rPr>
            </w:pPr>
          </w:p>
        </w:tc>
        <w:tc>
          <w:tcPr>
            <w:tcW w:w="722" w:type="dxa"/>
            <w:noWrap w:val="0"/>
            <w:vAlign w:val="top"/>
          </w:tcPr>
          <w:p w14:paraId="042094B6">
            <w:pPr>
              <w:shd w:val="clear" w:color="auto" w:fill="auto"/>
              <w:spacing w:line="440" w:lineRule="exact"/>
              <w:jc w:val="center"/>
              <w:rPr>
                <w:rFonts w:hint="eastAsia" w:ascii="黑体" w:hAnsi="黑体" w:eastAsia="黑体" w:cs="黑体"/>
                <w:color w:val="auto"/>
                <w:sz w:val="24"/>
                <w:szCs w:val="24"/>
                <w:highlight w:val="none"/>
              </w:rPr>
            </w:pPr>
          </w:p>
        </w:tc>
      </w:tr>
      <w:tr w14:paraId="0684A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430" w:type="dxa"/>
            <w:noWrap w:val="0"/>
            <w:vAlign w:val="top"/>
          </w:tcPr>
          <w:p w14:paraId="3FC9A48B">
            <w:pPr>
              <w:shd w:val="clear" w:color="auto" w:fill="auto"/>
              <w:spacing w:line="440" w:lineRule="exact"/>
              <w:jc w:val="center"/>
              <w:rPr>
                <w:rFonts w:hint="eastAsia" w:ascii="黑体" w:hAnsi="黑体" w:eastAsia="黑体" w:cs="黑体"/>
                <w:color w:val="auto"/>
                <w:sz w:val="24"/>
                <w:szCs w:val="24"/>
                <w:highlight w:val="none"/>
              </w:rPr>
            </w:pPr>
          </w:p>
        </w:tc>
        <w:tc>
          <w:tcPr>
            <w:tcW w:w="1122" w:type="dxa"/>
            <w:noWrap w:val="0"/>
            <w:vAlign w:val="top"/>
          </w:tcPr>
          <w:p w14:paraId="70A4B2F2">
            <w:pPr>
              <w:shd w:val="clear" w:color="auto" w:fill="auto"/>
              <w:spacing w:line="440" w:lineRule="exact"/>
              <w:jc w:val="center"/>
              <w:rPr>
                <w:rFonts w:hint="eastAsia" w:ascii="黑体" w:hAnsi="黑体" w:eastAsia="黑体" w:cs="黑体"/>
                <w:color w:val="auto"/>
                <w:sz w:val="24"/>
                <w:szCs w:val="24"/>
                <w:highlight w:val="none"/>
              </w:rPr>
            </w:pPr>
          </w:p>
        </w:tc>
        <w:tc>
          <w:tcPr>
            <w:tcW w:w="904" w:type="dxa"/>
            <w:noWrap w:val="0"/>
            <w:vAlign w:val="top"/>
          </w:tcPr>
          <w:p w14:paraId="6A614957">
            <w:pPr>
              <w:shd w:val="clear" w:color="auto" w:fill="auto"/>
              <w:spacing w:line="440" w:lineRule="exact"/>
              <w:jc w:val="center"/>
              <w:rPr>
                <w:rFonts w:hint="eastAsia" w:ascii="黑体" w:hAnsi="黑体" w:eastAsia="黑体" w:cs="黑体"/>
                <w:color w:val="auto"/>
                <w:sz w:val="24"/>
                <w:szCs w:val="24"/>
                <w:highlight w:val="none"/>
              </w:rPr>
            </w:pPr>
          </w:p>
        </w:tc>
        <w:tc>
          <w:tcPr>
            <w:tcW w:w="1222" w:type="dxa"/>
            <w:noWrap w:val="0"/>
            <w:vAlign w:val="top"/>
          </w:tcPr>
          <w:p w14:paraId="7994FAE9">
            <w:pPr>
              <w:shd w:val="clear" w:color="auto" w:fill="auto"/>
              <w:spacing w:line="440" w:lineRule="exact"/>
              <w:jc w:val="center"/>
              <w:rPr>
                <w:rFonts w:hint="eastAsia" w:ascii="黑体" w:hAnsi="黑体" w:eastAsia="黑体" w:cs="黑体"/>
                <w:color w:val="auto"/>
                <w:sz w:val="24"/>
                <w:szCs w:val="24"/>
                <w:highlight w:val="none"/>
              </w:rPr>
            </w:pPr>
          </w:p>
        </w:tc>
        <w:tc>
          <w:tcPr>
            <w:tcW w:w="811" w:type="dxa"/>
            <w:noWrap w:val="0"/>
            <w:vAlign w:val="top"/>
          </w:tcPr>
          <w:p w14:paraId="69959209">
            <w:pPr>
              <w:shd w:val="clear" w:color="auto" w:fill="auto"/>
              <w:spacing w:line="440" w:lineRule="exact"/>
              <w:jc w:val="center"/>
              <w:rPr>
                <w:rFonts w:hint="eastAsia" w:ascii="黑体" w:hAnsi="黑体" w:eastAsia="黑体" w:cs="黑体"/>
                <w:color w:val="auto"/>
                <w:sz w:val="24"/>
                <w:szCs w:val="24"/>
                <w:highlight w:val="none"/>
              </w:rPr>
            </w:pPr>
          </w:p>
        </w:tc>
        <w:tc>
          <w:tcPr>
            <w:tcW w:w="1157" w:type="dxa"/>
            <w:noWrap w:val="0"/>
            <w:vAlign w:val="top"/>
          </w:tcPr>
          <w:p w14:paraId="2F11F4F8">
            <w:pPr>
              <w:shd w:val="clear" w:color="auto" w:fill="auto"/>
              <w:spacing w:line="440" w:lineRule="exact"/>
              <w:jc w:val="center"/>
              <w:rPr>
                <w:rFonts w:hint="eastAsia" w:ascii="黑体" w:hAnsi="黑体" w:eastAsia="黑体" w:cs="黑体"/>
                <w:color w:val="auto"/>
                <w:sz w:val="24"/>
                <w:szCs w:val="24"/>
                <w:highlight w:val="none"/>
              </w:rPr>
            </w:pPr>
          </w:p>
        </w:tc>
        <w:tc>
          <w:tcPr>
            <w:tcW w:w="779" w:type="dxa"/>
            <w:noWrap w:val="0"/>
            <w:vAlign w:val="top"/>
          </w:tcPr>
          <w:p w14:paraId="72D936D2">
            <w:pPr>
              <w:shd w:val="clear" w:color="auto" w:fill="auto"/>
              <w:spacing w:line="440" w:lineRule="exact"/>
              <w:jc w:val="center"/>
              <w:rPr>
                <w:rFonts w:hint="eastAsia" w:ascii="黑体" w:hAnsi="黑体" w:eastAsia="黑体" w:cs="黑体"/>
                <w:color w:val="auto"/>
                <w:sz w:val="24"/>
                <w:szCs w:val="24"/>
                <w:highlight w:val="none"/>
              </w:rPr>
            </w:pPr>
          </w:p>
        </w:tc>
        <w:tc>
          <w:tcPr>
            <w:tcW w:w="1751" w:type="dxa"/>
            <w:noWrap w:val="0"/>
            <w:vAlign w:val="top"/>
          </w:tcPr>
          <w:p w14:paraId="58895250">
            <w:pPr>
              <w:shd w:val="clear" w:color="auto" w:fill="auto"/>
              <w:spacing w:line="440" w:lineRule="exact"/>
              <w:jc w:val="center"/>
              <w:rPr>
                <w:rFonts w:hint="eastAsia" w:ascii="黑体" w:hAnsi="黑体" w:eastAsia="黑体" w:cs="黑体"/>
                <w:color w:val="auto"/>
                <w:sz w:val="24"/>
                <w:szCs w:val="24"/>
                <w:highlight w:val="none"/>
              </w:rPr>
            </w:pPr>
          </w:p>
        </w:tc>
        <w:tc>
          <w:tcPr>
            <w:tcW w:w="722" w:type="dxa"/>
            <w:noWrap w:val="0"/>
            <w:vAlign w:val="top"/>
          </w:tcPr>
          <w:p w14:paraId="390AB23D">
            <w:pPr>
              <w:shd w:val="clear" w:color="auto" w:fill="auto"/>
              <w:spacing w:line="440" w:lineRule="exact"/>
              <w:jc w:val="center"/>
              <w:rPr>
                <w:rFonts w:hint="eastAsia" w:ascii="黑体" w:hAnsi="黑体" w:eastAsia="黑体" w:cs="黑体"/>
                <w:color w:val="auto"/>
                <w:sz w:val="24"/>
                <w:szCs w:val="24"/>
                <w:highlight w:val="none"/>
              </w:rPr>
            </w:pPr>
          </w:p>
        </w:tc>
      </w:tr>
      <w:tr w14:paraId="1353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430" w:type="dxa"/>
            <w:noWrap w:val="0"/>
            <w:vAlign w:val="top"/>
          </w:tcPr>
          <w:p w14:paraId="4267AE55">
            <w:pPr>
              <w:shd w:val="clear" w:color="auto" w:fill="auto"/>
              <w:spacing w:line="440" w:lineRule="exact"/>
              <w:jc w:val="center"/>
              <w:rPr>
                <w:rFonts w:hint="default" w:ascii="黑体" w:hAnsi="黑体" w:eastAsia="黑体" w:cs="黑体"/>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w:t>
            </w:r>
          </w:p>
        </w:tc>
        <w:tc>
          <w:tcPr>
            <w:tcW w:w="1122" w:type="dxa"/>
            <w:noWrap w:val="0"/>
            <w:vAlign w:val="top"/>
          </w:tcPr>
          <w:p w14:paraId="43F470C4">
            <w:pPr>
              <w:shd w:val="clear" w:color="auto" w:fill="auto"/>
              <w:spacing w:line="440" w:lineRule="exact"/>
              <w:jc w:val="center"/>
              <w:rPr>
                <w:rFonts w:hint="eastAsia" w:ascii="黑体" w:hAnsi="黑体" w:eastAsia="黑体" w:cs="黑体"/>
                <w:color w:val="auto"/>
                <w:sz w:val="24"/>
                <w:szCs w:val="24"/>
                <w:highlight w:val="none"/>
              </w:rPr>
            </w:pPr>
          </w:p>
        </w:tc>
        <w:tc>
          <w:tcPr>
            <w:tcW w:w="904" w:type="dxa"/>
            <w:noWrap w:val="0"/>
            <w:vAlign w:val="top"/>
          </w:tcPr>
          <w:p w14:paraId="158407E4">
            <w:pPr>
              <w:shd w:val="clear" w:color="auto" w:fill="auto"/>
              <w:spacing w:line="440" w:lineRule="exact"/>
              <w:jc w:val="center"/>
              <w:rPr>
                <w:rFonts w:hint="eastAsia" w:ascii="黑体" w:hAnsi="黑体" w:eastAsia="黑体" w:cs="黑体"/>
                <w:color w:val="auto"/>
                <w:sz w:val="24"/>
                <w:szCs w:val="24"/>
                <w:highlight w:val="none"/>
              </w:rPr>
            </w:pPr>
          </w:p>
        </w:tc>
        <w:tc>
          <w:tcPr>
            <w:tcW w:w="1222" w:type="dxa"/>
            <w:noWrap w:val="0"/>
            <w:vAlign w:val="top"/>
          </w:tcPr>
          <w:p w14:paraId="0CFB9665">
            <w:pPr>
              <w:shd w:val="clear" w:color="auto" w:fill="auto"/>
              <w:spacing w:line="440" w:lineRule="exact"/>
              <w:jc w:val="center"/>
              <w:rPr>
                <w:rFonts w:hint="eastAsia" w:ascii="黑体" w:hAnsi="黑体" w:eastAsia="黑体" w:cs="黑体"/>
                <w:color w:val="auto"/>
                <w:sz w:val="24"/>
                <w:szCs w:val="24"/>
                <w:highlight w:val="none"/>
              </w:rPr>
            </w:pPr>
          </w:p>
        </w:tc>
        <w:tc>
          <w:tcPr>
            <w:tcW w:w="811" w:type="dxa"/>
            <w:noWrap w:val="0"/>
            <w:vAlign w:val="top"/>
          </w:tcPr>
          <w:p w14:paraId="23412826">
            <w:pPr>
              <w:shd w:val="clear" w:color="auto" w:fill="auto"/>
              <w:spacing w:line="440" w:lineRule="exact"/>
              <w:jc w:val="center"/>
              <w:rPr>
                <w:rFonts w:hint="eastAsia" w:ascii="黑体" w:hAnsi="黑体" w:eastAsia="黑体" w:cs="黑体"/>
                <w:color w:val="auto"/>
                <w:sz w:val="24"/>
                <w:szCs w:val="24"/>
                <w:highlight w:val="none"/>
              </w:rPr>
            </w:pPr>
          </w:p>
        </w:tc>
        <w:tc>
          <w:tcPr>
            <w:tcW w:w="1157" w:type="dxa"/>
            <w:noWrap w:val="0"/>
            <w:vAlign w:val="top"/>
          </w:tcPr>
          <w:p w14:paraId="2A671E0F">
            <w:pPr>
              <w:shd w:val="clear" w:color="auto" w:fill="auto"/>
              <w:spacing w:line="440" w:lineRule="exact"/>
              <w:jc w:val="center"/>
              <w:rPr>
                <w:rFonts w:hint="eastAsia" w:ascii="黑体" w:hAnsi="黑体" w:eastAsia="黑体" w:cs="黑体"/>
                <w:color w:val="auto"/>
                <w:sz w:val="24"/>
                <w:szCs w:val="24"/>
                <w:highlight w:val="none"/>
              </w:rPr>
            </w:pPr>
          </w:p>
        </w:tc>
        <w:tc>
          <w:tcPr>
            <w:tcW w:w="779" w:type="dxa"/>
            <w:noWrap w:val="0"/>
            <w:vAlign w:val="top"/>
          </w:tcPr>
          <w:p w14:paraId="7506F0BA">
            <w:pPr>
              <w:shd w:val="clear" w:color="auto" w:fill="auto"/>
              <w:spacing w:line="440" w:lineRule="exact"/>
              <w:jc w:val="center"/>
              <w:rPr>
                <w:rFonts w:hint="eastAsia" w:ascii="黑体" w:hAnsi="黑体" w:eastAsia="黑体" w:cs="黑体"/>
                <w:color w:val="auto"/>
                <w:sz w:val="24"/>
                <w:szCs w:val="24"/>
                <w:highlight w:val="none"/>
              </w:rPr>
            </w:pPr>
          </w:p>
        </w:tc>
        <w:tc>
          <w:tcPr>
            <w:tcW w:w="1751" w:type="dxa"/>
            <w:noWrap w:val="0"/>
            <w:vAlign w:val="top"/>
          </w:tcPr>
          <w:p w14:paraId="39142A6D">
            <w:pPr>
              <w:shd w:val="clear" w:color="auto" w:fill="auto"/>
              <w:spacing w:line="440" w:lineRule="exact"/>
              <w:jc w:val="center"/>
              <w:rPr>
                <w:rFonts w:hint="eastAsia" w:ascii="黑体" w:hAnsi="黑体" w:eastAsia="黑体" w:cs="黑体"/>
                <w:color w:val="auto"/>
                <w:sz w:val="24"/>
                <w:szCs w:val="24"/>
                <w:highlight w:val="none"/>
              </w:rPr>
            </w:pPr>
          </w:p>
        </w:tc>
        <w:tc>
          <w:tcPr>
            <w:tcW w:w="722" w:type="dxa"/>
            <w:noWrap w:val="0"/>
            <w:vAlign w:val="top"/>
          </w:tcPr>
          <w:p w14:paraId="20DF1289">
            <w:pPr>
              <w:shd w:val="clear" w:color="auto" w:fill="auto"/>
              <w:spacing w:line="440" w:lineRule="exact"/>
              <w:jc w:val="center"/>
              <w:rPr>
                <w:rFonts w:hint="eastAsia" w:ascii="黑体" w:hAnsi="黑体" w:eastAsia="黑体" w:cs="黑体"/>
                <w:color w:val="auto"/>
                <w:sz w:val="24"/>
                <w:szCs w:val="24"/>
                <w:highlight w:val="none"/>
              </w:rPr>
            </w:pPr>
          </w:p>
        </w:tc>
      </w:tr>
    </w:tbl>
    <w:p w14:paraId="1E89F531">
      <w:pPr>
        <w:shd w:val="clear" w:color="auto" w:fill="auto"/>
        <w:spacing w:line="440" w:lineRule="exact"/>
        <w:ind w:left="0" w:leftChars="0" w:firstLine="0" w:firstLineChars="0"/>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注：1、本</w:t>
      </w:r>
      <w:r>
        <w:rPr>
          <w:rFonts w:hint="eastAsia" w:ascii="黑体" w:hAnsi="黑体" w:eastAsia="黑体" w:cs="黑体"/>
          <w:b/>
          <w:bCs/>
          <w:color w:val="auto"/>
          <w:sz w:val="24"/>
          <w:szCs w:val="24"/>
          <w:highlight w:val="none"/>
          <w:lang w:val="en-US" w:eastAsia="zh-CN"/>
        </w:rPr>
        <w:t>项目</w:t>
      </w:r>
      <w:r>
        <w:rPr>
          <w:rFonts w:hint="eastAsia" w:ascii="黑体" w:hAnsi="黑体" w:eastAsia="黑体" w:cs="黑体"/>
          <w:b/>
          <w:bCs/>
          <w:color w:val="auto"/>
          <w:sz w:val="24"/>
          <w:szCs w:val="24"/>
          <w:highlight w:val="none"/>
        </w:rPr>
        <w:t>一旦我单位中标，将配备上述项目管理人员。上述填报内容真实，如不真实，将按照有关规定接受处理。</w:t>
      </w:r>
    </w:p>
    <w:p w14:paraId="322ADA8F">
      <w:pPr>
        <w:shd w:val="clear" w:color="auto" w:fill="auto"/>
        <w:spacing w:line="440" w:lineRule="exact"/>
        <w:ind w:left="420" w:leftChars="200" w:firstLine="0" w:firstLineChars="0"/>
        <w:jc w:val="left"/>
        <w:rPr>
          <w:rFonts w:hint="eastAsia" w:ascii="黑体" w:hAnsi="黑体" w:eastAsia="黑体" w:cs="黑体"/>
          <w:color w:val="auto"/>
          <w:szCs w:val="21"/>
          <w:highlight w:val="none"/>
        </w:rPr>
      </w:pPr>
      <w:r>
        <w:rPr>
          <w:rFonts w:hint="eastAsia" w:ascii="黑体" w:hAnsi="黑体" w:eastAsia="黑体" w:cs="黑体"/>
          <w:b/>
          <w:color w:val="auto"/>
          <w:kern w:val="0"/>
          <w:sz w:val="24"/>
          <w:szCs w:val="24"/>
          <w:highlight w:val="none"/>
        </w:rPr>
        <w:t>2、承包人若需要更换本</w:t>
      </w:r>
      <w:r>
        <w:rPr>
          <w:rFonts w:hint="eastAsia" w:ascii="黑体" w:hAnsi="黑体" w:eastAsia="黑体" w:cs="黑体"/>
          <w:b/>
          <w:color w:val="auto"/>
          <w:kern w:val="0"/>
          <w:sz w:val="24"/>
          <w:szCs w:val="24"/>
          <w:highlight w:val="none"/>
          <w:lang w:val="en-US" w:eastAsia="zh-CN"/>
        </w:rPr>
        <w:t>项目响应</w:t>
      </w:r>
      <w:r>
        <w:rPr>
          <w:rFonts w:hint="eastAsia" w:ascii="黑体" w:hAnsi="黑体" w:eastAsia="黑体" w:cs="黑体"/>
          <w:b/>
          <w:color w:val="auto"/>
          <w:kern w:val="0"/>
          <w:sz w:val="24"/>
          <w:szCs w:val="24"/>
          <w:highlight w:val="none"/>
        </w:rPr>
        <w:t>文件中原有人员时须经发包人同意。未经发包人同意，承包人更换人员应承担违约责任</w:t>
      </w:r>
      <w:r>
        <w:rPr>
          <w:rFonts w:hint="eastAsia" w:ascii="黑体" w:hAnsi="黑体" w:eastAsia="黑体" w:cs="黑体"/>
          <w:b/>
          <w:color w:val="auto"/>
          <w:kern w:val="0"/>
          <w:sz w:val="24"/>
          <w:szCs w:val="24"/>
          <w:highlight w:val="none"/>
          <w:lang w:eastAsia="zh-CN"/>
        </w:rPr>
        <w:t>，</w:t>
      </w:r>
      <w:r>
        <w:rPr>
          <w:rFonts w:hint="eastAsia" w:ascii="黑体" w:hAnsi="黑体" w:eastAsia="黑体" w:cs="黑体"/>
          <w:b/>
          <w:color w:val="auto"/>
          <w:kern w:val="0"/>
          <w:sz w:val="24"/>
          <w:szCs w:val="24"/>
          <w:highlight w:val="none"/>
        </w:rPr>
        <w:t>并且按照中标价</w:t>
      </w:r>
      <w:r>
        <w:rPr>
          <w:rFonts w:hint="eastAsia" w:ascii="黑体" w:hAnsi="黑体" w:eastAsia="黑体" w:cs="黑体"/>
          <w:b/>
          <w:bCs/>
          <w:color w:val="auto"/>
          <w:kern w:val="0"/>
          <w:sz w:val="24"/>
          <w:szCs w:val="24"/>
          <w:highlight w:val="none"/>
          <w:u w:val="single"/>
        </w:rPr>
        <w:t>5</w:t>
      </w:r>
      <w:r>
        <w:rPr>
          <w:rFonts w:hint="eastAsia" w:ascii="黑体" w:hAnsi="黑体" w:eastAsia="黑体" w:cs="黑体"/>
          <w:b/>
          <w:bCs/>
          <w:color w:val="auto"/>
          <w:kern w:val="0"/>
          <w:sz w:val="24"/>
          <w:szCs w:val="24"/>
          <w:highlight w:val="none"/>
        </w:rPr>
        <w:t>％</w:t>
      </w:r>
      <w:r>
        <w:rPr>
          <w:rFonts w:hint="eastAsia" w:ascii="黑体" w:hAnsi="黑体" w:eastAsia="黑体" w:cs="黑体"/>
          <w:b/>
          <w:color w:val="auto"/>
          <w:kern w:val="0"/>
          <w:sz w:val="24"/>
          <w:szCs w:val="24"/>
          <w:highlight w:val="none"/>
        </w:rPr>
        <w:t>给发包人支付违约金。</w:t>
      </w:r>
      <w:r>
        <w:rPr>
          <w:rFonts w:hint="eastAsia" w:ascii="黑体" w:hAnsi="黑体" w:eastAsia="黑体" w:cs="黑体"/>
          <w:color w:val="auto"/>
          <w:szCs w:val="21"/>
          <w:highlight w:val="none"/>
        </w:rPr>
        <w:br w:type="page"/>
      </w:r>
      <w:r>
        <w:rPr>
          <w:rFonts w:hint="eastAsia" w:ascii="黑体" w:hAnsi="黑体" w:eastAsia="黑体" w:cs="黑体"/>
          <w:b/>
          <w:bCs/>
          <w:color w:val="auto"/>
          <w:sz w:val="24"/>
          <w:szCs w:val="24"/>
          <w:highlight w:val="none"/>
          <w:lang w:val="en-US" w:eastAsia="zh-CN"/>
        </w:rPr>
        <w:t>2.2、</w:t>
      </w:r>
      <w:r>
        <w:rPr>
          <w:rFonts w:hint="eastAsia" w:ascii="黑体" w:hAnsi="黑体" w:eastAsia="黑体" w:cs="黑体"/>
          <w:b/>
          <w:bCs/>
          <w:color w:val="auto"/>
          <w:sz w:val="24"/>
          <w:szCs w:val="24"/>
          <w:highlight w:val="none"/>
        </w:rPr>
        <w:t>主要人员简历表</w:t>
      </w:r>
    </w:p>
    <w:p w14:paraId="5FF9A151">
      <w:pPr>
        <w:shd w:val="clear" w:color="auto" w:fill="auto"/>
        <w:spacing w:line="420" w:lineRule="exact"/>
        <w:ind w:left="420" w:leftChars="200" w:firstLine="0" w:firstLineChars="0"/>
        <w:jc w:val="both"/>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附</w:t>
      </w:r>
      <w:r>
        <w:rPr>
          <w:rFonts w:hint="eastAsia" w:ascii="黑体" w:hAnsi="黑体" w:eastAsia="黑体" w:cs="黑体"/>
          <w:b/>
          <w:bCs/>
          <w:color w:val="auto"/>
          <w:sz w:val="24"/>
          <w:szCs w:val="24"/>
          <w:highlight w:val="none"/>
          <w:lang w:val="en-US" w:eastAsia="zh-CN"/>
        </w:rPr>
        <w:t>2.2.</w:t>
      </w:r>
      <w:r>
        <w:rPr>
          <w:rFonts w:hint="eastAsia" w:ascii="黑体" w:hAnsi="黑体" w:eastAsia="黑体" w:cs="黑体"/>
          <w:b/>
          <w:bCs/>
          <w:color w:val="auto"/>
          <w:sz w:val="24"/>
          <w:szCs w:val="24"/>
          <w:highlight w:val="none"/>
        </w:rPr>
        <w:t>1：项目经理简历表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927"/>
        <w:gridCol w:w="1139"/>
        <w:gridCol w:w="1280"/>
        <w:gridCol w:w="2027"/>
        <w:gridCol w:w="2693"/>
      </w:tblGrid>
      <w:tr w14:paraId="63DA1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09" w:type="dxa"/>
            <w:noWrap w:val="0"/>
            <w:vAlign w:val="center"/>
          </w:tcPr>
          <w:p w14:paraId="2E0E07E0">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姓名</w:t>
            </w:r>
          </w:p>
        </w:tc>
        <w:tc>
          <w:tcPr>
            <w:tcW w:w="927" w:type="dxa"/>
            <w:noWrap w:val="0"/>
            <w:vAlign w:val="center"/>
          </w:tcPr>
          <w:p w14:paraId="7385547F">
            <w:pPr>
              <w:shd w:val="clear" w:color="auto" w:fill="auto"/>
              <w:jc w:val="center"/>
              <w:rPr>
                <w:rFonts w:hint="eastAsia" w:ascii="黑体" w:hAnsi="黑体" w:eastAsia="黑体" w:cs="黑体"/>
                <w:color w:val="auto"/>
                <w:sz w:val="24"/>
                <w:szCs w:val="24"/>
                <w:highlight w:val="none"/>
              </w:rPr>
            </w:pPr>
          </w:p>
        </w:tc>
        <w:tc>
          <w:tcPr>
            <w:tcW w:w="1139" w:type="dxa"/>
            <w:noWrap w:val="0"/>
            <w:vAlign w:val="center"/>
          </w:tcPr>
          <w:p w14:paraId="7CC4EF5F">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年龄</w:t>
            </w:r>
          </w:p>
        </w:tc>
        <w:tc>
          <w:tcPr>
            <w:tcW w:w="1280" w:type="dxa"/>
            <w:noWrap w:val="0"/>
            <w:vAlign w:val="center"/>
          </w:tcPr>
          <w:p w14:paraId="1E4356CD">
            <w:pPr>
              <w:shd w:val="clear" w:color="auto" w:fill="auto"/>
              <w:jc w:val="center"/>
              <w:rPr>
                <w:rFonts w:hint="eastAsia" w:ascii="黑体" w:hAnsi="黑体" w:eastAsia="黑体" w:cs="黑体"/>
                <w:color w:val="auto"/>
                <w:sz w:val="24"/>
                <w:szCs w:val="24"/>
                <w:highlight w:val="none"/>
              </w:rPr>
            </w:pPr>
          </w:p>
        </w:tc>
        <w:tc>
          <w:tcPr>
            <w:tcW w:w="2027" w:type="dxa"/>
            <w:noWrap w:val="0"/>
            <w:vAlign w:val="center"/>
          </w:tcPr>
          <w:p w14:paraId="788448CE">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学历</w:t>
            </w:r>
          </w:p>
        </w:tc>
        <w:tc>
          <w:tcPr>
            <w:tcW w:w="2693" w:type="dxa"/>
            <w:noWrap w:val="0"/>
            <w:vAlign w:val="center"/>
          </w:tcPr>
          <w:p w14:paraId="3024C987">
            <w:pPr>
              <w:shd w:val="clear" w:color="auto" w:fill="auto"/>
              <w:jc w:val="center"/>
              <w:rPr>
                <w:rFonts w:hint="eastAsia" w:ascii="黑体" w:hAnsi="黑体" w:eastAsia="黑体" w:cs="黑体"/>
                <w:color w:val="auto"/>
                <w:sz w:val="24"/>
                <w:szCs w:val="24"/>
                <w:highlight w:val="none"/>
              </w:rPr>
            </w:pPr>
          </w:p>
        </w:tc>
      </w:tr>
      <w:tr w14:paraId="323CD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09" w:type="dxa"/>
            <w:noWrap w:val="0"/>
            <w:vAlign w:val="center"/>
          </w:tcPr>
          <w:p w14:paraId="29BC011E">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职称</w:t>
            </w:r>
          </w:p>
        </w:tc>
        <w:tc>
          <w:tcPr>
            <w:tcW w:w="927" w:type="dxa"/>
            <w:noWrap w:val="0"/>
            <w:vAlign w:val="center"/>
          </w:tcPr>
          <w:p w14:paraId="4A50E5DC">
            <w:pPr>
              <w:shd w:val="clear" w:color="auto" w:fill="auto"/>
              <w:jc w:val="center"/>
              <w:rPr>
                <w:rFonts w:hint="eastAsia" w:ascii="黑体" w:hAnsi="黑体" w:eastAsia="黑体" w:cs="黑体"/>
                <w:color w:val="auto"/>
                <w:sz w:val="24"/>
                <w:szCs w:val="24"/>
                <w:highlight w:val="none"/>
              </w:rPr>
            </w:pPr>
          </w:p>
        </w:tc>
        <w:tc>
          <w:tcPr>
            <w:tcW w:w="1139" w:type="dxa"/>
            <w:noWrap w:val="0"/>
            <w:vAlign w:val="center"/>
          </w:tcPr>
          <w:p w14:paraId="0702923F">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职务</w:t>
            </w:r>
          </w:p>
        </w:tc>
        <w:tc>
          <w:tcPr>
            <w:tcW w:w="1280" w:type="dxa"/>
            <w:noWrap w:val="0"/>
            <w:vAlign w:val="center"/>
          </w:tcPr>
          <w:p w14:paraId="04597AC9">
            <w:pPr>
              <w:shd w:val="clear" w:color="auto" w:fill="auto"/>
              <w:jc w:val="center"/>
              <w:rPr>
                <w:rFonts w:hint="eastAsia" w:ascii="黑体" w:hAnsi="黑体" w:eastAsia="黑体" w:cs="黑体"/>
                <w:color w:val="auto"/>
                <w:sz w:val="24"/>
                <w:szCs w:val="24"/>
                <w:highlight w:val="none"/>
              </w:rPr>
            </w:pPr>
          </w:p>
        </w:tc>
        <w:tc>
          <w:tcPr>
            <w:tcW w:w="2027" w:type="dxa"/>
            <w:noWrap w:val="0"/>
            <w:vAlign w:val="center"/>
          </w:tcPr>
          <w:p w14:paraId="2A7D4DDC">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拟在本工程任职</w:t>
            </w:r>
          </w:p>
        </w:tc>
        <w:tc>
          <w:tcPr>
            <w:tcW w:w="2693" w:type="dxa"/>
            <w:noWrap w:val="0"/>
            <w:vAlign w:val="center"/>
          </w:tcPr>
          <w:p w14:paraId="1393939B">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项目经理</w:t>
            </w:r>
          </w:p>
        </w:tc>
      </w:tr>
      <w:tr w14:paraId="6598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275" w:type="dxa"/>
            <w:gridSpan w:val="3"/>
            <w:noWrap w:val="0"/>
            <w:vAlign w:val="center"/>
          </w:tcPr>
          <w:p w14:paraId="7EC405CF">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注册建造师执业资格等级</w:t>
            </w:r>
          </w:p>
        </w:tc>
        <w:tc>
          <w:tcPr>
            <w:tcW w:w="1280" w:type="dxa"/>
            <w:noWrap w:val="0"/>
            <w:vAlign w:val="center"/>
          </w:tcPr>
          <w:p w14:paraId="571E9C33">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级</w:t>
            </w:r>
          </w:p>
        </w:tc>
        <w:tc>
          <w:tcPr>
            <w:tcW w:w="2027" w:type="dxa"/>
            <w:noWrap w:val="0"/>
            <w:vAlign w:val="center"/>
          </w:tcPr>
          <w:p w14:paraId="1A5E5418">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建造师专业</w:t>
            </w:r>
          </w:p>
        </w:tc>
        <w:tc>
          <w:tcPr>
            <w:tcW w:w="2693" w:type="dxa"/>
            <w:noWrap w:val="0"/>
            <w:vAlign w:val="center"/>
          </w:tcPr>
          <w:p w14:paraId="032D52FD">
            <w:pPr>
              <w:shd w:val="clear" w:color="auto" w:fill="auto"/>
              <w:jc w:val="center"/>
              <w:rPr>
                <w:rFonts w:hint="eastAsia" w:ascii="黑体" w:hAnsi="黑体" w:eastAsia="黑体" w:cs="黑体"/>
                <w:color w:val="auto"/>
                <w:sz w:val="24"/>
                <w:szCs w:val="24"/>
                <w:highlight w:val="none"/>
              </w:rPr>
            </w:pPr>
          </w:p>
        </w:tc>
      </w:tr>
      <w:tr w14:paraId="2763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275" w:type="dxa"/>
            <w:gridSpan w:val="3"/>
            <w:noWrap w:val="0"/>
            <w:vAlign w:val="center"/>
          </w:tcPr>
          <w:p w14:paraId="7C0198DE">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安全生产考核合格证书</w:t>
            </w:r>
          </w:p>
        </w:tc>
        <w:tc>
          <w:tcPr>
            <w:tcW w:w="6000" w:type="dxa"/>
            <w:gridSpan w:val="3"/>
            <w:noWrap w:val="0"/>
            <w:vAlign w:val="center"/>
          </w:tcPr>
          <w:p w14:paraId="296B3472">
            <w:pPr>
              <w:shd w:val="clear" w:color="auto" w:fill="auto"/>
              <w:jc w:val="center"/>
              <w:rPr>
                <w:rFonts w:hint="eastAsia" w:ascii="黑体" w:hAnsi="黑体" w:eastAsia="黑体" w:cs="黑体"/>
                <w:color w:val="auto"/>
                <w:sz w:val="24"/>
                <w:szCs w:val="24"/>
                <w:highlight w:val="none"/>
              </w:rPr>
            </w:pPr>
          </w:p>
        </w:tc>
      </w:tr>
      <w:tr w14:paraId="6D472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09" w:type="dxa"/>
            <w:noWrap w:val="0"/>
            <w:vAlign w:val="center"/>
          </w:tcPr>
          <w:p w14:paraId="7B6661E8">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毕业学校</w:t>
            </w:r>
          </w:p>
        </w:tc>
        <w:tc>
          <w:tcPr>
            <w:tcW w:w="8066" w:type="dxa"/>
            <w:gridSpan w:val="5"/>
            <w:noWrap w:val="0"/>
            <w:vAlign w:val="center"/>
          </w:tcPr>
          <w:p w14:paraId="356DCE34">
            <w:pPr>
              <w:shd w:val="clear" w:color="auto" w:fill="auto"/>
              <w:ind w:firstLine="960" w:firstLineChars="40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年毕业于                  学校            专业</w:t>
            </w:r>
          </w:p>
        </w:tc>
      </w:tr>
      <w:tr w14:paraId="4D9B5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275" w:type="dxa"/>
            <w:gridSpan w:val="6"/>
            <w:noWrap w:val="0"/>
            <w:vAlign w:val="center"/>
          </w:tcPr>
          <w:p w14:paraId="3DCFD204">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主要工作经历</w:t>
            </w:r>
          </w:p>
        </w:tc>
      </w:tr>
      <w:tr w14:paraId="0567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09" w:type="dxa"/>
            <w:noWrap w:val="0"/>
            <w:vAlign w:val="center"/>
          </w:tcPr>
          <w:p w14:paraId="239622BF">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时间</w:t>
            </w:r>
          </w:p>
        </w:tc>
        <w:tc>
          <w:tcPr>
            <w:tcW w:w="3346" w:type="dxa"/>
            <w:gridSpan w:val="3"/>
            <w:noWrap w:val="0"/>
            <w:vAlign w:val="center"/>
          </w:tcPr>
          <w:p w14:paraId="6BA94458">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参加过的类似项目名称</w:t>
            </w:r>
          </w:p>
        </w:tc>
        <w:tc>
          <w:tcPr>
            <w:tcW w:w="2027" w:type="dxa"/>
            <w:noWrap w:val="0"/>
            <w:vAlign w:val="center"/>
          </w:tcPr>
          <w:p w14:paraId="3322958C">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工程概况说明</w:t>
            </w:r>
          </w:p>
        </w:tc>
        <w:tc>
          <w:tcPr>
            <w:tcW w:w="2693" w:type="dxa"/>
            <w:noWrap w:val="0"/>
            <w:vAlign w:val="center"/>
          </w:tcPr>
          <w:p w14:paraId="756D76DF">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发包人及联系电话</w:t>
            </w:r>
          </w:p>
        </w:tc>
      </w:tr>
      <w:tr w14:paraId="28B3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209" w:type="dxa"/>
            <w:noWrap w:val="0"/>
            <w:vAlign w:val="center"/>
          </w:tcPr>
          <w:p w14:paraId="5F4B1CD1">
            <w:pPr>
              <w:shd w:val="clear" w:color="auto" w:fill="auto"/>
              <w:jc w:val="center"/>
              <w:rPr>
                <w:rFonts w:hint="eastAsia" w:ascii="黑体" w:hAnsi="黑体" w:eastAsia="黑体" w:cs="黑体"/>
                <w:color w:val="auto"/>
                <w:sz w:val="24"/>
                <w:szCs w:val="24"/>
                <w:highlight w:val="none"/>
              </w:rPr>
            </w:pPr>
          </w:p>
        </w:tc>
        <w:tc>
          <w:tcPr>
            <w:tcW w:w="927" w:type="dxa"/>
            <w:noWrap w:val="0"/>
            <w:vAlign w:val="center"/>
          </w:tcPr>
          <w:p w14:paraId="0DFA06BF">
            <w:pPr>
              <w:shd w:val="clear" w:color="auto" w:fill="auto"/>
              <w:jc w:val="center"/>
              <w:rPr>
                <w:rFonts w:hint="eastAsia" w:ascii="黑体" w:hAnsi="黑体" w:eastAsia="黑体" w:cs="黑体"/>
                <w:color w:val="auto"/>
                <w:sz w:val="24"/>
                <w:szCs w:val="24"/>
                <w:highlight w:val="none"/>
              </w:rPr>
            </w:pPr>
          </w:p>
        </w:tc>
        <w:tc>
          <w:tcPr>
            <w:tcW w:w="1139" w:type="dxa"/>
            <w:noWrap w:val="0"/>
            <w:vAlign w:val="center"/>
          </w:tcPr>
          <w:p w14:paraId="199CE105">
            <w:pPr>
              <w:shd w:val="clear" w:color="auto" w:fill="auto"/>
              <w:jc w:val="center"/>
              <w:rPr>
                <w:rFonts w:hint="eastAsia" w:ascii="黑体" w:hAnsi="黑体" w:eastAsia="黑体" w:cs="黑体"/>
                <w:color w:val="auto"/>
                <w:sz w:val="24"/>
                <w:szCs w:val="24"/>
                <w:highlight w:val="none"/>
              </w:rPr>
            </w:pPr>
          </w:p>
        </w:tc>
        <w:tc>
          <w:tcPr>
            <w:tcW w:w="1280" w:type="dxa"/>
            <w:noWrap w:val="0"/>
            <w:vAlign w:val="center"/>
          </w:tcPr>
          <w:p w14:paraId="642252E2">
            <w:pPr>
              <w:shd w:val="clear" w:color="auto" w:fill="auto"/>
              <w:jc w:val="center"/>
              <w:rPr>
                <w:rFonts w:hint="eastAsia" w:ascii="黑体" w:hAnsi="黑体" w:eastAsia="黑体" w:cs="黑体"/>
                <w:color w:val="auto"/>
                <w:sz w:val="24"/>
                <w:szCs w:val="24"/>
                <w:highlight w:val="none"/>
              </w:rPr>
            </w:pPr>
          </w:p>
        </w:tc>
        <w:tc>
          <w:tcPr>
            <w:tcW w:w="2027" w:type="dxa"/>
            <w:noWrap w:val="0"/>
            <w:vAlign w:val="center"/>
          </w:tcPr>
          <w:p w14:paraId="44B66800">
            <w:pPr>
              <w:shd w:val="clear" w:color="auto" w:fill="auto"/>
              <w:jc w:val="center"/>
              <w:rPr>
                <w:rFonts w:hint="eastAsia" w:ascii="黑体" w:hAnsi="黑体" w:eastAsia="黑体" w:cs="黑体"/>
                <w:color w:val="auto"/>
                <w:sz w:val="24"/>
                <w:szCs w:val="24"/>
                <w:highlight w:val="none"/>
              </w:rPr>
            </w:pPr>
          </w:p>
        </w:tc>
        <w:tc>
          <w:tcPr>
            <w:tcW w:w="2693" w:type="dxa"/>
            <w:noWrap w:val="0"/>
            <w:vAlign w:val="center"/>
          </w:tcPr>
          <w:p w14:paraId="7107A770">
            <w:pPr>
              <w:shd w:val="clear" w:color="auto" w:fill="auto"/>
              <w:jc w:val="center"/>
              <w:rPr>
                <w:rFonts w:hint="eastAsia" w:ascii="黑体" w:hAnsi="黑体" w:eastAsia="黑体" w:cs="黑体"/>
                <w:color w:val="auto"/>
                <w:sz w:val="24"/>
                <w:szCs w:val="24"/>
                <w:highlight w:val="none"/>
              </w:rPr>
            </w:pPr>
          </w:p>
        </w:tc>
      </w:tr>
      <w:tr w14:paraId="7334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09" w:type="dxa"/>
            <w:noWrap w:val="0"/>
            <w:vAlign w:val="center"/>
          </w:tcPr>
          <w:p w14:paraId="2FB8333B">
            <w:pPr>
              <w:shd w:val="clear" w:color="auto" w:fill="auto"/>
              <w:jc w:val="center"/>
              <w:rPr>
                <w:rFonts w:hint="eastAsia" w:ascii="黑体" w:hAnsi="黑体" w:eastAsia="黑体" w:cs="黑体"/>
                <w:color w:val="auto"/>
                <w:sz w:val="24"/>
                <w:szCs w:val="24"/>
                <w:highlight w:val="none"/>
              </w:rPr>
            </w:pPr>
          </w:p>
        </w:tc>
        <w:tc>
          <w:tcPr>
            <w:tcW w:w="927" w:type="dxa"/>
            <w:noWrap w:val="0"/>
            <w:vAlign w:val="center"/>
          </w:tcPr>
          <w:p w14:paraId="278A34CF">
            <w:pPr>
              <w:shd w:val="clear" w:color="auto" w:fill="auto"/>
              <w:jc w:val="center"/>
              <w:rPr>
                <w:rFonts w:hint="eastAsia" w:ascii="黑体" w:hAnsi="黑体" w:eastAsia="黑体" w:cs="黑体"/>
                <w:color w:val="auto"/>
                <w:sz w:val="24"/>
                <w:szCs w:val="24"/>
                <w:highlight w:val="none"/>
              </w:rPr>
            </w:pPr>
          </w:p>
        </w:tc>
        <w:tc>
          <w:tcPr>
            <w:tcW w:w="1139" w:type="dxa"/>
            <w:noWrap w:val="0"/>
            <w:vAlign w:val="center"/>
          </w:tcPr>
          <w:p w14:paraId="452A250E">
            <w:pPr>
              <w:shd w:val="clear" w:color="auto" w:fill="auto"/>
              <w:jc w:val="center"/>
              <w:rPr>
                <w:rFonts w:hint="eastAsia" w:ascii="黑体" w:hAnsi="黑体" w:eastAsia="黑体" w:cs="黑体"/>
                <w:color w:val="auto"/>
                <w:sz w:val="24"/>
                <w:szCs w:val="24"/>
                <w:highlight w:val="none"/>
              </w:rPr>
            </w:pPr>
          </w:p>
        </w:tc>
        <w:tc>
          <w:tcPr>
            <w:tcW w:w="1280" w:type="dxa"/>
            <w:noWrap w:val="0"/>
            <w:vAlign w:val="center"/>
          </w:tcPr>
          <w:p w14:paraId="1518393B">
            <w:pPr>
              <w:shd w:val="clear" w:color="auto" w:fill="auto"/>
              <w:jc w:val="center"/>
              <w:rPr>
                <w:rFonts w:hint="eastAsia" w:ascii="黑体" w:hAnsi="黑体" w:eastAsia="黑体" w:cs="黑体"/>
                <w:color w:val="auto"/>
                <w:sz w:val="24"/>
                <w:szCs w:val="24"/>
                <w:highlight w:val="none"/>
              </w:rPr>
            </w:pPr>
          </w:p>
        </w:tc>
        <w:tc>
          <w:tcPr>
            <w:tcW w:w="2027" w:type="dxa"/>
            <w:noWrap w:val="0"/>
            <w:vAlign w:val="center"/>
          </w:tcPr>
          <w:p w14:paraId="5C09F5B9">
            <w:pPr>
              <w:shd w:val="clear" w:color="auto" w:fill="auto"/>
              <w:jc w:val="center"/>
              <w:rPr>
                <w:rFonts w:hint="eastAsia" w:ascii="黑体" w:hAnsi="黑体" w:eastAsia="黑体" w:cs="黑体"/>
                <w:color w:val="auto"/>
                <w:sz w:val="24"/>
                <w:szCs w:val="24"/>
                <w:highlight w:val="none"/>
              </w:rPr>
            </w:pPr>
          </w:p>
        </w:tc>
        <w:tc>
          <w:tcPr>
            <w:tcW w:w="2693" w:type="dxa"/>
            <w:noWrap w:val="0"/>
            <w:vAlign w:val="center"/>
          </w:tcPr>
          <w:p w14:paraId="0197B55B">
            <w:pPr>
              <w:shd w:val="clear" w:color="auto" w:fill="auto"/>
              <w:jc w:val="center"/>
              <w:rPr>
                <w:rFonts w:hint="eastAsia" w:ascii="黑体" w:hAnsi="黑体" w:eastAsia="黑体" w:cs="黑体"/>
                <w:color w:val="auto"/>
                <w:sz w:val="24"/>
                <w:szCs w:val="24"/>
                <w:highlight w:val="none"/>
              </w:rPr>
            </w:pPr>
          </w:p>
        </w:tc>
      </w:tr>
      <w:tr w14:paraId="7FCD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09" w:type="dxa"/>
            <w:noWrap w:val="0"/>
            <w:vAlign w:val="center"/>
          </w:tcPr>
          <w:p w14:paraId="18DCCBE3">
            <w:pPr>
              <w:shd w:val="clear" w:color="auto" w:fill="auto"/>
              <w:jc w:val="center"/>
              <w:rPr>
                <w:rFonts w:hint="eastAsia" w:ascii="黑体" w:hAnsi="黑体" w:eastAsia="黑体" w:cs="黑体"/>
                <w:color w:val="auto"/>
                <w:sz w:val="24"/>
                <w:szCs w:val="24"/>
                <w:highlight w:val="none"/>
              </w:rPr>
            </w:pPr>
          </w:p>
        </w:tc>
        <w:tc>
          <w:tcPr>
            <w:tcW w:w="927" w:type="dxa"/>
            <w:noWrap w:val="0"/>
            <w:vAlign w:val="center"/>
          </w:tcPr>
          <w:p w14:paraId="47B05E09">
            <w:pPr>
              <w:shd w:val="clear" w:color="auto" w:fill="auto"/>
              <w:jc w:val="center"/>
              <w:rPr>
                <w:rFonts w:hint="eastAsia" w:ascii="黑体" w:hAnsi="黑体" w:eastAsia="黑体" w:cs="黑体"/>
                <w:color w:val="auto"/>
                <w:sz w:val="24"/>
                <w:szCs w:val="24"/>
                <w:highlight w:val="none"/>
              </w:rPr>
            </w:pPr>
          </w:p>
        </w:tc>
        <w:tc>
          <w:tcPr>
            <w:tcW w:w="1139" w:type="dxa"/>
            <w:noWrap w:val="0"/>
            <w:vAlign w:val="center"/>
          </w:tcPr>
          <w:p w14:paraId="1D0F9E04">
            <w:pPr>
              <w:shd w:val="clear" w:color="auto" w:fill="auto"/>
              <w:jc w:val="center"/>
              <w:rPr>
                <w:rFonts w:hint="eastAsia" w:ascii="黑体" w:hAnsi="黑体" w:eastAsia="黑体" w:cs="黑体"/>
                <w:color w:val="auto"/>
                <w:sz w:val="24"/>
                <w:szCs w:val="24"/>
                <w:highlight w:val="none"/>
              </w:rPr>
            </w:pPr>
          </w:p>
        </w:tc>
        <w:tc>
          <w:tcPr>
            <w:tcW w:w="1280" w:type="dxa"/>
            <w:noWrap w:val="0"/>
            <w:vAlign w:val="center"/>
          </w:tcPr>
          <w:p w14:paraId="701C020A">
            <w:pPr>
              <w:shd w:val="clear" w:color="auto" w:fill="auto"/>
              <w:jc w:val="center"/>
              <w:rPr>
                <w:rFonts w:hint="eastAsia" w:ascii="黑体" w:hAnsi="黑体" w:eastAsia="黑体" w:cs="黑体"/>
                <w:color w:val="auto"/>
                <w:sz w:val="24"/>
                <w:szCs w:val="24"/>
                <w:highlight w:val="none"/>
              </w:rPr>
            </w:pPr>
          </w:p>
        </w:tc>
        <w:tc>
          <w:tcPr>
            <w:tcW w:w="2027" w:type="dxa"/>
            <w:noWrap w:val="0"/>
            <w:vAlign w:val="center"/>
          </w:tcPr>
          <w:p w14:paraId="3B4404FE">
            <w:pPr>
              <w:shd w:val="clear" w:color="auto" w:fill="auto"/>
              <w:jc w:val="center"/>
              <w:rPr>
                <w:rFonts w:hint="eastAsia" w:ascii="黑体" w:hAnsi="黑体" w:eastAsia="黑体" w:cs="黑体"/>
                <w:color w:val="auto"/>
                <w:sz w:val="24"/>
                <w:szCs w:val="24"/>
                <w:highlight w:val="none"/>
              </w:rPr>
            </w:pPr>
          </w:p>
        </w:tc>
        <w:tc>
          <w:tcPr>
            <w:tcW w:w="2693" w:type="dxa"/>
            <w:noWrap w:val="0"/>
            <w:vAlign w:val="center"/>
          </w:tcPr>
          <w:p w14:paraId="5795813B">
            <w:pPr>
              <w:shd w:val="clear" w:color="auto" w:fill="auto"/>
              <w:jc w:val="center"/>
              <w:rPr>
                <w:rFonts w:hint="eastAsia" w:ascii="黑体" w:hAnsi="黑体" w:eastAsia="黑体" w:cs="黑体"/>
                <w:color w:val="auto"/>
                <w:sz w:val="24"/>
                <w:szCs w:val="24"/>
                <w:highlight w:val="none"/>
              </w:rPr>
            </w:pPr>
          </w:p>
        </w:tc>
      </w:tr>
      <w:tr w14:paraId="612B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09" w:type="dxa"/>
            <w:noWrap w:val="0"/>
            <w:vAlign w:val="center"/>
          </w:tcPr>
          <w:p w14:paraId="1709EB25">
            <w:pPr>
              <w:shd w:val="clear" w:color="auto" w:fill="auto"/>
              <w:jc w:val="center"/>
              <w:rPr>
                <w:rFonts w:hint="eastAsia" w:ascii="黑体" w:hAnsi="黑体" w:eastAsia="黑体" w:cs="黑体"/>
                <w:color w:val="auto"/>
                <w:sz w:val="24"/>
                <w:szCs w:val="24"/>
                <w:highlight w:val="none"/>
              </w:rPr>
            </w:pPr>
          </w:p>
        </w:tc>
        <w:tc>
          <w:tcPr>
            <w:tcW w:w="927" w:type="dxa"/>
            <w:noWrap w:val="0"/>
            <w:vAlign w:val="center"/>
          </w:tcPr>
          <w:p w14:paraId="2240BE63">
            <w:pPr>
              <w:shd w:val="clear" w:color="auto" w:fill="auto"/>
              <w:jc w:val="center"/>
              <w:rPr>
                <w:rFonts w:hint="eastAsia" w:ascii="黑体" w:hAnsi="黑体" w:eastAsia="黑体" w:cs="黑体"/>
                <w:color w:val="auto"/>
                <w:sz w:val="24"/>
                <w:szCs w:val="24"/>
                <w:highlight w:val="none"/>
              </w:rPr>
            </w:pPr>
          </w:p>
        </w:tc>
        <w:tc>
          <w:tcPr>
            <w:tcW w:w="1139" w:type="dxa"/>
            <w:noWrap w:val="0"/>
            <w:vAlign w:val="center"/>
          </w:tcPr>
          <w:p w14:paraId="020F40B2">
            <w:pPr>
              <w:shd w:val="clear" w:color="auto" w:fill="auto"/>
              <w:jc w:val="center"/>
              <w:rPr>
                <w:rFonts w:hint="eastAsia" w:ascii="黑体" w:hAnsi="黑体" w:eastAsia="黑体" w:cs="黑体"/>
                <w:color w:val="auto"/>
                <w:sz w:val="24"/>
                <w:szCs w:val="24"/>
                <w:highlight w:val="none"/>
              </w:rPr>
            </w:pPr>
          </w:p>
        </w:tc>
        <w:tc>
          <w:tcPr>
            <w:tcW w:w="1280" w:type="dxa"/>
            <w:noWrap w:val="0"/>
            <w:vAlign w:val="center"/>
          </w:tcPr>
          <w:p w14:paraId="688F4D07">
            <w:pPr>
              <w:shd w:val="clear" w:color="auto" w:fill="auto"/>
              <w:jc w:val="center"/>
              <w:rPr>
                <w:rFonts w:hint="eastAsia" w:ascii="黑体" w:hAnsi="黑体" w:eastAsia="黑体" w:cs="黑体"/>
                <w:color w:val="auto"/>
                <w:sz w:val="24"/>
                <w:szCs w:val="24"/>
                <w:highlight w:val="none"/>
              </w:rPr>
            </w:pPr>
          </w:p>
        </w:tc>
        <w:tc>
          <w:tcPr>
            <w:tcW w:w="2027" w:type="dxa"/>
            <w:noWrap w:val="0"/>
            <w:vAlign w:val="center"/>
          </w:tcPr>
          <w:p w14:paraId="77979B57">
            <w:pPr>
              <w:shd w:val="clear" w:color="auto" w:fill="auto"/>
              <w:jc w:val="center"/>
              <w:rPr>
                <w:rFonts w:hint="eastAsia" w:ascii="黑体" w:hAnsi="黑体" w:eastAsia="黑体" w:cs="黑体"/>
                <w:color w:val="auto"/>
                <w:sz w:val="24"/>
                <w:szCs w:val="24"/>
                <w:highlight w:val="none"/>
              </w:rPr>
            </w:pPr>
          </w:p>
        </w:tc>
        <w:tc>
          <w:tcPr>
            <w:tcW w:w="2693" w:type="dxa"/>
            <w:noWrap w:val="0"/>
            <w:vAlign w:val="center"/>
          </w:tcPr>
          <w:p w14:paraId="2D836B00">
            <w:pPr>
              <w:shd w:val="clear" w:color="auto" w:fill="auto"/>
              <w:jc w:val="center"/>
              <w:rPr>
                <w:rFonts w:hint="eastAsia" w:ascii="黑体" w:hAnsi="黑体" w:eastAsia="黑体" w:cs="黑体"/>
                <w:color w:val="auto"/>
                <w:sz w:val="24"/>
                <w:szCs w:val="24"/>
                <w:highlight w:val="none"/>
              </w:rPr>
            </w:pPr>
          </w:p>
        </w:tc>
      </w:tr>
      <w:tr w14:paraId="141C9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09" w:type="dxa"/>
            <w:noWrap w:val="0"/>
            <w:vAlign w:val="center"/>
          </w:tcPr>
          <w:p w14:paraId="384ADFE9">
            <w:pPr>
              <w:shd w:val="clear" w:color="auto" w:fill="auto"/>
              <w:jc w:val="center"/>
              <w:rPr>
                <w:rFonts w:hint="eastAsia" w:ascii="黑体" w:hAnsi="黑体" w:eastAsia="黑体" w:cs="黑体"/>
                <w:color w:val="auto"/>
                <w:sz w:val="24"/>
                <w:szCs w:val="24"/>
                <w:highlight w:val="none"/>
              </w:rPr>
            </w:pPr>
          </w:p>
        </w:tc>
        <w:tc>
          <w:tcPr>
            <w:tcW w:w="927" w:type="dxa"/>
            <w:noWrap w:val="0"/>
            <w:vAlign w:val="center"/>
          </w:tcPr>
          <w:p w14:paraId="5C1E431A">
            <w:pPr>
              <w:shd w:val="clear" w:color="auto" w:fill="auto"/>
              <w:jc w:val="center"/>
              <w:rPr>
                <w:rFonts w:hint="eastAsia" w:ascii="黑体" w:hAnsi="黑体" w:eastAsia="黑体" w:cs="黑体"/>
                <w:color w:val="auto"/>
                <w:sz w:val="24"/>
                <w:szCs w:val="24"/>
                <w:highlight w:val="none"/>
              </w:rPr>
            </w:pPr>
          </w:p>
        </w:tc>
        <w:tc>
          <w:tcPr>
            <w:tcW w:w="1139" w:type="dxa"/>
            <w:noWrap w:val="0"/>
            <w:vAlign w:val="center"/>
          </w:tcPr>
          <w:p w14:paraId="7D26BBAE">
            <w:pPr>
              <w:shd w:val="clear" w:color="auto" w:fill="auto"/>
              <w:jc w:val="center"/>
              <w:rPr>
                <w:rFonts w:hint="eastAsia" w:ascii="黑体" w:hAnsi="黑体" w:eastAsia="黑体" w:cs="黑体"/>
                <w:color w:val="auto"/>
                <w:sz w:val="24"/>
                <w:szCs w:val="24"/>
                <w:highlight w:val="none"/>
              </w:rPr>
            </w:pPr>
          </w:p>
        </w:tc>
        <w:tc>
          <w:tcPr>
            <w:tcW w:w="1280" w:type="dxa"/>
            <w:noWrap w:val="0"/>
            <w:vAlign w:val="center"/>
          </w:tcPr>
          <w:p w14:paraId="229D2635">
            <w:pPr>
              <w:shd w:val="clear" w:color="auto" w:fill="auto"/>
              <w:jc w:val="center"/>
              <w:rPr>
                <w:rFonts w:hint="eastAsia" w:ascii="黑体" w:hAnsi="黑体" w:eastAsia="黑体" w:cs="黑体"/>
                <w:color w:val="auto"/>
                <w:sz w:val="24"/>
                <w:szCs w:val="24"/>
                <w:highlight w:val="none"/>
              </w:rPr>
            </w:pPr>
          </w:p>
        </w:tc>
        <w:tc>
          <w:tcPr>
            <w:tcW w:w="2027" w:type="dxa"/>
            <w:noWrap w:val="0"/>
            <w:vAlign w:val="center"/>
          </w:tcPr>
          <w:p w14:paraId="54C0DFD9">
            <w:pPr>
              <w:shd w:val="clear" w:color="auto" w:fill="auto"/>
              <w:jc w:val="center"/>
              <w:rPr>
                <w:rFonts w:hint="eastAsia" w:ascii="黑体" w:hAnsi="黑体" w:eastAsia="黑体" w:cs="黑体"/>
                <w:color w:val="auto"/>
                <w:sz w:val="24"/>
                <w:szCs w:val="24"/>
                <w:highlight w:val="none"/>
              </w:rPr>
            </w:pPr>
          </w:p>
        </w:tc>
        <w:tc>
          <w:tcPr>
            <w:tcW w:w="2693" w:type="dxa"/>
            <w:noWrap w:val="0"/>
            <w:vAlign w:val="center"/>
          </w:tcPr>
          <w:p w14:paraId="5D4B0B1D">
            <w:pPr>
              <w:shd w:val="clear" w:color="auto" w:fill="auto"/>
              <w:jc w:val="center"/>
              <w:rPr>
                <w:rFonts w:hint="eastAsia" w:ascii="黑体" w:hAnsi="黑体" w:eastAsia="黑体" w:cs="黑体"/>
                <w:color w:val="auto"/>
                <w:sz w:val="24"/>
                <w:szCs w:val="24"/>
                <w:highlight w:val="none"/>
              </w:rPr>
            </w:pPr>
          </w:p>
        </w:tc>
      </w:tr>
      <w:tr w14:paraId="6D5C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09" w:type="dxa"/>
            <w:noWrap w:val="0"/>
            <w:vAlign w:val="center"/>
          </w:tcPr>
          <w:p w14:paraId="6647CB86">
            <w:pPr>
              <w:shd w:val="clear" w:color="auto" w:fill="auto"/>
              <w:jc w:val="center"/>
              <w:rPr>
                <w:rFonts w:hint="eastAsia" w:ascii="黑体" w:hAnsi="黑体" w:eastAsia="黑体" w:cs="黑体"/>
                <w:color w:val="auto"/>
                <w:sz w:val="24"/>
                <w:szCs w:val="24"/>
                <w:highlight w:val="none"/>
              </w:rPr>
            </w:pPr>
          </w:p>
        </w:tc>
        <w:tc>
          <w:tcPr>
            <w:tcW w:w="927" w:type="dxa"/>
            <w:noWrap w:val="0"/>
            <w:vAlign w:val="center"/>
          </w:tcPr>
          <w:p w14:paraId="2CAC2D9F">
            <w:pPr>
              <w:shd w:val="clear" w:color="auto" w:fill="auto"/>
              <w:jc w:val="center"/>
              <w:rPr>
                <w:rFonts w:hint="eastAsia" w:ascii="黑体" w:hAnsi="黑体" w:eastAsia="黑体" w:cs="黑体"/>
                <w:color w:val="auto"/>
                <w:sz w:val="24"/>
                <w:szCs w:val="24"/>
                <w:highlight w:val="none"/>
              </w:rPr>
            </w:pPr>
          </w:p>
        </w:tc>
        <w:tc>
          <w:tcPr>
            <w:tcW w:w="1139" w:type="dxa"/>
            <w:noWrap w:val="0"/>
            <w:vAlign w:val="center"/>
          </w:tcPr>
          <w:p w14:paraId="4EB093A4">
            <w:pPr>
              <w:shd w:val="clear" w:color="auto" w:fill="auto"/>
              <w:jc w:val="center"/>
              <w:rPr>
                <w:rFonts w:hint="eastAsia" w:ascii="黑体" w:hAnsi="黑体" w:eastAsia="黑体" w:cs="黑体"/>
                <w:color w:val="auto"/>
                <w:sz w:val="24"/>
                <w:szCs w:val="24"/>
                <w:highlight w:val="none"/>
              </w:rPr>
            </w:pPr>
          </w:p>
        </w:tc>
        <w:tc>
          <w:tcPr>
            <w:tcW w:w="1280" w:type="dxa"/>
            <w:noWrap w:val="0"/>
            <w:vAlign w:val="center"/>
          </w:tcPr>
          <w:p w14:paraId="109C7A0D">
            <w:pPr>
              <w:shd w:val="clear" w:color="auto" w:fill="auto"/>
              <w:jc w:val="center"/>
              <w:rPr>
                <w:rFonts w:hint="eastAsia" w:ascii="黑体" w:hAnsi="黑体" w:eastAsia="黑体" w:cs="黑体"/>
                <w:color w:val="auto"/>
                <w:sz w:val="24"/>
                <w:szCs w:val="24"/>
                <w:highlight w:val="none"/>
              </w:rPr>
            </w:pPr>
          </w:p>
        </w:tc>
        <w:tc>
          <w:tcPr>
            <w:tcW w:w="2027" w:type="dxa"/>
            <w:noWrap w:val="0"/>
            <w:vAlign w:val="center"/>
          </w:tcPr>
          <w:p w14:paraId="797543BE">
            <w:pPr>
              <w:shd w:val="clear" w:color="auto" w:fill="auto"/>
              <w:jc w:val="center"/>
              <w:rPr>
                <w:rFonts w:hint="eastAsia" w:ascii="黑体" w:hAnsi="黑体" w:eastAsia="黑体" w:cs="黑体"/>
                <w:color w:val="auto"/>
                <w:sz w:val="24"/>
                <w:szCs w:val="24"/>
                <w:highlight w:val="none"/>
              </w:rPr>
            </w:pPr>
          </w:p>
        </w:tc>
        <w:tc>
          <w:tcPr>
            <w:tcW w:w="2693" w:type="dxa"/>
            <w:noWrap w:val="0"/>
            <w:vAlign w:val="center"/>
          </w:tcPr>
          <w:p w14:paraId="1CDBCCBC">
            <w:pPr>
              <w:shd w:val="clear" w:color="auto" w:fill="auto"/>
              <w:jc w:val="center"/>
              <w:rPr>
                <w:rFonts w:hint="eastAsia" w:ascii="黑体" w:hAnsi="黑体" w:eastAsia="黑体" w:cs="黑体"/>
                <w:color w:val="auto"/>
                <w:sz w:val="24"/>
                <w:szCs w:val="24"/>
                <w:highlight w:val="none"/>
              </w:rPr>
            </w:pPr>
          </w:p>
        </w:tc>
      </w:tr>
      <w:tr w14:paraId="4CD8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09" w:type="dxa"/>
            <w:noWrap w:val="0"/>
            <w:vAlign w:val="center"/>
          </w:tcPr>
          <w:p w14:paraId="50D95512">
            <w:pPr>
              <w:shd w:val="clear" w:color="auto" w:fill="auto"/>
              <w:jc w:val="center"/>
              <w:rPr>
                <w:rFonts w:hint="eastAsia" w:ascii="黑体" w:hAnsi="黑体" w:eastAsia="黑体" w:cs="黑体"/>
                <w:color w:val="auto"/>
                <w:sz w:val="24"/>
                <w:szCs w:val="24"/>
                <w:highlight w:val="none"/>
              </w:rPr>
            </w:pPr>
          </w:p>
        </w:tc>
        <w:tc>
          <w:tcPr>
            <w:tcW w:w="927" w:type="dxa"/>
            <w:noWrap w:val="0"/>
            <w:vAlign w:val="center"/>
          </w:tcPr>
          <w:p w14:paraId="490440F9">
            <w:pPr>
              <w:shd w:val="clear" w:color="auto" w:fill="auto"/>
              <w:jc w:val="center"/>
              <w:rPr>
                <w:rFonts w:hint="eastAsia" w:ascii="黑体" w:hAnsi="黑体" w:eastAsia="黑体" w:cs="黑体"/>
                <w:color w:val="auto"/>
                <w:sz w:val="24"/>
                <w:szCs w:val="24"/>
                <w:highlight w:val="none"/>
              </w:rPr>
            </w:pPr>
          </w:p>
        </w:tc>
        <w:tc>
          <w:tcPr>
            <w:tcW w:w="1139" w:type="dxa"/>
            <w:noWrap w:val="0"/>
            <w:vAlign w:val="center"/>
          </w:tcPr>
          <w:p w14:paraId="538A8CAE">
            <w:pPr>
              <w:shd w:val="clear" w:color="auto" w:fill="auto"/>
              <w:jc w:val="center"/>
              <w:rPr>
                <w:rFonts w:hint="eastAsia" w:ascii="黑体" w:hAnsi="黑体" w:eastAsia="黑体" w:cs="黑体"/>
                <w:color w:val="auto"/>
                <w:sz w:val="24"/>
                <w:szCs w:val="24"/>
                <w:highlight w:val="none"/>
              </w:rPr>
            </w:pPr>
          </w:p>
        </w:tc>
        <w:tc>
          <w:tcPr>
            <w:tcW w:w="1280" w:type="dxa"/>
            <w:noWrap w:val="0"/>
            <w:vAlign w:val="center"/>
          </w:tcPr>
          <w:p w14:paraId="22473EDE">
            <w:pPr>
              <w:shd w:val="clear" w:color="auto" w:fill="auto"/>
              <w:jc w:val="center"/>
              <w:rPr>
                <w:rFonts w:hint="eastAsia" w:ascii="黑体" w:hAnsi="黑体" w:eastAsia="黑体" w:cs="黑体"/>
                <w:color w:val="auto"/>
                <w:sz w:val="24"/>
                <w:szCs w:val="24"/>
                <w:highlight w:val="none"/>
              </w:rPr>
            </w:pPr>
          </w:p>
        </w:tc>
        <w:tc>
          <w:tcPr>
            <w:tcW w:w="2027" w:type="dxa"/>
            <w:noWrap w:val="0"/>
            <w:vAlign w:val="center"/>
          </w:tcPr>
          <w:p w14:paraId="6C358961">
            <w:pPr>
              <w:shd w:val="clear" w:color="auto" w:fill="auto"/>
              <w:jc w:val="center"/>
              <w:rPr>
                <w:rFonts w:hint="eastAsia" w:ascii="黑体" w:hAnsi="黑体" w:eastAsia="黑体" w:cs="黑体"/>
                <w:color w:val="auto"/>
                <w:sz w:val="24"/>
                <w:szCs w:val="24"/>
                <w:highlight w:val="none"/>
              </w:rPr>
            </w:pPr>
          </w:p>
        </w:tc>
        <w:tc>
          <w:tcPr>
            <w:tcW w:w="2693" w:type="dxa"/>
            <w:noWrap w:val="0"/>
            <w:vAlign w:val="center"/>
          </w:tcPr>
          <w:p w14:paraId="250C2C18">
            <w:pPr>
              <w:shd w:val="clear" w:color="auto" w:fill="auto"/>
              <w:jc w:val="center"/>
              <w:rPr>
                <w:rFonts w:hint="eastAsia" w:ascii="黑体" w:hAnsi="黑体" w:eastAsia="黑体" w:cs="黑体"/>
                <w:color w:val="auto"/>
                <w:sz w:val="24"/>
                <w:szCs w:val="24"/>
                <w:highlight w:val="none"/>
              </w:rPr>
            </w:pPr>
          </w:p>
        </w:tc>
      </w:tr>
      <w:tr w14:paraId="438A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09" w:type="dxa"/>
            <w:noWrap w:val="0"/>
            <w:vAlign w:val="center"/>
          </w:tcPr>
          <w:p w14:paraId="2EBF45CF">
            <w:pPr>
              <w:shd w:val="clear" w:color="auto" w:fill="auto"/>
              <w:jc w:val="center"/>
              <w:rPr>
                <w:rFonts w:hint="eastAsia" w:ascii="黑体" w:hAnsi="黑体" w:eastAsia="黑体" w:cs="黑体"/>
                <w:color w:val="auto"/>
              </w:rPr>
            </w:pPr>
          </w:p>
          <w:p w14:paraId="115228A7">
            <w:pPr>
              <w:pStyle w:val="27"/>
              <w:rPr>
                <w:rFonts w:hint="eastAsia" w:ascii="黑体" w:hAnsi="黑体" w:eastAsia="黑体" w:cs="黑体"/>
                <w:color w:val="auto"/>
              </w:rPr>
            </w:pPr>
          </w:p>
        </w:tc>
        <w:tc>
          <w:tcPr>
            <w:tcW w:w="927" w:type="dxa"/>
            <w:noWrap w:val="0"/>
            <w:vAlign w:val="center"/>
          </w:tcPr>
          <w:p w14:paraId="4E4413BD">
            <w:pPr>
              <w:shd w:val="clear" w:color="auto" w:fill="auto"/>
              <w:jc w:val="center"/>
              <w:rPr>
                <w:rFonts w:hint="eastAsia" w:ascii="黑体" w:hAnsi="黑体" w:eastAsia="黑体" w:cs="黑体"/>
                <w:color w:val="auto"/>
                <w:sz w:val="24"/>
                <w:szCs w:val="24"/>
                <w:highlight w:val="none"/>
              </w:rPr>
            </w:pPr>
          </w:p>
        </w:tc>
        <w:tc>
          <w:tcPr>
            <w:tcW w:w="1139" w:type="dxa"/>
            <w:noWrap w:val="0"/>
            <w:vAlign w:val="center"/>
          </w:tcPr>
          <w:p w14:paraId="5B658F86">
            <w:pPr>
              <w:shd w:val="clear" w:color="auto" w:fill="auto"/>
              <w:jc w:val="center"/>
              <w:rPr>
                <w:rFonts w:hint="eastAsia" w:ascii="黑体" w:hAnsi="黑体" w:eastAsia="黑体" w:cs="黑体"/>
                <w:color w:val="auto"/>
                <w:sz w:val="24"/>
                <w:szCs w:val="24"/>
                <w:highlight w:val="none"/>
              </w:rPr>
            </w:pPr>
          </w:p>
        </w:tc>
        <w:tc>
          <w:tcPr>
            <w:tcW w:w="1280" w:type="dxa"/>
            <w:noWrap w:val="0"/>
            <w:vAlign w:val="center"/>
          </w:tcPr>
          <w:p w14:paraId="64DEC2D8">
            <w:pPr>
              <w:shd w:val="clear" w:color="auto" w:fill="auto"/>
              <w:jc w:val="center"/>
              <w:rPr>
                <w:rFonts w:hint="eastAsia" w:ascii="黑体" w:hAnsi="黑体" w:eastAsia="黑体" w:cs="黑体"/>
                <w:color w:val="auto"/>
                <w:sz w:val="24"/>
                <w:szCs w:val="24"/>
                <w:highlight w:val="none"/>
              </w:rPr>
            </w:pPr>
          </w:p>
        </w:tc>
        <w:tc>
          <w:tcPr>
            <w:tcW w:w="2027" w:type="dxa"/>
            <w:noWrap w:val="0"/>
            <w:vAlign w:val="center"/>
          </w:tcPr>
          <w:p w14:paraId="7D7901E0">
            <w:pPr>
              <w:shd w:val="clear" w:color="auto" w:fill="auto"/>
              <w:jc w:val="center"/>
              <w:rPr>
                <w:rFonts w:hint="eastAsia" w:ascii="黑体" w:hAnsi="黑体" w:eastAsia="黑体" w:cs="黑体"/>
                <w:color w:val="auto"/>
                <w:sz w:val="24"/>
                <w:szCs w:val="24"/>
                <w:highlight w:val="none"/>
              </w:rPr>
            </w:pPr>
          </w:p>
        </w:tc>
        <w:tc>
          <w:tcPr>
            <w:tcW w:w="2693" w:type="dxa"/>
            <w:noWrap w:val="0"/>
            <w:vAlign w:val="center"/>
          </w:tcPr>
          <w:p w14:paraId="25B684C7">
            <w:pPr>
              <w:shd w:val="clear" w:color="auto" w:fill="auto"/>
              <w:jc w:val="center"/>
              <w:rPr>
                <w:rFonts w:hint="eastAsia" w:ascii="黑体" w:hAnsi="黑体" w:eastAsia="黑体" w:cs="黑体"/>
                <w:color w:val="auto"/>
                <w:sz w:val="24"/>
                <w:szCs w:val="24"/>
                <w:highlight w:val="none"/>
              </w:rPr>
            </w:pPr>
          </w:p>
        </w:tc>
      </w:tr>
    </w:tbl>
    <w:p w14:paraId="0F6D56AD">
      <w:pPr>
        <w:pStyle w:val="21"/>
        <w:keepNext w:val="0"/>
        <w:keepLines w:val="0"/>
        <w:pageBreakBefore w:val="0"/>
        <w:widowControl w:val="0"/>
        <w:shd w:val="clear" w:color="auto" w:fill="auto"/>
        <w:kinsoku/>
        <w:wordWrap/>
        <w:overflowPunct/>
        <w:topLinePunct w:val="0"/>
        <w:autoSpaceDE/>
        <w:autoSpaceDN/>
        <w:bidi w:val="0"/>
        <w:adjustRightInd/>
        <w:snapToGrid/>
        <w:spacing w:line="400" w:lineRule="exact"/>
        <w:ind w:left="415" w:leftChars="198" w:right="504" w:rightChars="240" w:firstLine="4" w:firstLineChars="0"/>
        <w:jc w:val="left"/>
        <w:textAlignment w:val="auto"/>
        <w:outlineLvl w:val="9"/>
        <w:rPr>
          <w:rFonts w:hint="eastAsia" w:ascii="黑体" w:hAnsi="黑体" w:eastAsia="黑体" w:cs="黑体"/>
          <w:b/>
          <w:color w:val="auto"/>
          <w:kern w:val="0"/>
          <w:sz w:val="24"/>
          <w:szCs w:val="24"/>
          <w:highlight w:val="none"/>
          <w:lang w:val="en-US" w:eastAsia="zh-CN" w:bidi="ar-SA"/>
        </w:rPr>
      </w:pPr>
      <w:r>
        <w:rPr>
          <w:rFonts w:hint="eastAsia" w:ascii="黑体" w:hAnsi="黑体" w:eastAsia="黑体" w:cs="黑体"/>
          <w:b/>
          <w:color w:val="auto"/>
          <w:kern w:val="0"/>
          <w:sz w:val="24"/>
          <w:szCs w:val="24"/>
          <w:highlight w:val="none"/>
          <w:lang w:val="en-US" w:eastAsia="zh-CN" w:bidi="ar-SA"/>
        </w:rPr>
        <w:t>注：1、项目经理应附建造师注册证书、安全生产考核证书、身份证、职称证、社保（近6个月任意一月）等资料扫描件并加盖单位公章；未担任其他在施建设工程项目项目经理的承诺书，管理过的项目业绩须附中标通知书、合同协议书、验收文件（或项目法人出具的完工证明文件）扫描件并加盖单位公章。类似项目限于以项目经理身份参与的项目。</w:t>
      </w:r>
    </w:p>
    <w:p w14:paraId="36EBABB2">
      <w:pPr>
        <w:pStyle w:val="21"/>
        <w:keepNext w:val="0"/>
        <w:keepLines w:val="0"/>
        <w:pageBreakBefore w:val="0"/>
        <w:widowControl w:val="0"/>
        <w:shd w:val="clear" w:color="auto" w:fill="auto"/>
        <w:kinsoku/>
        <w:wordWrap/>
        <w:overflowPunct/>
        <w:topLinePunct w:val="0"/>
        <w:autoSpaceDE/>
        <w:autoSpaceDN/>
        <w:bidi w:val="0"/>
        <w:adjustRightInd/>
        <w:snapToGrid/>
        <w:spacing w:line="400" w:lineRule="exact"/>
        <w:ind w:left="415" w:leftChars="198" w:right="504" w:rightChars="240" w:firstLine="4" w:firstLineChars="0"/>
        <w:jc w:val="left"/>
        <w:textAlignment w:val="auto"/>
        <w:outlineLvl w:val="9"/>
        <w:rPr>
          <w:rFonts w:hint="eastAsia" w:ascii="黑体" w:hAnsi="黑体" w:eastAsia="黑体" w:cs="黑体"/>
          <w:b/>
          <w:color w:val="auto"/>
          <w:kern w:val="0"/>
          <w:sz w:val="24"/>
          <w:szCs w:val="24"/>
          <w:highlight w:val="none"/>
          <w:lang w:val="en-US" w:eastAsia="zh-CN" w:bidi="ar-SA"/>
        </w:rPr>
      </w:pPr>
      <w:r>
        <w:rPr>
          <w:rFonts w:hint="eastAsia" w:ascii="黑体" w:hAnsi="黑体" w:eastAsia="黑体" w:cs="黑体"/>
          <w:b/>
          <w:color w:val="auto"/>
          <w:kern w:val="0"/>
          <w:sz w:val="24"/>
          <w:szCs w:val="24"/>
          <w:highlight w:val="none"/>
          <w:lang w:val="en-US" w:eastAsia="zh-CN" w:bidi="ar-SA"/>
        </w:rPr>
        <w:t>2、承包人若需要更换本项目响应文件中原有建造师及人员时须经发包人同意。未经发包人同意，承包人更换人员应承担违约责任，并且按照中标价</w:t>
      </w:r>
      <w:r>
        <w:rPr>
          <w:rFonts w:hint="eastAsia" w:ascii="黑体" w:hAnsi="黑体" w:eastAsia="黑体" w:cs="黑体"/>
          <w:b/>
          <w:color w:val="auto"/>
          <w:kern w:val="0"/>
          <w:sz w:val="24"/>
          <w:szCs w:val="24"/>
          <w:highlight w:val="none"/>
          <w:u w:val="single"/>
          <w:lang w:val="en-US" w:eastAsia="zh-CN" w:bidi="ar-SA"/>
        </w:rPr>
        <w:t>5</w:t>
      </w:r>
      <w:r>
        <w:rPr>
          <w:rFonts w:hint="eastAsia" w:ascii="黑体" w:hAnsi="黑体" w:eastAsia="黑体" w:cs="黑体"/>
          <w:b/>
          <w:color w:val="auto"/>
          <w:kern w:val="0"/>
          <w:sz w:val="24"/>
          <w:szCs w:val="24"/>
          <w:highlight w:val="none"/>
          <w:lang w:val="en-US" w:eastAsia="zh-CN" w:bidi="ar-SA"/>
        </w:rPr>
        <w:t>％给发包人支付违约金。</w:t>
      </w:r>
    </w:p>
    <w:p w14:paraId="586250F8">
      <w:pPr>
        <w:shd w:val="clear" w:color="auto" w:fill="auto"/>
        <w:spacing w:line="420" w:lineRule="exact"/>
        <w:ind w:left="420" w:leftChars="200" w:firstLine="0" w:firstLineChars="0"/>
        <w:jc w:val="both"/>
        <w:rPr>
          <w:rFonts w:hint="eastAsia" w:ascii="黑体" w:hAnsi="黑体" w:eastAsia="黑体" w:cs="黑体"/>
          <w:color w:val="auto"/>
          <w:sz w:val="24"/>
          <w:szCs w:val="24"/>
          <w:highlight w:val="none"/>
        </w:rPr>
      </w:pPr>
      <w:r>
        <w:rPr>
          <w:rFonts w:hint="eastAsia" w:ascii="黑体" w:hAnsi="黑体" w:eastAsia="黑体" w:cs="黑体"/>
          <w:color w:val="auto"/>
          <w:szCs w:val="21"/>
          <w:highlight w:val="none"/>
        </w:rPr>
        <w:br w:type="page"/>
      </w:r>
      <w:r>
        <w:rPr>
          <w:rFonts w:hint="eastAsia" w:ascii="黑体" w:hAnsi="黑体" w:eastAsia="黑体" w:cs="黑体"/>
          <w:b/>
          <w:bCs/>
          <w:color w:val="auto"/>
          <w:sz w:val="24"/>
          <w:szCs w:val="24"/>
          <w:highlight w:val="none"/>
        </w:rPr>
        <w:t>附</w:t>
      </w:r>
      <w:r>
        <w:rPr>
          <w:rFonts w:hint="eastAsia" w:ascii="黑体" w:hAnsi="黑体" w:eastAsia="黑体" w:cs="黑体"/>
          <w:b/>
          <w:bCs/>
          <w:color w:val="auto"/>
          <w:sz w:val="24"/>
          <w:szCs w:val="24"/>
          <w:highlight w:val="none"/>
          <w:lang w:val="en-US" w:eastAsia="zh-CN"/>
        </w:rPr>
        <w:t>2.2.</w:t>
      </w:r>
      <w:r>
        <w:rPr>
          <w:rFonts w:hint="eastAsia" w:ascii="黑体" w:hAnsi="黑体" w:eastAsia="黑体" w:cs="黑体"/>
          <w:b/>
          <w:bCs/>
          <w:color w:val="auto"/>
          <w:sz w:val="24"/>
          <w:szCs w:val="24"/>
          <w:highlight w:val="none"/>
        </w:rPr>
        <w:t>2：主要项目管理人员简历表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0"/>
        <w:gridCol w:w="3113"/>
        <w:gridCol w:w="1261"/>
        <w:gridCol w:w="2296"/>
      </w:tblGrid>
      <w:tr w14:paraId="122A8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8900" w:type="dxa"/>
            <w:gridSpan w:val="4"/>
            <w:noWrap w:val="0"/>
            <w:vAlign w:val="center"/>
          </w:tcPr>
          <w:p w14:paraId="2DE4246B">
            <w:pPr>
              <w:shd w:val="clear" w:color="auto" w:fill="auto"/>
              <w:spacing w:line="4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岗位名称</w:t>
            </w:r>
          </w:p>
        </w:tc>
      </w:tr>
      <w:tr w14:paraId="2050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2230" w:type="dxa"/>
            <w:noWrap w:val="0"/>
            <w:vAlign w:val="center"/>
          </w:tcPr>
          <w:p w14:paraId="3A9D055C">
            <w:pPr>
              <w:shd w:val="clear" w:color="auto" w:fill="auto"/>
              <w:spacing w:line="4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姓名</w:t>
            </w:r>
          </w:p>
        </w:tc>
        <w:tc>
          <w:tcPr>
            <w:tcW w:w="3113" w:type="dxa"/>
            <w:noWrap w:val="0"/>
            <w:vAlign w:val="center"/>
          </w:tcPr>
          <w:p w14:paraId="3FF008E3">
            <w:pPr>
              <w:shd w:val="clear" w:color="auto" w:fill="auto"/>
              <w:spacing w:line="440" w:lineRule="exact"/>
              <w:jc w:val="center"/>
              <w:rPr>
                <w:rFonts w:hint="eastAsia" w:ascii="黑体" w:hAnsi="黑体" w:eastAsia="黑体" w:cs="黑体"/>
                <w:color w:val="auto"/>
                <w:sz w:val="24"/>
                <w:szCs w:val="24"/>
                <w:highlight w:val="none"/>
              </w:rPr>
            </w:pPr>
          </w:p>
        </w:tc>
        <w:tc>
          <w:tcPr>
            <w:tcW w:w="1261" w:type="dxa"/>
            <w:noWrap w:val="0"/>
            <w:vAlign w:val="center"/>
          </w:tcPr>
          <w:p w14:paraId="6741D28C">
            <w:pPr>
              <w:shd w:val="clear" w:color="auto" w:fill="auto"/>
              <w:spacing w:line="4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年龄</w:t>
            </w:r>
          </w:p>
        </w:tc>
        <w:tc>
          <w:tcPr>
            <w:tcW w:w="2296" w:type="dxa"/>
            <w:noWrap w:val="0"/>
            <w:vAlign w:val="center"/>
          </w:tcPr>
          <w:p w14:paraId="1BDA70F1">
            <w:pPr>
              <w:shd w:val="clear" w:color="auto" w:fill="auto"/>
              <w:spacing w:line="440" w:lineRule="exact"/>
              <w:jc w:val="center"/>
              <w:rPr>
                <w:rFonts w:hint="eastAsia" w:ascii="黑体" w:hAnsi="黑体" w:eastAsia="黑体" w:cs="黑体"/>
                <w:color w:val="auto"/>
                <w:sz w:val="24"/>
                <w:szCs w:val="24"/>
                <w:highlight w:val="none"/>
              </w:rPr>
            </w:pPr>
          </w:p>
        </w:tc>
      </w:tr>
      <w:tr w14:paraId="2E65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2230" w:type="dxa"/>
            <w:noWrap w:val="0"/>
            <w:vAlign w:val="center"/>
          </w:tcPr>
          <w:p w14:paraId="2980932E">
            <w:pPr>
              <w:shd w:val="clear" w:color="auto" w:fill="auto"/>
              <w:spacing w:line="4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性别</w:t>
            </w:r>
          </w:p>
        </w:tc>
        <w:tc>
          <w:tcPr>
            <w:tcW w:w="3113" w:type="dxa"/>
            <w:noWrap w:val="0"/>
            <w:vAlign w:val="center"/>
          </w:tcPr>
          <w:p w14:paraId="1280F680">
            <w:pPr>
              <w:shd w:val="clear" w:color="auto" w:fill="auto"/>
              <w:spacing w:line="440" w:lineRule="exact"/>
              <w:jc w:val="center"/>
              <w:rPr>
                <w:rFonts w:hint="eastAsia" w:ascii="黑体" w:hAnsi="黑体" w:eastAsia="黑体" w:cs="黑体"/>
                <w:color w:val="auto"/>
                <w:sz w:val="24"/>
                <w:szCs w:val="24"/>
                <w:highlight w:val="none"/>
              </w:rPr>
            </w:pPr>
          </w:p>
        </w:tc>
        <w:tc>
          <w:tcPr>
            <w:tcW w:w="1261" w:type="dxa"/>
            <w:noWrap w:val="0"/>
            <w:vAlign w:val="center"/>
          </w:tcPr>
          <w:p w14:paraId="4A330009">
            <w:pPr>
              <w:shd w:val="clear" w:color="auto" w:fill="auto"/>
              <w:spacing w:line="4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毕业学校</w:t>
            </w:r>
          </w:p>
        </w:tc>
        <w:tc>
          <w:tcPr>
            <w:tcW w:w="2296" w:type="dxa"/>
            <w:noWrap w:val="0"/>
            <w:vAlign w:val="center"/>
          </w:tcPr>
          <w:p w14:paraId="2A21DCAC">
            <w:pPr>
              <w:shd w:val="clear" w:color="auto" w:fill="auto"/>
              <w:spacing w:line="440" w:lineRule="exact"/>
              <w:jc w:val="center"/>
              <w:rPr>
                <w:rFonts w:hint="eastAsia" w:ascii="黑体" w:hAnsi="黑体" w:eastAsia="黑体" w:cs="黑体"/>
                <w:color w:val="auto"/>
                <w:sz w:val="24"/>
                <w:szCs w:val="24"/>
                <w:highlight w:val="none"/>
              </w:rPr>
            </w:pPr>
          </w:p>
        </w:tc>
      </w:tr>
      <w:tr w14:paraId="0AAA7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2230" w:type="dxa"/>
            <w:noWrap w:val="0"/>
            <w:vAlign w:val="center"/>
          </w:tcPr>
          <w:p w14:paraId="5137B30B">
            <w:pPr>
              <w:shd w:val="clear" w:color="auto" w:fill="auto"/>
              <w:spacing w:line="4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学历和专业</w:t>
            </w:r>
          </w:p>
        </w:tc>
        <w:tc>
          <w:tcPr>
            <w:tcW w:w="3113" w:type="dxa"/>
            <w:noWrap w:val="0"/>
            <w:vAlign w:val="center"/>
          </w:tcPr>
          <w:p w14:paraId="317DB198">
            <w:pPr>
              <w:shd w:val="clear" w:color="auto" w:fill="auto"/>
              <w:spacing w:line="440" w:lineRule="exact"/>
              <w:jc w:val="center"/>
              <w:rPr>
                <w:rFonts w:hint="eastAsia" w:ascii="黑体" w:hAnsi="黑体" w:eastAsia="黑体" w:cs="黑体"/>
                <w:color w:val="auto"/>
                <w:sz w:val="24"/>
                <w:szCs w:val="24"/>
                <w:highlight w:val="none"/>
              </w:rPr>
            </w:pPr>
          </w:p>
        </w:tc>
        <w:tc>
          <w:tcPr>
            <w:tcW w:w="1261" w:type="dxa"/>
            <w:noWrap w:val="0"/>
            <w:vAlign w:val="center"/>
          </w:tcPr>
          <w:p w14:paraId="423A371A">
            <w:pPr>
              <w:shd w:val="clear" w:color="auto" w:fill="auto"/>
              <w:spacing w:line="4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毕业时间</w:t>
            </w:r>
          </w:p>
        </w:tc>
        <w:tc>
          <w:tcPr>
            <w:tcW w:w="2296" w:type="dxa"/>
            <w:noWrap w:val="0"/>
            <w:vAlign w:val="center"/>
          </w:tcPr>
          <w:p w14:paraId="46E40D66">
            <w:pPr>
              <w:shd w:val="clear" w:color="auto" w:fill="auto"/>
              <w:spacing w:line="440" w:lineRule="exact"/>
              <w:jc w:val="center"/>
              <w:rPr>
                <w:rFonts w:hint="eastAsia" w:ascii="黑体" w:hAnsi="黑体" w:eastAsia="黑体" w:cs="黑体"/>
                <w:color w:val="auto"/>
                <w:sz w:val="24"/>
                <w:szCs w:val="24"/>
                <w:highlight w:val="none"/>
              </w:rPr>
            </w:pPr>
          </w:p>
        </w:tc>
      </w:tr>
      <w:tr w14:paraId="39D10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2230" w:type="dxa"/>
            <w:noWrap w:val="0"/>
            <w:vAlign w:val="center"/>
          </w:tcPr>
          <w:p w14:paraId="20DA3AA8">
            <w:pPr>
              <w:shd w:val="clear" w:color="auto" w:fill="auto"/>
              <w:spacing w:line="4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拥有的执业资格</w:t>
            </w:r>
          </w:p>
        </w:tc>
        <w:tc>
          <w:tcPr>
            <w:tcW w:w="3113" w:type="dxa"/>
            <w:noWrap w:val="0"/>
            <w:vAlign w:val="center"/>
          </w:tcPr>
          <w:p w14:paraId="0EE20297">
            <w:pPr>
              <w:shd w:val="clear" w:color="auto" w:fill="auto"/>
              <w:spacing w:line="440" w:lineRule="exact"/>
              <w:jc w:val="center"/>
              <w:rPr>
                <w:rFonts w:hint="eastAsia" w:ascii="黑体" w:hAnsi="黑体" w:eastAsia="黑体" w:cs="黑体"/>
                <w:color w:val="auto"/>
                <w:sz w:val="24"/>
                <w:szCs w:val="24"/>
                <w:highlight w:val="none"/>
              </w:rPr>
            </w:pPr>
          </w:p>
        </w:tc>
        <w:tc>
          <w:tcPr>
            <w:tcW w:w="1261" w:type="dxa"/>
            <w:noWrap w:val="0"/>
            <w:vAlign w:val="center"/>
          </w:tcPr>
          <w:p w14:paraId="6FAD9519">
            <w:pPr>
              <w:shd w:val="clear" w:color="auto" w:fill="auto"/>
              <w:spacing w:line="4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专业职称</w:t>
            </w:r>
          </w:p>
        </w:tc>
        <w:tc>
          <w:tcPr>
            <w:tcW w:w="2296" w:type="dxa"/>
            <w:noWrap w:val="0"/>
            <w:vAlign w:val="center"/>
          </w:tcPr>
          <w:p w14:paraId="1F771224">
            <w:pPr>
              <w:shd w:val="clear" w:color="auto" w:fill="auto"/>
              <w:spacing w:line="440" w:lineRule="exact"/>
              <w:jc w:val="center"/>
              <w:rPr>
                <w:rFonts w:hint="eastAsia" w:ascii="黑体" w:hAnsi="黑体" w:eastAsia="黑体" w:cs="黑体"/>
                <w:color w:val="auto"/>
                <w:sz w:val="24"/>
                <w:szCs w:val="24"/>
                <w:highlight w:val="none"/>
              </w:rPr>
            </w:pPr>
          </w:p>
        </w:tc>
      </w:tr>
      <w:tr w14:paraId="6E08D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2230" w:type="dxa"/>
            <w:noWrap w:val="0"/>
            <w:vAlign w:val="center"/>
          </w:tcPr>
          <w:p w14:paraId="0C4B692A">
            <w:pPr>
              <w:shd w:val="clear" w:color="auto" w:fill="auto"/>
              <w:spacing w:line="4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执业资格证书编号</w:t>
            </w:r>
          </w:p>
        </w:tc>
        <w:tc>
          <w:tcPr>
            <w:tcW w:w="3113" w:type="dxa"/>
            <w:noWrap w:val="0"/>
            <w:vAlign w:val="center"/>
          </w:tcPr>
          <w:p w14:paraId="5C26B374">
            <w:pPr>
              <w:shd w:val="clear" w:color="auto" w:fill="auto"/>
              <w:spacing w:line="440" w:lineRule="exact"/>
              <w:jc w:val="center"/>
              <w:rPr>
                <w:rFonts w:hint="eastAsia" w:ascii="黑体" w:hAnsi="黑体" w:eastAsia="黑体" w:cs="黑体"/>
                <w:color w:val="auto"/>
                <w:sz w:val="24"/>
                <w:szCs w:val="24"/>
                <w:highlight w:val="none"/>
              </w:rPr>
            </w:pPr>
          </w:p>
        </w:tc>
        <w:tc>
          <w:tcPr>
            <w:tcW w:w="1261" w:type="dxa"/>
            <w:noWrap w:val="0"/>
            <w:vAlign w:val="center"/>
          </w:tcPr>
          <w:p w14:paraId="58D04550">
            <w:pPr>
              <w:shd w:val="clear" w:color="auto" w:fill="auto"/>
              <w:spacing w:line="4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工作年限</w:t>
            </w:r>
          </w:p>
        </w:tc>
        <w:tc>
          <w:tcPr>
            <w:tcW w:w="2296" w:type="dxa"/>
            <w:noWrap w:val="0"/>
            <w:vAlign w:val="center"/>
          </w:tcPr>
          <w:p w14:paraId="269FBFE6">
            <w:pPr>
              <w:shd w:val="clear" w:color="auto" w:fill="auto"/>
              <w:spacing w:line="440" w:lineRule="exact"/>
              <w:jc w:val="center"/>
              <w:rPr>
                <w:rFonts w:hint="eastAsia" w:ascii="黑体" w:hAnsi="黑体" w:eastAsia="黑体" w:cs="黑体"/>
                <w:color w:val="auto"/>
                <w:sz w:val="24"/>
                <w:szCs w:val="24"/>
                <w:highlight w:val="none"/>
              </w:rPr>
            </w:pPr>
          </w:p>
        </w:tc>
      </w:tr>
      <w:tr w14:paraId="61FA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8" w:hRule="atLeast"/>
          <w:jc w:val="center"/>
        </w:trPr>
        <w:tc>
          <w:tcPr>
            <w:tcW w:w="2230" w:type="dxa"/>
            <w:noWrap w:val="0"/>
            <w:vAlign w:val="center"/>
          </w:tcPr>
          <w:p w14:paraId="3E33B105">
            <w:pPr>
              <w:shd w:val="clear" w:color="auto" w:fill="auto"/>
              <w:spacing w:line="44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主要工作业绩及担任的主要工作</w:t>
            </w:r>
          </w:p>
        </w:tc>
        <w:tc>
          <w:tcPr>
            <w:tcW w:w="6670" w:type="dxa"/>
            <w:gridSpan w:val="3"/>
            <w:noWrap w:val="0"/>
            <w:vAlign w:val="center"/>
          </w:tcPr>
          <w:p w14:paraId="55B58868">
            <w:pPr>
              <w:shd w:val="clear" w:color="auto" w:fill="auto"/>
              <w:spacing w:line="440" w:lineRule="exact"/>
              <w:jc w:val="center"/>
              <w:rPr>
                <w:rFonts w:hint="eastAsia" w:ascii="黑体" w:hAnsi="黑体" w:eastAsia="黑体" w:cs="黑体"/>
                <w:color w:val="auto"/>
                <w:sz w:val="24"/>
                <w:szCs w:val="24"/>
                <w:highlight w:val="none"/>
              </w:rPr>
            </w:pPr>
          </w:p>
        </w:tc>
      </w:tr>
    </w:tbl>
    <w:p w14:paraId="77AF81A5">
      <w:pPr>
        <w:shd w:val="clear" w:color="auto" w:fill="auto"/>
        <w:tabs>
          <w:tab w:val="left" w:pos="9460"/>
        </w:tabs>
        <w:spacing w:line="420" w:lineRule="exact"/>
        <w:ind w:left="420" w:leftChars="200" w:right="285" w:rightChars="136" w:firstLine="0" w:firstLineChars="0"/>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主要项目管理人员</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指技术负责人、专职安全生产管理人员等岗位人员</w:t>
      </w:r>
      <w:r>
        <w:rPr>
          <w:rFonts w:hint="eastAsia" w:ascii="黑体" w:hAnsi="黑体" w:eastAsia="黑体" w:cs="黑体"/>
          <w:color w:val="auto"/>
          <w:sz w:val="24"/>
          <w:szCs w:val="24"/>
          <w:highlight w:val="none"/>
          <w:lang w:eastAsia="zh-CN"/>
        </w:rPr>
        <w:t>；</w:t>
      </w:r>
    </w:p>
    <w:p w14:paraId="7B283C37">
      <w:pPr>
        <w:shd w:val="clear" w:color="auto" w:fill="auto"/>
        <w:tabs>
          <w:tab w:val="left" w:pos="9460"/>
        </w:tabs>
        <w:spacing w:line="420" w:lineRule="exact"/>
        <w:ind w:left="420" w:leftChars="200" w:right="285" w:rightChars="136" w:firstLine="0" w:firstLineChars="0"/>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val="en-US" w:eastAsia="zh-CN"/>
        </w:rPr>
        <w:t>2、提供</w:t>
      </w:r>
      <w:r>
        <w:rPr>
          <w:rFonts w:hint="eastAsia" w:ascii="黑体" w:hAnsi="黑体" w:eastAsia="黑体" w:cs="黑体"/>
          <w:color w:val="auto"/>
          <w:sz w:val="24"/>
          <w:szCs w:val="24"/>
          <w:highlight w:val="none"/>
        </w:rPr>
        <w:t>注册资格证书、身份证、职称证</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社保（近6个月任意一月）等资料</w:t>
      </w:r>
      <w:r>
        <w:rPr>
          <w:rFonts w:hint="eastAsia" w:ascii="黑体" w:hAnsi="黑体" w:eastAsia="黑体" w:cs="黑体"/>
          <w:color w:val="auto"/>
          <w:sz w:val="24"/>
          <w:szCs w:val="24"/>
          <w:highlight w:val="none"/>
          <w:lang w:eastAsia="zh-CN"/>
        </w:rPr>
        <w:t>扫描件</w:t>
      </w:r>
      <w:r>
        <w:rPr>
          <w:rFonts w:hint="eastAsia" w:ascii="黑体" w:hAnsi="黑体" w:eastAsia="黑体" w:cs="黑体"/>
          <w:color w:val="auto"/>
          <w:sz w:val="24"/>
          <w:szCs w:val="24"/>
          <w:highlight w:val="none"/>
          <w:lang w:val="en-US" w:eastAsia="zh-CN"/>
        </w:rPr>
        <w:t>并</w:t>
      </w:r>
      <w:r>
        <w:rPr>
          <w:rFonts w:hint="eastAsia" w:ascii="黑体" w:hAnsi="黑体" w:eastAsia="黑体" w:cs="黑体"/>
          <w:color w:val="auto"/>
          <w:sz w:val="24"/>
          <w:szCs w:val="24"/>
          <w:highlight w:val="none"/>
        </w:rPr>
        <w:t>加盖单位公章</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专职安全生产管理人员应附安全生产考核合格证书</w:t>
      </w:r>
      <w:r>
        <w:rPr>
          <w:rFonts w:hint="eastAsia" w:ascii="黑体" w:hAnsi="黑体" w:eastAsia="黑体" w:cs="黑体"/>
          <w:color w:val="auto"/>
          <w:sz w:val="24"/>
          <w:szCs w:val="24"/>
          <w:highlight w:val="none"/>
          <w:lang w:eastAsia="zh-CN"/>
        </w:rPr>
        <w:t>；</w:t>
      </w:r>
    </w:p>
    <w:p w14:paraId="6EABEAAE">
      <w:pPr>
        <w:shd w:val="clear" w:color="auto" w:fill="auto"/>
        <w:tabs>
          <w:tab w:val="left" w:pos="9460"/>
        </w:tabs>
        <w:spacing w:line="420" w:lineRule="exact"/>
        <w:ind w:left="420" w:leftChars="200" w:right="285" w:rightChars="136" w:firstLine="0" w:firstLineChars="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主要业绩</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须</w:t>
      </w:r>
      <w:r>
        <w:rPr>
          <w:rFonts w:hint="eastAsia" w:ascii="黑体" w:hAnsi="黑体" w:eastAsia="黑体" w:cs="黑体"/>
          <w:color w:val="auto"/>
          <w:sz w:val="24"/>
          <w:szCs w:val="24"/>
          <w:highlight w:val="none"/>
          <w:lang w:val="en-US" w:eastAsia="zh-CN"/>
        </w:rPr>
        <w:t>提供</w:t>
      </w:r>
      <w:r>
        <w:rPr>
          <w:rFonts w:hint="eastAsia" w:ascii="黑体" w:hAnsi="黑体" w:eastAsia="黑体" w:cs="黑体"/>
          <w:color w:val="auto"/>
          <w:sz w:val="24"/>
          <w:szCs w:val="24"/>
          <w:highlight w:val="none"/>
        </w:rPr>
        <w:t>合同协议书</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中标通知书、</w:t>
      </w:r>
      <w:r>
        <w:rPr>
          <w:rFonts w:hint="eastAsia" w:ascii="黑体" w:hAnsi="黑体" w:eastAsia="黑体" w:cs="黑体"/>
          <w:bCs/>
          <w:color w:val="auto"/>
          <w:sz w:val="24"/>
          <w:szCs w:val="24"/>
          <w:highlight w:val="none"/>
        </w:rPr>
        <w:t>验收文件（或项目法人出具的完工证明文件）</w:t>
      </w:r>
      <w:r>
        <w:rPr>
          <w:rFonts w:hint="eastAsia" w:ascii="黑体" w:hAnsi="黑体" w:eastAsia="黑体" w:cs="黑体"/>
          <w:color w:val="auto"/>
          <w:sz w:val="24"/>
          <w:szCs w:val="24"/>
          <w:highlight w:val="none"/>
          <w:lang w:eastAsia="zh-CN"/>
        </w:rPr>
        <w:t>扫描件</w:t>
      </w:r>
      <w:r>
        <w:rPr>
          <w:rFonts w:hint="eastAsia" w:ascii="黑体" w:hAnsi="黑体" w:eastAsia="黑体" w:cs="黑体"/>
          <w:color w:val="auto"/>
          <w:sz w:val="24"/>
          <w:szCs w:val="24"/>
          <w:highlight w:val="none"/>
          <w:lang w:val="en-US" w:eastAsia="zh-CN"/>
        </w:rPr>
        <w:t>并</w:t>
      </w:r>
      <w:r>
        <w:rPr>
          <w:rFonts w:hint="eastAsia" w:ascii="黑体" w:hAnsi="黑体" w:eastAsia="黑体" w:cs="黑体"/>
          <w:color w:val="auto"/>
          <w:sz w:val="24"/>
          <w:szCs w:val="24"/>
          <w:highlight w:val="none"/>
        </w:rPr>
        <w:t>加盖单位公章。</w:t>
      </w:r>
    </w:p>
    <w:p w14:paraId="7411D621">
      <w:pPr>
        <w:shd w:val="clear" w:color="auto" w:fill="auto"/>
        <w:spacing w:line="420" w:lineRule="exact"/>
        <w:jc w:val="center"/>
        <w:rPr>
          <w:rFonts w:hint="eastAsia" w:ascii="黑体" w:hAnsi="黑体" w:eastAsia="黑体" w:cs="黑体"/>
          <w:b/>
          <w:color w:val="auto"/>
          <w:sz w:val="28"/>
          <w:szCs w:val="28"/>
          <w:highlight w:val="none"/>
          <w:lang w:val="en-US" w:eastAsia="zh-CN"/>
        </w:rPr>
      </w:pPr>
      <w:r>
        <w:rPr>
          <w:rFonts w:hint="eastAsia" w:ascii="黑体" w:hAnsi="黑体" w:eastAsia="黑体" w:cs="黑体"/>
          <w:b/>
          <w:color w:val="auto"/>
          <w:sz w:val="28"/>
          <w:szCs w:val="28"/>
          <w:highlight w:val="none"/>
          <w:lang w:val="en-US" w:eastAsia="zh-CN"/>
        </w:rPr>
        <w:t>3、供应商情况</w:t>
      </w:r>
    </w:p>
    <w:p w14:paraId="55E6B01F">
      <w:pPr>
        <w:shd w:val="clear" w:color="auto" w:fill="auto"/>
        <w:spacing w:before="156" w:beforeLines="50" w:after="312" w:afterLines="100" w:line="440" w:lineRule="exact"/>
        <w:ind w:left="0" w:leftChars="0" w:firstLine="638" w:firstLineChars="266"/>
        <w:jc w:val="left"/>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lang w:val="en-US" w:eastAsia="zh-CN"/>
        </w:rPr>
        <w:t>3.1</w:t>
      </w:r>
      <w:r>
        <w:rPr>
          <w:rFonts w:hint="eastAsia" w:ascii="黑体" w:hAnsi="黑体" w:eastAsia="黑体" w:cs="黑体"/>
          <w:b/>
          <w:bCs/>
          <w:color w:val="auto"/>
          <w:sz w:val="24"/>
          <w:szCs w:val="24"/>
          <w:highlight w:val="none"/>
          <w:lang w:eastAsia="zh-CN"/>
        </w:rPr>
        <w:t>供应商</w:t>
      </w:r>
      <w:r>
        <w:rPr>
          <w:rFonts w:hint="eastAsia" w:ascii="黑体" w:hAnsi="黑体" w:eastAsia="黑体" w:cs="黑体"/>
          <w:b/>
          <w:bCs/>
          <w:color w:val="auto"/>
          <w:sz w:val="24"/>
          <w:szCs w:val="24"/>
          <w:highlight w:val="none"/>
        </w:rPr>
        <w:t>基本情况表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015"/>
        <w:gridCol w:w="1000"/>
        <w:gridCol w:w="1043"/>
        <w:gridCol w:w="300"/>
        <w:gridCol w:w="209"/>
        <w:gridCol w:w="1310"/>
        <w:gridCol w:w="271"/>
        <w:gridCol w:w="745"/>
        <w:gridCol w:w="1496"/>
      </w:tblGrid>
      <w:tr w14:paraId="4E74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710" w:type="dxa"/>
            <w:noWrap w:val="0"/>
            <w:vAlign w:val="center"/>
          </w:tcPr>
          <w:p w14:paraId="6E11FB45">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供应商</w:t>
            </w:r>
            <w:r>
              <w:rPr>
                <w:rFonts w:hint="eastAsia" w:ascii="黑体" w:hAnsi="黑体" w:eastAsia="黑体" w:cs="黑体"/>
                <w:color w:val="auto"/>
                <w:sz w:val="24"/>
                <w:szCs w:val="24"/>
                <w:highlight w:val="none"/>
              </w:rPr>
              <w:t>名称</w:t>
            </w:r>
          </w:p>
        </w:tc>
        <w:tc>
          <w:tcPr>
            <w:tcW w:w="7389" w:type="dxa"/>
            <w:gridSpan w:val="9"/>
            <w:noWrap w:val="0"/>
            <w:vAlign w:val="center"/>
          </w:tcPr>
          <w:p w14:paraId="4C0FA4D3">
            <w:pPr>
              <w:shd w:val="clear" w:color="auto" w:fill="auto"/>
              <w:jc w:val="center"/>
              <w:rPr>
                <w:rFonts w:hint="eastAsia" w:ascii="黑体" w:hAnsi="黑体" w:eastAsia="黑体" w:cs="黑体"/>
                <w:color w:val="auto"/>
                <w:sz w:val="24"/>
                <w:szCs w:val="24"/>
                <w:highlight w:val="none"/>
              </w:rPr>
            </w:pPr>
          </w:p>
        </w:tc>
      </w:tr>
      <w:tr w14:paraId="4155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710" w:type="dxa"/>
            <w:noWrap w:val="0"/>
            <w:vAlign w:val="center"/>
          </w:tcPr>
          <w:p w14:paraId="37E042E7">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注册地址</w:t>
            </w:r>
          </w:p>
        </w:tc>
        <w:tc>
          <w:tcPr>
            <w:tcW w:w="3567" w:type="dxa"/>
            <w:gridSpan w:val="5"/>
            <w:noWrap w:val="0"/>
            <w:vAlign w:val="center"/>
          </w:tcPr>
          <w:p w14:paraId="497D5A61">
            <w:pPr>
              <w:shd w:val="clear" w:color="auto" w:fill="auto"/>
              <w:jc w:val="center"/>
              <w:rPr>
                <w:rFonts w:hint="eastAsia" w:ascii="黑体" w:hAnsi="黑体" w:eastAsia="黑体" w:cs="黑体"/>
                <w:color w:val="auto"/>
                <w:sz w:val="24"/>
                <w:szCs w:val="24"/>
                <w:highlight w:val="none"/>
              </w:rPr>
            </w:pPr>
          </w:p>
        </w:tc>
        <w:tc>
          <w:tcPr>
            <w:tcW w:w="1310" w:type="dxa"/>
            <w:noWrap w:val="0"/>
            <w:vAlign w:val="center"/>
          </w:tcPr>
          <w:p w14:paraId="69755283">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邮政编码</w:t>
            </w:r>
          </w:p>
        </w:tc>
        <w:tc>
          <w:tcPr>
            <w:tcW w:w="2512" w:type="dxa"/>
            <w:gridSpan w:val="3"/>
            <w:noWrap w:val="0"/>
            <w:vAlign w:val="center"/>
          </w:tcPr>
          <w:p w14:paraId="3AF7B084">
            <w:pPr>
              <w:shd w:val="clear" w:color="auto" w:fill="auto"/>
              <w:jc w:val="center"/>
              <w:rPr>
                <w:rFonts w:hint="eastAsia" w:ascii="黑体" w:hAnsi="黑体" w:eastAsia="黑体" w:cs="黑体"/>
                <w:color w:val="auto"/>
                <w:sz w:val="24"/>
                <w:szCs w:val="24"/>
                <w:highlight w:val="none"/>
              </w:rPr>
            </w:pPr>
          </w:p>
        </w:tc>
      </w:tr>
      <w:tr w14:paraId="484A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710" w:type="dxa"/>
            <w:vMerge w:val="restart"/>
            <w:noWrap w:val="0"/>
            <w:vAlign w:val="center"/>
          </w:tcPr>
          <w:p w14:paraId="1E149F18">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联系方式</w:t>
            </w:r>
          </w:p>
        </w:tc>
        <w:tc>
          <w:tcPr>
            <w:tcW w:w="1015" w:type="dxa"/>
            <w:noWrap w:val="0"/>
            <w:vAlign w:val="center"/>
          </w:tcPr>
          <w:p w14:paraId="5BD1B277">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联系人</w:t>
            </w:r>
          </w:p>
        </w:tc>
        <w:tc>
          <w:tcPr>
            <w:tcW w:w="2552" w:type="dxa"/>
            <w:gridSpan w:val="4"/>
            <w:noWrap w:val="0"/>
            <w:vAlign w:val="center"/>
          </w:tcPr>
          <w:p w14:paraId="773A9F8C">
            <w:pPr>
              <w:shd w:val="clear" w:color="auto" w:fill="auto"/>
              <w:jc w:val="center"/>
              <w:rPr>
                <w:rFonts w:hint="eastAsia" w:ascii="黑体" w:hAnsi="黑体" w:eastAsia="黑体" w:cs="黑体"/>
                <w:color w:val="auto"/>
                <w:sz w:val="24"/>
                <w:szCs w:val="24"/>
                <w:highlight w:val="none"/>
              </w:rPr>
            </w:pPr>
          </w:p>
        </w:tc>
        <w:tc>
          <w:tcPr>
            <w:tcW w:w="1310" w:type="dxa"/>
            <w:noWrap w:val="0"/>
            <w:vAlign w:val="center"/>
          </w:tcPr>
          <w:p w14:paraId="4FE13FE2">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电  话</w:t>
            </w:r>
          </w:p>
        </w:tc>
        <w:tc>
          <w:tcPr>
            <w:tcW w:w="2512" w:type="dxa"/>
            <w:gridSpan w:val="3"/>
            <w:noWrap w:val="0"/>
            <w:vAlign w:val="center"/>
          </w:tcPr>
          <w:p w14:paraId="4A247179">
            <w:pPr>
              <w:shd w:val="clear" w:color="auto" w:fill="auto"/>
              <w:jc w:val="center"/>
              <w:rPr>
                <w:rFonts w:hint="eastAsia" w:ascii="黑体" w:hAnsi="黑体" w:eastAsia="黑体" w:cs="黑体"/>
                <w:color w:val="auto"/>
                <w:sz w:val="24"/>
                <w:szCs w:val="24"/>
                <w:highlight w:val="none"/>
              </w:rPr>
            </w:pPr>
          </w:p>
        </w:tc>
      </w:tr>
      <w:tr w14:paraId="388C8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710" w:type="dxa"/>
            <w:vMerge w:val="continue"/>
            <w:noWrap w:val="0"/>
            <w:vAlign w:val="center"/>
          </w:tcPr>
          <w:p w14:paraId="1CEDE1ED">
            <w:pPr>
              <w:shd w:val="clear" w:color="auto" w:fill="auto"/>
              <w:jc w:val="center"/>
              <w:rPr>
                <w:rFonts w:hint="eastAsia" w:ascii="黑体" w:hAnsi="黑体" w:eastAsia="黑体" w:cs="黑体"/>
                <w:color w:val="auto"/>
                <w:sz w:val="24"/>
                <w:szCs w:val="24"/>
                <w:highlight w:val="none"/>
              </w:rPr>
            </w:pPr>
          </w:p>
        </w:tc>
        <w:tc>
          <w:tcPr>
            <w:tcW w:w="1015" w:type="dxa"/>
            <w:noWrap w:val="0"/>
            <w:vAlign w:val="center"/>
          </w:tcPr>
          <w:p w14:paraId="582255DC">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传  真</w:t>
            </w:r>
          </w:p>
        </w:tc>
        <w:tc>
          <w:tcPr>
            <w:tcW w:w="2552" w:type="dxa"/>
            <w:gridSpan w:val="4"/>
            <w:noWrap w:val="0"/>
            <w:vAlign w:val="center"/>
          </w:tcPr>
          <w:p w14:paraId="76D9F9CB">
            <w:pPr>
              <w:shd w:val="clear" w:color="auto" w:fill="auto"/>
              <w:jc w:val="center"/>
              <w:rPr>
                <w:rFonts w:hint="eastAsia" w:ascii="黑体" w:hAnsi="黑体" w:eastAsia="黑体" w:cs="黑体"/>
                <w:color w:val="auto"/>
                <w:sz w:val="24"/>
                <w:szCs w:val="24"/>
                <w:highlight w:val="none"/>
              </w:rPr>
            </w:pPr>
          </w:p>
        </w:tc>
        <w:tc>
          <w:tcPr>
            <w:tcW w:w="1310" w:type="dxa"/>
            <w:noWrap w:val="0"/>
            <w:vAlign w:val="center"/>
          </w:tcPr>
          <w:p w14:paraId="168C0F20">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网  址</w:t>
            </w:r>
          </w:p>
        </w:tc>
        <w:tc>
          <w:tcPr>
            <w:tcW w:w="2512" w:type="dxa"/>
            <w:gridSpan w:val="3"/>
            <w:noWrap w:val="0"/>
            <w:vAlign w:val="center"/>
          </w:tcPr>
          <w:p w14:paraId="0F1207EB">
            <w:pPr>
              <w:shd w:val="clear" w:color="auto" w:fill="auto"/>
              <w:jc w:val="center"/>
              <w:rPr>
                <w:rFonts w:hint="eastAsia" w:ascii="黑体" w:hAnsi="黑体" w:eastAsia="黑体" w:cs="黑体"/>
                <w:color w:val="auto"/>
                <w:sz w:val="24"/>
                <w:szCs w:val="24"/>
                <w:highlight w:val="none"/>
              </w:rPr>
            </w:pPr>
          </w:p>
        </w:tc>
      </w:tr>
      <w:tr w14:paraId="5143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710" w:type="dxa"/>
            <w:noWrap w:val="0"/>
            <w:vAlign w:val="center"/>
          </w:tcPr>
          <w:p w14:paraId="710DF160">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组织结构</w:t>
            </w:r>
          </w:p>
        </w:tc>
        <w:tc>
          <w:tcPr>
            <w:tcW w:w="7389" w:type="dxa"/>
            <w:gridSpan w:val="9"/>
            <w:noWrap w:val="0"/>
            <w:vAlign w:val="center"/>
          </w:tcPr>
          <w:p w14:paraId="74AD77C5">
            <w:pPr>
              <w:shd w:val="clear" w:color="auto" w:fill="auto"/>
              <w:jc w:val="center"/>
              <w:rPr>
                <w:rFonts w:hint="eastAsia" w:ascii="黑体" w:hAnsi="黑体" w:eastAsia="黑体" w:cs="黑体"/>
                <w:color w:val="auto"/>
                <w:sz w:val="24"/>
                <w:szCs w:val="24"/>
                <w:highlight w:val="none"/>
              </w:rPr>
            </w:pPr>
          </w:p>
        </w:tc>
      </w:tr>
      <w:tr w14:paraId="0299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710" w:type="dxa"/>
            <w:noWrap w:val="0"/>
            <w:vAlign w:val="center"/>
          </w:tcPr>
          <w:p w14:paraId="1C4F3209">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法定代表人</w:t>
            </w:r>
          </w:p>
        </w:tc>
        <w:tc>
          <w:tcPr>
            <w:tcW w:w="1015" w:type="dxa"/>
            <w:noWrap w:val="0"/>
            <w:vAlign w:val="center"/>
          </w:tcPr>
          <w:p w14:paraId="5337803F">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姓名</w:t>
            </w:r>
          </w:p>
        </w:tc>
        <w:tc>
          <w:tcPr>
            <w:tcW w:w="1000" w:type="dxa"/>
            <w:noWrap w:val="0"/>
            <w:vAlign w:val="center"/>
          </w:tcPr>
          <w:p w14:paraId="1AC03D37">
            <w:pPr>
              <w:shd w:val="clear" w:color="auto" w:fill="auto"/>
              <w:jc w:val="center"/>
              <w:rPr>
                <w:rFonts w:hint="eastAsia" w:ascii="黑体" w:hAnsi="黑体" w:eastAsia="黑体" w:cs="黑体"/>
                <w:color w:val="auto"/>
                <w:sz w:val="24"/>
                <w:szCs w:val="24"/>
                <w:highlight w:val="none"/>
              </w:rPr>
            </w:pPr>
          </w:p>
        </w:tc>
        <w:tc>
          <w:tcPr>
            <w:tcW w:w="1343" w:type="dxa"/>
            <w:gridSpan w:val="2"/>
            <w:noWrap w:val="0"/>
            <w:vAlign w:val="center"/>
          </w:tcPr>
          <w:p w14:paraId="6DD5F0FA">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技术职称</w:t>
            </w:r>
          </w:p>
        </w:tc>
        <w:tc>
          <w:tcPr>
            <w:tcW w:w="1790" w:type="dxa"/>
            <w:gridSpan w:val="3"/>
            <w:noWrap w:val="0"/>
            <w:vAlign w:val="center"/>
          </w:tcPr>
          <w:p w14:paraId="05FADAFC">
            <w:pPr>
              <w:shd w:val="clear" w:color="auto" w:fill="auto"/>
              <w:jc w:val="center"/>
              <w:rPr>
                <w:rFonts w:hint="eastAsia" w:ascii="黑体" w:hAnsi="黑体" w:eastAsia="黑体" w:cs="黑体"/>
                <w:color w:val="auto"/>
                <w:sz w:val="24"/>
                <w:szCs w:val="24"/>
                <w:highlight w:val="none"/>
              </w:rPr>
            </w:pPr>
          </w:p>
        </w:tc>
        <w:tc>
          <w:tcPr>
            <w:tcW w:w="745" w:type="dxa"/>
            <w:noWrap w:val="0"/>
            <w:vAlign w:val="center"/>
          </w:tcPr>
          <w:p w14:paraId="231FACB2">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电话</w:t>
            </w:r>
          </w:p>
        </w:tc>
        <w:tc>
          <w:tcPr>
            <w:tcW w:w="1496" w:type="dxa"/>
            <w:noWrap w:val="0"/>
            <w:vAlign w:val="center"/>
          </w:tcPr>
          <w:p w14:paraId="7246AE25">
            <w:pPr>
              <w:shd w:val="clear" w:color="auto" w:fill="auto"/>
              <w:jc w:val="center"/>
              <w:rPr>
                <w:rFonts w:hint="eastAsia" w:ascii="黑体" w:hAnsi="黑体" w:eastAsia="黑体" w:cs="黑体"/>
                <w:color w:val="auto"/>
                <w:sz w:val="24"/>
                <w:szCs w:val="24"/>
                <w:highlight w:val="none"/>
              </w:rPr>
            </w:pPr>
          </w:p>
        </w:tc>
      </w:tr>
      <w:tr w14:paraId="216A5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710" w:type="dxa"/>
            <w:noWrap w:val="0"/>
            <w:vAlign w:val="center"/>
          </w:tcPr>
          <w:p w14:paraId="5F02C275">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技术负责人</w:t>
            </w:r>
          </w:p>
        </w:tc>
        <w:tc>
          <w:tcPr>
            <w:tcW w:w="1015" w:type="dxa"/>
            <w:noWrap w:val="0"/>
            <w:vAlign w:val="center"/>
          </w:tcPr>
          <w:p w14:paraId="3E4FB1C7">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姓名</w:t>
            </w:r>
          </w:p>
        </w:tc>
        <w:tc>
          <w:tcPr>
            <w:tcW w:w="1000" w:type="dxa"/>
            <w:noWrap w:val="0"/>
            <w:vAlign w:val="center"/>
          </w:tcPr>
          <w:p w14:paraId="738346AF">
            <w:pPr>
              <w:shd w:val="clear" w:color="auto" w:fill="auto"/>
              <w:jc w:val="center"/>
              <w:rPr>
                <w:rFonts w:hint="eastAsia" w:ascii="黑体" w:hAnsi="黑体" w:eastAsia="黑体" w:cs="黑体"/>
                <w:color w:val="auto"/>
                <w:sz w:val="24"/>
                <w:szCs w:val="24"/>
                <w:highlight w:val="none"/>
              </w:rPr>
            </w:pPr>
          </w:p>
        </w:tc>
        <w:tc>
          <w:tcPr>
            <w:tcW w:w="1343" w:type="dxa"/>
            <w:gridSpan w:val="2"/>
            <w:noWrap w:val="0"/>
            <w:vAlign w:val="center"/>
          </w:tcPr>
          <w:p w14:paraId="7090CCC5">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技术职称</w:t>
            </w:r>
          </w:p>
        </w:tc>
        <w:tc>
          <w:tcPr>
            <w:tcW w:w="1790" w:type="dxa"/>
            <w:gridSpan w:val="3"/>
            <w:noWrap w:val="0"/>
            <w:vAlign w:val="center"/>
          </w:tcPr>
          <w:p w14:paraId="00EB03BE">
            <w:pPr>
              <w:shd w:val="clear" w:color="auto" w:fill="auto"/>
              <w:jc w:val="center"/>
              <w:rPr>
                <w:rFonts w:hint="eastAsia" w:ascii="黑体" w:hAnsi="黑体" w:eastAsia="黑体" w:cs="黑体"/>
                <w:color w:val="auto"/>
                <w:sz w:val="24"/>
                <w:szCs w:val="24"/>
                <w:highlight w:val="none"/>
              </w:rPr>
            </w:pPr>
          </w:p>
        </w:tc>
        <w:tc>
          <w:tcPr>
            <w:tcW w:w="745" w:type="dxa"/>
            <w:noWrap w:val="0"/>
            <w:vAlign w:val="center"/>
          </w:tcPr>
          <w:p w14:paraId="14800661">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电话</w:t>
            </w:r>
          </w:p>
        </w:tc>
        <w:tc>
          <w:tcPr>
            <w:tcW w:w="1496" w:type="dxa"/>
            <w:noWrap w:val="0"/>
            <w:vAlign w:val="center"/>
          </w:tcPr>
          <w:p w14:paraId="7650D45C">
            <w:pPr>
              <w:shd w:val="clear" w:color="auto" w:fill="auto"/>
              <w:jc w:val="center"/>
              <w:rPr>
                <w:rFonts w:hint="eastAsia" w:ascii="黑体" w:hAnsi="黑体" w:eastAsia="黑体" w:cs="黑体"/>
                <w:color w:val="auto"/>
                <w:sz w:val="24"/>
                <w:szCs w:val="24"/>
                <w:highlight w:val="none"/>
              </w:rPr>
            </w:pPr>
          </w:p>
        </w:tc>
      </w:tr>
      <w:tr w14:paraId="4C79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710" w:type="dxa"/>
            <w:noWrap w:val="0"/>
            <w:vAlign w:val="center"/>
          </w:tcPr>
          <w:p w14:paraId="11F3A771">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成立时间</w:t>
            </w:r>
          </w:p>
        </w:tc>
        <w:tc>
          <w:tcPr>
            <w:tcW w:w="2015" w:type="dxa"/>
            <w:gridSpan w:val="2"/>
            <w:noWrap w:val="0"/>
            <w:vAlign w:val="center"/>
          </w:tcPr>
          <w:p w14:paraId="25552CE0">
            <w:pPr>
              <w:shd w:val="clear" w:color="auto" w:fill="auto"/>
              <w:jc w:val="center"/>
              <w:rPr>
                <w:rFonts w:hint="eastAsia" w:ascii="黑体" w:hAnsi="黑体" w:eastAsia="黑体" w:cs="黑体"/>
                <w:color w:val="auto"/>
                <w:sz w:val="24"/>
                <w:szCs w:val="24"/>
                <w:highlight w:val="none"/>
              </w:rPr>
            </w:pPr>
          </w:p>
        </w:tc>
        <w:tc>
          <w:tcPr>
            <w:tcW w:w="5374" w:type="dxa"/>
            <w:gridSpan w:val="7"/>
            <w:noWrap w:val="0"/>
            <w:vAlign w:val="center"/>
          </w:tcPr>
          <w:p w14:paraId="239CD28C">
            <w:pPr>
              <w:shd w:val="clear" w:color="auto" w:fill="auto"/>
              <w:ind w:firstLine="1200" w:firstLineChars="50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员工总人数：</w:t>
            </w:r>
          </w:p>
        </w:tc>
      </w:tr>
      <w:tr w14:paraId="4818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710" w:type="dxa"/>
            <w:noWrap w:val="0"/>
            <w:vAlign w:val="center"/>
          </w:tcPr>
          <w:p w14:paraId="5206FC22">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企业资质等级</w:t>
            </w:r>
          </w:p>
        </w:tc>
        <w:tc>
          <w:tcPr>
            <w:tcW w:w="1015" w:type="dxa"/>
            <w:noWrap w:val="0"/>
            <w:vAlign w:val="center"/>
          </w:tcPr>
          <w:p w14:paraId="27D85B7D">
            <w:pPr>
              <w:shd w:val="clear" w:color="auto" w:fill="auto"/>
              <w:jc w:val="center"/>
              <w:rPr>
                <w:rFonts w:hint="eastAsia" w:ascii="黑体" w:hAnsi="黑体" w:eastAsia="黑体" w:cs="黑体"/>
                <w:color w:val="auto"/>
                <w:sz w:val="24"/>
                <w:szCs w:val="24"/>
                <w:highlight w:val="none"/>
              </w:rPr>
            </w:pPr>
          </w:p>
        </w:tc>
        <w:tc>
          <w:tcPr>
            <w:tcW w:w="1000" w:type="dxa"/>
            <w:noWrap w:val="0"/>
            <w:vAlign w:val="center"/>
          </w:tcPr>
          <w:p w14:paraId="167FE53E">
            <w:pPr>
              <w:shd w:val="clear" w:color="auto" w:fill="auto"/>
              <w:jc w:val="center"/>
              <w:rPr>
                <w:rFonts w:hint="eastAsia" w:ascii="黑体" w:hAnsi="黑体" w:eastAsia="黑体" w:cs="黑体"/>
                <w:color w:val="auto"/>
                <w:sz w:val="24"/>
                <w:szCs w:val="24"/>
                <w:highlight w:val="none"/>
              </w:rPr>
            </w:pPr>
          </w:p>
        </w:tc>
        <w:tc>
          <w:tcPr>
            <w:tcW w:w="1043" w:type="dxa"/>
            <w:vMerge w:val="restart"/>
            <w:noWrap w:val="0"/>
            <w:vAlign w:val="center"/>
          </w:tcPr>
          <w:p w14:paraId="13A33558">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其中</w:t>
            </w:r>
          </w:p>
        </w:tc>
        <w:tc>
          <w:tcPr>
            <w:tcW w:w="2090" w:type="dxa"/>
            <w:gridSpan w:val="4"/>
            <w:noWrap w:val="0"/>
            <w:vAlign w:val="center"/>
          </w:tcPr>
          <w:p w14:paraId="26ADEFE8">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项目经理</w:t>
            </w:r>
          </w:p>
        </w:tc>
        <w:tc>
          <w:tcPr>
            <w:tcW w:w="2241" w:type="dxa"/>
            <w:gridSpan w:val="2"/>
            <w:noWrap w:val="0"/>
            <w:vAlign w:val="center"/>
          </w:tcPr>
          <w:p w14:paraId="3C2EF57E">
            <w:pPr>
              <w:shd w:val="clear" w:color="auto" w:fill="auto"/>
              <w:jc w:val="center"/>
              <w:rPr>
                <w:rFonts w:hint="eastAsia" w:ascii="黑体" w:hAnsi="黑体" w:eastAsia="黑体" w:cs="黑体"/>
                <w:color w:val="auto"/>
                <w:sz w:val="24"/>
                <w:szCs w:val="24"/>
                <w:highlight w:val="none"/>
              </w:rPr>
            </w:pPr>
          </w:p>
        </w:tc>
      </w:tr>
      <w:tr w14:paraId="6013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0" w:type="dxa"/>
            <w:noWrap w:val="0"/>
            <w:vAlign w:val="center"/>
          </w:tcPr>
          <w:p w14:paraId="2B7DF63B">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营业执照号</w:t>
            </w:r>
          </w:p>
        </w:tc>
        <w:tc>
          <w:tcPr>
            <w:tcW w:w="1015" w:type="dxa"/>
            <w:noWrap w:val="0"/>
            <w:vAlign w:val="center"/>
          </w:tcPr>
          <w:p w14:paraId="31C4BD53">
            <w:pPr>
              <w:shd w:val="clear" w:color="auto" w:fill="auto"/>
              <w:jc w:val="center"/>
              <w:rPr>
                <w:rFonts w:hint="eastAsia" w:ascii="黑体" w:hAnsi="黑体" w:eastAsia="黑体" w:cs="黑体"/>
                <w:color w:val="auto"/>
                <w:sz w:val="24"/>
                <w:szCs w:val="24"/>
                <w:highlight w:val="none"/>
              </w:rPr>
            </w:pPr>
          </w:p>
        </w:tc>
        <w:tc>
          <w:tcPr>
            <w:tcW w:w="1000" w:type="dxa"/>
            <w:noWrap w:val="0"/>
            <w:vAlign w:val="center"/>
          </w:tcPr>
          <w:p w14:paraId="466A5F4D">
            <w:pPr>
              <w:shd w:val="clear" w:color="auto" w:fill="auto"/>
              <w:jc w:val="center"/>
              <w:rPr>
                <w:rFonts w:hint="eastAsia" w:ascii="黑体" w:hAnsi="黑体" w:eastAsia="黑体" w:cs="黑体"/>
                <w:color w:val="auto"/>
                <w:sz w:val="24"/>
                <w:szCs w:val="24"/>
                <w:highlight w:val="none"/>
              </w:rPr>
            </w:pPr>
          </w:p>
        </w:tc>
        <w:tc>
          <w:tcPr>
            <w:tcW w:w="1043" w:type="dxa"/>
            <w:vMerge w:val="continue"/>
            <w:noWrap w:val="0"/>
            <w:vAlign w:val="center"/>
          </w:tcPr>
          <w:p w14:paraId="39F69F15">
            <w:pPr>
              <w:shd w:val="clear" w:color="auto" w:fill="auto"/>
              <w:jc w:val="center"/>
              <w:rPr>
                <w:rFonts w:hint="eastAsia" w:ascii="黑体" w:hAnsi="黑体" w:eastAsia="黑体" w:cs="黑体"/>
                <w:color w:val="auto"/>
                <w:sz w:val="24"/>
                <w:szCs w:val="24"/>
                <w:highlight w:val="none"/>
              </w:rPr>
            </w:pPr>
          </w:p>
        </w:tc>
        <w:tc>
          <w:tcPr>
            <w:tcW w:w="2090" w:type="dxa"/>
            <w:gridSpan w:val="4"/>
            <w:noWrap w:val="0"/>
            <w:vAlign w:val="center"/>
          </w:tcPr>
          <w:p w14:paraId="20BE6556">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高级职称人员</w:t>
            </w:r>
          </w:p>
        </w:tc>
        <w:tc>
          <w:tcPr>
            <w:tcW w:w="2241" w:type="dxa"/>
            <w:gridSpan w:val="2"/>
            <w:noWrap w:val="0"/>
            <w:vAlign w:val="center"/>
          </w:tcPr>
          <w:p w14:paraId="79574766">
            <w:pPr>
              <w:shd w:val="clear" w:color="auto" w:fill="auto"/>
              <w:jc w:val="center"/>
              <w:rPr>
                <w:rFonts w:hint="eastAsia" w:ascii="黑体" w:hAnsi="黑体" w:eastAsia="黑体" w:cs="黑体"/>
                <w:color w:val="auto"/>
                <w:sz w:val="24"/>
                <w:szCs w:val="24"/>
                <w:highlight w:val="none"/>
              </w:rPr>
            </w:pPr>
          </w:p>
        </w:tc>
      </w:tr>
      <w:tr w14:paraId="0CE58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710" w:type="dxa"/>
            <w:noWrap w:val="0"/>
            <w:vAlign w:val="center"/>
          </w:tcPr>
          <w:p w14:paraId="27DCB072">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注册资金</w:t>
            </w:r>
          </w:p>
        </w:tc>
        <w:tc>
          <w:tcPr>
            <w:tcW w:w="1015" w:type="dxa"/>
            <w:noWrap w:val="0"/>
            <w:vAlign w:val="center"/>
          </w:tcPr>
          <w:p w14:paraId="3311C6E4">
            <w:pPr>
              <w:shd w:val="clear" w:color="auto" w:fill="auto"/>
              <w:jc w:val="center"/>
              <w:rPr>
                <w:rFonts w:hint="eastAsia" w:ascii="黑体" w:hAnsi="黑体" w:eastAsia="黑体" w:cs="黑体"/>
                <w:color w:val="auto"/>
                <w:sz w:val="24"/>
                <w:szCs w:val="24"/>
                <w:highlight w:val="none"/>
              </w:rPr>
            </w:pPr>
          </w:p>
        </w:tc>
        <w:tc>
          <w:tcPr>
            <w:tcW w:w="1000" w:type="dxa"/>
            <w:noWrap w:val="0"/>
            <w:vAlign w:val="center"/>
          </w:tcPr>
          <w:p w14:paraId="7420B291">
            <w:pPr>
              <w:shd w:val="clear" w:color="auto" w:fill="auto"/>
              <w:jc w:val="center"/>
              <w:rPr>
                <w:rFonts w:hint="eastAsia" w:ascii="黑体" w:hAnsi="黑体" w:eastAsia="黑体" w:cs="黑体"/>
                <w:color w:val="auto"/>
                <w:sz w:val="24"/>
                <w:szCs w:val="24"/>
                <w:highlight w:val="none"/>
              </w:rPr>
            </w:pPr>
          </w:p>
        </w:tc>
        <w:tc>
          <w:tcPr>
            <w:tcW w:w="1043" w:type="dxa"/>
            <w:vMerge w:val="continue"/>
            <w:noWrap w:val="0"/>
            <w:vAlign w:val="center"/>
          </w:tcPr>
          <w:p w14:paraId="7DCEEAEB">
            <w:pPr>
              <w:shd w:val="clear" w:color="auto" w:fill="auto"/>
              <w:jc w:val="center"/>
              <w:rPr>
                <w:rFonts w:hint="eastAsia" w:ascii="黑体" w:hAnsi="黑体" w:eastAsia="黑体" w:cs="黑体"/>
                <w:color w:val="auto"/>
                <w:sz w:val="24"/>
                <w:szCs w:val="24"/>
                <w:highlight w:val="none"/>
              </w:rPr>
            </w:pPr>
          </w:p>
        </w:tc>
        <w:tc>
          <w:tcPr>
            <w:tcW w:w="2090" w:type="dxa"/>
            <w:gridSpan w:val="4"/>
            <w:noWrap w:val="0"/>
            <w:vAlign w:val="center"/>
          </w:tcPr>
          <w:p w14:paraId="16CDB552">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中级职称人员</w:t>
            </w:r>
          </w:p>
        </w:tc>
        <w:tc>
          <w:tcPr>
            <w:tcW w:w="2241" w:type="dxa"/>
            <w:gridSpan w:val="2"/>
            <w:noWrap w:val="0"/>
            <w:vAlign w:val="center"/>
          </w:tcPr>
          <w:p w14:paraId="059B7FF5">
            <w:pPr>
              <w:shd w:val="clear" w:color="auto" w:fill="auto"/>
              <w:jc w:val="center"/>
              <w:rPr>
                <w:rFonts w:hint="eastAsia" w:ascii="黑体" w:hAnsi="黑体" w:eastAsia="黑体" w:cs="黑体"/>
                <w:color w:val="auto"/>
                <w:sz w:val="24"/>
                <w:szCs w:val="24"/>
                <w:highlight w:val="none"/>
              </w:rPr>
            </w:pPr>
          </w:p>
        </w:tc>
      </w:tr>
      <w:tr w14:paraId="5A73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710" w:type="dxa"/>
            <w:noWrap w:val="0"/>
            <w:vAlign w:val="center"/>
          </w:tcPr>
          <w:p w14:paraId="2D334C13">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开户银行</w:t>
            </w:r>
          </w:p>
        </w:tc>
        <w:tc>
          <w:tcPr>
            <w:tcW w:w="1015" w:type="dxa"/>
            <w:noWrap w:val="0"/>
            <w:vAlign w:val="center"/>
          </w:tcPr>
          <w:p w14:paraId="6BEDED61">
            <w:pPr>
              <w:shd w:val="clear" w:color="auto" w:fill="auto"/>
              <w:jc w:val="center"/>
              <w:rPr>
                <w:rFonts w:hint="eastAsia" w:ascii="黑体" w:hAnsi="黑体" w:eastAsia="黑体" w:cs="黑体"/>
                <w:color w:val="auto"/>
                <w:sz w:val="24"/>
                <w:szCs w:val="24"/>
                <w:highlight w:val="none"/>
              </w:rPr>
            </w:pPr>
          </w:p>
        </w:tc>
        <w:tc>
          <w:tcPr>
            <w:tcW w:w="1000" w:type="dxa"/>
            <w:noWrap w:val="0"/>
            <w:vAlign w:val="center"/>
          </w:tcPr>
          <w:p w14:paraId="6B92AD7A">
            <w:pPr>
              <w:shd w:val="clear" w:color="auto" w:fill="auto"/>
              <w:jc w:val="center"/>
              <w:rPr>
                <w:rFonts w:hint="eastAsia" w:ascii="黑体" w:hAnsi="黑体" w:eastAsia="黑体" w:cs="黑体"/>
                <w:color w:val="auto"/>
                <w:sz w:val="24"/>
                <w:szCs w:val="24"/>
                <w:highlight w:val="none"/>
              </w:rPr>
            </w:pPr>
          </w:p>
        </w:tc>
        <w:tc>
          <w:tcPr>
            <w:tcW w:w="1043" w:type="dxa"/>
            <w:vMerge w:val="continue"/>
            <w:noWrap w:val="0"/>
            <w:vAlign w:val="center"/>
          </w:tcPr>
          <w:p w14:paraId="46A8DE2E">
            <w:pPr>
              <w:shd w:val="clear" w:color="auto" w:fill="auto"/>
              <w:jc w:val="center"/>
              <w:rPr>
                <w:rFonts w:hint="eastAsia" w:ascii="黑体" w:hAnsi="黑体" w:eastAsia="黑体" w:cs="黑体"/>
                <w:color w:val="auto"/>
                <w:sz w:val="24"/>
                <w:szCs w:val="24"/>
                <w:highlight w:val="none"/>
              </w:rPr>
            </w:pPr>
          </w:p>
        </w:tc>
        <w:tc>
          <w:tcPr>
            <w:tcW w:w="2090" w:type="dxa"/>
            <w:gridSpan w:val="4"/>
            <w:noWrap w:val="0"/>
            <w:vAlign w:val="center"/>
          </w:tcPr>
          <w:p w14:paraId="0450CD4E">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初级职称人员</w:t>
            </w:r>
          </w:p>
        </w:tc>
        <w:tc>
          <w:tcPr>
            <w:tcW w:w="2241" w:type="dxa"/>
            <w:gridSpan w:val="2"/>
            <w:noWrap w:val="0"/>
            <w:vAlign w:val="center"/>
          </w:tcPr>
          <w:p w14:paraId="4C4093EF">
            <w:pPr>
              <w:shd w:val="clear" w:color="auto" w:fill="auto"/>
              <w:jc w:val="center"/>
              <w:rPr>
                <w:rFonts w:hint="eastAsia" w:ascii="黑体" w:hAnsi="黑体" w:eastAsia="黑体" w:cs="黑体"/>
                <w:color w:val="auto"/>
                <w:sz w:val="24"/>
                <w:szCs w:val="24"/>
                <w:highlight w:val="none"/>
              </w:rPr>
            </w:pPr>
          </w:p>
        </w:tc>
      </w:tr>
      <w:tr w14:paraId="0804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10" w:type="dxa"/>
            <w:noWrap w:val="0"/>
            <w:vAlign w:val="center"/>
          </w:tcPr>
          <w:p w14:paraId="737A3686">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账号</w:t>
            </w:r>
          </w:p>
        </w:tc>
        <w:tc>
          <w:tcPr>
            <w:tcW w:w="1015" w:type="dxa"/>
            <w:noWrap w:val="0"/>
            <w:vAlign w:val="center"/>
          </w:tcPr>
          <w:p w14:paraId="4D3D9EA7">
            <w:pPr>
              <w:shd w:val="clear" w:color="auto" w:fill="auto"/>
              <w:jc w:val="center"/>
              <w:rPr>
                <w:rFonts w:hint="eastAsia" w:ascii="黑体" w:hAnsi="黑体" w:eastAsia="黑体" w:cs="黑体"/>
                <w:color w:val="auto"/>
                <w:sz w:val="24"/>
                <w:szCs w:val="24"/>
                <w:highlight w:val="none"/>
              </w:rPr>
            </w:pPr>
          </w:p>
        </w:tc>
        <w:tc>
          <w:tcPr>
            <w:tcW w:w="1000" w:type="dxa"/>
            <w:noWrap w:val="0"/>
            <w:vAlign w:val="center"/>
          </w:tcPr>
          <w:p w14:paraId="26516102">
            <w:pPr>
              <w:shd w:val="clear" w:color="auto" w:fill="auto"/>
              <w:jc w:val="center"/>
              <w:rPr>
                <w:rFonts w:hint="eastAsia" w:ascii="黑体" w:hAnsi="黑体" w:eastAsia="黑体" w:cs="黑体"/>
                <w:color w:val="auto"/>
                <w:sz w:val="24"/>
                <w:szCs w:val="24"/>
                <w:highlight w:val="none"/>
              </w:rPr>
            </w:pPr>
          </w:p>
        </w:tc>
        <w:tc>
          <w:tcPr>
            <w:tcW w:w="1043" w:type="dxa"/>
            <w:vMerge w:val="continue"/>
            <w:noWrap w:val="0"/>
            <w:vAlign w:val="center"/>
          </w:tcPr>
          <w:p w14:paraId="3615826B">
            <w:pPr>
              <w:shd w:val="clear" w:color="auto" w:fill="auto"/>
              <w:jc w:val="center"/>
              <w:rPr>
                <w:rFonts w:hint="eastAsia" w:ascii="黑体" w:hAnsi="黑体" w:eastAsia="黑体" w:cs="黑体"/>
                <w:color w:val="auto"/>
                <w:sz w:val="24"/>
                <w:szCs w:val="24"/>
                <w:highlight w:val="none"/>
              </w:rPr>
            </w:pPr>
          </w:p>
        </w:tc>
        <w:tc>
          <w:tcPr>
            <w:tcW w:w="2090" w:type="dxa"/>
            <w:gridSpan w:val="4"/>
            <w:noWrap w:val="0"/>
            <w:vAlign w:val="center"/>
          </w:tcPr>
          <w:p w14:paraId="3A381C21">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技  工</w:t>
            </w:r>
          </w:p>
        </w:tc>
        <w:tc>
          <w:tcPr>
            <w:tcW w:w="2241" w:type="dxa"/>
            <w:gridSpan w:val="2"/>
            <w:noWrap w:val="0"/>
            <w:vAlign w:val="center"/>
          </w:tcPr>
          <w:p w14:paraId="5854D942">
            <w:pPr>
              <w:shd w:val="clear" w:color="auto" w:fill="auto"/>
              <w:jc w:val="center"/>
              <w:rPr>
                <w:rFonts w:hint="eastAsia" w:ascii="黑体" w:hAnsi="黑体" w:eastAsia="黑体" w:cs="黑体"/>
                <w:color w:val="auto"/>
                <w:sz w:val="24"/>
                <w:szCs w:val="24"/>
                <w:highlight w:val="none"/>
              </w:rPr>
            </w:pPr>
          </w:p>
        </w:tc>
      </w:tr>
      <w:tr w14:paraId="3B56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1710" w:type="dxa"/>
            <w:noWrap w:val="0"/>
            <w:vAlign w:val="center"/>
          </w:tcPr>
          <w:p w14:paraId="75731464">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经营范围</w:t>
            </w:r>
          </w:p>
        </w:tc>
        <w:tc>
          <w:tcPr>
            <w:tcW w:w="7389" w:type="dxa"/>
            <w:gridSpan w:val="9"/>
            <w:noWrap w:val="0"/>
            <w:vAlign w:val="center"/>
          </w:tcPr>
          <w:p w14:paraId="6928902D">
            <w:pPr>
              <w:shd w:val="clear" w:color="auto" w:fill="auto"/>
              <w:jc w:val="center"/>
              <w:rPr>
                <w:rFonts w:hint="eastAsia" w:ascii="黑体" w:hAnsi="黑体" w:eastAsia="黑体" w:cs="黑体"/>
                <w:color w:val="auto"/>
                <w:sz w:val="24"/>
                <w:szCs w:val="24"/>
                <w:highlight w:val="none"/>
              </w:rPr>
            </w:pPr>
          </w:p>
        </w:tc>
      </w:tr>
      <w:tr w14:paraId="4834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710" w:type="dxa"/>
            <w:noWrap w:val="0"/>
            <w:vAlign w:val="center"/>
          </w:tcPr>
          <w:p w14:paraId="6316FCC0">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备注</w:t>
            </w:r>
          </w:p>
        </w:tc>
        <w:tc>
          <w:tcPr>
            <w:tcW w:w="7389" w:type="dxa"/>
            <w:gridSpan w:val="9"/>
            <w:noWrap w:val="0"/>
            <w:vAlign w:val="center"/>
          </w:tcPr>
          <w:p w14:paraId="1BA34C45">
            <w:pPr>
              <w:shd w:val="clear" w:color="auto" w:fill="auto"/>
              <w:jc w:val="center"/>
              <w:rPr>
                <w:rFonts w:hint="eastAsia" w:ascii="黑体" w:hAnsi="黑体" w:eastAsia="黑体" w:cs="黑体"/>
                <w:color w:val="auto"/>
                <w:sz w:val="24"/>
                <w:szCs w:val="24"/>
                <w:highlight w:val="none"/>
              </w:rPr>
            </w:pPr>
          </w:p>
        </w:tc>
      </w:tr>
    </w:tbl>
    <w:p w14:paraId="0A6BE4EC">
      <w:pPr>
        <w:shd w:val="clear" w:color="auto" w:fill="auto"/>
        <w:topLinePunct/>
        <w:spacing w:line="440" w:lineRule="exact"/>
        <w:ind w:left="638" w:leftChars="304" w:right="504" w:rightChars="240" w:firstLine="0" w:firstLineChars="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备注：本表后应附企业法人营业执照及其年检合格的证明材料、企业资质证书、安全生产许可证、等材料的</w:t>
      </w:r>
      <w:r>
        <w:rPr>
          <w:rFonts w:hint="eastAsia" w:ascii="黑体" w:hAnsi="黑体" w:eastAsia="黑体" w:cs="黑体"/>
          <w:b/>
          <w:color w:val="auto"/>
          <w:sz w:val="24"/>
          <w:szCs w:val="24"/>
          <w:highlight w:val="none"/>
          <w:lang w:eastAsia="zh-CN"/>
        </w:rPr>
        <w:t>扫描件</w:t>
      </w:r>
      <w:r>
        <w:rPr>
          <w:rFonts w:hint="eastAsia" w:ascii="黑体" w:hAnsi="黑体" w:eastAsia="黑体" w:cs="黑体"/>
          <w:b/>
          <w:color w:val="auto"/>
          <w:sz w:val="24"/>
          <w:szCs w:val="24"/>
          <w:highlight w:val="none"/>
          <w:lang w:val="en-US" w:eastAsia="zh-CN"/>
        </w:rPr>
        <w:t>并</w:t>
      </w:r>
      <w:r>
        <w:rPr>
          <w:rFonts w:hint="eastAsia" w:ascii="黑体" w:hAnsi="黑体" w:eastAsia="黑体" w:cs="黑体"/>
          <w:b/>
          <w:color w:val="auto"/>
          <w:sz w:val="24"/>
          <w:szCs w:val="24"/>
          <w:highlight w:val="none"/>
          <w:lang w:eastAsia="zh-CN"/>
        </w:rPr>
        <w:t>加盖单位公章</w:t>
      </w:r>
      <w:r>
        <w:rPr>
          <w:rFonts w:hint="eastAsia" w:ascii="黑体" w:hAnsi="黑体" w:eastAsia="黑体" w:cs="黑体"/>
          <w:b/>
          <w:color w:val="auto"/>
          <w:sz w:val="24"/>
          <w:szCs w:val="24"/>
          <w:highlight w:val="none"/>
        </w:rPr>
        <w:t>。</w:t>
      </w:r>
    </w:p>
    <w:p w14:paraId="4EA39082">
      <w:pPr>
        <w:shd w:val="clear" w:color="auto" w:fill="auto"/>
        <w:topLinePunct/>
        <w:spacing w:line="440" w:lineRule="exact"/>
        <w:ind w:left="0" w:leftChars="0" w:firstLine="638" w:firstLineChars="266"/>
        <w:jc w:val="left"/>
        <w:rPr>
          <w:rFonts w:hint="eastAsia" w:ascii="黑体" w:hAnsi="黑体" w:eastAsia="黑体" w:cs="黑体"/>
          <w:color w:val="auto"/>
          <w:sz w:val="28"/>
          <w:szCs w:val="28"/>
          <w:highlight w:val="none"/>
        </w:rPr>
      </w:pPr>
      <w:bookmarkStart w:id="330" w:name="_Toc13385"/>
      <w:r>
        <w:rPr>
          <w:rFonts w:hint="eastAsia" w:ascii="黑体" w:hAnsi="黑体" w:eastAsia="黑体" w:cs="黑体"/>
          <w:color w:val="auto"/>
          <w:sz w:val="24"/>
          <w:szCs w:val="24"/>
          <w:highlight w:val="none"/>
          <w:u w:val="none"/>
        </w:rPr>
        <w:br w:type="page"/>
      </w:r>
      <w:bookmarkEnd w:id="330"/>
      <w:r>
        <w:rPr>
          <w:rFonts w:hint="eastAsia" w:ascii="黑体" w:hAnsi="黑体" w:eastAsia="黑体" w:cs="黑体"/>
          <w:b/>
          <w:bCs/>
          <w:color w:val="auto"/>
          <w:sz w:val="24"/>
          <w:szCs w:val="24"/>
          <w:highlight w:val="none"/>
          <w:lang w:val="en-US" w:eastAsia="zh-CN"/>
        </w:rPr>
        <w:t>3.2、</w:t>
      </w:r>
      <w:r>
        <w:rPr>
          <w:rFonts w:hint="eastAsia" w:ascii="黑体" w:hAnsi="黑体" w:eastAsia="黑体" w:cs="黑体"/>
          <w:b/>
          <w:bCs/>
          <w:color w:val="auto"/>
          <w:sz w:val="24"/>
          <w:szCs w:val="24"/>
          <w:highlight w:val="none"/>
        </w:rPr>
        <w:t>完成的类似项目情况表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0"/>
        <w:gridCol w:w="6116"/>
      </w:tblGrid>
      <w:tr w14:paraId="7933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noWrap w:val="0"/>
            <w:vAlign w:val="center"/>
          </w:tcPr>
          <w:p w14:paraId="6F9ABCBE">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项目名称</w:t>
            </w:r>
          </w:p>
        </w:tc>
        <w:tc>
          <w:tcPr>
            <w:tcW w:w="6116" w:type="dxa"/>
            <w:noWrap w:val="0"/>
            <w:vAlign w:val="center"/>
          </w:tcPr>
          <w:p w14:paraId="058DF7A8">
            <w:pPr>
              <w:shd w:val="clear" w:color="auto" w:fill="auto"/>
              <w:jc w:val="center"/>
              <w:rPr>
                <w:rFonts w:hint="eastAsia" w:ascii="黑体" w:hAnsi="黑体" w:eastAsia="黑体" w:cs="黑体"/>
                <w:color w:val="auto"/>
                <w:sz w:val="24"/>
                <w:szCs w:val="24"/>
                <w:highlight w:val="none"/>
              </w:rPr>
            </w:pPr>
          </w:p>
        </w:tc>
      </w:tr>
      <w:tr w14:paraId="5599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noWrap w:val="0"/>
            <w:vAlign w:val="center"/>
          </w:tcPr>
          <w:p w14:paraId="3D77733D">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项目所在地</w:t>
            </w:r>
          </w:p>
        </w:tc>
        <w:tc>
          <w:tcPr>
            <w:tcW w:w="6116" w:type="dxa"/>
            <w:noWrap w:val="0"/>
            <w:vAlign w:val="center"/>
          </w:tcPr>
          <w:p w14:paraId="1681D7D1">
            <w:pPr>
              <w:shd w:val="clear" w:color="auto" w:fill="auto"/>
              <w:jc w:val="center"/>
              <w:rPr>
                <w:rFonts w:hint="eastAsia" w:ascii="黑体" w:hAnsi="黑体" w:eastAsia="黑体" w:cs="黑体"/>
                <w:color w:val="auto"/>
                <w:sz w:val="24"/>
                <w:szCs w:val="24"/>
                <w:highlight w:val="none"/>
              </w:rPr>
            </w:pPr>
          </w:p>
        </w:tc>
      </w:tr>
      <w:tr w14:paraId="1A5C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2420" w:type="dxa"/>
            <w:noWrap w:val="0"/>
            <w:vAlign w:val="center"/>
          </w:tcPr>
          <w:p w14:paraId="70245221">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发包人名称</w:t>
            </w:r>
          </w:p>
        </w:tc>
        <w:tc>
          <w:tcPr>
            <w:tcW w:w="6116" w:type="dxa"/>
            <w:noWrap w:val="0"/>
            <w:vAlign w:val="center"/>
          </w:tcPr>
          <w:p w14:paraId="02DFAE99">
            <w:pPr>
              <w:shd w:val="clear" w:color="auto" w:fill="auto"/>
              <w:jc w:val="center"/>
              <w:rPr>
                <w:rFonts w:hint="eastAsia" w:ascii="黑体" w:hAnsi="黑体" w:eastAsia="黑体" w:cs="黑体"/>
                <w:color w:val="auto"/>
                <w:sz w:val="24"/>
                <w:szCs w:val="24"/>
                <w:highlight w:val="none"/>
              </w:rPr>
            </w:pPr>
          </w:p>
        </w:tc>
      </w:tr>
      <w:tr w14:paraId="077E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noWrap w:val="0"/>
            <w:vAlign w:val="center"/>
          </w:tcPr>
          <w:p w14:paraId="62235CFF">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发包人地址</w:t>
            </w:r>
          </w:p>
        </w:tc>
        <w:tc>
          <w:tcPr>
            <w:tcW w:w="6116" w:type="dxa"/>
            <w:noWrap w:val="0"/>
            <w:vAlign w:val="center"/>
          </w:tcPr>
          <w:p w14:paraId="3B87E515">
            <w:pPr>
              <w:shd w:val="clear" w:color="auto" w:fill="auto"/>
              <w:jc w:val="center"/>
              <w:rPr>
                <w:rFonts w:hint="eastAsia" w:ascii="黑体" w:hAnsi="黑体" w:eastAsia="黑体" w:cs="黑体"/>
                <w:color w:val="auto"/>
                <w:sz w:val="24"/>
                <w:szCs w:val="24"/>
                <w:highlight w:val="none"/>
              </w:rPr>
            </w:pPr>
          </w:p>
        </w:tc>
      </w:tr>
      <w:tr w14:paraId="2492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noWrap w:val="0"/>
            <w:vAlign w:val="center"/>
          </w:tcPr>
          <w:p w14:paraId="3EE49132">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发包人联系人及电话</w:t>
            </w:r>
          </w:p>
        </w:tc>
        <w:tc>
          <w:tcPr>
            <w:tcW w:w="6116" w:type="dxa"/>
            <w:noWrap w:val="0"/>
            <w:vAlign w:val="center"/>
          </w:tcPr>
          <w:p w14:paraId="32AF838C">
            <w:pPr>
              <w:shd w:val="clear" w:color="auto" w:fill="auto"/>
              <w:jc w:val="center"/>
              <w:rPr>
                <w:rFonts w:hint="eastAsia" w:ascii="黑体" w:hAnsi="黑体" w:eastAsia="黑体" w:cs="黑体"/>
                <w:color w:val="auto"/>
                <w:sz w:val="24"/>
                <w:szCs w:val="24"/>
                <w:highlight w:val="none"/>
              </w:rPr>
            </w:pPr>
          </w:p>
        </w:tc>
      </w:tr>
      <w:tr w14:paraId="103F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noWrap w:val="0"/>
            <w:vAlign w:val="center"/>
          </w:tcPr>
          <w:p w14:paraId="3A9E7E11">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合同价格</w:t>
            </w:r>
          </w:p>
        </w:tc>
        <w:tc>
          <w:tcPr>
            <w:tcW w:w="6116" w:type="dxa"/>
            <w:noWrap w:val="0"/>
            <w:vAlign w:val="center"/>
          </w:tcPr>
          <w:p w14:paraId="5A8BA154">
            <w:pPr>
              <w:shd w:val="clear" w:color="auto" w:fill="auto"/>
              <w:jc w:val="center"/>
              <w:rPr>
                <w:rFonts w:hint="eastAsia" w:ascii="黑体" w:hAnsi="黑体" w:eastAsia="黑体" w:cs="黑体"/>
                <w:color w:val="auto"/>
                <w:sz w:val="24"/>
                <w:szCs w:val="24"/>
                <w:highlight w:val="none"/>
              </w:rPr>
            </w:pPr>
          </w:p>
        </w:tc>
      </w:tr>
      <w:tr w14:paraId="00243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noWrap w:val="0"/>
            <w:vAlign w:val="center"/>
          </w:tcPr>
          <w:p w14:paraId="4324E637">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开工日期</w:t>
            </w:r>
          </w:p>
        </w:tc>
        <w:tc>
          <w:tcPr>
            <w:tcW w:w="6116" w:type="dxa"/>
            <w:noWrap w:val="0"/>
            <w:vAlign w:val="center"/>
          </w:tcPr>
          <w:p w14:paraId="34D54E57">
            <w:pPr>
              <w:shd w:val="clear" w:color="auto" w:fill="auto"/>
              <w:jc w:val="center"/>
              <w:rPr>
                <w:rFonts w:hint="eastAsia" w:ascii="黑体" w:hAnsi="黑体" w:eastAsia="黑体" w:cs="黑体"/>
                <w:color w:val="auto"/>
                <w:sz w:val="24"/>
                <w:szCs w:val="24"/>
                <w:highlight w:val="none"/>
              </w:rPr>
            </w:pPr>
          </w:p>
        </w:tc>
      </w:tr>
      <w:tr w14:paraId="4DBB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noWrap w:val="0"/>
            <w:vAlign w:val="center"/>
          </w:tcPr>
          <w:p w14:paraId="3F8F0A1C">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竣工日期</w:t>
            </w:r>
          </w:p>
        </w:tc>
        <w:tc>
          <w:tcPr>
            <w:tcW w:w="6116" w:type="dxa"/>
            <w:noWrap w:val="0"/>
            <w:vAlign w:val="center"/>
          </w:tcPr>
          <w:p w14:paraId="281F50A7">
            <w:pPr>
              <w:shd w:val="clear" w:color="auto" w:fill="auto"/>
              <w:jc w:val="center"/>
              <w:rPr>
                <w:rFonts w:hint="eastAsia" w:ascii="黑体" w:hAnsi="黑体" w:eastAsia="黑体" w:cs="黑体"/>
                <w:color w:val="auto"/>
                <w:sz w:val="24"/>
                <w:szCs w:val="24"/>
                <w:highlight w:val="none"/>
              </w:rPr>
            </w:pPr>
          </w:p>
        </w:tc>
      </w:tr>
      <w:tr w14:paraId="7AD3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noWrap w:val="0"/>
            <w:vAlign w:val="center"/>
          </w:tcPr>
          <w:p w14:paraId="79A5BAAD">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承担的工作</w:t>
            </w:r>
          </w:p>
        </w:tc>
        <w:tc>
          <w:tcPr>
            <w:tcW w:w="6116" w:type="dxa"/>
            <w:noWrap w:val="0"/>
            <w:vAlign w:val="center"/>
          </w:tcPr>
          <w:p w14:paraId="29842FEC">
            <w:pPr>
              <w:shd w:val="clear" w:color="auto" w:fill="auto"/>
              <w:jc w:val="center"/>
              <w:rPr>
                <w:rFonts w:hint="eastAsia" w:ascii="黑体" w:hAnsi="黑体" w:eastAsia="黑体" w:cs="黑体"/>
                <w:color w:val="auto"/>
                <w:sz w:val="24"/>
                <w:szCs w:val="24"/>
                <w:highlight w:val="none"/>
              </w:rPr>
            </w:pPr>
          </w:p>
        </w:tc>
      </w:tr>
      <w:tr w14:paraId="068F7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noWrap w:val="0"/>
            <w:vAlign w:val="center"/>
          </w:tcPr>
          <w:p w14:paraId="1C712E86">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工程质量</w:t>
            </w:r>
          </w:p>
        </w:tc>
        <w:tc>
          <w:tcPr>
            <w:tcW w:w="6116" w:type="dxa"/>
            <w:noWrap w:val="0"/>
            <w:vAlign w:val="center"/>
          </w:tcPr>
          <w:p w14:paraId="54D3FC04">
            <w:pPr>
              <w:shd w:val="clear" w:color="auto" w:fill="auto"/>
              <w:jc w:val="center"/>
              <w:rPr>
                <w:rFonts w:hint="eastAsia" w:ascii="黑体" w:hAnsi="黑体" w:eastAsia="黑体" w:cs="黑体"/>
                <w:color w:val="auto"/>
                <w:sz w:val="24"/>
                <w:szCs w:val="24"/>
                <w:highlight w:val="none"/>
              </w:rPr>
            </w:pPr>
          </w:p>
        </w:tc>
      </w:tr>
      <w:tr w14:paraId="3B1B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noWrap w:val="0"/>
            <w:vAlign w:val="center"/>
          </w:tcPr>
          <w:p w14:paraId="7FF3958C">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项目经理</w:t>
            </w:r>
          </w:p>
        </w:tc>
        <w:tc>
          <w:tcPr>
            <w:tcW w:w="6116" w:type="dxa"/>
            <w:noWrap w:val="0"/>
            <w:vAlign w:val="center"/>
          </w:tcPr>
          <w:p w14:paraId="4EC6682A">
            <w:pPr>
              <w:shd w:val="clear" w:color="auto" w:fill="auto"/>
              <w:jc w:val="center"/>
              <w:rPr>
                <w:rFonts w:hint="eastAsia" w:ascii="黑体" w:hAnsi="黑体" w:eastAsia="黑体" w:cs="黑体"/>
                <w:color w:val="auto"/>
                <w:sz w:val="24"/>
                <w:szCs w:val="24"/>
                <w:highlight w:val="none"/>
              </w:rPr>
            </w:pPr>
          </w:p>
        </w:tc>
      </w:tr>
      <w:tr w14:paraId="385D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noWrap w:val="0"/>
            <w:vAlign w:val="center"/>
          </w:tcPr>
          <w:p w14:paraId="1AF4FA39">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技术负责人</w:t>
            </w:r>
          </w:p>
        </w:tc>
        <w:tc>
          <w:tcPr>
            <w:tcW w:w="6116" w:type="dxa"/>
            <w:noWrap w:val="0"/>
            <w:vAlign w:val="center"/>
          </w:tcPr>
          <w:p w14:paraId="2C6A90A7">
            <w:pPr>
              <w:shd w:val="clear" w:color="auto" w:fill="auto"/>
              <w:jc w:val="center"/>
              <w:rPr>
                <w:rFonts w:hint="eastAsia" w:ascii="黑体" w:hAnsi="黑体" w:eastAsia="黑体" w:cs="黑体"/>
                <w:color w:val="auto"/>
                <w:sz w:val="24"/>
                <w:szCs w:val="24"/>
                <w:highlight w:val="none"/>
              </w:rPr>
            </w:pPr>
          </w:p>
        </w:tc>
      </w:tr>
      <w:tr w14:paraId="764F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noWrap w:val="0"/>
            <w:vAlign w:val="center"/>
          </w:tcPr>
          <w:p w14:paraId="4AC86763">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总监理工程师及电话</w:t>
            </w:r>
          </w:p>
        </w:tc>
        <w:tc>
          <w:tcPr>
            <w:tcW w:w="6116" w:type="dxa"/>
            <w:noWrap w:val="0"/>
            <w:vAlign w:val="center"/>
          </w:tcPr>
          <w:p w14:paraId="45D8645A">
            <w:pPr>
              <w:shd w:val="clear" w:color="auto" w:fill="auto"/>
              <w:jc w:val="center"/>
              <w:rPr>
                <w:rFonts w:hint="eastAsia" w:ascii="黑体" w:hAnsi="黑体" w:eastAsia="黑体" w:cs="黑体"/>
                <w:color w:val="auto"/>
                <w:sz w:val="24"/>
                <w:szCs w:val="24"/>
                <w:highlight w:val="none"/>
              </w:rPr>
            </w:pPr>
          </w:p>
        </w:tc>
      </w:tr>
      <w:tr w14:paraId="0B961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2420" w:type="dxa"/>
            <w:noWrap w:val="0"/>
            <w:vAlign w:val="center"/>
          </w:tcPr>
          <w:p w14:paraId="49571128">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项目描述</w:t>
            </w:r>
          </w:p>
        </w:tc>
        <w:tc>
          <w:tcPr>
            <w:tcW w:w="6116" w:type="dxa"/>
            <w:noWrap w:val="0"/>
            <w:vAlign w:val="center"/>
          </w:tcPr>
          <w:p w14:paraId="66C830BB">
            <w:pPr>
              <w:shd w:val="clear" w:color="auto" w:fill="auto"/>
              <w:jc w:val="center"/>
              <w:rPr>
                <w:rFonts w:hint="eastAsia" w:ascii="黑体" w:hAnsi="黑体" w:eastAsia="黑体" w:cs="黑体"/>
                <w:color w:val="auto"/>
                <w:sz w:val="24"/>
                <w:szCs w:val="24"/>
                <w:highlight w:val="none"/>
              </w:rPr>
            </w:pPr>
          </w:p>
        </w:tc>
      </w:tr>
      <w:tr w14:paraId="29D0E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noWrap w:val="0"/>
            <w:vAlign w:val="center"/>
          </w:tcPr>
          <w:p w14:paraId="255BE711">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备注</w:t>
            </w:r>
          </w:p>
        </w:tc>
        <w:tc>
          <w:tcPr>
            <w:tcW w:w="6116" w:type="dxa"/>
            <w:noWrap w:val="0"/>
            <w:vAlign w:val="center"/>
          </w:tcPr>
          <w:p w14:paraId="381363B2">
            <w:pPr>
              <w:shd w:val="clear" w:color="auto" w:fill="auto"/>
              <w:jc w:val="center"/>
              <w:rPr>
                <w:rFonts w:hint="eastAsia" w:ascii="黑体" w:hAnsi="黑体" w:eastAsia="黑体" w:cs="黑体"/>
                <w:color w:val="auto"/>
                <w:sz w:val="24"/>
                <w:szCs w:val="24"/>
                <w:highlight w:val="none"/>
              </w:rPr>
            </w:pPr>
          </w:p>
        </w:tc>
      </w:tr>
      <w:tr w14:paraId="0841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noWrap w:val="0"/>
            <w:vAlign w:val="center"/>
          </w:tcPr>
          <w:p w14:paraId="139D545C">
            <w:pPr>
              <w:shd w:val="clear" w:color="auto" w:fill="auto"/>
              <w:jc w:val="center"/>
              <w:rPr>
                <w:rFonts w:hint="eastAsia" w:ascii="黑体" w:hAnsi="黑体" w:eastAsia="黑体" w:cs="黑体"/>
                <w:color w:val="auto"/>
                <w:sz w:val="24"/>
                <w:szCs w:val="24"/>
                <w:highlight w:val="none"/>
              </w:rPr>
            </w:pPr>
          </w:p>
        </w:tc>
        <w:tc>
          <w:tcPr>
            <w:tcW w:w="6116" w:type="dxa"/>
            <w:noWrap w:val="0"/>
            <w:vAlign w:val="center"/>
          </w:tcPr>
          <w:p w14:paraId="2237FE59">
            <w:pPr>
              <w:shd w:val="clear" w:color="auto" w:fill="auto"/>
              <w:jc w:val="center"/>
              <w:rPr>
                <w:rFonts w:hint="eastAsia" w:ascii="黑体" w:hAnsi="黑体" w:eastAsia="黑体" w:cs="黑体"/>
                <w:color w:val="auto"/>
                <w:sz w:val="24"/>
                <w:szCs w:val="24"/>
                <w:highlight w:val="none"/>
              </w:rPr>
            </w:pPr>
          </w:p>
        </w:tc>
      </w:tr>
    </w:tbl>
    <w:p w14:paraId="5BA1C847">
      <w:pPr>
        <w:shd w:val="clear" w:color="auto" w:fill="auto"/>
        <w:spacing w:line="440" w:lineRule="exact"/>
        <w:ind w:left="636" w:leftChars="303" w:right="504" w:rightChars="240" w:firstLine="0" w:firstLineChars="0"/>
        <w:rPr>
          <w:rFonts w:hint="eastAsia" w:ascii="黑体" w:hAnsi="黑体" w:eastAsia="黑体" w:cs="黑体"/>
          <w:color w:val="auto"/>
          <w:szCs w:val="21"/>
          <w:highlight w:val="none"/>
        </w:rPr>
      </w:pPr>
      <w:r>
        <w:rPr>
          <w:rFonts w:hint="eastAsia" w:ascii="黑体" w:hAnsi="黑体" w:eastAsia="黑体" w:cs="黑体"/>
          <w:color w:val="auto"/>
          <w:sz w:val="24"/>
          <w:szCs w:val="24"/>
          <w:highlight w:val="none"/>
        </w:rPr>
        <w:t>备注：本表后附中标通知书、合同协议书、</w:t>
      </w:r>
      <w:r>
        <w:rPr>
          <w:rFonts w:hint="eastAsia" w:ascii="黑体" w:hAnsi="黑体" w:eastAsia="黑体" w:cs="黑体"/>
          <w:bCs/>
          <w:color w:val="auto"/>
          <w:sz w:val="24"/>
          <w:szCs w:val="24"/>
          <w:highlight w:val="none"/>
        </w:rPr>
        <w:t>验收文件（或项目法人出具的完工证明文件）</w:t>
      </w:r>
      <w:r>
        <w:rPr>
          <w:rFonts w:hint="eastAsia" w:ascii="黑体" w:hAnsi="黑体" w:eastAsia="黑体" w:cs="黑体"/>
          <w:color w:val="auto"/>
          <w:sz w:val="24"/>
          <w:szCs w:val="24"/>
          <w:highlight w:val="none"/>
        </w:rPr>
        <w:t>的</w:t>
      </w:r>
      <w:r>
        <w:rPr>
          <w:rFonts w:hint="eastAsia" w:ascii="黑体" w:hAnsi="黑体" w:eastAsia="黑体" w:cs="黑体"/>
          <w:color w:val="auto"/>
          <w:sz w:val="24"/>
          <w:szCs w:val="24"/>
          <w:highlight w:val="none"/>
          <w:lang w:eastAsia="zh-CN"/>
        </w:rPr>
        <w:t>扫描件</w:t>
      </w:r>
      <w:r>
        <w:rPr>
          <w:rFonts w:hint="eastAsia" w:ascii="黑体" w:hAnsi="黑体" w:eastAsia="黑体" w:cs="黑体"/>
          <w:color w:val="auto"/>
          <w:sz w:val="24"/>
          <w:szCs w:val="24"/>
          <w:highlight w:val="none"/>
          <w:lang w:val="en-US" w:eastAsia="zh-CN"/>
        </w:rPr>
        <w:t>并</w:t>
      </w:r>
      <w:r>
        <w:rPr>
          <w:rFonts w:hint="eastAsia" w:ascii="黑体" w:hAnsi="黑体" w:eastAsia="黑体" w:cs="黑体"/>
          <w:color w:val="auto"/>
          <w:sz w:val="24"/>
          <w:szCs w:val="24"/>
          <w:highlight w:val="none"/>
        </w:rPr>
        <w:t>加盖单位公章，具体年份要求见</w:t>
      </w:r>
      <w:r>
        <w:rPr>
          <w:rFonts w:hint="eastAsia" w:ascii="黑体" w:hAnsi="黑体" w:eastAsia="黑体" w:cs="黑体"/>
          <w:color w:val="auto"/>
          <w:sz w:val="24"/>
          <w:szCs w:val="24"/>
          <w:highlight w:val="none"/>
          <w:lang w:eastAsia="zh-CN"/>
        </w:rPr>
        <w:t>供应商</w:t>
      </w:r>
      <w:r>
        <w:rPr>
          <w:rFonts w:hint="eastAsia" w:ascii="黑体" w:hAnsi="黑体" w:eastAsia="黑体" w:cs="黑体"/>
          <w:color w:val="auto"/>
          <w:sz w:val="24"/>
          <w:szCs w:val="24"/>
          <w:highlight w:val="none"/>
        </w:rPr>
        <w:t>须知前附表。每张表格只填写一个项目，并标明序号。</w:t>
      </w:r>
    </w:p>
    <w:p w14:paraId="47E5AD10">
      <w:pPr>
        <w:pStyle w:val="126"/>
        <w:shd w:val="clear" w:color="auto" w:fill="auto"/>
        <w:ind w:left="0" w:leftChars="0" w:firstLine="638" w:firstLineChars="304"/>
        <w:jc w:val="left"/>
        <w:rPr>
          <w:rFonts w:hint="eastAsia" w:ascii="黑体" w:hAnsi="黑体" w:eastAsia="黑体" w:cs="黑体"/>
          <w:color w:val="auto"/>
          <w:sz w:val="24"/>
          <w:szCs w:val="24"/>
          <w:highlight w:val="none"/>
        </w:rPr>
      </w:pPr>
      <w:r>
        <w:rPr>
          <w:rFonts w:hint="eastAsia" w:ascii="黑体" w:hAnsi="黑体" w:eastAsia="黑体" w:cs="黑体"/>
          <w:color w:val="auto"/>
          <w:sz w:val="21"/>
          <w:szCs w:val="21"/>
          <w:highlight w:val="none"/>
        </w:rPr>
        <w:br w:type="page"/>
      </w:r>
      <w:bookmarkStart w:id="331" w:name="_Toc21657"/>
      <w:r>
        <w:rPr>
          <w:rFonts w:hint="eastAsia" w:ascii="黑体" w:hAnsi="黑体" w:eastAsia="黑体" w:cs="黑体"/>
          <w:b/>
          <w:bCs/>
          <w:color w:val="auto"/>
          <w:sz w:val="24"/>
          <w:szCs w:val="24"/>
          <w:highlight w:val="none"/>
          <w:u w:val="none"/>
          <w:lang w:val="en-US" w:eastAsia="zh-CN"/>
        </w:rPr>
        <w:t>3.3</w:t>
      </w:r>
      <w:r>
        <w:rPr>
          <w:rFonts w:hint="eastAsia" w:ascii="黑体" w:hAnsi="黑体" w:eastAsia="黑体" w:cs="黑体"/>
          <w:b/>
          <w:bCs/>
          <w:color w:val="auto"/>
          <w:sz w:val="24"/>
          <w:szCs w:val="24"/>
          <w:highlight w:val="none"/>
          <w:u w:val="none"/>
        </w:rPr>
        <w:t>正在施工的和新承接的项目情况表</w:t>
      </w:r>
      <w:bookmarkEnd w:id="331"/>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5269E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5413356B">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项目名称</w:t>
            </w:r>
          </w:p>
        </w:tc>
        <w:tc>
          <w:tcPr>
            <w:tcW w:w="6095" w:type="dxa"/>
            <w:noWrap w:val="0"/>
            <w:vAlign w:val="center"/>
          </w:tcPr>
          <w:p w14:paraId="450CE0EF">
            <w:pPr>
              <w:shd w:val="clear" w:color="auto" w:fill="auto"/>
              <w:jc w:val="center"/>
              <w:rPr>
                <w:rFonts w:hint="eastAsia" w:ascii="黑体" w:hAnsi="黑体" w:eastAsia="黑体" w:cs="黑体"/>
                <w:color w:val="auto"/>
                <w:sz w:val="24"/>
                <w:szCs w:val="24"/>
                <w:highlight w:val="none"/>
              </w:rPr>
            </w:pPr>
          </w:p>
        </w:tc>
      </w:tr>
      <w:tr w14:paraId="619A7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640BB884">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项目所在地</w:t>
            </w:r>
          </w:p>
        </w:tc>
        <w:tc>
          <w:tcPr>
            <w:tcW w:w="6095" w:type="dxa"/>
            <w:noWrap w:val="0"/>
            <w:vAlign w:val="center"/>
          </w:tcPr>
          <w:p w14:paraId="25904A1A">
            <w:pPr>
              <w:shd w:val="clear" w:color="auto" w:fill="auto"/>
              <w:jc w:val="center"/>
              <w:rPr>
                <w:rFonts w:hint="eastAsia" w:ascii="黑体" w:hAnsi="黑体" w:eastAsia="黑体" w:cs="黑体"/>
                <w:color w:val="auto"/>
                <w:sz w:val="24"/>
                <w:szCs w:val="24"/>
                <w:highlight w:val="none"/>
              </w:rPr>
            </w:pPr>
          </w:p>
        </w:tc>
      </w:tr>
      <w:tr w14:paraId="1803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38162ACD">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发包人名称</w:t>
            </w:r>
          </w:p>
        </w:tc>
        <w:tc>
          <w:tcPr>
            <w:tcW w:w="6095" w:type="dxa"/>
            <w:noWrap w:val="0"/>
            <w:vAlign w:val="center"/>
          </w:tcPr>
          <w:p w14:paraId="02CAFFFB">
            <w:pPr>
              <w:shd w:val="clear" w:color="auto" w:fill="auto"/>
              <w:jc w:val="center"/>
              <w:rPr>
                <w:rFonts w:hint="eastAsia" w:ascii="黑体" w:hAnsi="黑体" w:eastAsia="黑体" w:cs="黑体"/>
                <w:color w:val="auto"/>
                <w:sz w:val="24"/>
                <w:szCs w:val="24"/>
                <w:highlight w:val="none"/>
              </w:rPr>
            </w:pPr>
          </w:p>
        </w:tc>
      </w:tr>
      <w:tr w14:paraId="0C6B5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6012474E">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发包人地址</w:t>
            </w:r>
          </w:p>
        </w:tc>
        <w:tc>
          <w:tcPr>
            <w:tcW w:w="6095" w:type="dxa"/>
            <w:noWrap w:val="0"/>
            <w:vAlign w:val="center"/>
          </w:tcPr>
          <w:p w14:paraId="1F5EB2F2">
            <w:pPr>
              <w:shd w:val="clear" w:color="auto" w:fill="auto"/>
              <w:jc w:val="center"/>
              <w:rPr>
                <w:rFonts w:hint="eastAsia" w:ascii="黑体" w:hAnsi="黑体" w:eastAsia="黑体" w:cs="黑体"/>
                <w:color w:val="auto"/>
                <w:sz w:val="24"/>
                <w:szCs w:val="24"/>
                <w:highlight w:val="none"/>
              </w:rPr>
            </w:pPr>
          </w:p>
        </w:tc>
      </w:tr>
      <w:tr w14:paraId="68E2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6633C4A0">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发包人电话</w:t>
            </w:r>
          </w:p>
        </w:tc>
        <w:tc>
          <w:tcPr>
            <w:tcW w:w="6095" w:type="dxa"/>
            <w:noWrap w:val="0"/>
            <w:vAlign w:val="center"/>
          </w:tcPr>
          <w:p w14:paraId="6129CEB9">
            <w:pPr>
              <w:shd w:val="clear" w:color="auto" w:fill="auto"/>
              <w:jc w:val="center"/>
              <w:rPr>
                <w:rFonts w:hint="eastAsia" w:ascii="黑体" w:hAnsi="黑体" w:eastAsia="黑体" w:cs="黑体"/>
                <w:color w:val="auto"/>
                <w:sz w:val="24"/>
                <w:szCs w:val="24"/>
                <w:highlight w:val="none"/>
              </w:rPr>
            </w:pPr>
          </w:p>
        </w:tc>
      </w:tr>
      <w:tr w14:paraId="66A0B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4A786378">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签约合同价</w:t>
            </w:r>
          </w:p>
        </w:tc>
        <w:tc>
          <w:tcPr>
            <w:tcW w:w="6095" w:type="dxa"/>
            <w:noWrap w:val="0"/>
            <w:vAlign w:val="center"/>
          </w:tcPr>
          <w:p w14:paraId="49B782A3">
            <w:pPr>
              <w:shd w:val="clear" w:color="auto" w:fill="auto"/>
              <w:jc w:val="center"/>
              <w:rPr>
                <w:rFonts w:hint="eastAsia" w:ascii="黑体" w:hAnsi="黑体" w:eastAsia="黑体" w:cs="黑体"/>
                <w:color w:val="auto"/>
                <w:sz w:val="24"/>
                <w:szCs w:val="24"/>
                <w:highlight w:val="none"/>
              </w:rPr>
            </w:pPr>
          </w:p>
        </w:tc>
      </w:tr>
      <w:tr w14:paraId="1C6F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10783407">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开工日期</w:t>
            </w:r>
          </w:p>
        </w:tc>
        <w:tc>
          <w:tcPr>
            <w:tcW w:w="6095" w:type="dxa"/>
            <w:noWrap w:val="0"/>
            <w:vAlign w:val="center"/>
          </w:tcPr>
          <w:p w14:paraId="00ED87D3">
            <w:pPr>
              <w:shd w:val="clear" w:color="auto" w:fill="auto"/>
              <w:jc w:val="center"/>
              <w:rPr>
                <w:rFonts w:hint="eastAsia" w:ascii="黑体" w:hAnsi="黑体" w:eastAsia="黑体" w:cs="黑体"/>
                <w:color w:val="auto"/>
                <w:sz w:val="24"/>
                <w:szCs w:val="24"/>
                <w:highlight w:val="none"/>
              </w:rPr>
            </w:pPr>
          </w:p>
        </w:tc>
      </w:tr>
      <w:tr w14:paraId="3563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2F090564">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计划竣工日期</w:t>
            </w:r>
          </w:p>
        </w:tc>
        <w:tc>
          <w:tcPr>
            <w:tcW w:w="6095" w:type="dxa"/>
            <w:noWrap w:val="0"/>
            <w:vAlign w:val="center"/>
          </w:tcPr>
          <w:p w14:paraId="7879BAC7">
            <w:pPr>
              <w:shd w:val="clear" w:color="auto" w:fill="auto"/>
              <w:jc w:val="center"/>
              <w:rPr>
                <w:rFonts w:hint="eastAsia" w:ascii="黑体" w:hAnsi="黑体" w:eastAsia="黑体" w:cs="黑体"/>
                <w:color w:val="auto"/>
                <w:sz w:val="24"/>
                <w:szCs w:val="24"/>
                <w:highlight w:val="none"/>
              </w:rPr>
            </w:pPr>
          </w:p>
        </w:tc>
      </w:tr>
      <w:tr w14:paraId="0B3BF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7A8EC98F">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承担的工作</w:t>
            </w:r>
          </w:p>
        </w:tc>
        <w:tc>
          <w:tcPr>
            <w:tcW w:w="6095" w:type="dxa"/>
            <w:noWrap w:val="0"/>
            <w:vAlign w:val="center"/>
          </w:tcPr>
          <w:p w14:paraId="328C4B8E">
            <w:pPr>
              <w:shd w:val="clear" w:color="auto" w:fill="auto"/>
              <w:jc w:val="center"/>
              <w:rPr>
                <w:rFonts w:hint="eastAsia" w:ascii="黑体" w:hAnsi="黑体" w:eastAsia="黑体" w:cs="黑体"/>
                <w:color w:val="auto"/>
                <w:sz w:val="24"/>
                <w:szCs w:val="24"/>
                <w:highlight w:val="none"/>
              </w:rPr>
            </w:pPr>
          </w:p>
        </w:tc>
      </w:tr>
      <w:tr w14:paraId="0CE02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718CC282">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工程质量</w:t>
            </w:r>
          </w:p>
        </w:tc>
        <w:tc>
          <w:tcPr>
            <w:tcW w:w="6095" w:type="dxa"/>
            <w:noWrap w:val="0"/>
            <w:vAlign w:val="center"/>
          </w:tcPr>
          <w:p w14:paraId="6A4B5C8C">
            <w:pPr>
              <w:shd w:val="clear" w:color="auto" w:fill="auto"/>
              <w:jc w:val="center"/>
              <w:rPr>
                <w:rFonts w:hint="eastAsia" w:ascii="黑体" w:hAnsi="黑体" w:eastAsia="黑体" w:cs="黑体"/>
                <w:color w:val="auto"/>
                <w:sz w:val="24"/>
                <w:szCs w:val="24"/>
                <w:highlight w:val="none"/>
              </w:rPr>
            </w:pPr>
          </w:p>
        </w:tc>
      </w:tr>
      <w:tr w14:paraId="6542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3089949F">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项目经理</w:t>
            </w:r>
          </w:p>
        </w:tc>
        <w:tc>
          <w:tcPr>
            <w:tcW w:w="6095" w:type="dxa"/>
            <w:noWrap w:val="0"/>
            <w:vAlign w:val="center"/>
          </w:tcPr>
          <w:p w14:paraId="7338472A">
            <w:pPr>
              <w:shd w:val="clear" w:color="auto" w:fill="auto"/>
              <w:jc w:val="center"/>
              <w:rPr>
                <w:rFonts w:hint="eastAsia" w:ascii="黑体" w:hAnsi="黑体" w:eastAsia="黑体" w:cs="黑体"/>
                <w:color w:val="auto"/>
                <w:sz w:val="24"/>
                <w:szCs w:val="24"/>
                <w:highlight w:val="none"/>
              </w:rPr>
            </w:pPr>
          </w:p>
        </w:tc>
      </w:tr>
      <w:tr w14:paraId="46FA1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517463EE">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技术负责人</w:t>
            </w:r>
          </w:p>
        </w:tc>
        <w:tc>
          <w:tcPr>
            <w:tcW w:w="6095" w:type="dxa"/>
            <w:noWrap w:val="0"/>
            <w:vAlign w:val="center"/>
          </w:tcPr>
          <w:p w14:paraId="703C61F2">
            <w:pPr>
              <w:shd w:val="clear" w:color="auto" w:fill="auto"/>
              <w:jc w:val="center"/>
              <w:rPr>
                <w:rFonts w:hint="eastAsia" w:ascii="黑体" w:hAnsi="黑体" w:eastAsia="黑体" w:cs="黑体"/>
                <w:color w:val="auto"/>
                <w:sz w:val="24"/>
                <w:szCs w:val="24"/>
                <w:highlight w:val="none"/>
              </w:rPr>
            </w:pPr>
          </w:p>
        </w:tc>
      </w:tr>
      <w:tr w14:paraId="5125E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2F84831F">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总监理工程师及电话</w:t>
            </w:r>
          </w:p>
        </w:tc>
        <w:tc>
          <w:tcPr>
            <w:tcW w:w="6095" w:type="dxa"/>
            <w:noWrap w:val="0"/>
            <w:vAlign w:val="center"/>
          </w:tcPr>
          <w:p w14:paraId="24198E4E">
            <w:pPr>
              <w:shd w:val="clear" w:color="auto" w:fill="auto"/>
              <w:jc w:val="center"/>
              <w:rPr>
                <w:rFonts w:hint="eastAsia" w:ascii="黑体" w:hAnsi="黑体" w:eastAsia="黑体" w:cs="黑体"/>
                <w:color w:val="auto"/>
                <w:sz w:val="24"/>
                <w:szCs w:val="24"/>
                <w:highlight w:val="none"/>
              </w:rPr>
            </w:pPr>
          </w:p>
        </w:tc>
      </w:tr>
      <w:tr w14:paraId="594F3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10" w:type="dxa"/>
            <w:noWrap w:val="0"/>
            <w:vAlign w:val="center"/>
          </w:tcPr>
          <w:p w14:paraId="791496F7">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项目描述</w:t>
            </w:r>
          </w:p>
        </w:tc>
        <w:tc>
          <w:tcPr>
            <w:tcW w:w="6095" w:type="dxa"/>
            <w:noWrap w:val="0"/>
            <w:vAlign w:val="center"/>
          </w:tcPr>
          <w:p w14:paraId="46A6CEFD">
            <w:pPr>
              <w:shd w:val="clear" w:color="auto" w:fill="auto"/>
              <w:jc w:val="center"/>
              <w:rPr>
                <w:rFonts w:hint="eastAsia" w:ascii="黑体" w:hAnsi="黑体" w:eastAsia="黑体" w:cs="黑体"/>
                <w:color w:val="auto"/>
                <w:sz w:val="24"/>
                <w:szCs w:val="24"/>
                <w:highlight w:val="none"/>
              </w:rPr>
            </w:pPr>
          </w:p>
        </w:tc>
      </w:tr>
      <w:tr w14:paraId="3CB80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332497A9">
            <w:pPr>
              <w:shd w:val="clear" w:color="auto" w:fill="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备注</w:t>
            </w:r>
          </w:p>
        </w:tc>
        <w:tc>
          <w:tcPr>
            <w:tcW w:w="6095" w:type="dxa"/>
            <w:noWrap w:val="0"/>
            <w:vAlign w:val="center"/>
          </w:tcPr>
          <w:p w14:paraId="7F692F93">
            <w:pPr>
              <w:shd w:val="clear" w:color="auto" w:fill="auto"/>
              <w:jc w:val="center"/>
              <w:rPr>
                <w:rFonts w:hint="eastAsia" w:ascii="黑体" w:hAnsi="黑体" w:eastAsia="黑体" w:cs="黑体"/>
                <w:color w:val="auto"/>
                <w:sz w:val="24"/>
                <w:szCs w:val="24"/>
                <w:highlight w:val="none"/>
              </w:rPr>
            </w:pPr>
          </w:p>
        </w:tc>
      </w:tr>
    </w:tbl>
    <w:p w14:paraId="7C836C2C">
      <w:pPr>
        <w:shd w:val="clear" w:color="auto" w:fill="auto"/>
        <w:spacing w:line="440" w:lineRule="exact"/>
        <w:ind w:left="636" w:leftChars="303" w:right="504" w:rightChars="240" w:firstLine="0" w:firstLineChars="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备注：本表后附中标通知书和合同协议书</w:t>
      </w:r>
      <w:r>
        <w:rPr>
          <w:rFonts w:hint="eastAsia" w:ascii="黑体" w:hAnsi="黑体" w:eastAsia="黑体" w:cs="黑体"/>
          <w:color w:val="auto"/>
          <w:sz w:val="24"/>
          <w:szCs w:val="24"/>
          <w:highlight w:val="none"/>
          <w:lang w:eastAsia="zh-CN"/>
        </w:rPr>
        <w:t>扫描件</w:t>
      </w:r>
      <w:r>
        <w:rPr>
          <w:rFonts w:hint="eastAsia" w:ascii="黑体" w:hAnsi="黑体" w:eastAsia="黑体" w:cs="黑体"/>
          <w:color w:val="auto"/>
          <w:sz w:val="24"/>
          <w:szCs w:val="24"/>
          <w:highlight w:val="none"/>
          <w:lang w:val="en-US" w:eastAsia="zh-CN"/>
        </w:rPr>
        <w:t>并</w:t>
      </w:r>
      <w:r>
        <w:rPr>
          <w:rFonts w:hint="eastAsia" w:ascii="黑体" w:hAnsi="黑体" w:eastAsia="黑体" w:cs="黑体"/>
          <w:color w:val="auto"/>
          <w:sz w:val="24"/>
          <w:szCs w:val="24"/>
          <w:highlight w:val="none"/>
        </w:rPr>
        <w:t>加盖单位公章。每张表格只填写一个项目，并标明序号。</w:t>
      </w:r>
    </w:p>
    <w:p w14:paraId="51A9A247">
      <w:pPr>
        <w:shd w:val="clear" w:color="auto" w:fill="auto"/>
        <w:spacing w:line="440" w:lineRule="exact"/>
        <w:rPr>
          <w:rFonts w:hint="eastAsia" w:ascii="黑体" w:hAnsi="黑体" w:eastAsia="黑体" w:cs="黑体"/>
          <w:color w:val="auto"/>
          <w:szCs w:val="21"/>
          <w:highlight w:val="none"/>
        </w:rPr>
      </w:pPr>
    </w:p>
    <w:p w14:paraId="3FD9248B">
      <w:pPr>
        <w:shd w:val="clear" w:color="auto" w:fill="auto"/>
        <w:spacing w:line="440" w:lineRule="exact"/>
        <w:rPr>
          <w:rFonts w:hint="eastAsia" w:ascii="黑体" w:hAnsi="黑体" w:eastAsia="黑体" w:cs="黑体"/>
          <w:color w:val="auto"/>
          <w:szCs w:val="21"/>
          <w:highlight w:val="none"/>
        </w:rPr>
      </w:pPr>
    </w:p>
    <w:p w14:paraId="0D9E8A82">
      <w:pPr>
        <w:shd w:val="clear" w:color="auto" w:fill="auto"/>
        <w:spacing w:line="440" w:lineRule="exact"/>
        <w:rPr>
          <w:rFonts w:hint="eastAsia" w:ascii="黑体" w:hAnsi="黑体" w:eastAsia="黑体" w:cs="黑体"/>
          <w:color w:val="auto"/>
          <w:sz w:val="28"/>
          <w:szCs w:val="28"/>
          <w:highlight w:val="none"/>
        </w:rPr>
      </w:pPr>
    </w:p>
    <w:p w14:paraId="41830A58">
      <w:pPr>
        <w:pStyle w:val="126"/>
        <w:shd w:val="clear" w:color="auto" w:fill="auto"/>
        <w:spacing w:line="360" w:lineRule="auto"/>
        <w:jc w:val="center"/>
        <w:rPr>
          <w:rFonts w:hint="eastAsia" w:ascii="黑体" w:hAnsi="黑体" w:eastAsia="黑体" w:cs="黑体"/>
          <w:b/>
          <w:bCs/>
          <w:color w:val="auto"/>
          <w:sz w:val="28"/>
          <w:szCs w:val="28"/>
          <w:highlight w:val="none"/>
          <w:u w:val="none"/>
        </w:rPr>
      </w:pPr>
      <w:bookmarkStart w:id="332" w:name="_Toc19329"/>
      <w:r>
        <w:rPr>
          <w:rFonts w:hint="eastAsia" w:ascii="黑体" w:hAnsi="黑体" w:eastAsia="黑体" w:cs="黑体"/>
          <w:b/>
          <w:bCs/>
          <w:color w:val="auto"/>
          <w:sz w:val="28"/>
          <w:szCs w:val="28"/>
          <w:highlight w:val="none"/>
          <w:u w:val="none"/>
          <w:lang w:val="en-US" w:eastAsia="zh-CN"/>
        </w:rPr>
        <w:br w:type="page"/>
      </w:r>
      <w:r>
        <w:rPr>
          <w:rFonts w:hint="eastAsia" w:ascii="黑体" w:hAnsi="黑体" w:eastAsia="黑体" w:cs="黑体"/>
          <w:b/>
          <w:bCs/>
          <w:color w:val="auto"/>
          <w:sz w:val="28"/>
          <w:szCs w:val="28"/>
          <w:highlight w:val="none"/>
          <w:u w:val="none"/>
          <w:lang w:val="en-US" w:eastAsia="zh-CN"/>
        </w:rPr>
        <w:t>3.4、近三年内（</w:t>
      </w:r>
      <w:r>
        <w:rPr>
          <w:rFonts w:hint="eastAsia" w:ascii="黑体" w:hAnsi="黑体" w:cs="黑体"/>
          <w:b/>
          <w:bCs/>
          <w:color w:val="auto"/>
          <w:sz w:val="28"/>
          <w:szCs w:val="28"/>
          <w:highlight w:val="none"/>
          <w:u w:val="none"/>
          <w:lang w:val="en-US" w:eastAsia="zh-CN"/>
        </w:rPr>
        <w:t>2022年01月至今</w:t>
      </w:r>
      <w:r>
        <w:rPr>
          <w:rFonts w:hint="eastAsia" w:ascii="黑体" w:hAnsi="黑体" w:eastAsia="黑体" w:cs="黑体"/>
          <w:b/>
          <w:bCs/>
          <w:color w:val="auto"/>
          <w:sz w:val="28"/>
          <w:szCs w:val="28"/>
          <w:highlight w:val="none"/>
          <w:u w:val="none"/>
          <w:lang w:val="en-US" w:eastAsia="zh-CN"/>
        </w:rPr>
        <w:t>）</w:t>
      </w:r>
      <w:r>
        <w:rPr>
          <w:rFonts w:hint="eastAsia" w:ascii="黑体" w:hAnsi="黑体" w:eastAsia="黑体" w:cs="黑体"/>
          <w:b/>
          <w:bCs/>
          <w:color w:val="auto"/>
          <w:sz w:val="28"/>
          <w:szCs w:val="28"/>
          <w:highlight w:val="none"/>
          <w:u w:val="none"/>
        </w:rPr>
        <w:t>发生的诉讼及仲裁情况</w:t>
      </w:r>
      <w:bookmarkEnd w:id="332"/>
    </w:p>
    <w:p w14:paraId="6BB98AA3">
      <w:pPr>
        <w:shd w:val="clear" w:color="auto" w:fill="auto"/>
        <w:spacing w:line="360" w:lineRule="auto"/>
        <w:ind w:left="630" w:hanging="720" w:hangingChars="3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说明：近三年内</w:t>
      </w:r>
      <w:r>
        <w:rPr>
          <w:rFonts w:hint="eastAsia" w:ascii="黑体" w:hAnsi="黑体" w:eastAsia="黑体" w:cs="黑体"/>
          <w:color w:val="auto"/>
          <w:sz w:val="24"/>
          <w:szCs w:val="24"/>
          <w:highlight w:val="none"/>
          <w:lang w:val="en-US" w:eastAsia="zh-CN"/>
        </w:rPr>
        <w:t>（2022年01月至今）</w:t>
      </w:r>
      <w:r>
        <w:rPr>
          <w:rFonts w:hint="eastAsia" w:ascii="黑体" w:hAnsi="黑体" w:eastAsia="黑体" w:cs="黑体"/>
          <w:color w:val="auto"/>
          <w:sz w:val="24"/>
          <w:szCs w:val="24"/>
          <w:highlight w:val="none"/>
        </w:rPr>
        <w:t>发生的诉讼和仲裁情况仅限于</w:t>
      </w:r>
      <w:r>
        <w:rPr>
          <w:rFonts w:hint="eastAsia" w:ascii="黑体" w:hAnsi="黑体" w:eastAsia="黑体" w:cs="黑体"/>
          <w:color w:val="auto"/>
          <w:sz w:val="24"/>
          <w:szCs w:val="24"/>
          <w:highlight w:val="none"/>
          <w:lang w:eastAsia="zh-CN"/>
        </w:rPr>
        <w:t>供应商</w:t>
      </w:r>
      <w:r>
        <w:rPr>
          <w:rFonts w:hint="eastAsia" w:ascii="黑体" w:hAnsi="黑体" w:eastAsia="黑体" w:cs="黑体"/>
          <w:color w:val="auto"/>
          <w:sz w:val="24"/>
          <w:szCs w:val="24"/>
          <w:highlight w:val="none"/>
        </w:rPr>
        <w:t>败诉的，且与履行施工承包合同有关的案件，不包括调解结案以及未裁决的仲裁或未终审判决的诉讼。</w:t>
      </w:r>
    </w:p>
    <w:p w14:paraId="1506F87F">
      <w:pPr>
        <w:shd w:val="clear" w:color="auto" w:fill="auto"/>
        <w:spacing w:line="440" w:lineRule="exact"/>
        <w:rPr>
          <w:rFonts w:hint="eastAsia" w:ascii="黑体" w:hAnsi="黑体" w:eastAsia="黑体" w:cs="黑体"/>
          <w:color w:val="auto"/>
          <w:szCs w:val="21"/>
          <w:highlight w:val="none"/>
        </w:rPr>
      </w:pPr>
    </w:p>
    <w:p w14:paraId="1E50EBD4">
      <w:pPr>
        <w:shd w:val="clear" w:color="auto" w:fill="auto"/>
        <w:spacing w:line="440" w:lineRule="exact"/>
        <w:rPr>
          <w:rFonts w:hint="eastAsia" w:ascii="黑体" w:hAnsi="黑体" w:eastAsia="黑体" w:cs="黑体"/>
          <w:color w:val="auto"/>
          <w:szCs w:val="21"/>
          <w:highlight w:val="none"/>
        </w:rPr>
      </w:pPr>
    </w:p>
    <w:p w14:paraId="00962A24">
      <w:pPr>
        <w:shd w:val="clear" w:color="auto" w:fill="auto"/>
        <w:spacing w:line="440" w:lineRule="exact"/>
        <w:rPr>
          <w:rFonts w:hint="eastAsia" w:ascii="黑体" w:hAnsi="黑体" w:eastAsia="黑体" w:cs="黑体"/>
          <w:color w:val="auto"/>
          <w:szCs w:val="21"/>
          <w:highlight w:val="none"/>
        </w:rPr>
      </w:pPr>
    </w:p>
    <w:p w14:paraId="5261FE8D">
      <w:pPr>
        <w:shd w:val="clear" w:color="auto" w:fill="auto"/>
        <w:spacing w:before="156" w:beforeLines="50" w:after="156" w:afterLines="50" w:line="440" w:lineRule="exact"/>
        <w:ind w:left="630" w:hanging="840" w:hangingChars="300"/>
        <w:jc w:val="center"/>
        <w:rPr>
          <w:rFonts w:hint="eastAsia" w:ascii="黑体" w:hAnsi="黑体" w:eastAsia="黑体" w:cs="黑体"/>
          <w:b/>
          <w:bCs/>
          <w:color w:val="auto"/>
          <w:sz w:val="28"/>
          <w:szCs w:val="28"/>
          <w:highlight w:val="none"/>
          <w:lang w:val="en-US" w:eastAsia="zh-CN"/>
        </w:rPr>
      </w:pPr>
    </w:p>
    <w:p w14:paraId="2767D2C3">
      <w:pPr>
        <w:shd w:val="clear" w:color="auto" w:fill="auto"/>
        <w:spacing w:before="156" w:beforeLines="50" w:after="156" w:afterLines="50" w:line="440" w:lineRule="exact"/>
        <w:ind w:left="630" w:hanging="840" w:hangingChars="300"/>
        <w:jc w:val="center"/>
        <w:rPr>
          <w:rFonts w:hint="eastAsia" w:ascii="黑体" w:hAnsi="黑体" w:eastAsia="黑体" w:cs="黑体"/>
          <w:b/>
          <w:bCs/>
          <w:color w:val="auto"/>
          <w:sz w:val="28"/>
          <w:szCs w:val="28"/>
          <w:highlight w:val="none"/>
          <w:lang w:val="en-US" w:eastAsia="zh-CN"/>
        </w:rPr>
      </w:pPr>
    </w:p>
    <w:p w14:paraId="6C63BC31">
      <w:pPr>
        <w:shd w:val="clear" w:color="auto" w:fill="auto"/>
        <w:spacing w:before="156" w:beforeLines="50" w:after="156" w:afterLines="50" w:line="440" w:lineRule="exact"/>
        <w:ind w:left="630" w:hanging="840" w:hangingChars="300"/>
        <w:jc w:val="center"/>
        <w:rPr>
          <w:rFonts w:hint="eastAsia" w:ascii="黑体" w:hAnsi="黑体" w:eastAsia="黑体" w:cs="黑体"/>
          <w:b/>
          <w:color w:val="auto"/>
          <w:sz w:val="24"/>
          <w:szCs w:val="24"/>
          <w:highlight w:val="none"/>
        </w:rPr>
      </w:pPr>
      <w:r>
        <w:rPr>
          <w:rFonts w:hint="eastAsia" w:ascii="黑体" w:hAnsi="黑体" w:eastAsia="黑体" w:cs="黑体"/>
          <w:b/>
          <w:bCs/>
          <w:color w:val="auto"/>
          <w:sz w:val="28"/>
          <w:szCs w:val="28"/>
          <w:highlight w:val="none"/>
          <w:lang w:val="en-US" w:eastAsia="zh-CN"/>
        </w:rPr>
        <w:t>3.5</w:t>
      </w:r>
      <w:r>
        <w:rPr>
          <w:rFonts w:hint="eastAsia" w:ascii="黑体" w:hAnsi="黑体" w:eastAsia="黑体" w:cs="黑体"/>
          <w:b/>
          <w:bCs/>
          <w:color w:val="auto"/>
          <w:sz w:val="28"/>
          <w:szCs w:val="28"/>
          <w:highlight w:val="none"/>
        </w:rPr>
        <w:t>企业其他信誉情况表</w:t>
      </w:r>
      <w:r>
        <w:rPr>
          <w:rFonts w:hint="eastAsia" w:ascii="黑体" w:hAnsi="黑体" w:eastAsia="黑体" w:cs="黑体"/>
          <w:b/>
          <w:color w:val="auto"/>
          <w:sz w:val="28"/>
          <w:szCs w:val="28"/>
          <w:highlight w:val="none"/>
        </w:rPr>
        <w:t>（年份要求同诉讼及仲裁情况年份要求）</w:t>
      </w:r>
    </w:p>
    <w:p w14:paraId="54864149">
      <w:pPr>
        <w:shd w:val="clear" w:color="auto" w:fill="auto"/>
        <w:spacing w:line="360" w:lineRule="auto"/>
        <w:ind w:left="413" w:leftChars="197" w:firstLine="5" w:firstLineChars="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近三年内</w:t>
      </w:r>
      <w:r>
        <w:rPr>
          <w:rFonts w:hint="eastAsia" w:ascii="黑体" w:hAnsi="黑体" w:eastAsia="黑体" w:cs="黑体"/>
          <w:color w:val="auto"/>
          <w:sz w:val="24"/>
          <w:szCs w:val="24"/>
          <w:highlight w:val="none"/>
          <w:lang w:val="en-US" w:eastAsia="zh-CN"/>
        </w:rPr>
        <w:t>（2022年01月至今）</w:t>
      </w:r>
      <w:r>
        <w:rPr>
          <w:rFonts w:hint="eastAsia" w:ascii="黑体" w:hAnsi="黑体" w:eastAsia="黑体" w:cs="黑体"/>
          <w:color w:val="auto"/>
          <w:sz w:val="24"/>
          <w:szCs w:val="24"/>
          <w:highlight w:val="none"/>
        </w:rPr>
        <w:t>企业不良行为记录情况</w:t>
      </w:r>
    </w:p>
    <w:p w14:paraId="7DA2BA6C">
      <w:pPr>
        <w:shd w:val="clear" w:color="auto" w:fill="auto"/>
        <w:spacing w:line="360" w:lineRule="auto"/>
        <w:ind w:left="413" w:leftChars="197" w:firstLine="5" w:firstLineChars="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在</w:t>
      </w:r>
      <w:r>
        <w:rPr>
          <w:rFonts w:hint="eastAsia" w:ascii="黑体" w:hAnsi="黑体" w:eastAsia="黑体" w:cs="黑体"/>
          <w:color w:val="auto"/>
          <w:sz w:val="24"/>
          <w:szCs w:val="24"/>
          <w:highlight w:val="none"/>
          <w:lang w:val="en-US" w:eastAsia="zh-CN"/>
        </w:rPr>
        <w:t>建</w:t>
      </w:r>
      <w:r>
        <w:rPr>
          <w:rFonts w:hint="eastAsia" w:ascii="黑体" w:hAnsi="黑体" w:eastAsia="黑体" w:cs="黑体"/>
          <w:color w:val="auto"/>
          <w:sz w:val="24"/>
          <w:szCs w:val="24"/>
          <w:highlight w:val="none"/>
        </w:rPr>
        <w:t>工程以及近年已竣工工程合同履行情况</w:t>
      </w:r>
    </w:p>
    <w:p w14:paraId="27B77764">
      <w:pPr>
        <w:shd w:val="clear" w:color="auto" w:fill="auto"/>
        <w:spacing w:line="360" w:lineRule="auto"/>
        <w:ind w:left="413" w:leftChars="197" w:firstLine="5" w:firstLineChars="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其他</w:t>
      </w:r>
    </w:p>
    <w:p w14:paraId="625FF466">
      <w:pPr>
        <w:shd w:val="clear" w:color="auto" w:fill="auto"/>
        <w:spacing w:line="360" w:lineRule="auto"/>
        <w:ind w:left="413" w:leftChars="197" w:firstLine="5" w:firstLineChars="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备注：1、企业不良行为记录情况主要是近三年内</w:t>
      </w:r>
      <w:r>
        <w:rPr>
          <w:rFonts w:hint="eastAsia" w:ascii="黑体" w:hAnsi="黑体" w:eastAsia="黑体" w:cs="黑体"/>
          <w:color w:val="auto"/>
          <w:sz w:val="24"/>
          <w:szCs w:val="24"/>
          <w:highlight w:val="none"/>
          <w:lang w:val="en-US" w:eastAsia="zh-CN"/>
        </w:rPr>
        <w:t>（2022年01月至今）</w:t>
      </w:r>
      <w:r>
        <w:rPr>
          <w:rFonts w:hint="eastAsia" w:ascii="黑体" w:hAnsi="黑体" w:eastAsia="黑体" w:cs="黑体"/>
          <w:color w:val="auto"/>
          <w:sz w:val="24"/>
          <w:szCs w:val="24"/>
          <w:highlight w:val="none"/>
          <w:lang w:eastAsia="zh-CN"/>
        </w:rPr>
        <w:t>供应商</w:t>
      </w:r>
      <w:r>
        <w:rPr>
          <w:rFonts w:hint="eastAsia" w:ascii="黑体" w:hAnsi="黑体" w:eastAsia="黑体" w:cs="黑体"/>
          <w:color w:val="auto"/>
          <w:sz w:val="24"/>
          <w:szCs w:val="24"/>
          <w:highlight w:val="none"/>
        </w:rPr>
        <w:t>在工程建设过程中因违反有关工程建设的法律、法规、规章或强制性标准和执业行为规范，经县级以上建设行政主管部门或其委托的执法监督机构查实和行政处罚，形成的不良行为记录。</w:t>
      </w:r>
    </w:p>
    <w:p w14:paraId="7C94BF59">
      <w:pPr>
        <w:shd w:val="clear" w:color="auto" w:fill="auto"/>
        <w:autoSpaceDE w:val="0"/>
        <w:autoSpaceDN w:val="0"/>
        <w:adjustRightInd w:val="0"/>
        <w:spacing w:line="360" w:lineRule="auto"/>
        <w:ind w:left="413" w:leftChars="197" w:firstLine="5" w:firstLineChars="0"/>
        <w:rPr>
          <w:rFonts w:hint="eastAsia" w:ascii="黑体" w:hAnsi="黑体" w:eastAsia="黑体" w:cs="黑体"/>
          <w:color w:val="auto"/>
          <w:kern w:val="0"/>
          <w:sz w:val="24"/>
          <w:szCs w:val="24"/>
          <w:highlight w:val="none"/>
        </w:rPr>
      </w:pPr>
      <w:r>
        <w:rPr>
          <w:rFonts w:hint="eastAsia" w:ascii="黑体" w:hAnsi="黑体" w:eastAsia="黑体" w:cs="黑体"/>
          <w:color w:val="auto"/>
          <w:sz w:val="24"/>
          <w:szCs w:val="24"/>
          <w:highlight w:val="none"/>
        </w:rPr>
        <w:t>2、合同履行情况主要是</w:t>
      </w:r>
      <w:r>
        <w:rPr>
          <w:rFonts w:hint="eastAsia" w:ascii="黑体" w:hAnsi="黑体" w:eastAsia="黑体" w:cs="黑体"/>
          <w:color w:val="auto"/>
          <w:sz w:val="24"/>
          <w:szCs w:val="24"/>
          <w:highlight w:val="none"/>
          <w:lang w:eastAsia="zh-CN"/>
        </w:rPr>
        <w:t>供应商</w:t>
      </w:r>
      <w:r>
        <w:rPr>
          <w:rFonts w:hint="eastAsia" w:ascii="黑体" w:hAnsi="黑体" w:eastAsia="黑体" w:cs="黑体"/>
          <w:color w:val="auto"/>
          <w:sz w:val="24"/>
          <w:szCs w:val="24"/>
          <w:highlight w:val="none"/>
        </w:rPr>
        <w:t>近年所承接工程和已竣工工程是否按合同约定的工期、质量、安全等履行合同义务，对未竣工工程合同履行情况还应重点说明非不可抗力解除合同（如果有)的原因等具体情况等。</w:t>
      </w:r>
    </w:p>
    <w:p w14:paraId="74EA1DDB">
      <w:pPr>
        <w:shd w:val="clear" w:color="auto" w:fill="auto"/>
        <w:spacing w:line="360" w:lineRule="auto"/>
        <w:ind w:left="413" w:leftChars="197" w:firstLine="5" w:firstLineChars="0"/>
        <w:rPr>
          <w:rFonts w:hint="eastAsia" w:ascii="黑体" w:hAnsi="黑体" w:eastAsia="黑体" w:cs="黑体"/>
          <w:color w:val="auto"/>
          <w:sz w:val="24"/>
          <w:szCs w:val="24"/>
          <w:highlight w:val="none"/>
        </w:rPr>
        <w:sectPr>
          <w:pgSz w:w="11906" w:h="16838"/>
          <w:pgMar w:top="1440" w:right="1080" w:bottom="1440" w:left="1080" w:header="851" w:footer="992" w:gutter="0"/>
          <w:pgNumType w:fmt="decimal"/>
          <w:cols w:space="720" w:num="1"/>
          <w:docGrid w:type="linesAndChars" w:linePitch="312" w:charSpace="0"/>
        </w:sectPr>
      </w:pPr>
    </w:p>
    <w:p w14:paraId="0BD12D82">
      <w:pPr>
        <w:pStyle w:val="6"/>
        <w:shd w:val="clear" w:color="auto" w:fill="auto"/>
        <w:spacing w:before="0" w:line="240" w:lineRule="atLeast"/>
        <w:ind w:left="1080" w:leftChars="257" w:hanging="540"/>
        <w:jc w:val="center"/>
        <w:rPr>
          <w:rFonts w:hint="eastAsia" w:ascii="黑体" w:hAnsi="黑体" w:eastAsia="黑体" w:cs="黑体"/>
          <w:color w:val="auto"/>
          <w:sz w:val="28"/>
          <w:szCs w:val="21"/>
          <w:highlight w:val="none"/>
          <w:lang w:val="en-US" w:eastAsia="zh-CN"/>
        </w:rPr>
      </w:pPr>
      <w:bookmarkStart w:id="333" w:name="_Toc23761"/>
      <w:bookmarkStart w:id="334" w:name="_Toc32031"/>
      <w:bookmarkStart w:id="335" w:name="_Toc3716"/>
      <w:bookmarkStart w:id="336" w:name="_Toc1473"/>
      <w:bookmarkStart w:id="337" w:name="_Toc1351"/>
      <w:bookmarkStart w:id="338" w:name="_Toc518923111"/>
      <w:bookmarkStart w:id="339" w:name="_Toc12319"/>
      <w:r>
        <w:rPr>
          <w:rFonts w:hint="eastAsia" w:ascii="黑体" w:hAnsi="黑体" w:eastAsia="黑体" w:cs="黑体"/>
          <w:color w:val="auto"/>
          <w:sz w:val="28"/>
          <w:szCs w:val="21"/>
          <w:highlight w:val="none"/>
          <w:lang w:val="en-US" w:eastAsia="zh-CN"/>
        </w:rPr>
        <w:t>4、其他需要提供的证明文件</w:t>
      </w:r>
      <w:bookmarkEnd w:id="333"/>
      <w:bookmarkEnd w:id="334"/>
    </w:p>
    <w:bookmarkEnd w:id="335"/>
    <w:bookmarkEnd w:id="336"/>
    <w:bookmarkEnd w:id="337"/>
    <w:bookmarkEnd w:id="338"/>
    <w:bookmarkEnd w:id="339"/>
    <w:p w14:paraId="61325156">
      <w:pPr>
        <w:pStyle w:val="18"/>
        <w:shd w:val="clear" w:color="auto" w:fill="auto"/>
        <w:tabs>
          <w:tab w:val="left" w:pos="5580"/>
        </w:tabs>
        <w:spacing w:line="240" w:lineRule="atLeast"/>
        <w:ind w:left="1441" w:leftChars="686" w:firstLine="106" w:firstLineChars="44"/>
        <w:jc w:val="both"/>
        <w:rPr>
          <w:rFonts w:hint="eastAsia" w:ascii="黑体" w:hAnsi="黑体" w:eastAsia="黑体" w:cs="黑体"/>
          <w:b/>
          <w:color w:val="auto"/>
          <w:kern w:val="0"/>
          <w:sz w:val="24"/>
          <w:szCs w:val="20"/>
          <w:highlight w:val="none"/>
          <w:lang w:val="en-US" w:eastAsia="zh-CN" w:bidi="ar-SA"/>
        </w:rPr>
      </w:pPr>
      <w:bookmarkStart w:id="340" w:name="_Toc518923114"/>
      <w:bookmarkStart w:id="341" w:name="_Toc25345"/>
    </w:p>
    <w:p w14:paraId="46113EDF">
      <w:pPr>
        <w:pStyle w:val="18"/>
        <w:shd w:val="clear" w:color="auto" w:fill="auto"/>
        <w:tabs>
          <w:tab w:val="left" w:pos="5580"/>
        </w:tabs>
        <w:spacing w:line="240" w:lineRule="atLeast"/>
        <w:ind w:left="1441" w:leftChars="686" w:firstLine="1248" w:firstLineChars="444"/>
        <w:jc w:val="both"/>
        <w:rPr>
          <w:rFonts w:hint="eastAsia" w:ascii="黑体" w:hAnsi="黑体" w:eastAsia="黑体" w:cs="黑体"/>
          <w:b/>
          <w:color w:val="auto"/>
          <w:kern w:val="0"/>
          <w:sz w:val="28"/>
          <w:szCs w:val="21"/>
          <w:highlight w:val="none"/>
          <w:lang w:val="en-US" w:eastAsia="zh-CN" w:bidi="ar-SA"/>
        </w:rPr>
      </w:pPr>
      <w:r>
        <w:rPr>
          <w:rFonts w:hint="eastAsia" w:ascii="黑体" w:hAnsi="黑体" w:eastAsia="黑体" w:cs="黑体"/>
          <w:b/>
          <w:color w:val="auto"/>
          <w:kern w:val="0"/>
          <w:sz w:val="28"/>
          <w:szCs w:val="21"/>
          <w:highlight w:val="none"/>
          <w:lang w:val="en-US" w:eastAsia="zh-CN" w:bidi="ar-SA"/>
        </w:rPr>
        <w:br w:type="page"/>
      </w:r>
      <w:r>
        <w:rPr>
          <w:rFonts w:hint="eastAsia" w:ascii="黑体" w:hAnsi="黑体" w:eastAsia="黑体" w:cs="黑体"/>
          <w:b/>
          <w:color w:val="auto"/>
          <w:kern w:val="0"/>
          <w:sz w:val="28"/>
          <w:szCs w:val="21"/>
          <w:highlight w:val="none"/>
          <w:lang w:val="en-US" w:eastAsia="zh-CN" w:bidi="ar-SA"/>
        </w:rPr>
        <w:t>5、已标价的工程量清单</w:t>
      </w:r>
    </w:p>
    <w:bookmarkEnd w:id="340"/>
    <w:bookmarkEnd w:id="341"/>
    <w:p w14:paraId="54E86579">
      <w:pPr>
        <w:spacing w:line="360" w:lineRule="auto"/>
        <w:ind w:left="1080" w:leftChars="257" w:hanging="540"/>
        <w:jc w:val="center"/>
        <w:rPr>
          <w:rFonts w:hint="eastAsia" w:ascii="黑体" w:hAnsi="黑体" w:eastAsia="黑体" w:cs="黑体"/>
          <w:color w:val="auto"/>
          <w:sz w:val="24"/>
          <w:szCs w:val="24"/>
          <w:highlight w:val="none"/>
        </w:rPr>
      </w:pPr>
    </w:p>
    <w:p w14:paraId="2B1B670C">
      <w:pPr>
        <w:spacing w:line="360" w:lineRule="auto"/>
        <w:ind w:left="1080" w:leftChars="257" w:hanging="540"/>
        <w:jc w:val="center"/>
        <w:rPr>
          <w:rFonts w:hint="eastAsia" w:ascii="黑体" w:hAnsi="黑体" w:eastAsia="黑体" w:cs="黑体"/>
          <w:b/>
          <w:color w:val="auto"/>
          <w:kern w:val="0"/>
          <w:sz w:val="24"/>
          <w:szCs w:val="24"/>
        </w:rPr>
      </w:pPr>
    </w:p>
    <w:p w14:paraId="589641F6">
      <w:pPr>
        <w:pStyle w:val="11"/>
        <w:rPr>
          <w:rFonts w:hint="eastAsia" w:ascii="黑体" w:hAnsi="黑体" w:eastAsia="黑体" w:cs="黑体"/>
          <w:color w:val="auto"/>
          <w:szCs w:val="24"/>
        </w:rPr>
      </w:pPr>
    </w:p>
    <w:p w14:paraId="4034F89D">
      <w:pPr>
        <w:rPr>
          <w:rFonts w:hint="eastAsia" w:ascii="黑体" w:hAnsi="黑体" w:eastAsia="黑体" w:cs="黑体"/>
          <w:color w:val="auto"/>
          <w:szCs w:val="24"/>
        </w:rPr>
      </w:pPr>
    </w:p>
    <w:p w14:paraId="3E6DC379">
      <w:pPr>
        <w:pStyle w:val="54"/>
        <w:rPr>
          <w:rFonts w:hint="eastAsia" w:ascii="黑体" w:hAnsi="黑体" w:eastAsia="黑体" w:cs="黑体"/>
          <w:color w:val="auto"/>
          <w:szCs w:val="24"/>
        </w:rPr>
      </w:pPr>
    </w:p>
    <w:p w14:paraId="21E2909F">
      <w:pPr>
        <w:pStyle w:val="54"/>
        <w:rPr>
          <w:rFonts w:hint="eastAsia" w:ascii="黑体" w:hAnsi="黑体" w:eastAsia="黑体" w:cs="黑体"/>
          <w:color w:val="auto"/>
          <w:szCs w:val="24"/>
        </w:rPr>
      </w:pPr>
    </w:p>
    <w:p w14:paraId="3D561550">
      <w:pPr>
        <w:pStyle w:val="54"/>
        <w:rPr>
          <w:rFonts w:hint="eastAsia" w:ascii="黑体" w:hAnsi="黑体" w:eastAsia="黑体" w:cs="黑体"/>
          <w:color w:val="auto"/>
          <w:szCs w:val="24"/>
        </w:rPr>
      </w:pPr>
    </w:p>
    <w:p w14:paraId="0F8C1017">
      <w:pPr>
        <w:pStyle w:val="54"/>
        <w:rPr>
          <w:rFonts w:hint="eastAsia" w:ascii="黑体" w:hAnsi="黑体" w:eastAsia="黑体" w:cs="黑体"/>
          <w:color w:val="auto"/>
          <w:szCs w:val="24"/>
        </w:rPr>
      </w:pPr>
    </w:p>
    <w:p w14:paraId="30457B95">
      <w:pPr>
        <w:pStyle w:val="54"/>
        <w:rPr>
          <w:rFonts w:hint="eastAsia" w:ascii="黑体" w:hAnsi="黑体" w:eastAsia="黑体" w:cs="黑体"/>
          <w:color w:val="auto"/>
          <w:szCs w:val="24"/>
        </w:rPr>
      </w:pPr>
    </w:p>
    <w:p w14:paraId="53242E38">
      <w:pPr>
        <w:pStyle w:val="54"/>
        <w:rPr>
          <w:rFonts w:hint="eastAsia" w:ascii="黑体" w:hAnsi="黑体" w:eastAsia="黑体" w:cs="黑体"/>
          <w:color w:val="auto"/>
          <w:szCs w:val="24"/>
        </w:rPr>
      </w:pPr>
    </w:p>
    <w:p w14:paraId="748E0BAB">
      <w:pPr>
        <w:pStyle w:val="54"/>
        <w:rPr>
          <w:rFonts w:hint="eastAsia" w:ascii="黑体" w:hAnsi="黑体" w:eastAsia="黑体" w:cs="黑体"/>
          <w:color w:val="auto"/>
          <w:szCs w:val="24"/>
        </w:rPr>
      </w:pPr>
    </w:p>
    <w:p w14:paraId="344640CA">
      <w:pPr>
        <w:pStyle w:val="54"/>
        <w:rPr>
          <w:rFonts w:hint="eastAsia" w:ascii="黑体" w:hAnsi="黑体" w:eastAsia="黑体" w:cs="黑体"/>
          <w:color w:val="auto"/>
          <w:szCs w:val="24"/>
        </w:rPr>
      </w:pPr>
    </w:p>
    <w:p w14:paraId="654E3CE5">
      <w:pPr>
        <w:pStyle w:val="54"/>
        <w:rPr>
          <w:rFonts w:hint="eastAsia" w:ascii="黑体" w:hAnsi="黑体" w:eastAsia="黑体" w:cs="黑体"/>
          <w:color w:val="auto"/>
          <w:szCs w:val="24"/>
        </w:rPr>
      </w:pPr>
    </w:p>
    <w:p w14:paraId="51B467AE">
      <w:pPr>
        <w:pStyle w:val="54"/>
        <w:rPr>
          <w:rFonts w:hint="eastAsia" w:ascii="黑体" w:hAnsi="黑体" w:eastAsia="黑体" w:cs="黑体"/>
          <w:color w:val="auto"/>
          <w:szCs w:val="24"/>
        </w:rPr>
      </w:pPr>
    </w:p>
    <w:p w14:paraId="29934E48">
      <w:pPr>
        <w:pStyle w:val="54"/>
        <w:rPr>
          <w:rFonts w:hint="eastAsia" w:ascii="黑体" w:hAnsi="黑体" w:eastAsia="黑体" w:cs="黑体"/>
          <w:color w:val="auto"/>
          <w:szCs w:val="24"/>
        </w:rPr>
      </w:pPr>
    </w:p>
    <w:p w14:paraId="22BB27D3">
      <w:pPr>
        <w:pStyle w:val="54"/>
        <w:rPr>
          <w:rFonts w:hint="eastAsia" w:ascii="黑体" w:hAnsi="黑体" w:eastAsia="黑体" w:cs="黑体"/>
          <w:color w:val="auto"/>
          <w:szCs w:val="24"/>
        </w:rPr>
      </w:pPr>
    </w:p>
    <w:p w14:paraId="23222449">
      <w:pPr>
        <w:pStyle w:val="54"/>
        <w:rPr>
          <w:rFonts w:hint="eastAsia" w:ascii="黑体" w:hAnsi="黑体" w:eastAsia="黑体" w:cs="黑体"/>
          <w:color w:val="auto"/>
          <w:szCs w:val="24"/>
        </w:rPr>
      </w:pPr>
    </w:p>
    <w:p w14:paraId="31FC4914">
      <w:pPr>
        <w:pStyle w:val="54"/>
        <w:rPr>
          <w:rFonts w:hint="eastAsia" w:ascii="黑体" w:hAnsi="黑体" w:eastAsia="黑体" w:cs="黑体"/>
          <w:color w:val="auto"/>
          <w:szCs w:val="24"/>
        </w:rPr>
      </w:pPr>
    </w:p>
    <w:p w14:paraId="369D64CD">
      <w:pPr>
        <w:pStyle w:val="54"/>
        <w:rPr>
          <w:rFonts w:hint="eastAsia" w:ascii="黑体" w:hAnsi="黑体" w:eastAsia="黑体" w:cs="黑体"/>
          <w:color w:val="auto"/>
          <w:szCs w:val="24"/>
        </w:rPr>
      </w:pPr>
    </w:p>
    <w:p w14:paraId="19F0BB81">
      <w:pPr>
        <w:pStyle w:val="54"/>
        <w:rPr>
          <w:rFonts w:hint="eastAsia" w:ascii="黑体" w:hAnsi="黑体" w:eastAsia="黑体" w:cs="黑体"/>
          <w:color w:val="auto"/>
          <w:szCs w:val="24"/>
        </w:rPr>
      </w:pPr>
    </w:p>
    <w:p w14:paraId="4DC22491">
      <w:pPr>
        <w:pStyle w:val="54"/>
        <w:rPr>
          <w:rFonts w:hint="eastAsia" w:ascii="黑体" w:hAnsi="黑体" w:eastAsia="黑体" w:cs="黑体"/>
          <w:color w:val="auto"/>
          <w:szCs w:val="24"/>
        </w:rPr>
      </w:pPr>
    </w:p>
    <w:p w14:paraId="14CAD06B">
      <w:pPr>
        <w:pStyle w:val="54"/>
        <w:rPr>
          <w:rFonts w:hint="eastAsia" w:ascii="黑体" w:hAnsi="黑体" w:eastAsia="黑体" w:cs="黑体"/>
          <w:color w:val="auto"/>
          <w:szCs w:val="24"/>
        </w:rPr>
      </w:pPr>
    </w:p>
    <w:p w14:paraId="671CCEBB">
      <w:pPr>
        <w:pStyle w:val="54"/>
        <w:rPr>
          <w:rFonts w:hint="eastAsia" w:ascii="黑体" w:hAnsi="黑体" w:eastAsia="黑体" w:cs="黑体"/>
          <w:color w:val="auto"/>
          <w:szCs w:val="24"/>
        </w:rPr>
      </w:pPr>
    </w:p>
    <w:p w14:paraId="0499530B">
      <w:pPr>
        <w:pStyle w:val="11"/>
        <w:ind w:firstLine="0"/>
        <w:rPr>
          <w:rFonts w:hint="eastAsia" w:ascii="黑体" w:hAnsi="黑体" w:eastAsia="黑体" w:cs="黑体"/>
          <w:color w:val="auto"/>
          <w:szCs w:val="24"/>
        </w:rPr>
      </w:pPr>
    </w:p>
    <w:p w14:paraId="313637EC">
      <w:pPr>
        <w:spacing w:line="240" w:lineRule="atLeast"/>
        <w:ind w:left="1080" w:leftChars="257" w:hanging="540"/>
        <w:jc w:val="center"/>
        <w:rPr>
          <w:rFonts w:hint="eastAsia" w:ascii="黑体" w:hAnsi="黑体" w:eastAsia="黑体" w:cs="黑体"/>
          <w:b/>
          <w:color w:val="auto"/>
          <w:kern w:val="0"/>
          <w:sz w:val="24"/>
        </w:rPr>
      </w:pPr>
    </w:p>
    <w:p w14:paraId="222C3213">
      <w:pPr>
        <w:pStyle w:val="55"/>
        <w:rPr>
          <w:rFonts w:hint="eastAsia" w:ascii="黑体" w:hAnsi="黑体" w:eastAsia="黑体" w:cs="黑体"/>
          <w:b/>
          <w:color w:val="auto"/>
          <w:kern w:val="0"/>
          <w:sz w:val="24"/>
        </w:rPr>
      </w:pPr>
    </w:p>
    <w:p w14:paraId="4D4A7098">
      <w:pPr>
        <w:rPr>
          <w:rFonts w:hint="eastAsia" w:ascii="黑体" w:hAnsi="黑体" w:eastAsia="黑体" w:cs="黑体"/>
          <w:b/>
          <w:color w:val="auto"/>
          <w:kern w:val="0"/>
          <w:sz w:val="24"/>
        </w:rPr>
      </w:pPr>
    </w:p>
    <w:p w14:paraId="522520C1">
      <w:pPr>
        <w:pStyle w:val="55"/>
        <w:rPr>
          <w:rFonts w:hint="eastAsia" w:ascii="黑体" w:hAnsi="黑体" w:eastAsia="黑体" w:cs="黑体"/>
          <w:b/>
          <w:color w:val="auto"/>
          <w:kern w:val="0"/>
          <w:sz w:val="24"/>
        </w:rPr>
      </w:pPr>
    </w:p>
    <w:p w14:paraId="65E414E1">
      <w:pPr>
        <w:rPr>
          <w:rFonts w:hint="eastAsia" w:ascii="黑体" w:hAnsi="黑体" w:eastAsia="黑体" w:cs="黑体"/>
          <w:b/>
          <w:color w:val="auto"/>
          <w:kern w:val="0"/>
          <w:sz w:val="24"/>
        </w:rPr>
      </w:pPr>
    </w:p>
    <w:p w14:paraId="5AE2169A">
      <w:pPr>
        <w:pStyle w:val="55"/>
        <w:rPr>
          <w:rFonts w:hint="eastAsia" w:ascii="黑体" w:hAnsi="黑体" w:eastAsia="黑体" w:cs="黑体"/>
          <w:b/>
          <w:color w:val="auto"/>
          <w:kern w:val="0"/>
          <w:sz w:val="24"/>
        </w:rPr>
      </w:pPr>
    </w:p>
    <w:p w14:paraId="64840577">
      <w:pPr>
        <w:pStyle w:val="57"/>
        <w:rPr>
          <w:rFonts w:hint="eastAsia" w:ascii="黑体" w:hAnsi="黑体" w:eastAsia="黑体" w:cs="黑体"/>
          <w:color w:val="auto"/>
        </w:rPr>
      </w:pPr>
    </w:p>
    <w:p w14:paraId="3E77D891">
      <w:pPr>
        <w:pStyle w:val="57"/>
        <w:rPr>
          <w:rFonts w:hint="eastAsia" w:ascii="黑体" w:hAnsi="黑体" w:eastAsia="黑体" w:cs="黑体"/>
          <w:color w:val="auto"/>
        </w:rPr>
      </w:pPr>
    </w:p>
    <w:p w14:paraId="7CF0901A">
      <w:pPr>
        <w:rPr>
          <w:rFonts w:hint="eastAsia" w:ascii="黑体" w:hAnsi="黑体" w:eastAsia="黑体" w:cs="黑体"/>
          <w:color w:val="auto"/>
          <w:sz w:val="28"/>
          <w:szCs w:val="28"/>
          <w:lang w:val="en-US" w:eastAsia="zh-CN"/>
        </w:rPr>
      </w:pPr>
      <w:bookmarkStart w:id="342" w:name="_Toc14039"/>
      <w:bookmarkStart w:id="343" w:name="_Toc7414"/>
      <w:bookmarkStart w:id="344" w:name="_Toc17333"/>
      <w:bookmarkStart w:id="345" w:name="_Toc515647828"/>
      <w:r>
        <w:rPr>
          <w:rFonts w:hint="eastAsia" w:ascii="黑体" w:hAnsi="黑体" w:eastAsia="黑体" w:cs="黑体"/>
          <w:color w:val="auto"/>
          <w:sz w:val="28"/>
          <w:szCs w:val="28"/>
          <w:lang w:val="en-US" w:eastAsia="zh-CN"/>
        </w:rPr>
        <w:br w:type="page"/>
      </w:r>
    </w:p>
    <w:p w14:paraId="4070A907">
      <w:pPr>
        <w:pStyle w:val="6"/>
        <w:spacing w:before="0" w:line="240" w:lineRule="atLeast"/>
        <w:ind w:left="1080" w:leftChars="257" w:hanging="540"/>
        <w:jc w:val="center"/>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6</w:t>
      </w:r>
      <w:r>
        <w:rPr>
          <w:rFonts w:hint="eastAsia" w:ascii="黑体" w:hAnsi="黑体" w:cs="黑体"/>
          <w:color w:val="auto"/>
          <w:sz w:val="28"/>
          <w:szCs w:val="28"/>
          <w:lang w:eastAsia="zh-CN"/>
        </w:rPr>
        <w:t>、</w:t>
      </w:r>
      <w:r>
        <w:rPr>
          <w:rFonts w:hint="eastAsia" w:ascii="黑体" w:hAnsi="黑体" w:eastAsia="黑体" w:cs="黑体"/>
          <w:color w:val="auto"/>
          <w:sz w:val="28"/>
          <w:szCs w:val="28"/>
          <w:lang w:eastAsia="zh-CN"/>
        </w:rPr>
        <w:t>响应文件</w:t>
      </w:r>
      <w:r>
        <w:rPr>
          <w:rFonts w:hint="eastAsia" w:ascii="黑体" w:hAnsi="黑体" w:eastAsia="黑体" w:cs="黑体"/>
          <w:color w:val="auto"/>
          <w:sz w:val="28"/>
          <w:szCs w:val="28"/>
        </w:rPr>
        <w:t>还应包括投标人须知的所有技术文件</w:t>
      </w:r>
      <w:bookmarkEnd w:id="342"/>
      <w:bookmarkEnd w:id="343"/>
      <w:bookmarkEnd w:id="344"/>
      <w:bookmarkEnd w:id="345"/>
    </w:p>
    <w:p w14:paraId="1E7DF46E">
      <w:pPr>
        <w:pStyle w:val="18"/>
        <w:tabs>
          <w:tab w:val="left" w:pos="5580"/>
        </w:tabs>
        <w:spacing w:line="360" w:lineRule="exact"/>
        <w:rPr>
          <w:rFonts w:hint="eastAsia" w:ascii="黑体" w:hAnsi="黑体" w:eastAsia="黑体" w:cs="黑体"/>
          <w:b/>
          <w:color w:val="auto"/>
          <w:kern w:val="0"/>
          <w:sz w:val="24"/>
          <w:szCs w:val="20"/>
        </w:rPr>
      </w:pPr>
      <w:r>
        <w:rPr>
          <w:rFonts w:hint="eastAsia" w:ascii="黑体" w:hAnsi="黑体" w:eastAsia="黑体" w:cs="黑体"/>
          <w:color w:val="auto"/>
          <w:sz w:val="24"/>
        </w:rPr>
        <w:br w:type="page"/>
      </w:r>
      <w:bookmarkEnd w:id="259"/>
      <w:bookmarkEnd w:id="260"/>
      <w:bookmarkEnd w:id="261"/>
      <w:bookmarkEnd w:id="262"/>
      <w:bookmarkEnd w:id="308"/>
      <w:bookmarkEnd w:id="309"/>
      <w:bookmarkEnd w:id="310"/>
      <w:bookmarkEnd w:id="311"/>
      <w:bookmarkEnd w:id="312"/>
      <w:bookmarkEnd w:id="313"/>
      <w:bookmarkStart w:id="346" w:name="_Toc28994"/>
      <w:bookmarkStart w:id="347" w:name="_Toc23729"/>
      <w:bookmarkStart w:id="348" w:name="_Toc30798"/>
      <w:bookmarkStart w:id="349" w:name="_Toc13771"/>
      <w:bookmarkStart w:id="350" w:name="_Toc18887"/>
    </w:p>
    <w:p w14:paraId="2318C29B">
      <w:pPr>
        <w:spacing w:line="240" w:lineRule="atLeast"/>
        <w:jc w:val="center"/>
        <w:outlineLvl w:val="9"/>
        <w:rPr>
          <w:rFonts w:hint="eastAsia" w:ascii="黑体" w:hAnsi="黑体" w:eastAsia="黑体" w:cs="黑体"/>
          <w:b/>
          <w:color w:val="auto"/>
          <w:kern w:val="0"/>
          <w:sz w:val="24"/>
          <w:szCs w:val="20"/>
        </w:rPr>
      </w:pPr>
    </w:p>
    <w:p w14:paraId="651065E7">
      <w:pPr>
        <w:spacing w:line="240" w:lineRule="atLeast"/>
        <w:jc w:val="center"/>
        <w:outlineLvl w:val="2"/>
        <w:rPr>
          <w:rFonts w:hint="eastAsia" w:ascii="黑体" w:hAnsi="黑体" w:eastAsia="黑体" w:cs="黑体"/>
          <w:b/>
          <w:color w:val="auto"/>
          <w:kern w:val="0"/>
          <w:sz w:val="28"/>
          <w:szCs w:val="21"/>
        </w:rPr>
      </w:pPr>
      <w:r>
        <w:rPr>
          <w:rFonts w:hint="eastAsia" w:ascii="黑体" w:hAnsi="黑体" w:eastAsia="黑体" w:cs="黑体"/>
          <w:b/>
          <w:color w:val="auto"/>
          <w:kern w:val="0"/>
          <w:sz w:val="28"/>
          <w:szCs w:val="21"/>
          <w:lang w:val="en-US" w:eastAsia="zh-CN"/>
        </w:rPr>
        <w:t>7、</w:t>
      </w:r>
      <w:r>
        <w:rPr>
          <w:rFonts w:hint="eastAsia" w:ascii="黑体" w:hAnsi="黑体" w:eastAsia="黑体" w:cs="黑体"/>
          <w:b/>
          <w:color w:val="auto"/>
          <w:kern w:val="0"/>
          <w:sz w:val="28"/>
          <w:szCs w:val="21"/>
        </w:rPr>
        <w:t xml:space="preserve"> </w:t>
      </w:r>
      <w:r>
        <w:rPr>
          <w:rFonts w:hint="eastAsia" w:ascii="黑体" w:hAnsi="黑体" w:eastAsia="黑体" w:cs="黑体"/>
          <w:b/>
          <w:color w:val="auto"/>
          <w:kern w:val="0"/>
          <w:sz w:val="28"/>
          <w:szCs w:val="21"/>
          <w:lang w:eastAsia="zh-CN"/>
        </w:rPr>
        <w:t>响应文件</w:t>
      </w:r>
      <w:r>
        <w:rPr>
          <w:rFonts w:hint="eastAsia" w:ascii="黑体" w:hAnsi="黑体" w:eastAsia="黑体" w:cs="黑体"/>
          <w:b/>
          <w:color w:val="auto"/>
          <w:kern w:val="0"/>
          <w:sz w:val="28"/>
          <w:szCs w:val="21"/>
        </w:rPr>
        <w:t>格式范本</w:t>
      </w:r>
      <w:bookmarkEnd w:id="346"/>
      <w:bookmarkEnd w:id="347"/>
      <w:bookmarkEnd w:id="348"/>
      <w:bookmarkEnd w:id="349"/>
      <w:bookmarkEnd w:id="350"/>
    </w:p>
    <w:tbl>
      <w:tblPr>
        <w:tblStyle w:val="38"/>
        <w:tblpPr w:leftFromText="180" w:rightFromText="180" w:vertAnchor="text" w:horzAnchor="page" w:tblpX="1380" w:tblpY="440"/>
        <w:tblOverlap w:val="never"/>
        <w:tblW w:w="95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520"/>
      </w:tblGrid>
      <w:tr w14:paraId="4DFDD5FD">
        <w:tblPrEx>
          <w:shd w:val="clear" w:color="auto" w:fill="FCFEEA"/>
          <w:tblCellMar>
            <w:top w:w="0" w:type="dxa"/>
            <w:left w:w="108" w:type="dxa"/>
            <w:bottom w:w="0" w:type="dxa"/>
            <w:right w:w="108" w:type="dxa"/>
          </w:tblCellMar>
        </w:tblPrEx>
        <w:trPr>
          <w:trHeight w:val="12335" w:hRule="atLeast"/>
        </w:trPr>
        <w:tc>
          <w:tcPr>
            <w:tcW w:w="9520" w:type="dxa"/>
            <w:shd w:val="clear" w:color="auto" w:fill="FCFEEA"/>
          </w:tcPr>
          <w:p w14:paraId="130B7DC1">
            <w:pPr>
              <w:pStyle w:val="14"/>
              <w:tabs>
                <w:tab w:val="left" w:pos="567"/>
              </w:tabs>
              <w:jc w:val="center"/>
              <w:rPr>
                <w:rFonts w:hint="eastAsia" w:ascii="黑体" w:hAnsi="黑体" w:eastAsia="黑体" w:cs="黑体"/>
                <w:b/>
                <w:bCs/>
                <w:color w:val="auto"/>
                <w:sz w:val="28"/>
                <w:szCs w:val="28"/>
              </w:rPr>
            </w:pPr>
            <w:r>
              <w:rPr>
                <w:rFonts w:hint="eastAsia" w:ascii="黑体" w:hAnsi="黑体" w:eastAsia="黑体" w:cs="黑体"/>
                <w:b/>
                <w:bCs/>
                <w:color w:val="auto"/>
                <w:sz w:val="28"/>
                <w:szCs w:val="28"/>
              </w:rPr>
              <w:t xml:space="preserve">                                                （正本/副本）</w:t>
            </w:r>
          </w:p>
          <w:p w14:paraId="415949C9">
            <w:pPr>
              <w:pStyle w:val="14"/>
              <w:tabs>
                <w:tab w:val="left" w:pos="567"/>
              </w:tabs>
              <w:ind w:firstLine="4216" w:firstLineChars="1500"/>
              <w:rPr>
                <w:rFonts w:hint="eastAsia" w:ascii="黑体" w:hAnsi="黑体" w:eastAsia="黑体" w:cs="黑体"/>
                <w:b/>
                <w:bCs/>
                <w:color w:val="auto"/>
                <w:sz w:val="28"/>
                <w:szCs w:val="28"/>
              </w:rPr>
            </w:pPr>
          </w:p>
          <w:p w14:paraId="73922360">
            <w:pPr>
              <w:pStyle w:val="14"/>
              <w:tabs>
                <w:tab w:val="left" w:pos="567"/>
              </w:tabs>
              <w:ind w:firstLine="4216" w:firstLineChars="1500"/>
              <w:rPr>
                <w:rFonts w:hint="eastAsia" w:ascii="黑体" w:hAnsi="黑体" w:eastAsia="黑体" w:cs="黑体"/>
                <w:b/>
                <w:bCs/>
                <w:color w:val="auto"/>
                <w:sz w:val="28"/>
                <w:szCs w:val="28"/>
              </w:rPr>
            </w:pPr>
          </w:p>
          <w:p w14:paraId="530E85A2">
            <w:pPr>
              <w:pStyle w:val="14"/>
              <w:tabs>
                <w:tab w:val="left" w:pos="567"/>
              </w:tabs>
              <w:rPr>
                <w:rFonts w:hint="eastAsia" w:ascii="黑体" w:hAnsi="黑体" w:eastAsia="黑体" w:cs="黑体"/>
                <w:b/>
                <w:bCs/>
                <w:color w:val="auto"/>
                <w:sz w:val="28"/>
                <w:szCs w:val="28"/>
              </w:rPr>
            </w:pPr>
          </w:p>
          <w:p w14:paraId="3B393256">
            <w:pPr>
              <w:pStyle w:val="14"/>
              <w:tabs>
                <w:tab w:val="left" w:pos="567"/>
              </w:tabs>
              <w:ind w:firstLine="2530" w:firstLineChars="900"/>
              <w:rPr>
                <w:rFonts w:hint="eastAsia" w:ascii="黑体" w:hAnsi="黑体" w:eastAsia="黑体" w:cs="黑体"/>
                <w:b/>
                <w:bCs/>
                <w:color w:val="auto"/>
                <w:sz w:val="28"/>
                <w:szCs w:val="28"/>
              </w:rPr>
            </w:pPr>
            <w:r>
              <w:rPr>
                <w:rFonts w:hint="eastAsia" w:ascii="黑体" w:hAnsi="黑体" w:eastAsia="黑体" w:cs="黑体"/>
                <w:b/>
                <w:bCs/>
                <w:color w:val="auto"/>
                <w:sz w:val="28"/>
                <w:szCs w:val="28"/>
              </w:rPr>
              <w:t>***** *** *** *** ***   项目</w:t>
            </w:r>
          </w:p>
          <w:p w14:paraId="3BDD10D8">
            <w:pPr>
              <w:pStyle w:val="14"/>
              <w:tabs>
                <w:tab w:val="left" w:pos="567"/>
              </w:tabs>
              <w:jc w:val="center"/>
              <w:rPr>
                <w:rFonts w:hint="eastAsia" w:ascii="黑体" w:hAnsi="黑体" w:eastAsia="黑体" w:cs="黑体"/>
                <w:b/>
                <w:bCs/>
                <w:color w:val="auto"/>
                <w:sz w:val="21"/>
                <w:szCs w:val="21"/>
              </w:rPr>
            </w:pPr>
          </w:p>
          <w:p w14:paraId="698893DB">
            <w:pPr>
              <w:pStyle w:val="14"/>
              <w:tabs>
                <w:tab w:val="left" w:pos="567"/>
              </w:tabs>
              <w:ind w:firstLine="3162" w:firstLineChars="1500"/>
              <w:rPr>
                <w:rFonts w:hint="eastAsia" w:ascii="黑体" w:hAnsi="黑体" w:eastAsia="黑体" w:cs="黑体"/>
                <w:b/>
                <w:bCs/>
                <w:color w:val="auto"/>
                <w:sz w:val="21"/>
                <w:szCs w:val="21"/>
              </w:rPr>
            </w:pPr>
            <w:r>
              <w:rPr>
                <w:rFonts w:hint="eastAsia" w:ascii="黑体" w:hAnsi="黑体" w:eastAsia="黑体" w:cs="黑体"/>
                <w:b/>
                <w:bCs/>
                <w:color w:val="auto"/>
                <w:sz w:val="21"/>
                <w:szCs w:val="21"/>
              </w:rPr>
              <w:t>编号＊＊＊＊＊＊</w:t>
            </w:r>
          </w:p>
          <w:p w14:paraId="51043D6D">
            <w:pPr>
              <w:pStyle w:val="14"/>
              <w:tabs>
                <w:tab w:val="left" w:pos="567"/>
              </w:tabs>
              <w:jc w:val="center"/>
              <w:rPr>
                <w:rFonts w:hint="eastAsia" w:ascii="黑体" w:hAnsi="黑体" w:eastAsia="黑体" w:cs="黑体"/>
                <w:b/>
                <w:bCs/>
                <w:color w:val="auto"/>
                <w:sz w:val="48"/>
              </w:rPr>
            </w:pPr>
          </w:p>
          <w:p w14:paraId="340CDA4F">
            <w:pPr>
              <w:pStyle w:val="14"/>
              <w:tabs>
                <w:tab w:val="left" w:pos="567"/>
              </w:tabs>
              <w:jc w:val="center"/>
              <w:rPr>
                <w:rFonts w:hint="eastAsia" w:ascii="黑体" w:hAnsi="黑体" w:eastAsia="黑体" w:cs="黑体"/>
                <w:b/>
                <w:bCs/>
                <w:color w:val="auto"/>
                <w:sz w:val="48"/>
              </w:rPr>
            </w:pPr>
            <w:r>
              <w:rPr>
                <w:rFonts w:hint="eastAsia" w:ascii="黑体" w:hAnsi="黑体" w:eastAsia="黑体" w:cs="黑体"/>
                <w:b/>
                <w:bCs/>
                <w:color w:val="auto"/>
                <w:sz w:val="48"/>
              </w:rPr>
              <w:t>响 应 文 件</w:t>
            </w:r>
          </w:p>
          <w:p w14:paraId="33D83D43">
            <w:pPr>
              <w:jc w:val="center"/>
              <w:rPr>
                <w:rFonts w:hint="eastAsia" w:ascii="黑体" w:hAnsi="黑体" w:eastAsia="黑体" w:cs="黑体"/>
                <w:b/>
                <w:color w:val="auto"/>
                <w:sz w:val="32"/>
              </w:rPr>
            </w:pPr>
          </w:p>
          <w:p w14:paraId="6BE68223">
            <w:pPr>
              <w:pStyle w:val="11"/>
              <w:rPr>
                <w:rFonts w:hint="eastAsia" w:ascii="黑体" w:hAnsi="黑体" w:eastAsia="黑体" w:cs="黑体"/>
                <w:b/>
                <w:color w:val="auto"/>
                <w:sz w:val="32"/>
              </w:rPr>
            </w:pPr>
          </w:p>
          <w:p w14:paraId="4A2B7024">
            <w:pPr>
              <w:pStyle w:val="11"/>
              <w:rPr>
                <w:rFonts w:hint="eastAsia" w:ascii="黑体" w:hAnsi="黑体" w:eastAsia="黑体" w:cs="黑体"/>
                <w:b/>
                <w:color w:val="auto"/>
                <w:sz w:val="32"/>
              </w:rPr>
            </w:pPr>
          </w:p>
          <w:p w14:paraId="322C4ABC">
            <w:pPr>
              <w:spacing w:line="360" w:lineRule="auto"/>
              <w:ind w:left="176" w:leftChars="84" w:firstLine="840" w:firstLineChars="400"/>
              <w:rPr>
                <w:rFonts w:hint="eastAsia" w:ascii="黑体" w:hAnsi="黑体" w:eastAsia="黑体" w:cs="黑体"/>
                <w:color w:val="auto"/>
                <w:szCs w:val="21"/>
              </w:rPr>
            </w:pPr>
            <w:r>
              <w:rPr>
                <w:rFonts w:hint="eastAsia" w:ascii="黑体" w:hAnsi="黑体" w:eastAsia="黑体" w:cs="黑体"/>
                <w:color w:val="auto"/>
                <w:szCs w:val="21"/>
                <w:lang w:eastAsia="zh-CN"/>
              </w:rPr>
              <w:t>供应商</w:t>
            </w:r>
            <w:r>
              <w:rPr>
                <w:rFonts w:hint="eastAsia" w:ascii="黑体" w:hAnsi="黑体" w:eastAsia="黑体" w:cs="黑体"/>
                <w:color w:val="auto"/>
                <w:szCs w:val="21"/>
              </w:rPr>
              <w:t>：</w:t>
            </w:r>
            <w:r>
              <w:rPr>
                <w:rFonts w:hint="eastAsia" w:ascii="黑体" w:hAnsi="黑体" w:eastAsia="黑体" w:cs="黑体"/>
                <w:color w:val="auto"/>
                <w:szCs w:val="21"/>
                <w:u w:val="single"/>
              </w:rPr>
              <w:t xml:space="preserve">                                       </w:t>
            </w:r>
            <w:r>
              <w:rPr>
                <w:rFonts w:hint="eastAsia" w:ascii="黑体" w:hAnsi="黑体" w:eastAsia="黑体" w:cs="黑体"/>
                <w:color w:val="auto"/>
                <w:szCs w:val="21"/>
              </w:rPr>
              <w:t>（公章）</w:t>
            </w:r>
          </w:p>
          <w:p w14:paraId="0BC6A0DA">
            <w:pPr>
              <w:spacing w:line="360" w:lineRule="auto"/>
              <w:ind w:left="176" w:leftChars="84" w:firstLine="840" w:firstLineChars="400"/>
              <w:rPr>
                <w:rFonts w:hint="eastAsia" w:ascii="黑体" w:hAnsi="黑体" w:eastAsia="黑体" w:cs="黑体"/>
                <w:color w:val="auto"/>
                <w:szCs w:val="21"/>
                <w:u w:val="single"/>
              </w:rPr>
            </w:pPr>
            <w:r>
              <w:rPr>
                <w:rFonts w:hint="eastAsia" w:ascii="黑体" w:hAnsi="黑体" w:eastAsia="黑体" w:cs="黑体"/>
                <w:color w:val="auto"/>
                <w:szCs w:val="21"/>
              </w:rPr>
              <w:t>项目名称：</w:t>
            </w:r>
            <w:r>
              <w:rPr>
                <w:rFonts w:hint="eastAsia" w:ascii="黑体" w:hAnsi="黑体" w:eastAsia="黑体" w:cs="黑体"/>
                <w:color w:val="auto"/>
                <w:szCs w:val="21"/>
                <w:u w:val="single"/>
              </w:rPr>
              <w:t xml:space="preserve">                                          </w:t>
            </w:r>
          </w:p>
          <w:p w14:paraId="2CFA009D">
            <w:pPr>
              <w:spacing w:line="360" w:lineRule="auto"/>
              <w:ind w:left="176" w:leftChars="84" w:firstLine="840" w:firstLineChars="400"/>
              <w:rPr>
                <w:rFonts w:hint="eastAsia" w:ascii="黑体" w:hAnsi="黑体" w:eastAsia="黑体" w:cs="黑体"/>
                <w:color w:val="auto"/>
                <w:szCs w:val="21"/>
                <w:u w:val="single"/>
              </w:rPr>
            </w:pPr>
            <w:r>
              <w:rPr>
                <w:rFonts w:hint="eastAsia" w:ascii="黑体" w:hAnsi="黑体" w:eastAsia="黑体" w:cs="黑体"/>
                <w:color w:val="auto"/>
                <w:szCs w:val="21"/>
              </w:rPr>
              <w:t>项目编号：</w:t>
            </w:r>
            <w:r>
              <w:rPr>
                <w:rFonts w:hint="eastAsia" w:ascii="黑体" w:hAnsi="黑体" w:eastAsia="黑体" w:cs="黑体"/>
                <w:color w:val="auto"/>
                <w:szCs w:val="21"/>
                <w:u w:val="single"/>
              </w:rPr>
              <w:t xml:space="preserve">                                        </w:t>
            </w:r>
          </w:p>
          <w:p w14:paraId="4CB7891E">
            <w:pPr>
              <w:spacing w:line="360" w:lineRule="auto"/>
              <w:ind w:left="176" w:leftChars="84" w:firstLine="840" w:firstLineChars="400"/>
              <w:rPr>
                <w:rFonts w:hint="eastAsia" w:ascii="黑体" w:hAnsi="黑体" w:eastAsia="黑体" w:cs="黑体"/>
                <w:color w:val="auto"/>
                <w:szCs w:val="21"/>
                <w:u w:val="single"/>
              </w:rPr>
            </w:pPr>
            <w:r>
              <w:rPr>
                <w:rFonts w:hint="eastAsia" w:ascii="黑体" w:hAnsi="黑体" w:eastAsia="黑体" w:cs="黑体"/>
                <w:color w:val="auto"/>
                <w:szCs w:val="21"/>
              </w:rPr>
              <w:t>联 系 人：</w:t>
            </w:r>
            <w:r>
              <w:rPr>
                <w:rFonts w:hint="eastAsia" w:ascii="黑体" w:hAnsi="黑体" w:eastAsia="黑体" w:cs="黑体"/>
                <w:color w:val="auto"/>
                <w:szCs w:val="21"/>
                <w:u w:val="single"/>
              </w:rPr>
              <w:t xml:space="preserve">                                        </w:t>
            </w:r>
          </w:p>
          <w:p w14:paraId="11CE695B">
            <w:pPr>
              <w:spacing w:line="360" w:lineRule="auto"/>
              <w:ind w:left="176" w:leftChars="84" w:firstLine="840" w:firstLineChars="400"/>
              <w:rPr>
                <w:rFonts w:hint="eastAsia" w:ascii="黑体" w:hAnsi="黑体" w:eastAsia="黑体" w:cs="黑体"/>
                <w:color w:val="auto"/>
                <w:szCs w:val="21"/>
              </w:rPr>
            </w:pPr>
            <w:r>
              <w:rPr>
                <w:rFonts w:hint="eastAsia" w:ascii="黑体" w:hAnsi="黑体" w:eastAsia="黑体" w:cs="黑体"/>
                <w:color w:val="auto"/>
                <w:szCs w:val="21"/>
              </w:rPr>
              <w:t>电    话：</w:t>
            </w:r>
            <w:r>
              <w:rPr>
                <w:rFonts w:hint="eastAsia" w:ascii="黑体" w:hAnsi="黑体" w:eastAsia="黑体" w:cs="黑体"/>
                <w:color w:val="auto"/>
                <w:szCs w:val="21"/>
                <w:u w:val="single"/>
              </w:rPr>
              <w:t xml:space="preserve">                                        </w:t>
            </w:r>
          </w:p>
          <w:p w14:paraId="0EBE3ECA">
            <w:pPr>
              <w:spacing w:line="360" w:lineRule="auto"/>
              <w:ind w:left="176" w:leftChars="84" w:firstLine="840" w:firstLineChars="400"/>
              <w:rPr>
                <w:rFonts w:hint="eastAsia" w:ascii="黑体" w:hAnsi="黑体" w:eastAsia="黑体" w:cs="黑体"/>
                <w:color w:val="auto"/>
                <w:szCs w:val="21"/>
                <w:u w:val="single"/>
              </w:rPr>
            </w:pPr>
            <w:r>
              <w:rPr>
                <w:rFonts w:hint="eastAsia" w:ascii="黑体" w:hAnsi="黑体" w:eastAsia="黑体" w:cs="黑体"/>
                <w:color w:val="auto"/>
                <w:szCs w:val="21"/>
              </w:rPr>
              <w:t xml:space="preserve">地    址  ：  </w:t>
            </w:r>
            <w:r>
              <w:rPr>
                <w:rFonts w:hint="eastAsia" w:ascii="黑体" w:hAnsi="黑体" w:eastAsia="黑体" w:cs="黑体"/>
                <w:color w:val="auto"/>
                <w:szCs w:val="21"/>
                <w:u w:val="single"/>
              </w:rPr>
              <w:t xml:space="preserve">                                    </w:t>
            </w:r>
          </w:p>
          <w:p w14:paraId="7CB7ECA4">
            <w:pPr>
              <w:spacing w:line="360" w:lineRule="auto"/>
              <w:ind w:left="176" w:leftChars="84" w:firstLine="960" w:firstLineChars="400"/>
              <w:rPr>
                <w:rFonts w:hint="eastAsia" w:ascii="黑体" w:hAnsi="黑体" w:eastAsia="黑体" w:cs="黑体"/>
                <w:color w:val="auto"/>
                <w:sz w:val="24"/>
              </w:rPr>
            </w:pPr>
          </w:p>
          <w:p w14:paraId="67630C5D">
            <w:pPr>
              <w:jc w:val="center"/>
              <w:rPr>
                <w:rFonts w:hint="eastAsia" w:ascii="黑体" w:hAnsi="黑体" w:eastAsia="黑体" w:cs="黑体"/>
                <w:b/>
                <w:bCs/>
                <w:color w:val="auto"/>
              </w:rPr>
            </w:pPr>
          </w:p>
          <w:p w14:paraId="63D8B345">
            <w:pPr>
              <w:jc w:val="center"/>
              <w:rPr>
                <w:rFonts w:hint="eastAsia" w:ascii="黑体" w:hAnsi="黑体" w:eastAsia="黑体" w:cs="黑体"/>
                <w:b/>
                <w:bCs/>
                <w:color w:val="auto"/>
              </w:rPr>
            </w:pPr>
          </w:p>
          <w:p w14:paraId="37AE79FC">
            <w:pPr>
              <w:jc w:val="center"/>
              <w:rPr>
                <w:rFonts w:hint="eastAsia" w:ascii="黑体" w:hAnsi="黑体" w:eastAsia="黑体" w:cs="黑体"/>
                <w:b/>
                <w:bCs/>
                <w:color w:val="auto"/>
              </w:rPr>
            </w:pPr>
            <w:r>
              <w:rPr>
                <w:rFonts w:hint="eastAsia" w:ascii="黑体" w:hAnsi="黑体" w:eastAsia="黑体" w:cs="黑体"/>
                <w:b/>
                <w:bCs/>
                <w:color w:val="auto"/>
              </w:rPr>
              <w:t>注：   在</w:t>
            </w:r>
            <w:r>
              <w:rPr>
                <w:rFonts w:hint="eastAsia" w:ascii="黑体" w:hAnsi="黑体" w:eastAsia="黑体" w:cs="黑体"/>
                <w:b/>
                <w:bCs/>
                <w:color w:val="auto"/>
                <w:lang w:val="en-US" w:eastAsia="zh-CN"/>
              </w:rPr>
              <w:t xml:space="preserve"> </w:t>
            </w:r>
            <w:r>
              <w:rPr>
                <w:rFonts w:hint="eastAsia" w:ascii="黑体" w:hAnsi="黑体" w:eastAsia="黑体" w:cs="黑体"/>
                <w:b/>
                <w:bCs/>
                <w:color w:val="auto"/>
              </w:rPr>
              <w:t>202</w:t>
            </w:r>
            <w:r>
              <w:rPr>
                <w:rFonts w:hint="eastAsia" w:ascii="黑体" w:hAnsi="黑体" w:eastAsia="黑体" w:cs="黑体"/>
                <w:b/>
                <w:bCs/>
                <w:color w:val="auto"/>
                <w:lang w:val="en-US" w:eastAsia="zh-CN"/>
              </w:rPr>
              <w:t>5</w:t>
            </w:r>
            <w:r>
              <w:rPr>
                <w:rFonts w:hint="eastAsia" w:ascii="黑体" w:hAnsi="黑体" w:eastAsia="黑体" w:cs="黑体"/>
                <w:b/>
                <w:bCs/>
                <w:color w:val="auto"/>
              </w:rPr>
              <w:t xml:space="preserve">年   月 </w:t>
            </w:r>
            <w:r>
              <w:rPr>
                <w:rFonts w:hint="eastAsia" w:ascii="黑体" w:hAnsi="黑体" w:eastAsia="黑体" w:cs="黑体"/>
                <w:b/>
                <w:bCs/>
                <w:color w:val="auto"/>
                <w:lang w:val="en-US" w:eastAsia="zh-CN"/>
              </w:rPr>
              <w:t xml:space="preserve"> </w:t>
            </w:r>
            <w:r>
              <w:rPr>
                <w:rFonts w:hint="eastAsia" w:ascii="黑体" w:hAnsi="黑体" w:eastAsia="黑体" w:cs="黑体"/>
                <w:b/>
                <w:bCs/>
                <w:color w:val="auto"/>
              </w:rPr>
              <w:t xml:space="preserve"> 日   之前不得启封</w:t>
            </w:r>
          </w:p>
        </w:tc>
      </w:tr>
    </w:tbl>
    <w:p w14:paraId="0A6DA0A3">
      <w:pPr>
        <w:spacing w:line="240" w:lineRule="atLeast"/>
        <w:jc w:val="left"/>
        <w:rPr>
          <w:rFonts w:hint="eastAsia" w:ascii="黑体" w:hAnsi="黑体" w:eastAsia="黑体" w:cs="黑体"/>
          <w:b/>
          <w:color w:val="auto"/>
          <w:kern w:val="0"/>
          <w:sz w:val="24"/>
          <w:szCs w:val="20"/>
        </w:rPr>
        <w:sectPr>
          <w:headerReference r:id="rId7" w:type="default"/>
          <w:footerReference r:id="rId9" w:type="default"/>
          <w:headerReference r:id="rId8" w:type="even"/>
          <w:footerReference r:id="rId10" w:type="even"/>
          <w:pgSz w:w="11906" w:h="16838"/>
          <w:pgMar w:top="1440" w:right="1797" w:bottom="1440" w:left="1797" w:header="851" w:footer="992" w:gutter="0"/>
          <w:pgNumType w:fmt="decimal"/>
          <w:cols w:space="720" w:num="1"/>
          <w:docGrid w:linePitch="312" w:charSpace="0"/>
        </w:sectPr>
      </w:pPr>
    </w:p>
    <w:p w14:paraId="799138A4">
      <w:pPr>
        <w:spacing w:line="360" w:lineRule="auto"/>
        <w:jc w:val="center"/>
        <w:outlineLvl w:val="0"/>
        <w:rPr>
          <w:rFonts w:hint="default" w:ascii="黑体" w:hAnsi="黑体" w:eastAsia="黑体" w:cs="黑体"/>
          <w:b/>
          <w:color w:val="auto"/>
          <w:kern w:val="44"/>
          <w:sz w:val="32"/>
          <w:szCs w:val="20"/>
          <w:lang w:val="en-US" w:eastAsia="zh-CN" w:bidi="ar-SA"/>
        </w:rPr>
      </w:pPr>
      <w:bookmarkStart w:id="351" w:name="_Toc24693"/>
      <w:r>
        <w:rPr>
          <w:rFonts w:hint="eastAsia" w:ascii="黑体" w:hAnsi="黑体" w:eastAsia="黑体" w:cs="黑体"/>
          <w:b/>
          <w:color w:val="auto"/>
          <w:kern w:val="44"/>
          <w:sz w:val="32"/>
          <w:szCs w:val="20"/>
          <w:lang w:val="en-US" w:eastAsia="zh-CN" w:bidi="ar-SA"/>
        </w:rPr>
        <w:t>第三章磋商邀请</w:t>
      </w:r>
      <w:bookmarkEnd w:id="351"/>
    </w:p>
    <w:p w14:paraId="3E1411ED">
      <w:pPr>
        <w:spacing w:line="360" w:lineRule="auto"/>
        <w:jc w:val="center"/>
        <w:rPr>
          <w:rFonts w:hint="eastAsia" w:ascii="黑体" w:hAnsi="黑体" w:eastAsia="黑体" w:cs="黑体"/>
          <w:color w:val="auto"/>
          <w:lang w:eastAsia="zh-CN"/>
        </w:rPr>
      </w:pPr>
      <w:r>
        <w:rPr>
          <w:rFonts w:hint="eastAsia" w:ascii="黑体" w:hAnsi="黑体" w:eastAsia="黑体" w:cs="黑体"/>
          <w:b/>
          <w:color w:val="auto"/>
          <w:kern w:val="44"/>
          <w:sz w:val="32"/>
          <w:szCs w:val="20"/>
          <w:lang w:val="en-US" w:eastAsia="zh-CN" w:bidi="ar-SA"/>
        </w:rPr>
        <w:t>伽师县2025年水库移民后期扶持项目卧里托格拉克镇英巴格村防渗渠建设工程竞争性磋商公告</w:t>
      </w:r>
    </w:p>
    <w:p w14:paraId="4A74510A">
      <w:pPr>
        <w:pStyle w:val="32"/>
        <w:keepNext w:val="0"/>
        <w:keepLines w:val="0"/>
        <w:pageBreakBefore w:val="0"/>
        <w:widowControl/>
        <w:suppressLineNumbers w:val="0"/>
        <w:pBdr>
          <w:top w:val="single" w:color="auto" w:sz="4" w:space="0"/>
          <w:left w:val="single" w:color="auto" w:sz="4" w:space="0"/>
          <w:bottom w:val="single" w:color="auto" w:sz="4" w:space="0"/>
          <w:right w:val="single" w:color="auto" w:sz="4" w:space="0"/>
        </w:pBdr>
        <w:wordWrap/>
        <w:overflowPunct/>
        <w:topLinePunct w:val="0"/>
        <w:bidi w:val="0"/>
        <w:spacing w:before="75" w:beforeAutospacing="0" w:after="75" w:afterAutospacing="0" w:line="360" w:lineRule="auto"/>
        <w:ind w:left="0" w:right="0"/>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rPr>
        <w:t xml:space="preserve"> 项目概况</w:t>
      </w:r>
      <w:r>
        <w:rPr>
          <w:rFonts w:hint="eastAsia" w:ascii="黑体" w:hAnsi="黑体" w:eastAsia="黑体" w:cs="黑体"/>
          <w:color w:val="auto"/>
          <w:sz w:val="24"/>
          <w:szCs w:val="24"/>
          <w:lang w:val="en-US" w:eastAsia="zh-CN"/>
        </w:rPr>
        <w:t>:</w:t>
      </w:r>
    </w:p>
    <w:p w14:paraId="3E0ACE6B">
      <w:pPr>
        <w:pStyle w:val="32"/>
        <w:keepNext w:val="0"/>
        <w:keepLines w:val="0"/>
        <w:pageBreakBefore w:val="0"/>
        <w:widowControl/>
        <w:suppressLineNumbers w:val="0"/>
        <w:pBdr>
          <w:top w:val="single" w:color="auto" w:sz="4" w:space="0"/>
          <w:left w:val="single" w:color="auto" w:sz="4" w:space="0"/>
          <w:bottom w:val="single" w:color="auto" w:sz="4" w:space="0"/>
          <w:right w:val="single" w:color="auto" w:sz="4" w:space="0"/>
        </w:pBdr>
        <w:wordWrap/>
        <w:overflowPunct/>
        <w:topLinePunct w:val="0"/>
        <w:bidi w:val="0"/>
        <w:spacing w:before="75" w:beforeAutospacing="0" w:after="75" w:afterAutospacing="0" w:line="360" w:lineRule="auto"/>
        <w:ind w:left="0" w:leftChars="0" w:right="0" w:firstLine="420" w:firstLineChars="175"/>
        <w:rPr>
          <w:rFonts w:hint="eastAsia" w:ascii="黑体" w:hAnsi="黑体" w:eastAsia="黑体" w:cs="黑体"/>
          <w:color w:val="auto"/>
          <w:sz w:val="24"/>
          <w:szCs w:val="24"/>
        </w:rPr>
      </w:pPr>
      <w:r>
        <w:rPr>
          <w:rFonts w:hint="eastAsia" w:ascii="黑体" w:hAnsi="黑体" w:eastAsia="黑体" w:cs="黑体"/>
          <w:i w:val="0"/>
          <w:iCs w:val="0"/>
          <w:caps w:val="0"/>
          <w:color w:val="auto"/>
          <w:spacing w:val="0"/>
          <w:sz w:val="24"/>
          <w:szCs w:val="24"/>
          <w:lang w:eastAsia="zh-CN"/>
        </w:rPr>
        <w:t>伽师县2025年水库移民后期扶持项目卧里托格拉克镇英巴格村防渗渠建设工程</w:t>
      </w:r>
      <w:r>
        <w:rPr>
          <w:rFonts w:hint="eastAsia" w:ascii="黑体" w:hAnsi="黑体" w:eastAsia="黑体" w:cs="黑体"/>
          <w:i w:val="0"/>
          <w:iCs w:val="0"/>
          <w:caps w:val="0"/>
          <w:color w:val="auto"/>
          <w:spacing w:val="0"/>
          <w:sz w:val="24"/>
          <w:szCs w:val="24"/>
        </w:rPr>
        <w:t>采购项目的潜在供应商应在政采云平台线上获取采购文件，并于2025年02月11日 11:30（北京时间）前提交响应文件。</w:t>
      </w:r>
    </w:p>
    <w:p w14:paraId="323B966D">
      <w:pPr>
        <w:keepNext w:val="0"/>
        <w:keepLines w:val="0"/>
        <w:pageBreakBefore w:val="0"/>
        <w:widowControl/>
        <w:suppressLineNumbers w:val="0"/>
        <w:wordWrap/>
        <w:overflowPunct/>
        <w:topLinePunct w:val="0"/>
        <w:bidi w:val="0"/>
        <w:spacing w:line="360" w:lineRule="auto"/>
        <w:jc w:val="left"/>
        <w:rPr>
          <w:rFonts w:hint="eastAsia" w:ascii="黑体" w:hAnsi="黑体" w:eastAsia="黑体" w:cs="黑体"/>
          <w:b/>
          <w:bCs/>
          <w:color w:val="auto"/>
          <w:kern w:val="0"/>
          <w:sz w:val="24"/>
          <w:szCs w:val="24"/>
          <w:lang w:val="en-US" w:eastAsia="zh-CN" w:bidi="ar"/>
        </w:rPr>
      </w:pPr>
      <w:r>
        <w:rPr>
          <w:rFonts w:hint="eastAsia" w:ascii="黑体" w:hAnsi="黑体" w:eastAsia="黑体" w:cs="黑体"/>
          <w:b/>
          <w:bCs/>
          <w:color w:val="auto"/>
          <w:kern w:val="0"/>
          <w:sz w:val="24"/>
          <w:szCs w:val="24"/>
          <w:lang w:val="en-US" w:eastAsia="zh-CN" w:bidi="ar"/>
        </w:rPr>
        <w:t>一、项目基本情况</w:t>
      </w:r>
    </w:p>
    <w:p w14:paraId="34BB709C">
      <w:pPr>
        <w:keepNext w:val="0"/>
        <w:keepLines w:val="0"/>
        <w:pageBreakBefore w:val="0"/>
        <w:widowControl/>
        <w:suppressLineNumbers w:val="0"/>
        <w:wordWrap/>
        <w:overflowPunct/>
        <w:topLinePunct w:val="0"/>
        <w:bidi w:val="0"/>
        <w:spacing w:line="360" w:lineRule="auto"/>
        <w:ind w:left="0" w:leftChars="0" w:firstLine="420" w:firstLineChars="175"/>
        <w:jc w:val="left"/>
        <w:rPr>
          <w:rFonts w:hint="eastAsia"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项目编号：ZBGJJSX(CS)2025-01</w:t>
      </w:r>
    </w:p>
    <w:p w14:paraId="44DFDBF8">
      <w:pPr>
        <w:keepNext w:val="0"/>
        <w:keepLines w:val="0"/>
        <w:pageBreakBefore w:val="0"/>
        <w:widowControl/>
        <w:suppressLineNumbers w:val="0"/>
        <w:wordWrap/>
        <w:overflowPunct/>
        <w:topLinePunct w:val="0"/>
        <w:bidi w:val="0"/>
        <w:spacing w:line="360" w:lineRule="auto"/>
        <w:ind w:left="0" w:leftChars="0" w:firstLine="420" w:firstLineChars="175"/>
        <w:jc w:val="left"/>
        <w:rPr>
          <w:rFonts w:hint="eastAsia"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项目名称：伽师县2025年水库移民后期扶持项目卧里托格拉克镇英巴格村防渗渠建设工程</w:t>
      </w:r>
    </w:p>
    <w:p w14:paraId="37202995">
      <w:pPr>
        <w:keepNext w:val="0"/>
        <w:keepLines w:val="0"/>
        <w:pageBreakBefore w:val="0"/>
        <w:widowControl/>
        <w:suppressLineNumbers w:val="0"/>
        <w:wordWrap/>
        <w:overflowPunct/>
        <w:topLinePunct w:val="0"/>
        <w:bidi w:val="0"/>
        <w:spacing w:line="360" w:lineRule="auto"/>
        <w:ind w:left="0" w:leftChars="0" w:firstLine="420" w:firstLineChars="175"/>
        <w:jc w:val="left"/>
        <w:rPr>
          <w:rFonts w:hint="eastAsia"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采购方式：竞争性磋商 </w:t>
      </w:r>
    </w:p>
    <w:p w14:paraId="410E1BFC">
      <w:pPr>
        <w:keepNext w:val="0"/>
        <w:keepLines w:val="0"/>
        <w:pageBreakBefore w:val="0"/>
        <w:widowControl/>
        <w:suppressLineNumbers w:val="0"/>
        <w:wordWrap/>
        <w:overflowPunct/>
        <w:topLinePunct w:val="0"/>
        <w:bidi w:val="0"/>
        <w:spacing w:line="360" w:lineRule="auto"/>
        <w:ind w:left="0" w:leftChars="0" w:firstLine="420" w:firstLineChars="175"/>
        <w:jc w:val="left"/>
        <w:rPr>
          <w:rFonts w:hint="default"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预算金额（元）：3365306.32</w:t>
      </w:r>
    </w:p>
    <w:p w14:paraId="1723CBA0">
      <w:pPr>
        <w:keepNext w:val="0"/>
        <w:keepLines w:val="0"/>
        <w:pageBreakBefore w:val="0"/>
        <w:widowControl/>
        <w:suppressLineNumbers w:val="0"/>
        <w:wordWrap/>
        <w:overflowPunct/>
        <w:topLinePunct w:val="0"/>
        <w:bidi w:val="0"/>
        <w:spacing w:line="360" w:lineRule="auto"/>
        <w:ind w:left="0" w:leftChars="0" w:firstLine="420" w:firstLineChars="175"/>
        <w:jc w:val="left"/>
        <w:rPr>
          <w:rFonts w:hint="eastAsia"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最高限价（元）：3365306.32</w:t>
      </w:r>
    </w:p>
    <w:p w14:paraId="0BE464B0">
      <w:pPr>
        <w:keepNext w:val="0"/>
        <w:keepLines w:val="0"/>
        <w:pageBreakBefore w:val="0"/>
        <w:widowControl/>
        <w:suppressLineNumbers w:val="0"/>
        <w:wordWrap/>
        <w:overflowPunct/>
        <w:topLinePunct w:val="0"/>
        <w:bidi w:val="0"/>
        <w:spacing w:line="360" w:lineRule="auto"/>
        <w:ind w:left="0" w:leftChars="0" w:firstLine="420" w:firstLineChars="175"/>
        <w:jc w:val="left"/>
        <w:rPr>
          <w:rFonts w:hint="eastAsia"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采购需求：</w:t>
      </w:r>
    </w:p>
    <w:p w14:paraId="3EF3CAD4">
      <w:pPr>
        <w:keepNext w:val="0"/>
        <w:keepLines w:val="0"/>
        <w:pageBreakBefore w:val="0"/>
        <w:widowControl/>
        <w:suppressLineNumbers w:val="0"/>
        <w:wordWrap/>
        <w:overflowPunct/>
        <w:topLinePunct w:val="0"/>
        <w:bidi w:val="0"/>
        <w:spacing w:line="360" w:lineRule="auto"/>
        <w:ind w:left="0" w:leftChars="0" w:firstLine="420" w:firstLineChars="175"/>
        <w:jc w:val="left"/>
        <w:rPr>
          <w:rFonts w:hint="eastAsia"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标项名称：伽师县2025年水库移民后期扶持项目卧里托格拉克镇英巴格村防渗渠建设工程</w:t>
      </w:r>
    </w:p>
    <w:p w14:paraId="30988BCF">
      <w:pPr>
        <w:keepNext w:val="0"/>
        <w:keepLines w:val="0"/>
        <w:pageBreakBefore w:val="0"/>
        <w:widowControl/>
        <w:suppressLineNumbers w:val="0"/>
        <w:wordWrap/>
        <w:overflowPunct/>
        <w:topLinePunct w:val="0"/>
        <w:bidi w:val="0"/>
        <w:spacing w:line="360" w:lineRule="auto"/>
        <w:ind w:left="0" w:leftChars="0" w:firstLine="420" w:firstLineChars="175"/>
        <w:jc w:val="left"/>
        <w:rPr>
          <w:rFonts w:hint="eastAsia"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数量：1；</w:t>
      </w:r>
    </w:p>
    <w:p w14:paraId="7F5B12B3">
      <w:pPr>
        <w:keepNext w:val="0"/>
        <w:keepLines w:val="0"/>
        <w:pageBreakBefore w:val="0"/>
        <w:widowControl/>
        <w:suppressLineNumbers w:val="0"/>
        <w:wordWrap/>
        <w:overflowPunct/>
        <w:topLinePunct w:val="0"/>
        <w:bidi w:val="0"/>
        <w:spacing w:line="360" w:lineRule="auto"/>
        <w:ind w:left="0" w:leftChars="0" w:firstLine="420" w:firstLineChars="175"/>
        <w:jc w:val="left"/>
        <w:rPr>
          <w:rFonts w:hint="eastAsia"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预算金额（元）：3365306.32</w:t>
      </w:r>
    </w:p>
    <w:p w14:paraId="07C43768">
      <w:pPr>
        <w:keepNext w:val="0"/>
        <w:keepLines w:val="0"/>
        <w:pageBreakBefore w:val="0"/>
        <w:widowControl/>
        <w:suppressLineNumbers w:val="0"/>
        <w:wordWrap/>
        <w:overflowPunct/>
        <w:topLinePunct w:val="0"/>
        <w:bidi w:val="0"/>
        <w:spacing w:line="360" w:lineRule="auto"/>
        <w:ind w:left="0" w:leftChars="0" w:firstLine="420" w:firstLineChars="175"/>
        <w:jc w:val="left"/>
        <w:rPr>
          <w:rFonts w:hint="default"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单位：项</w:t>
      </w:r>
      <w:bookmarkStart w:id="582" w:name="_GoBack"/>
      <w:bookmarkEnd w:id="582"/>
    </w:p>
    <w:p w14:paraId="5CEA202B">
      <w:pPr>
        <w:keepNext w:val="0"/>
        <w:keepLines w:val="0"/>
        <w:pageBreakBefore w:val="0"/>
        <w:widowControl/>
        <w:suppressLineNumbers w:val="0"/>
        <w:wordWrap/>
        <w:overflowPunct/>
        <w:topLinePunct w:val="0"/>
        <w:bidi w:val="0"/>
        <w:spacing w:line="360" w:lineRule="auto"/>
        <w:ind w:left="0" w:leftChars="0" w:firstLine="420" w:firstLineChars="175"/>
        <w:jc w:val="left"/>
        <w:rPr>
          <w:rFonts w:hint="eastAsia"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简要规格描述或项目基本概况介绍、用途：工程等别V等，工程级别5级，主要建筑级别5级，次要建筑级别5级，设计流量0.8立方米每秒。建设内容为改建渠道3.347公里及渠系建筑物38座等附属配套设施，渠道横断面采用梯形断面，全断面采用8厘米厚C35F250W6现浇砼板衬砌。（具体内容详见工程量清单）</w:t>
      </w:r>
    </w:p>
    <w:p w14:paraId="4586D019">
      <w:pPr>
        <w:keepNext w:val="0"/>
        <w:keepLines w:val="0"/>
        <w:pageBreakBefore w:val="0"/>
        <w:widowControl/>
        <w:suppressLineNumbers w:val="0"/>
        <w:wordWrap/>
        <w:overflowPunct/>
        <w:topLinePunct w:val="0"/>
        <w:bidi w:val="0"/>
        <w:spacing w:line="360" w:lineRule="auto"/>
        <w:ind w:left="0" w:leftChars="0" w:firstLine="420" w:firstLineChars="175"/>
        <w:jc w:val="left"/>
        <w:rPr>
          <w:rFonts w:hint="eastAsia"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备注：</w:t>
      </w:r>
    </w:p>
    <w:p w14:paraId="03A1DFC5">
      <w:pPr>
        <w:pStyle w:val="32"/>
        <w:keepNext w:val="0"/>
        <w:keepLines w:val="0"/>
        <w:pageBreakBefore w:val="0"/>
        <w:widowControl/>
        <w:suppressLineNumbers w:val="0"/>
        <w:wordWrap/>
        <w:overflowPunct/>
        <w:topLinePunct w:val="0"/>
        <w:bidi w:val="0"/>
        <w:spacing w:before="75" w:beforeAutospacing="0" w:after="75" w:afterAutospacing="0" w:line="360" w:lineRule="auto"/>
        <w:ind w:left="0" w:leftChars="0" w:right="0" w:firstLine="420" w:firstLineChars="175"/>
        <w:rPr>
          <w:rFonts w:hint="eastAsia"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合同履约期限：自签订合同后90</w:t>
      </w:r>
      <w:r>
        <w:rPr>
          <w:rFonts w:hint="eastAsia" w:ascii="黑体" w:hAnsi="黑体" w:eastAsia="黑体" w:cs="黑体"/>
          <w:color w:val="auto"/>
          <w:sz w:val="24"/>
          <w:szCs w:val="24"/>
          <w:highlight w:val="none"/>
          <w:lang w:val="en-US" w:eastAsia="zh-CN"/>
        </w:rPr>
        <w:t>日历天完成；</w:t>
      </w:r>
      <w:r>
        <w:rPr>
          <w:rFonts w:hint="eastAsia" w:ascii="黑体" w:hAnsi="黑体" w:eastAsia="黑体" w:cs="黑体"/>
          <w:color w:val="auto"/>
          <w:kern w:val="0"/>
          <w:sz w:val="24"/>
          <w:szCs w:val="24"/>
          <w:lang w:val="en-US" w:eastAsia="zh-CN" w:bidi="ar"/>
        </w:rPr>
        <w:t>（具体以签订合同为准）</w:t>
      </w:r>
    </w:p>
    <w:p w14:paraId="400DC98E">
      <w:pPr>
        <w:pStyle w:val="32"/>
        <w:keepNext w:val="0"/>
        <w:keepLines w:val="0"/>
        <w:pageBreakBefore w:val="0"/>
        <w:widowControl/>
        <w:suppressLineNumbers w:val="0"/>
        <w:wordWrap/>
        <w:overflowPunct/>
        <w:topLinePunct w:val="0"/>
        <w:bidi w:val="0"/>
        <w:spacing w:before="75" w:beforeAutospacing="0" w:after="75" w:afterAutospacing="0" w:line="360" w:lineRule="auto"/>
        <w:ind w:left="0" w:leftChars="0" w:right="0" w:firstLine="420" w:firstLineChars="175"/>
        <w:rPr>
          <w:rFonts w:hint="eastAsia"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本项目（否）接受联合体。 </w:t>
      </w:r>
    </w:p>
    <w:p w14:paraId="0940D71C">
      <w:pPr>
        <w:keepNext/>
        <w:keepLines/>
        <w:pageBreakBefore w:val="0"/>
        <w:kinsoku w:val="0"/>
        <w:wordWrap/>
        <w:overflowPunct/>
        <w:topLinePunct w:val="0"/>
        <w:autoSpaceDE w:val="0"/>
        <w:autoSpaceDN w:val="0"/>
        <w:bidi w:val="0"/>
        <w:adjustRightInd w:val="0"/>
        <w:snapToGrid w:val="0"/>
        <w:spacing w:before="120" w:line="360" w:lineRule="auto"/>
        <w:jc w:val="both"/>
        <w:textAlignment w:val="baseline"/>
        <w:outlineLvl w:val="1"/>
        <w:rPr>
          <w:rFonts w:hint="eastAsia" w:ascii="黑体" w:hAnsi="黑体" w:eastAsia="黑体" w:cs="黑体"/>
          <w:b/>
          <w:bCs/>
          <w:color w:val="auto"/>
          <w:kern w:val="0"/>
          <w:sz w:val="24"/>
          <w:szCs w:val="24"/>
          <w:lang w:val="en-US" w:eastAsia="zh-CN" w:bidi="ar"/>
        </w:rPr>
      </w:pPr>
      <w:bookmarkStart w:id="352" w:name="_Toc18917"/>
      <w:r>
        <w:rPr>
          <w:rFonts w:hint="eastAsia" w:ascii="黑体" w:hAnsi="黑体" w:eastAsia="黑体" w:cs="黑体"/>
          <w:b/>
          <w:bCs/>
          <w:color w:val="auto"/>
          <w:kern w:val="0"/>
          <w:sz w:val="24"/>
          <w:szCs w:val="24"/>
          <w:lang w:val="en-US" w:eastAsia="zh-CN" w:bidi="ar"/>
        </w:rPr>
        <w:t>二、申请人的资格要求：</w:t>
      </w:r>
      <w:bookmarkEnd w:id="352"/>
    </w:p>
    <w:p w14:paraId="5DA6278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175"/>
        <w:jc w:val="left"/>
        <w:textAlignment w:val="baseline"/>
        <w:rPr>
          <w:rFonts w:hint="eastAsia"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1.满足《中华人民共和国政府采购法》第二十二条规定；</w:t>
      </w:r>
    </w:p>
    <w:p w14:paraId="00C44F8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175"/>
        <w:jc w:val="left"/>
        <w:textAlignment w:val="baseline"/>
        <w:rPr>
          <w:rFonts w:hint="eastAsia"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 xml:space="preserve">2.落实政府采购政策需满足的资格要求：本项目专门面向中小企业采购； </w:t>
      </w:r>
    </w:p>
    <w:p w14:paraId="758C934D">
      <w:pPr>
        <w:pStyle w:val="32"/>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60" w:lineRule="auto"/>
        <w:ind w:left="0" w:leftChars="0" w:right="0" w:firstLine="420" w:firstLineChars="175"/>
        <w:textAlignment w:val="auto"/>
        <w:rPr>
          <w:rStyle w:val="47"/>
          <w:rFonts w:hint="eastAsia" w:ascii="黑体" w:hAnsi="黑体" w:eastAsia="黑体" w:cs="黑体"/>
          <w:b w:val="0"/>
          <w:bCs w:val="0"/>
          <w:color w:val="auto"/>
          <w:sz w:val="24"/>
          <w:szCs w:val="24"/>
          <w:highlight w:val="none"/>
          <w:lang w:val="en-US" w:eastAsia="zh-CN"/>
        </w:rPr>
      </w:pPr>
      <w:r>
        <w:rPr>
          <w:rStyle w:val="47"/>
          <w:rFonts w:hint="eastAsia" w:ascii="黑体" w:hAnsi="黑体" w:eastAsia="黑体" w:cs="黑体"/>
          <w:b w:val="0"/>
          <w:bCs w:val="0"/>
          <w:color w:val="auto"/>
          <w:sz w:val="24"/>
          <w:szCs w:val="24"/>
          <w:highlight w:val="none"/>
          <w:lang w:val="en-US" w:eastAsia="zh-CN"/>
        </w:rPr>
        <w:t>3.本项目特定的资格要求：供应商须具备【水利水电工程施工总承包二级】（含）以上资质，拟派项目经理须具备【水利水电工程二级】(含)以上注册建造师执业资格并取得水利水电中级或以上职称，具备有效的B类安全生产考核合格证书且在有效期内，且不得担任其他在建工程的项目经理，并提供近六个月任意一个月社保缴纳证明；</w:t>
      </w:r>
    </w:p>
    <w:p w14:paraId="6555164D">
      <w:pPr>
        <w:pStyle w:val="32"/>
        <w:keepNext w:val="0"/>
        <w:keepLines w:val="0"/>
        <w:pageBreakBefore w:val="0"/>
        <w:widowControl/>
        <w:suppressLineNumbers w:val="0"/>
        <w:kinsoku/>
        <w:wordWrap/>
        <w:overflowPunct/>
        <w:topLinePunct w:val="0"/>
        <w:autoSpaceDE/>
        <w:autoSpaceDN/>
        <w:bidi w:val="0"/>
        <w:adjustRightInd/>
        <w:spacing w:before="75" w:beforeAutospacing="0" w:after="75" w:afterAutospacing="0" w:line="360" w:lineRule="auto"/>
        <w:ind w:left="0" w:right="0"/>
        <w:textAlignment w:val="auto"/>
        <w:rPr>
          <w:rFonts w:hint="eastAsia" w:ascii="黑体" w:hAnsi="黑体" w:eastAsia="黑体" w:cs="黑体"/>
          <w:color w:val="auto"/>
          <w:sz w:val="24"/>
          <w:szCs w:val="24"/>
          <w:highlight w:val="none"/>
        </w:rPr>
      </w:pPr>
      <w:r>
        <w:rPr>
          <w:rStyle w:val="47"/>
          <w:rFonts w:hint="eastAsia" w:ascii="黑体" w:hAnsi="黑体" w:eastAsia="黑体" w:cs="黑体"/>
          <w:color w:val="auto"/>
          <w:sz w:val="24"/>
          <w:szCs w:val="24"/>
          <w:highlight w:val="none"/>
        </w:rPr>
        <w:t>三、获取采购文件</w:t>
      </w:r>
    </w:p>
    <w:p w14:paraId="6EE1FB3D">
      <w:pPr>
        <w:pStyle w:val="32"/>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60" w:lineRule="auto"/>
        <w:ind w:left="0" w:leftChars="0" w:right="0" w:rightChars="0" w:firstLine="420" w:firstLineChars="175"/>
        <w:textAlignment w:val="auto"/>
        <w:rPr>
          <w:rFonts w:hint="eastAsia"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highlight w:val="none"/>
          <w:lang w:val="en-US" w:eastAsia="zh-CN" w:bidi="ar"/>
        </w:rPr>
        <w:t>时间：2025年01月27日至2024年02月10日，每天上午1</w:t>
      </w:r>
      <w:r>
        <w:rPr>
          <w:rFonts w:hint="eastAsia" w:ascii="黑体" w:hAnsi="黑体" w:eastAsia="黑体" w:cs="黑体"/>
          <w:color w:val="auto"/>
          <w:kern w:val="0"/>
          <w:sz w:val="24"/>
          <w:szCs w:val="24"/>
          <w:lang w:val="en-US" w:eastAsia="zh-CN" w:bidi="ar"/>
        </w:rPr>
        <w:t>0:00至14:00，下午14:00至23:59（北京时间，法定节假日除外）</w:t>
      </w:r>
    </w:p>
    <w:p w14:paraId="730C23CC">
      <w:pPr>
        <w:pStyle w:val="32"/>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60" w:lineRule="auto"/>
        <w:ind w:left="0" w:leftChars="0" w:right="0" w:rightChars="0" w:firstLine="420" w:firstLineChars="175"/>
        <w:textAlignment w:val="auto"/>
        <w:rPr>
          <w:rFonts w:hint="eastAsia"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地点：政采云平台线上</w:t>
      </w:r>
    </w:p>
    <w:p w14:paraId="37108D52">
      <w:pPr>
        <w:pStyle w:val="32"/>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60" w:lineRule="auto"/>
        <w:ind w:left="0" w:leftChars="0" w:right="0" w:rightChars="0" w:firstLine="420" w:firstLineChars="175"/>
        <w:textAlignment w:val="auto"/>
        <w:rPr>
          <w:rFonts w:hint="eastAsia"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 xml:space="preserve">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707F4CCC">
      <w:pPr>
        <w:pStyle w:val="32"/>
        <w:keepNext w:val="0"/>
        <w:keepLines w:val="0"/>
        <w:pageBreakBefore w:val="0"/>
        <w:widowControl/>
        <w:numPr>
          <w:ilvl w:val="0"/>
          <w:numId w:val="0"/>
        </w:numPr>
        <w:suppressLineNumbers w:val="0"/>
        <w:wordWrap/>
        <w:overflowPunct/>
        <w:topLinePunct w:val="0"/>
        <w:bidi w:val="0"/>
        <w:spacing w:before="75" w:beforeAutospacing="0" w:after="75" w:afterAutospacing="0" w:line="360" w:lineRule="auto"/>
        <w:ind w:left="348" w:leftChars="0" w:right="0" w:rightChars="0"/>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售价（元）： 0</w:t>
      </w:r>
    </w:p>
    <w:p w14:paraId="10145A14">
      <w:pPr>
        <w:pStyle w:val="32"/>
        <w:keepNext w:val="0"/>
        <w:keepLines w:val="0"/>
        <w:pageBreakBefore w:val="0"/>
        <w:widowControl/>
        <w:numPr>
          <w:ilvl w:val="0"/>
          <w:numId w:val="3"/>
        </w:numPr>
        <w:suppressLineNumbers w:val="0"/>
        <w:wordWrap/>
        <w:overflowPunct/>
        <w:topLinePunct w:val="0"/>
        <w:bidi w:val="0"/>
        <w:spacing w:before="75" w:beforeAutospacing="0" w:after="75" w:afterAutospacing="0" w:line="360" w:lineRule="auto"/>
        <w:ind w:left="0" w:right="0"/>
        <w:rPr>
          <w:rStyle w:val="47"/>
          <w:rFonts w:hint="eastAsia" w:ascii="黑体" w:hAnsi="黑体" w:eastAsia="黑体" w:cs="黑体"/>
          <w:color w:val="auto"/>
          <w:sz w:val="24"/>
          <w:szCs w:val="24"/>
        </w:rPr>
      </w:pPr>
      <w:r>
        <w:rPr>
          <w:rStyle w:val="47"/>
          <w:rFonts w:hint="eastAsia" w:ascii="黑体" w:hAnsi="黑体" w:eastAsia="黑体" w:cs="黑体"/>
          <w:color w:val="auto"/>
          <w:sz w:val="24"/>
          <w:szCs w:val="24"/>
        </w:rPr>
        <w:t>响应文件提交</w:t>
      </w:r>
    </w:p>
    <w:p w14:paraId="00B586FF">
      <w:pPr>
        <w:pStyle w:val="32"/>
        <w:keepNext w:val="0"/>
        <w:keepLines w:val="0"/>
        <w:pageBreakBefore w:val="0"/>
        <w:widowControl/>
        <w:numPr>
          <w:ilvl w:val="0"/>
          <w:numId w:val="0"/>
        </w:numPr>
        <w:suppressLineNumbers w:val="0"/>
        <w:wordWrap/>
        <w:overflowPunct/>
        <w:topLinePunct w:val="0"/>
        <w:bidi w:val="0"/>
        <w:spacing w:before="75" w:beforeAutospacing="0" w:after="75" w:afterAutospacing="0" w:line="360" w:lineRule="auto"/>
        <w:ind w:right="0" w:rightChars="0" w:firstLine="480" w:firstLineChars="200"/>
        <w:rPr>
          <w:rFonts w:hint="eastAsia" w:ascii="黑体" w:hAnsi="黑体" w:eastAsia="黑体" w:cs="黑体"/>
          <w:color w:val="auto"/>
          <w:kern w:val="0"/>
          <w:sz w:val="24"/>
          <w:szCs w:val="24"/>
          <w:highlight w:val="none"/>
          <w:lang w:val="en-US" w:eastAsia="zh-CN" w:bidi="ar"/>
        </w:rPr>
      </w:pPr>
      <w:r>
        <w:rPr>
          <w:rFonts w:hint="eastAsia" w:ascii="黑体" w:hAnsi="黑体" w:eastAsia="黑体" w:cs="黑体"/>
          <w:color w:val="auto"/>
          <w:kern w:val="0"/>
          <w:sz w:val="24"/>
          <w:szCs w:val="24"/>
          <w:highlight w:val="none"/>
          <w:lang w:val="en-US" w:eastAsia="zh-CN" w:bidi="ar"/>
        </w:rPr>
        <w:t>截止时间：2025年02月11日 11:00（北京时间）</w:t>
      </w:r>
    </w:p>
    <w:p w14:paraId="5F104E26">
      <w:pPr>
        <w:pStyle w:val="32"/>
        <w:keepNext w:val="0"/>
        <w:keepLines w:val="0"/>
        <w:pageBreakBefore w:val="0"/>
        <w:widowControl/>
        <w:numPr>
          <w:ilvl w:val="0"/>
          <w:numId w:val="0"/>
        </w:numPr>
        <w:suppressLineNumbers w:val="0"/>
        <w:wordWrap/>
        <w:overflowPunct/>
        <w:topLinePunct w:val="0"/>
        <w:bidi w:val="0"/>
        <w:spacing w:before="75" w:beforeAutospacing="0" w:after="75" w:afterAutospacing="0" w:line="360" w:lineRule="auto"/>
        <w:ind w:right="0" w:rightChars="0" w:firstLine="480" w:firstLineChars="200"/>
        <w:rPr>
          <w:rFonts w:hint="eastAsia" w:ascii="黑体" w:hAnsi="黑体" w:eastAsia="黑体" w:cs="黑体"/>
          <w:color w:val="auto"/>
          <w:kern w:val="0"/>
          <w:sz w:val="24"/>
          <w:szCs w:val="24"/>
          <w:highlight w:val="none"/>
          <w:lang w:val="en-US" w:eastAsia="zh-CN" w:bidi="ar"/>
        </w:rPr>
      </w:pPr>
      <w:r>
        <w:rPr>
          <w:rFonts w:hint="eastAsia" w:ascii="黑体" w:hAnsi="黑体" w:eastAsia="黑体" w:cs="黑体"/>
          <w:color w:val="auto"/>
          <w:kern w:val="0"/>
          <w:sz w:val="24"/>
          <w:szCs w:val="24"/>
          <w:highlight w:val="none"/>
          <w:lang w:val="en-US" w:eastAsia="zh-CN" w:bidi="ar"/>
        </w:rPr>
        <w:t>地点：请登录政采云投标客户端投标</w:t>
      </w:r>
    </w:p>
    <w:p w14:paraId="5956D33F">
      <w:pPr>
        <w:pStyle w:val="32"/>
        <w:keepNext w:val="0"/>
        <w:keepLines w:val="0"/>
        <w:pageBreakBefore w:val="0"/>
        <w:widowControl/>
        <w:numPr>
          <w:ilvl w:val="0"/>
          <w:numId w:val="0"/>
        </w:numPr>
        <w:suppressLineNumbers w:val="0"/>
        <w:wordWrap/>
        <w:overflowPunct/>
        <w:topLinePunct w:val="0"/>
        <w:bidi w:val="0"/>
        <w:spacing w:before="75" w:beforeAutospacing="0" w:after="75" w:afterAutospacing="0" w:line="360" w:lineRule="auto"/>
        <w:ind w:right="0" w:rightChars="0"/>
        <w:rPr>
          <w:rFonts w:hint="eastAsia" w:ascii="黑体" w:hAnsi="黑体" w:eastAsia="黑体" w:cs="黑体"/>
          <w:b/>
          <w:bCs/>
          <w:color w:val="auto"/>
          <w:kern w:val="0"/>
          <w:sz w:val="24"/>
          <w:szCs w:val="24"/>
          <w:highlight w:val="none"/>
          <w:lang w:val="en-US" w:eastAsia="zh-CN" w:bidi="ar"/>
        </w:rPr>
      </w:pPr>
      <w:r>
        <w:rPr>
          <w:rFonts w:hint="eastAsia" w:ascii="黑体" w:hAnsi="黑体" w:eastAsia="黑体" w:cs="黑体"/>
          <w:b/>
          <w:bCs/>
          <w:color w:val="auto"/>
          <w:kern w:val="0"/>
          <w:sz w:val="24"/>
          <w:szCs w:val="24"/>
          <w:highlight w:val="none"/>
          <w:lang w:val="en-US" w:eastAsia="zh-CN" w:bidi="ar"/>
        </w:rPr>
        <w:t>五、响应文件开启</w:t>
      </w:r>
    </w:p>
    <w:p w14:paraId="2AB7B614">
      <w:pPr>
        <w:pStyle w:val="32"/>
        <w:keepNext w:val="0"/>
        <w:keepLines w:val="0"/>
        <w:pageBreakBefore w:val="0"/>
        <w:widowControl/>
        <w:numPr>
          <w:ilvl w:val="0"/>
          <w:numId w:val="0"/>
        </w:numPr>
        <w:suppressLineNumbers w:val="0"/>
        <w:wordWrap/>
        <w:overflowPunct/>
        <w:topLinePunct w:val="0"/>
        <w:bidi w:val="0"/>
        <w:spacing w:before="75" w:beforeAutospacing="0" w:after="75" w:afterAutospacing="0" w:line="360" w:lineRule="auto"/>
        <w:ind w:right="0" w:rightChars="0" w:firstLine="480" w:firstLineChars="200"/>
        <w:rPr>
          <w:rFonts w:hint="eastAsia" w:ascii="黑体" w:hAnsi="黑体" w:eastAsia="黑体" w:cs="黑体"/>
          <w:color w:val="auto"/>
          <w:kern w:val="0"/>
          <w:sz w:val="24"/>
          <w:szCs w:val="24"/>
          <w:highlight w:val="none"/>
          <w:lang w:val="en-US" w:eastAsia="zh-CN" w:bidi="ar"/>
        </w:rPr>
      </w:pPr>
      <w:r>
        <w:rPr>
          <w:rFonts w:hint="eastAsia" w:ascii="黑体" w:hAnsi="黑体" w:eastAsia="黑体" w:cs="黑体"/>
          <w:color w:val="auto"/>
          <w:kern w:val="0"/>
          <w:sz w:val="24"/>
          <w:szCs w:val="24"/>
          <w:highlight w:val="none"/>
          <w:lang w:val="en-US" w:eastAsia="zh-CN" w:bidi="ar"/>
        </w:rPr>
        <w:t>截止时间：2025年02月11日 11:00（北京时间）</w:t>
      </w:r>
    </w:p>
    <w:p w14:paraId="16B2C4D2">
      <w:pPr>
        <w:pStyle w:val="32"/>
        <w:keepNext w:val="0"/>
        <w:keepLines w:val="0"/>
        <w:pageBreakBefore w:val="0"/>
        <w:widowControl/>
        <w:numPr>
          <w:ilvl w:val="0"/>
          <w:numId w:val="0"/>
        </w:numPr>
        <w:suppressLineNumbers w:val="0"/>
        <w:wordWrap/>
        <w:overflowPunct/>
        <w:topLinePunct w:val="0"/>
        <w:bidi w:val="0"/>
        <w:spacing w:before="75" w:beforeAutospacing="0" w:after="75" w:afterAutospacing="0" w:line="360" w:lineRule="auto"/>
        <w:ind w:right="0" w:rightChars="0" w:firstLine="480" w:firstLineChars="200"/>
        <w:rPr>
          <w:rFonts w:hint="eastAsia" w:ascii="黑体" w:hAnsi="黑体" w:eastAsia="黑体" w:cs="黑体"/>
          <w:color w:val="auto"/>
          <w:kern w:val="0"/>
          <w:sz w:val="24"/>
          <w:szCs w:val="24"/>
          <w:highlight w:val="none"/>
          <w:lang w:val="en-US" w:eastAsia="zh-CN" w:bidi="ar"/>
        </w:rPr>
      </w:pPr>
      <w:r>
        <w:rPr>
          <w:rFonts w:hint="eastAsia" w:ascii="黑体" w:hAnsi="黑体" w:eastAsia="黑体" w:cs="黑体"/>
          <w:color w:val="auto"/>
          <w:kern w:val="0"/>
          <w:sz w:val="24"/>
          <w:szCs w:val="24"/>
          <w:highlight w:val="none"/>
          <w:lang w:val="en-US" w:eastAsia="zh-CN" w:bidi="ar"/>
        </w:rPr>
        <w:t>地点：投标人登录政采云平台https://www.zcygov.cn/，进入“项目采购-开标评标-右边选择对应项目点击“进入项目”进入开标大厅。</w:t>
      </w:r>
    </w:p>
    <w:p w14:paraId="154A87EE">
      <w:pPr>
        <w:pStyle w:val="27"/>
        <w:pageBreakBefore w:val="0"/>
        <w:kinsoku/>
        <w:wordWrap/>
        <w:overflowPunct/>
        <w:topLinePunct w:val="0"/>
        <w:bidi w:val="0"/>
        <w:spacing w:line="360" w:lineRule="auto"/>
        <w:textAlignment w:val="auto"/>
        <w:rPr>
          <w:rFonts w:hint="eastAsia" w:ascii="黑体" w:hAnsi="黑体" w:eastAsia="黑体" w:cs="黑体"/>
          <w:b/>
          <w:bCs/>
          <w:color w:val="auto"/>
          <w:kern w:val="0"/>
          <w:sz w:val="24"/>
          <w:szCs w:val="24"/>
          <w:lang w:val="en-US" w:eastAsia="zh-CN" w:bidi="ar"/>
        </w:rPr>
      </w:pPr>
      <w:r>
        <w:rPr>
          <w:rFonts w:hint="eastAsia" w:ascii="黑体" w:hAnsi="黑体" w:eastAsia="黑体" w:cs="黑体"/>
          <w:b/>
          <w:bCs/>
          <w:color w:val="auto"/>
          <w:kern w:val="0"/>
          <w:sz w:val="24"/>
          <w:szCs w:val="24"/>
          <w:lang w:val="en-US" w:eastAsia="zh-CN" w:bidi="ar"/>
        </w:rPr>
        <w:t>六、公告期限</w:t>
      </w:r>
    </w:p>
    <w:p w14:paraId="0EEDCCCD">
      <w:pPr>
        <w:pStyle w:val="27"/>
        <w:pageBreakBefore w:val="0"/>
        <w:kinsoku/>
        <w:wordWrap/>
        <w:overflowPunct/>
        <w:topLinePunct w:val="0"/>
        <w:bidi w:val="0"/>
        <w:spacing w:line="360" w:lineRule="auto"/>
        <w:ind w:firstLine="480" w:firstLineChars="200"/>
        <w:textAlignment w:val="auto"/>
        <w:rPr>
          <w:rFonts w:hint="eastAsia"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自本公告发布之日起3个工作日。</w:t>
      </w:r>
    </w:p>
    <w:p w14:paraId="5868CCA5">
      <w:pPr>
        <w:pStyle w:val="27"/>
        <w:pageBreakBefore w:val="0"/>
        <w:kinsoku/>
        <w:wordWrap/>
        <w:overflowPunct/>
        <w:topLinePunct w:val="0"/>
        <w:bidi w:val="0"/>
        <w:spacing w:line="360" w:lineRule="auto"/>
        <w:textAlignment w:val="auto"/>
        <w:rPr>
          <w:rFonts w:hint="eastAsia" w:ascii="黑体" w:hAnsi="黑体" w:eastAsia="黑体" w:cs="黑体"/>
          <w:b/>
          <w:bCs/>
          <w:color w:val="auto"/>
          <w:kern w:val="0"/>
          <w:sz w:val="24"/>
          <w:szCs w:val="24"/>
          <w:lang w:val="en-US" w:eastAsia="zh-CN" w:bidi="ar"/>
        </w:rPr>
      </w:pPr>
      <w:r>
        <w:rPr>
          <w:rFonts w:hint="eastAsia" w:ascii="黑体" w:hAnsi="黑体" w:eastAsia="黑体" w:cs="黑体"/>
          <w:b/>
          <w:bCs/>
          <w:color w:val="auto"/>
          <w:kern w:val="0"/>
          <w:sz w:val="24"/>
          <w:szCs w:val="24"/>
          <w:lang w:val="en-US" w:eastAsia="zh-CN" w:bidi="ar"/>
        </w:rPr>
        <w:t>七、其他补充事宜 </w:t>
      </w:r>
    </w:p>
    <w:p w14:paraId="6F05854F">
      <w:pPr>
        <w:pStyle w:val="27"/>
        <w:keepNext w:val="0"/>
        <w:keepLines w:val="0"/>
        <w:pageBreakBefore w:val="0"/>
        <w:widowControl w:val="0"/>
        <w:kinsoku/>
        <w:wordWrap w:val="0"/>
        <w:overflowPunct/>
        <w:topLinePunct w:val="0"/>
        <w:autoSpaceDE/>
        <w:autoSpaceDN/>
        <w:bidi w:val="0"/>
        <w:adjustRightInd/>
        <w:snapToGrid w:val="0"/>
        <w:spacing w:line="360" w:lineRule="auto"/>
        <w:textAlignment w:val="auto"/>
        <w:rPr>
          <w:rFonts w:hint="eastAsia"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   1、本项目实行网上投标，采用电子投标文件。</w:t>
      </w:r>
    </w:p>
    <w:p w14:paraId="76ACE09F">
      <w:pPr>
        <w:pStyle w:val="27"/>
        <w:keepNext w:val="0"/>
        <w:keepLines w:val="0"/>
        <w:pageBreakBefore w:val="0"/>
        <w:widowControl w:val="0"/>
        <w:kinsoku/>
        <w:wordWrap w:val="0"/>
        <w:overflowPunct/>
        <w:topLinePunct w:val="0"/>
        <w:autoSpaceDE/>
        <w:autoSpaceDN/>
        <w:bidi w:val="0"/>
        <w:adjustRightInd/>
        <w:snapToGrid w:val="0"/>
        <w:spacing w:line="360" w:lineRule="auto"/>
        <w:textAlignment w:val="auto"/>
        <w:rPr>
          <w:rFonts w:hint="eastAsia"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190BDAE3">
      <w:pPr>
        <w:pStyle w:val="27"/>
        <w:keepNext w:val="0"/>
        <w:keepLines w:val="0"/>
        <w:pageBreakBefore w:val="0"/>
        <w:widowControl w:val="0"/>
        <w:kinsoku/>
        <w:wordWrap w:val="0"/>
        <w:overflowPunct/>
        <w:topLinePunct w:val="0"/>
        <w:autoSpaceDE/>
        <w:autoSpaceDN/>
        <w:bidi w:val="0"/>
        <w:adjustRightInd/>
        <w:snapToGrid w:val="0"/>
        <w:spacing w:line="360" w:lineRule="auto"/>
        <w:textAlignment w:val="auto"/>
        <w:rPr>
          <w:rFonts w:hint="eastAsia"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3、供应商将政采云电子交易客户端下载、安装完成后，可通过账号密码或CA登录客户端进行投标文件的制作。在使用政采云投标客户端时，建议使用WIN7及以上操作系统。</w:t>
      </w:r>
    </w:p>
    <w:p w14:paraId="2EF81599">
      <w:pPr>
        <w:pStyle w:val="27"/>
        <w:pageBreakBefore w:val="0"/>
        <w:kinsoku/>
        <w:wordWrap/>
        <w:overflowPunct/>
        <w:topLinePunct w:val="0"/>
        <w:bidi w:val="0"/>
        <w:spacing w:line="360" w:lineRule="auto"/>
        <w:textAlignment w:val="auto"/>
        <w:rPr>
          <w:rFonts w:hint="eastAsia" w:ascii="黑体" w:hAnsi="黑体" w:eastAsia="黑体" w:cs="黑体"/>
          <w:b/>
          <w:bCs/>
          <w:color w:val="auto"/>
          <w:kern w:val="0"/>
          <w:sz w:val="24"/>
          <w:szCs w:val="24"/>
          <w:lang w:val="en-US" w:eastAsia="zh-CN" w:bidi="ar"/>
        </w:rPr>
      </w:pPr>
      <w:r>
        <w:rPr>
          <w:rFonts w:hint="eastAsia" w:ascii="黑体" w:hAnsi="黑体" w:eastAsia="黑体" w:cs="黑体"/>
          <w:b/>
          <w:bCs/>
          <w:color w:val="auto"/>
          <w:kern w:val="0"/>
          <w:sz w:val="24"/>
          <w:szCs w:val="24"/>
          <w:lang w:val="en-US" w:eastAsia="zh-CN" w:bidi="ar"/>
        </w:rPr>
        <w:t>特别提示：</w:t>
      </w:r>
    </w:p>
    <w:p w14:paraId="4C9E093B">
      <w:pPr>
        <w:pStyle w:val="27"/>
        <w:pageBreakBefore w:val="0"/>
        <w:kinsoku/>
        <w:wordWrap/>
        <w:overflowPunct/>
        <w:topLinePunct w:val="0"/>
        <w:bidi w:val="0"/>
        <w:spacing w:line="360" w:lineRule="auto"/>
        <w:textAlignment w:val="auto"/>
        <w:rPr>
          <w:rFonts w:hint="eastAsia" w:ascii="黑体" w:hAnsi="黑体" w:eastAsia="黑体" w:cs="黑体"/>
          <w:b/>
          <w:bCs/>
          <w:color w:val="auto"/>
          <w:kern w:val="0"/>
          <w:sz w:val="24"/>
          <w:szCs w:val="24"/>
          <w:lang w:val="en-US" w:eastAsia="zh-CN" w:bidi="ar"/>
        </w:rPr>
      </w:pPr>
      <w:r>
        <w:rPr>
          <w:rFonts w:hint="eastAsia" w:ascii="黑体" w:hAnsi="黑体" w:eastAsia="黑体" w:cs="黑体"/>
          <w:b/>
          <w:bCs/>
          <w:color w:val="auto"/>
          <w:kern w:val="0"/>
          <w:sz w:val="24"/>
          <w:szCs w:val="24"/>
          <w:lang w:val="en-US" w:eastAsia="zh-CN" w:bidi="ar"/>
        </w:rPr>
        <w:t>1、采购限额标准以上，200万元以下的货物和服务采购项目、400万元以下的工程采购项目，适宜由中小企业提供的，采购人应当专门面向中小企业采购。</w:t>
      </w:r>
    </w:p>
    <w:p w14:paraId="40387350">
      <w:pPr>
        <w:pStyle w:val="27"/>
        <w:pageBreakBefore w:val="0"/>
        <w:kinsoku/>
        <w:wordWrap/>
        <w:overflowPunct/>
        <w:topLinePunct w:val="0"/>
        <w:bidi w:val="0"/>
        <w:spacing w:line="360" w:lineRule="auto"/>
        <w:textAlignment w:val="auto"/>
        <w:rPr>
          <w:rFonts w:hint="eastAsia" w:ascii="黑体" w:hAnsi="黑体" w:eastAsia="黑体" w:cs="黑体"/>
          <w:b/>
          <w:bCs/>
          <w:color w:val="auto"/>
          <w:kern w:val="0"/>
          <w:sz w:val="24"/>
          <w:szCs w:val="24"/>
          <w:lang w:val="en-US" w:eastAsia="zh-CN" w:bidi="ar"/>
        </w:rPr>
      </w:pPr>
      <w:r>
        <w:rPr>
          <w:rFonts w:hint="eastAsia" w:ascii="黑体" w:hAnsi="黑体" w:eastAsia="黑体" w:cs="黑体"/>
          <w:b/>
          <w:bCs/>
          <w:color w:val="auto"/>
          <w:kern w:val="0"/>
          <w:sz w:val="24"/>
          <w:szCs w:val="24"/>
          <w:lang w:val="en-US" w:eastAsia="zh-CN" w:bidi="ar"/>
        </w:rPr>
        <w:t>2、超过200万元的货物和服务采购项目，预留该部分采购项目预算总额的30%以上专门面向中小企业采购，其中预留给小微企业的比例不低于60%。</w:t>
      </w:r>
    </w:p>
    <w:p w14:paraId="6E218E8F">
      <w:pPr>
        <w:pStyle w:val="27"/>
        <w:pageBreakBefore w:val="0"/>
        <w:kinsoku/>
        <w:wordWrap/>
        <w:overflowPunct/>
        <w:topLinePunct w:val="0"/>
        <w:bidi w:val="0"/>
        <w:spacing w:line="360" w:lineRule="auto"/>
        <w:textAlignment w:val="auto"/>
        <w:rPr>
          <w:rFonts w:hint="eastAsia" w:ascii="黑体" w:hAnsi="黑体" w:eastAsia="黑体" w:cs="黑体"/>
          <w:b/>
          <w:bCs/>
          <w:color w:val="auto"/>
          <w:kern w:val="0"/>
          <w:sz w:val="24"/>
          <w:szCs w:val="24"/>
          <w:lang w:val="en-US" w:eastAsia="zh-CN" w:bidi="ar"/>
        </w:rPr>
      </w:pPr>
      <w:r>
        <w:rPr>
          <w:rFonts w:hint="eastAsia" w:ascii="黑体" w:hAnsi="黑体" w:eastAsia="黑体" w:cs="黑体"/>
          <w:b/>
          <w:bCs/>
          <w:color w:val="auto"/>
          <w:kern w:val="0"/>
          <w:sz w:val="24"/>
          <w:szCs w:val="24"/>
          <w:lang w:val="en-US" w:eastAsia="zh-CN" w:bidi="ar"/>
        </w:rPr>
        <w:t>3、超过400万元的工程采购项目中适宜由中小企业提供的，预留该部分采购项目预算总额的40%以上专门面向中小企业采购，其中预留给小微企业的比例不低于60%。</w:t>
      </w:r>
    </w:p>
    <w:p w14:paraId="0DD311E8">
      <w:pPr>
        <w:pStyle w:val="27"/>
        <w:pageBreakBefore w:val="0"/>
        <w:kinsoku/>
        <w:wordWrap/>
        <w:overflowPunct/>
        <w:topLinePunct w:val="0"/>
        <w:bidi w:val="0"/>
        <w:spacing w:line="360" w:lineRule="auto"/>
        <w:textAlignment w:val="auto"/>
        <w:rPr>
          <w:rFonts w:hint="eastAsia" w:ascii="黑体" w:hAnsi="黑体" w:eastAsia="黑体" w:cs="黑体"/>
          <w:b/>
          <w:bCs/>
          <w:color w:val="auto"/>
          <w:kern w:val="0"/>
          <w:sz w:val="24"/>
          <w:szCs w:val="24"/>
          <w:lang w:val="en-US" w:eastAsia="zh-CN" w:bidi="ar"/>
        </w:rPr>
      </w:pPr>
      <w:r>
        <w:rPr>
          <w:rFonts w:hint="eastAsia" w:ascii="黑体" w:hAnsi="黑体" w:eastAsia="黑体" w:cs="黑体"/>
          <w:b/>
          <w:bCs/>
          <w:color w:val="auto"/>
          <w:kern w:val="0"/>
          <w:sz w:val="24"/>
          <w:szCs w:val="24"/>
          <w:lang w:val="en-US" w:eastAsia="zh-CN" w:bidi="ar"/>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2E65C08">
      <w:pPr>
        <w:pStyle w:val="27"/>
        <w:pageBreakBefore w:val="0"/>
        <w:kinsoku/>
        <w:wordWrap/>
        <w:overflowPunct/>
        <w:topLinePunct w:val="0"/>
        <w:bidi w:val="0"/>
        <w:spacing w:line="360" w:lineRule="auto"/>
        <w:textAlignment w:val="auto"/>
        <w:rPr>
          <w:rFonts w:hint="eastAsia" w:ascii="黑体" w:hAnsi="黑体" w:eastAsia="黑体" w:cs="黑体"/>
          <w:b/>
          <w:bCs/>
          <w:color w:val="auto"/>
          <w:kern w:val="0"/>
          <w:sz w:val="24"/>
          <w:szCs w:val="24"/>
          <w:lang w:val="en-US" w:eastAsia="zh-CN" w:bidi="ar"/>
        </w:rPr>
      </w:pPr>
      <w:r>
        <w:rPr>
          <w:rFonts w:hint="eastAsia" w:ascii="黑体" w:hAnsi="黑体" w:eastAsia="黑体" w:cs="黑体"/>
          <w:b/>
          <w:bCs/>
          <w:color w:val="auto"/>
          <w:kern w:val="0"/>
          <w:sz w:val="24"/>
          <w:szCs w:val="24"/>
          <w:lang w:val="en-US" w:eastAsia="zh-CN" w:bidi="ar"/>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410C259">
      <w:pPr>
        <w:pStyle w:val="27"/>
        <w:pageBreakBefore w:val="0"/>
        <w:kinsoku/>
        <w:wordWrap/>
        <w:overflowPunct/>
        <w:topLinePunct w:val="0"/>
        <w:bidi w:val="0"/>
        <w:spacing w:line="360" w:lineRule="auto"/>
        <w:textAlignment w:val="auto"/>
        <w:rPr>
          <w:rFonts w:hint="eastAsia" w:ascii="黑体" w:hAnsi="黑体" w:eastAsia="黑体" w:cs="黑体"/>
          <w:b/>
          <w:bCs/>
          <w:color w:val="auto"/>
          <w:kern w:val="0"/>
          <w:sz w:val="24"/>
          <w:szCs w:val="24"/>
          <w:lang w:val="en-US" w:eastAsia="zh-CN" w:bidi="ar"/>
        </w:rPr>
      </w:pPr>
      <w:r>
        <w:rPr>
          <w:rFonts w:hint="eastAsia" w:ascii="黑体" w:hAnsi="黑体" w:eastAsia="黑体" w:cs="黑体"/>
          <w:b/>
          <w:bCs/>
          <w:color w:val="auto"/>
          <w:kern w:val="0"/>
          <w:sz w:val="24"/>
          <w:szCs w:val="24"/>
          <w:lang w:val="en-US" w:eastAsia="zh-CN" w:bidi="ar"/>
        </w:rPr>
        <w:t>八、凡对本次招标提出询问，请按以下方式联系</w:t>
      </w:r>
    </w:p>
    <w:p w14:paraId="0B054E0B">
      <w:pPr>
        <w:pStyle w:val="27"/>
        <w:pageBreakBefore w:val="0"/>
        <w:kinsoku/>
        <w:wordWrap/>
        <w:overflowPunct/>
        <w:topLinePunct w:val="0"/>
        <w:bidi w:val="0"/>
        <w:spacing w:line="360" w:lineRule="auto"/>
        <w:ind w:firstLine="480" w:firstLineChars="200"/>
        <w:textAlignment w:val="auto"/>
        <w:rPr>
          <w:rFonts w:hint="eastAsia"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1.采购人信息</w:t>
      </w:r>
    </w:p>
    <w:p w14:paraId="3CCC276B">
      <w:pPr>
        <w:pStyle w:val="27"/>
        <w:pageBreakBefore w:val="0"/>
        <w:kinsoku/>
        <w:wordWrap/>
        <w:overflowPunct/>
        <w:topLinePunct w:val="0"/>
        <w:bidi w:val="0"/>
        <w:spacing w:line="360" w:lineRule="auto"/>
        <w:ind w:firstLine="480" w:firstLineChars="200"/>
        <w:textAlignment w:val="auto"/>
        <w:rPr>
          <w:rFonts w:hint="eastAsia"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名 称：伽师县水利局（伽师县水管总站）</w:t>
      </w:r>
    </w:p>
    <w:p w14:paraId="3BD66AFF">
      <w:pPr>
        <w:pStyle w:val="27"/>
        <w:pageBreakBefore w:val="0"/>
        <w:kinsoku/>
        <w:wordWrap/>
        <w:overflowPunct/>
        <w:topLinePunct w:val="0"/>
        <w:bidi w:val="0"/>
        <w:spacing w:line="360" w:lineRule="auto"/>
        <w:ind w:firstLine="480" w:firstLineChars="200"/>
        <w:textAlignment w:val="auto"/>
        <w:rPr>
          <w:rFonts w:hint="eastAsia"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地 址：伽师县</w:t>
      </w:r>
    </w:p>
    <w:p w14:paraId="01884EDC">
      <w:pPr>
        <w:pStyle w:val="27"/>
        <w:pageBreakBefore w:val="0"/>
        <w:kinsoku/>
        <w:wordWrap/>
        <w:overflowPunct/>
        <w:topLinePunct w:val="0"/>
        <w:bidi w:val="0"/>
        <w:spacing w:line="360" w:lineRule="auto"/>
        <w:ind w:firstLine="480"/>
        <w:textAlignment w:val="auto"/>
        <w:rPr>
          <w:rFonts w:hint="default"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联 系 人：李福生</w:t>
      </w:r>
    </w:p>
    <w:p w14:paraId="315A9579">
      <w:pPr>
        <w:pStyle w:val="27"/>
        <w:pageBreakBefore w:val="0"/>
        <w:kinsoku/>
        <w:wordWrap/>
        <w:overflowPunct/>
        <w:topLinePunct w:val="0"/>
        <w:bidi w:val="0"/>
        <w:spacing w:line="360" w:lineRule="auto"/>
        <w:ind w:firstLine="480"/>
        <w:textAlignment w:val="auto"/>
        <w:rPr>
          <w:rFonts w:hint="default"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联系方式：15009941016</w:t>
      </w:r>
    </w:p>
    <w:p w14:paraId="7B19F6C4">
      <w:pPr>
        <w:pStyle w:val="27"/>
        <w:pageBreakBefore w:val="0"/>
        <w:kinsoku/>
        <w:wordWrap/>
        <w:overflowPunct/>
        <w:topLinePunct w:val="0"/>
        <w:bidi w:val="0"/>
        <w:spacing w:line="360" w:lineRule="auto"/>
        <w:ind w:firstLine="480" w:firstLineChars="200"/>
        <w:textAlignment w:val="auto"/>
        <w:rPr>
          <w:rFonts w:hint="eastAsia"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2.采购代理机构信息</w:t>
      </w:r>
    </w:p>
    <w:p w14:paraId="20347182">
      <w:pPr>
        <w:pStyle w:val="27"/>
        <w:pageBreakBefore w:val="0"/>
        <w:kinsoku/>
        <w:wordWrap/>
        <w:overflowPunct/>
        <w:topLinePunct w:val="0"/>
        <w:bidi w:val="0"/>
        <w:spacing w:line="360" w:lineRule="auto"/>
        <w:ind w:firstLine="480" w:firstLineChars="200"/>
        <w:textAlignment w:val="auto"/>
        <w:rPr>
          <w:rFonts w:hint="eastAsia"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名 称：智博国际工程咨询有限公司</w:t>
      </w:r>
    </w:p>
    <w:p w14:paraId="76EFA4BD">
      <w:pPr>
        <w:pStyle w:val="27"/>
        <w:pageBreakBefore w:val="0"/>
        <w:kinsoku/>
        <w:wordWrap/>
        <w:overflowPunct/>
        <w:topLinePunct w:val="0"/>
        <w:bidi w:val="0"/>
        <w:spacing w:line="360" w:lineRule="auto"/>
        <w:ind w:firstLine="480" w:firstLineChars="200"/>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kern w:val="0"/>
          <w:sz w:val="24"/>
          <w:szCs w:val="24"/>
          <w:lang w:val="en-US" w:eastAsia="zh-CN" w:bidi="ar"/>
        </w:rPr>
        <w:t>地　址：</w:t>
      </w:r>
      <w:r>
        <w:rPr>
          <w:rFonts w:hint="eastAsia" w:ascii="黑体" w:hAnsi="黑体" w:eastAsia="黑体" w:cs="黑体"/>
          <w:color w:val="auto"/>
          <w:sz w:val="24"/>
          <w:szCs w:val="24"/>
          <w:highlight w:val="none"/>
          <w:lang w:eastAsia="zh-CN"/>
        </w:rPr>
        <w:t>喀什市东湖街道多来提巴格社区青年南路192号商铺</w:t>
      </w:r>
    </w:p>
    <w:p w14:paraId="09A0A89A">
      <w:pPr>
        <w:pStyle w:val="27"/>
        <w:pageBreakBefore w:val="0"/>
        <w:kinsoku/>
        <w:wordWrap/>
        <w:overflowPunct/>
        <w:topLinePunct w:val="0"/>
        <w:bidi w:val="0"/>
        <w:spacing w:line="360" w:lineRule="auto"/>
        <w:ind w:firstLine="480" w:firstLineChars="200"/>
        <w:textAlignment w:val="auto"/>
        <w:rPr>
          <w:rFonts w:hint="eastAsia"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联 系 人：刘静</w:t>
      </w:r>
    </w:p>
    <w:p w14:paraId="5199D503">
      <w:pPr>
        <w:pStyle w:val="27"/>
        <w:pageBreakBefore w:val="0"/>
        <w:kinsoku/>
        <w:wordWrap/>
        <w:overflowPunct/>
        <w:topLinePunct w:val="0"/>
        <w:bidi w:val="0"/>
        <w:spacing w:line="360" w:lineRule="auto"/>
        <w:ind w:firstLine="480" w:firstLineChars="200"/>
        <w:textAlignment w:val="auto"/>
        <w:rPr>
          <w:rFonts w:hint="default" w:ascii="黑体" w:hAnsi="黑体" w:eastAsia="黑体" w:cs="黑体"/>
          <w:color w:val="auto"/>
          <w:kern w:val="0"/>
          <w:sz w:val="24"/>
          <w:szCs w:val="24"/>
          <w:lang w:val="en-US" w:eastAsia="zh-CN" w:bidi="ar"/>
        </w:rPr>
      </w:pPr>
      <w:r>
        <w:rPr>
          <w:rFonts w:hint="eastAsia" w:ascii="黑体" w:hAnsi="黑体" w:eastAsia="黑体" w:cs="黑体"/>
          <w:color w:val="auto"/>
          <w:kern w:val="0"/>
          <w:sz w:val="24"/>
          <w:szCs w:val="24"/>
          <w:lang w:val="en-US" w:eastAsia="zh-CN" w:bidi="ar"/>
        </w:rPr>
        <w:t>联系方式：18197668299</w:t>
      </w:r>
    </w:p>
    <w:p w14:paraId="3DB39D0B">
      <w:pPr>
        <w:rPr>
          <w:rFonts w:hint="eastAsia" w:ascii="黑体" w:hAnsi="黑体" w:eastAsia="黑体" w:cs="黑体"/>
          <w:b/>
          <w:bCs/>
          <w:color w:val="auto"/>
          <w:sz w:val="30"/>
          <w:szCs w:val="30"/>
        </w:rPr>
      </w:pPr>
      <w:r>
        <w:rPr>
          <w:rFonts w:hint="eastAsia" w:ascii="黑体" w:hAnsi="黑体" w:eastAsia="黑体" w:cs="黑体"/>
          <w:b/>
          <w:bCs/>
          <w:color w:val="auto"/>
          <w:sz w:val="30"/>
          <w:szCs w:val="30"/>
        </w:rPr>
        <w:br w:type="page"/>
      </w:r>
    </w:p>
    <w:p w14:paraId="090D75DC">
      <w:pPr>
        <w:spacing w:line="360" w:lineRule="auto"/>
        <w:jc w:val="center"/>
        <w:outlineLvl w:val="0"/>
        <w:rPr>
          <w:rFonts w:hint="eastAsia" w:ascii="黑体" w:hAnsi="黑体" w:eastAsia="黑体" w:cs="黑体"/>
          <w:b/>
          <w:bCs/>
          <w:color w:val="auto"/>
          <w:sz w:val="30"/>
          <w:szCs w:val="30"/>
        </w:rPr>
      </w:pPr>
      <w:bookmarkStart w:id="353" w:name="_Toc30116"/>
      <w:r>
        <w:rPr>
          <w:rFonts w:hint="eastAsia" w:ascii="黑体" w:hAnsi="黑体" w:eastAsia="黑体" w:cs="黑体"/>
          <w:b/>
          <w:bCs/>
          <w:color w:val="auto"/>
          <w:sz w:val="30"/>
          <w:szCs w:val="30"/>
        </w:rPr>
        <w:t>第</w:t>
      </w:r>
      <w:r>
        <w:rPr>
          <w:rFonts w:hint="eastAsia" w:ascii="黑体" w:hAnsi="黑体" w:eastAsia="黑体" w:cs="黑体"/>
          <w:b/>
          <w:bCs/>
          <w:color w:val="auto"/>
          <w:sz w:val="30"/>
          <w:szCs w:val="30"/>
          <w:lang w:val="en-US" w:eastAsia="zh-CN"/>
        </w:rPr>
        <w:t>四</w:t>
      </w:r>
      <w:r>
        <w:rPr>
          <w:rFonts w:hint="eastAsia" w:ascii="黑体" w:hAnsi="黑体" w:eastAsia="黑体" w:cs="黑体"/>
          <w:b/>
          <w:bCs/>
          <w:color w:val="auto"/>
          <w:sz w:val="30"/>
          <w:szCs w:val="30"/>
        </w:rPr>
        <w:t xml:space="preserve">章 </w:t>
      </w:r>
      <w:r>
        <w:rPr>
          <w:rFonts w:hint="eastAsia" w:ascii="黑体" w:hAnsi="黑体" w:eastAsia="黑体" w:cs="黑体"/>
          <w:b/>
          <w:bCs/>
          <w:color w:val="auto"/>
          <w:sz w:val="30"/>
          <w:szCs w:val="30"/>
          <w:lang w:eastAsia="zh-CN"/>
        </w:rPr>
        <w:t>供应商</w:t>
      </w:r>
      <w:r>
        <w:rPr>
          <w:rFonts w:hint="eastAsia" w:ascii="黑体" w:hAnsi="黑体" w:eastAsia="黑体" w:cs="黑体"/>
          <w:b/>
          <w:bCs/>
          <w:color w:val="auto"/>
          <w:sz w:val="30"/>
          <w:szCs w:val="30"/>
        </w:rPr>
        <w:t>须知资料表</w:t>
      </w:r>
      <w:bookmarkEnd w:id="353"/>
    </w:p>
    <w:p w14:paraId="346D924D">
      <w:pPr>
        <w:spacing w:line="360" w:lineRule="auto"/>
        <w:ind w:left="420" w:leftChars="200" w:firstLine="422" w:firstLineChars="175"/>
        <w:rPr>
          <w:rFonts w:hint="eastAsia" w:ascii="黑体" w:hAnsi="黑体" w:eastAsia="黑体" w:cs="黑体"/>
          <w:color w:val="auto"/>
          <w:sz w:val="24"/>
        </w:rPr>
      </w:pPr>
      <w:r>
        <w:rPr>
          <w:rFonts w:hint="eastAsia" w:ascii="黑体" w:hAnsi="黑体" w:eastAsia="黑体" w:cs="黑体"/>
          <w:b/>
          <w:color w:val="auto"/>
          <w:sz w:val="24"/>
        </w:rPr>
        <w:t>本表是本项目的具体资料，是对</w:t>
      </w:r>
      <w:r>
        <w:rPr>
          <w:rFonts w:hint="eastAsia" w:ascii="黑体" w:hAnsi="黑体" w:eastAsia="黑体" w:cs="黑体"/>
          <w:b/>
          <w:color w:val="auto"/>
          <w:sz w:val="24"/>
          <w:lang w:eastAsia="zh-CN"/>
        </w:rPr>
        <w:t>供应商</w:t>
      </w:r>
      <w:r>
        <w:rPr>
          <w:rFonts w:hint="eastAsia" w:ascii="黑体" w:hAnsi="黑体" w:eastAsia="黑体" w:cs="黑体"/>
          <w:b/>
          <w:color w:val="auto"/>
          <w:sz w:val="24"/>
        </w:rPr>
        <w:t>须知的具体补充和修改，如有矛盾，应以本资料表为准</w:t>
      </w:r>
      <w:r>
        <w:rPr>
          <w:rFonts w:hint="eastAsia" w:ascii="黑体" w:hAnsi="黑体" w:eastAsia="黑体" w:cs="黑体"/>
          <w:color w:val="auto"/>
          <w:sz w:val="24"/>
        </w:rPr>
        <w:t>。</w:t>
      </w:r>
    </w:p>
    <w:tbl>
      <w:tblPr>
        <w:tblStyle w:val="38"/>
        <w:tblW w:w="9420" w:type="dxa"/>
        <w:tblInd w:w="31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35"/>
        <w:gridCol w:w="8385"/>
      </w:tblGrid>
      <w:tr w14:paraId="7ADBC2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35" w:type="dxa"/>
            <w:vAlign w:val="center"/>
          </w:tcPr>
          <w:p w14:paraId="5B93FCD8">
            <w:pPr>
              <w:spacing w:line="360" w:lineRule="auto"/>
              <w:jc w:val="center"/>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条款号</w:t>
            </w:r>
          </w:p>
        </w:tc>
        <w:tc>
          <w:tcPr>
            <w:tcW w:w="8385" w:type="dxa"/>
            <w:vAlign w:val="center"/>
          </w:tcPr>
          <w:p w14:paraId="7BFD9EA3">
            <w:pPr>
              <w:spacing w:line="360" w:lineRule="auto"/>
              <w:jc w:val="center"/>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内      容</w:t>
            </w:r>
          </w:p>
        </w:tc>
      </w:tr>
      <w:tr w14:paraId="60D6E9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035" w:type="dxa"/>
            <w:vAlign w:val="center"/>
          </w:tcPr>
          <w:p w14:paraId="6BFA2067">
            <w:pPr>
              <w:spacing w:line="360" w:lineRule="auto"/>
              <w:ind w:firstLine="480" w:firstLineChars="200"/>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w:t>
            </w:r>
          </w:p>
        </w:tc>
        <w:tc>
          <w:tcPr>
            <w:tcW w:w="8385" w:type="dxa"/>
            <w:vAlign w:val="center"/>
          </w:tcPr>
          <w:p w14:paraId="423DDB2A">
            <w:pPr>
              <w:spacing w:line="360" w:lineRule="auto"/>
              <w:jc w:val="lef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采 购 人：伽师县水利局（伽师县水管总站）</w:t>
            </w:r>
          </w:p>
          <w:p w14:paraId="29C27B87">
            <w:pPr>
              <w:spacing w:line="360" w:lineRule="auto"/>
              <w:jc w:val="lef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地    址：伽师县</w:t>
            </w:r>
          </w:p>
          <w:p w14:paraId="112168C7">
            <w:pPr>
              <w:pStyle w:val="27"/>
              <w:pageBreakBefore w:val="0"/>
              <w:kinsoku/>
              <w:wordWrap/>
              <w:overflowPunct/>
              <w:topLinePunct w:val="0"/>
              <w:bidi w:val="0"/>
              <w:spacing w:line="360" w:lineRule="auto"/>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联 系 人：李福生</w:t>
            </w:r>
          </w:p>
          <w:p w14:paraId="5C0E7AD6">
            <w:pPr>
              <w:pStyle w:val="27"/>
              <w:pageBreakBefore w:val="0"/>
              <w:kinsoku/>
              <w:wordWrap/>
              <w:overflowPunct/>
              <w:topLinePunct w:val="0"/>
              <w:bidi w:val="0"/>
              <w:spacing w:line="360" w:lineRule="auto"/>
              <w:textAlignment w:val="auto"/>
              <w:rPr>
                <w:rFonts w:hint="eastAsia" w:ascii="黑体" w:hAnsi="黑体" w:eastAsia="黑体" w:cs="黑体"/>
                <w:color w:val="auto"/>
                <w:sz w:val="21"/>
                <w:szCs w:val="24"/>
                <w:highlight w:val="none"/>
                <w:lang w:val="en-US" w:eastAsia="zh-CN"/>
              </w:rPr>
            </w:pPr>
            <w:r>
              <w:rPr>
                <w:rFonts w:hint="eastAsia" w:ascii="黑体" w:hAnsi="黑体" w:eastAsia="黑体" w:cs="黑体"/>
                <w:color w:val="auto"/>
                <w:kern w:val="2"/>
                <w:sz w:val="24"/>
                <w:szCs w:val="24"/>
                <w:highlight w:val="none"/>
                <w:lang w:val="en-US" w:eastAsia="zh-CN" w:bidi="ar-SA"/>
              </w:rPr>
              <w:t>联系方式：15009941016</w:t>
            </w:r>
          </w:p>
        </w:tc>
      </w:tr>
      <w:tr w14:paraId="1F76E1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35" w:type="dxa"/>
            <w:vAlign w:val="center"/>
          </w:tcPr>
          <w:p w14:paraId="2B5FF245">
            <w:pPr>
              <w:spacing w:line="360" w:lineRule="auto"/>
              <w:ind w:firstLine="480" w:firstLineChars="200"/>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w:t>
            </w:r>
          </w:p>
        </w:tc>
        <w:tc>
          <w:tcPr>
            <w:tcW w:w="8385" w:type="dxa"/>
            <w:vAlign w:val="center"/>
          </w:tcPr>
          <w:p w14:paraId="011C0E28">
            <w:pPr>
              <w:spacing w:line="360" w:lineRule="auto"/>
              <w:jc w:val="lef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代理机构：智博国际工程咨询有限公司</w:t>
            </w:r>
          </w:p>
          <w:p w14:paraId="4F0A845E">
            <w:pPr>
              <w:spacing w:line="360" w:lineRule="auto"/>
              <w:jc w:val="lef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地址：喀什市东湖街道多来提巴格社区青年南路192号商铺</w:t>
            </w:r>
          </w:p>
          <w:p w14:paraId="45275E33">
            <w:pPr>
              <w:spacing w:line="360" w:lineRule="auto"/>
              <w:jc w:val="lef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联系人：刘静</w:t>
            </w:r>
          </w:p>
          <w:p w14:paraId="0298D569">
            <w:pPr>
              <w:spacing w:line="360" w:lineRule="auto"/>
              <w:jc w:val="lef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电话：18197668299</w:t>
            </w:r>
          </w:p>
        </w:tc>
      </w:tr>
      <w:tr w14:paraId="05DBAE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35" w:type="dxa"/>
            <w:vAlign w:val="center"/>
          </w:tcPr>
          <w:p w14:paraId="413AD26E">
            <w:pPr>
              <w:widowControl/>
              <w:spacing w:line="360" w:lineRule="auto"/>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val="en-US" w:eastAsia="zh-CN"/>
              </w:rPr>
              <w:t>3</w:t>
            </w:r>
          </w:p>
        </w:tc>
        <w:tc>
          <w:tcPr>
            <w:tcW w:w="8385" w:type="dxa"/>
            <w:vAlign w:val="center"/>
          </w:tcPr>
          <w:p w14:paraId="19449CC3">
            <w:pPr>
              <w:spacing w:line="360" w:lineRule="auto"/>
              <w:jc w:val="lef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合格供应商的其他资格要求：参加本次竞争性磋商的供应商除符合《中华人民共和国政府采购法》第二十二条规定的条件外，还需满足下列要求：</w:t>
            </w:r>
          </w:p>
          <w:p w14:paraId="48503BD6">
            <w:pPr>
              <w:spacing w:line="360" w:lineRule="auto"/>
              <w:jc w:val="lef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（1）具有有效的营业执照；</w:t>
            </w:r>
          </w:p>
          <w:p w14:paraId="3D551827">
            <w:pPr>
              <w:spacing w:line="360" w:lineRule="auto"/>
              <w:jc w:val="lef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（2）法人代表资格证明书及授权书扫描件、被授权人身份证扫描件；(法人需提供法人身份证扫描件及法人代表资格证明书);</w:t>
            </w:r>
          </w:p>
          <w:p w14:paraId="4C5A2060">
            <w:pPr>
              <w:spacing w:line="360" w:lineRule="auto"/>
              <w:jc w:val="lef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（3）提供2023年度经会计事务所出具财务审计报告；（新成立公司提供有效期内的银行资信证明）；</w:t>
            </w:r>
          </w:p>
          <w:p w14:paraId="520A46C0">
            <w:pPr>
              <w:spacing w:line="360" w:lineRule="auto"/>
              <w:jc w:val="lef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（4）公司依法缴纳近六个月任意一个月的社保缴纳凭证；</w:t>
            </w:r>
          </w:p>
          <w:p w14:paraId="08F9CEE9">
            <w:pPr>
              <w:spacing w:line="360" w:lineRule="auto"/>
              <w:jc w:val="lef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（5）公司依法缴纳的近六个月任意一个月的完税证明；</w:t>
            </w:r>
          </w:p>
          <w:p w14:paraId="21722FB9">
            <w:pPr>
              <w:spacing w:line="360" w:lineRule="auto"/>
              <w:jc w:val="lef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6）投标人近3年(投标截止时间往前推算)，凡拟参加本次招标项目的投标人，如在“信用中国”网站被列入失信被执行人、重大税收违法失信主体(信用中国首页-点击信用服务-查询）、中国政府采购网（http://www.ccgp.gov.cn/search/cr/）严重违法失信行为记录名单的（尚在处罚期内的）。将拒绝其参加本次招标活动；（提供查询结果网页截图并加盖供应商公章，提供截图日期需在本项目领取磋商文件期内）。</w:t>
            </w:r>
          </w:p>
          <w:p w14:paraId="733010A0">
            <w:pPr>
              <w:spacing w:line="360" w:lineRule="auto"/>
              <w:jc w:val="lef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（7）提供参加政府采购活动前3年内在经营活动中没有重大违法记录的书面声明；</w:t>
            </w:r>
          </w:p>
          <w:p w14:paraId="5C80EF50">
            <w:pPr>
              <w:pStyle w:val="27"/>
              <w:spacing w:line="360" w:lineRule="auto"/>
              <w:rPr>
                <w:rFonts w:hint="eastAsia"/>
                <w:lang w:val="en-US" w:eastAsia="zh-CN"/>
              </w:rPr>
            </w:pPr>
            <w:r>
              <w:rPr>
                <w:rFonts w:hint="eastAsia" w:ascii="黑体" w:hAnsi="黑体" w:eastAsia="黑体" w:cs="黑体"/>
                <w:color w:val="auto"/>
                <w:kern w:val="2"/>
                <w:sz w:val="24"/>
                <w:szCs w:val="24"/>
                <w:highlight w:val="none"/>
                <w:lang w:val="en-US" w:eastAsia="zh-CN" w:bidi="ar-SA"/>
              </w:rPr>
              <w:t>（8）供应商须具备【水利水电工程施工总承包二级】（含）以上资质，拟派项目经理须具备【水利水电工程二级】(含)以上注册建造师执业资格并取得水利水电中级或以上职称，具备有效的B类安全生产考核合格证书且在有效期内，且不得担任其他在建工程的项目经理，并提供近六个月任意一个月社保缴纳证明；</w:t>
            </w:r>
          </w:p>
          <w:p w14:paraId="23595E63">
            <w:pPr>
              <w:spacing w:line="360" w:lineRule="auto"/>
              <w:jc w:val="lef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（9）提供针对本次采购项目的《反商业贿赂承诺书》；</w:t>
            </w:r>
          </w:p>
          <w:p w14:paraId="7CE5C565">
            <w:pPr>
              <w:spacing w:line="360" w:lineRule="auto"/>
              <w:jc w:val="lef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（10）缴纳投标保证金的有效凭证；</w:t>
            </w:r>
          </w:p>
          <w:p w14:paraId="1A8B4C50">
            <w:pPr>
              <w:pStyle w:val="27"/>
              <w:rPr>
                <w:rFonts w:hint="eastAsia"/>
                <w:lang w:val="en-US" w:eastAsia="zh-CN"/>
              </w:rPr>
            </w:pPr>
            <w:r>
              <w:rPr>
                <w:rFonts w:hint="eastAsia" w:ascii="黑体" w:hAnsi="黑体" w:eastAsia="黑体" w:cs="黑体"/>
                <w:color w:val="auto"/>
                <w:sz w:val="24"/>
                <w:szCs w:val="24"/>
                <w:highlight w:val="none"/>
                <w:lang w:val="en-US" w:eastAsia="zh-CN"/>
              </w:rPr>
              <w:t>（11）</w:t>
            </w:r>
            <w:r>
              <w:rPr>
                <w:rFonts w:hint="eastAsia" w:ascii="黑体" w:hAnsi="黑体" w:eastAsia="黑体" w:cs="黑体"/>
                <w:bCs/>
                <w:color w:val="auto"/>
                <w:sz w:val="24"/>
                <w:szCs w:val="24"/>
                <w:lang w:val="en-US" w:eastAsia="zh-CN"/>
              </w:rPr>
              <w:t>提供中小企业声明函；</w:t>
            </w:r>
          </w:p>
        </w:tc>
      </w:tr>
      <w:tr w14:paraId="70192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035" w:type="dxa"/>
            <w:vAlign w:val="center"/>
          </w:tcPr>
          <w:p w14:paraId="3F6D0603">
            <w:pPr>
              <w:spacing w:line="360" w:lineRule="auto"/>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val="en-US" w:eastAsia="zh-CN"/>
              </w:rPr>
              <w:t>4</w:t>
            </w:r>
          </w:p>
        </w:tc>
        <w:tc>
          <w:tcPr>
            <w:tcW w:w="8385" w:type="dxa"/>
            <w:vAlign w:val="center"/>
          </w:tcPr>
          <w:p w14:paraId="09543160">
            <w:pPr>
              <w:spacing w:line="360" w:lineRule="auto"/>
              <w:jc w:val="lef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是否允许采购进口产品：否（是、否）</w:t>
            </w:r>
          </w:p>
        </w:tc>
      </w:tr>
      <w:tr w14:paraId="5B1E82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035" w:type="dxa"/>
            <w:vAlign w:val="center"/>
          </w:tcPr>
          <w:p w14:paraId="2714F484">
            <w:pPr>
              <w:spacing w:line="360" w:lineRule="auto"/>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5</w:t>
            </w:r>
          </w:p>
        </w:tc>
        <w:tc>
          <w:tcPr>
            <w:tcW w:w="8385" w:type="dxa"/>
            <w:vAlign w:val="center"/>
          </w:tcPr>
          <w:p w14:paraId="70119522">
            <w:pPr>
              <w:spacing w:line="360" w:lineRule="auto"/>
              <w:jc w:val="lef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是否为专门面向中小企业采购：是（是、否）</w:t>
            </w:r>
          </w:p>
        </w:tc>
      </w:tr>
      <w:tr w14:paraId="0F4F6B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035" w:type="dxa"/>
            <w:vAlign w:val="center"/>
          </w:tcPr>
          <w:p w14:paraId="1B91C9FC">
            <w:pPr>
              <w:spacing w:line="360" w:lineRule="auto"/>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val="en-US" w:eastAsia="zh-CN"/>
              </w:rPr>
              <w:t>6</w:t>
            </w:r>
          </w:p>
        </w:tc>
        <w:tc>
          <w:tcPr>
            <w:tcW w:w="8385" w:type="dxa"/>
            <w:vAlign w:val="center"/>
          </w:tcPr>
          <w:p w14:paraId="4D06E6C7">
            <w:pPr>
              <w:spacing w:line="360" w:lineRule="auto"/>
              <w:jc w:val="lef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是否允许联合体递交响应文件：否（是、否）</w:t>
            </w:r>
          </w:p>
        </w:tc>
      </w:tr>
      <w:tr w14:paraId="047F47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35" w:type="dxa"/>
            <w:vAlign w:val="center"/>
          </w:tcPr>
          <w:p w14:paraId="7638D3FF">
            <w:pPr>
              <w:spacing w:line="360" w:lineRule="auto"/>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7</w:t>
            </w:r>
          </w:p>
        </w:tc>
        <w:tc>
          <w:tcPr>
            <w:tcW w:w="8385" w:type="dxa"/>
            <w:vAlign w:val="center"/>
          </w:tcPr>
          <w:p w14:paraId="76ECE241">
            <w:pPr>
              <w:spacing w:line="360" w:lineRule="auto"/>
              <w:jc w:val="lef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资金来源：中央水库移民后期扶持基金及其他资金；</w:t>
            </w:r>
          </w:p>
        </w:tc>
      </w:tr>
      <w:tr w14:paraId="703D74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1" w:hRule="atLeast"/>
        </w:trPr>
        <w:tc>
          <w:tcPr>
            <w:tcW w:w="1035" w:type="dxa"/>
            <w:vAlign w:val="center"/>
          </w:tcPr>
          <w:p w14:paraId="762C5116">
            <w:pPr>
              <w:spacing w:line="360" w:lineRule="auto"/>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val="en-US" w:eastAsia="zh-CN"/>
              </w:rPr>
              <w:t>8</w:t>
            </w:r>
          </w:p>
        </w:tc>
        <w:tc>
          <w:tcPr>
            <w:tcW w:w="8385" w:type="dxa"/>
            <w:vAlign w:val="center"/>
          </w:tcPr>
          <w:p w14:paraId="1D4546BD">
            <w:pPr>
              <w:spacing w:line="360" w:lineRule="auto"/>
              <w:jc w:val="lef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预算价：</w:t>
            </w:r>
            <w:r>
              <w:rPr>
                <w:rFonts w:hint="eastAsia" w:ascii="黑体" w:hAnsi="黑体" w:eastAsia="黑体" w:cs="黑体"/>
                <w:color w:val="auto"/>
                <w:kern w:val="0"/>
                <w:sz w:val="24"/>
                <w:szCs w:val="24"/>
                <w:lang w:val="en-US" w:eastAsia="zh-CN" w:bidi="ar"/>
              </w:rPr>
              <w:t>3365306.32</w:t>
            </w:r>
            <w:r>
              <w:rPr>
                <w:rFonts w:hint="eastAsia" w:ascii="黑体" w:hAnsi="黑体" w:eastAsia="黑体" w:cs="黑体"/>
                <w:color w:val="auto"/>
                <w:sz w:val="24"/>
                <w:szCs w:val="24"/>
                <w:highlight w:val="none"/>
                <w:lang w:val="en-US" w:eastAsia="zh-CN"/>
              </w:rPr>
              <w:t>元；</w:t>
            </w:r>
          </w:p>
          <w:p w14:paraId="4B3AD4A8">
            <w:pPr>
              <w:spacing w:line="360" w:lineRule="auto"/>
              <w:jc w:val="lef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最高限价：</w:t>
            </w:r>
            <w:r>
              <w:rPr>
                <w:rFonts w:hint="eastAsia" w:ascii="黑体" w:hAnsi="黑体" w:eastAsia="黑体" w:cs="黑体"/>
                <w:color w:val="auto"/>
                <w:kern w:val="0"/>
                <w:sz w:val="24"/>
                <w:szCs w:val="24"/>
                <w:lang w:val="en-US" w:eastAsia="zh-CN" w:bidi="ar"/>
              </w:rPr>
              <w:t>3365306.32</w:t>
            </w:r>
            <w:r>
              <w:rPr>
                <w:rFonts w:hint="eastAsia" w:ascii="黑体" w:hAnsi="黑体" w:eastAsia="黑体" w:cs="黑体"/>
                <w:color w:val="auto"/>
                <w:sz w:val="24"/>
                <w:szCs w:val="24"/>
                <w:highlight w:val="none"/>
                <w:lang w:val="en-US" w:eastAsia="zh-CN"/>
              </w:rPr>
              <w:t>元；</w:t>
            </w:r>
          </w:p>
          <w:p w14:paraId="20170E6B">
            <w:pPr>
              <w:spacing w:line="360" w:lineRule="auto"/>
              <w:jc w:val="left"/>
              <w:rPr>
                <w:rFonts w:hint="eastAsia" w:ascii="黑体" w:hAnsi="黑体" w:eastAsia="黑体" w:cs="黑体"/>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各投标人的投标报价不得超过本项目的最高限价金额，否则其投标文件将按否决投标处理。</w:t>
            </w:r>
          </w:p>
        </w:tc>
      </w:tr>
      <w:tr w14:paraId="35168E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35" w:type="dxa"/>
            <w:vAlign w:val="center"/>
          </w:tcPr>
          <w:p w14:paraId="22432E99">
            <w:pPr>
              <w:spacing w:line="360" w:lineRule="auto"/>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val="en-US" w:eastAsia="zh-CN"/>
              </w:rPr>
              <w:t>9</w:t>
            </w:r>
          </w:p>
        </w:tc>
        <w:tc>
          <w:tcPr>
            <w:tcW w:w="8385" w:type="dxa"/>
            <w:vAlign w:val="center"/>
          </w:tcPr>
          <w:p w14:paraId="603F859F">
            <w:pPr>
              <w:spacing w:line="360" w:lineRule="auto"/>
              <w:jc w:val="lef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保证金形式：</w:t>
            </w:r>
            <w:r>
              <w:rPr>
                <w:rFonts w:hint="eastAsia" w:ascii="黑体" w:hAnsi="黑体" w:eastAsia="黑体" w:cs="黑体"/>
                <w:b/>
                <w:bCs/>
                <w:i w:val="0"/>
                <w:iCs w:val="0"/>
                <w:color w:val="auto"/>
                <w:sz w:val="24"/>
                <w:highlight w:val="none"/>
                <w:lang w:eastAsia="zh-CN"/>
              </w:rPr>
              <w:t>☑</w:t>
            </w:r>
            <w:r>
              <w:rPr>
                <w:rFonts w:hint="eastAsia" w:ascii="黑体" w:hAnsi="黑体" w:eastAsia="黑体" w:cs="黑体"/>
                <w:b/>
                <w:bCs/>
                <w:i w:val="0"/>
                <w:iCs w:val="0"/>
                <w:color w:val="auto"/>
                <w:sz w:val="24"/>
                <w:highlight w:val="none"/>
              </w:rPr>
              <w:t>保函</w:t>
            </w:r>
            <w:r>
              <w:rPr>
                <w:rFonts w:hint="eastAsia" w:ascii="黑体" w:hAnsi="黑体" w:eastAsia="黑体" w:cs="黑体"/>
                <w:b/>
                <w:bCs/>
                <w:i w:val="0"/>
                <w:iCs w:val="0"/>
                <w:color w:val="auto"/>
                <w:sz w:val="24"/>
                <w:highlight w:val="none"/>
                <w:lang w:val="en-US" w:eastAsia="zh-CN"/>
              </w:rPr>
              <w:t xml:space="preserve">  </w:t>
            </w:r>
            <w:r>
              <w:rPr>
                <w:rFonts w:hint="eastAsia" w:ascii="黑体" w:hAnsi="黑体" w:eastAsia="黑体" w:cs="黑体"/>
                <w:b/>
                <w:bCs/>
                <w:i w:val="0"/>
                <w:iCs w:val="0"/>
                <w:color w:val="auto"/>
                <w:sz w:val="24"/>
                <w:highlight w:val="none"/>
              </w:rPr>
              <w:t>☑电汇</w:t>
            </w:r>
            <w:r>
              <w:rPr>
                <w:rFonts w:hint="eastAsia" w:ascii="黑体" w:hAnsi="黑体" w:eastAsia="黑体" w:cs="黑体"/>
                <w:b/>
                <w:bCs/>
                <w:i w:val="0"/>
                <w:iCs w:val="0"/>
                <w:color w:val="auto"/>
                <w:sz w:val="24"/>
                <w:highlight w:val="none"/>
                <w:lang w:val="en-US" w:eastAsia="zh-CN"/>
              </w:rPr>
              <w:t xml:space="preserve">  </w:t>
            </w:r>
            <w:r>
              <w:rPr>
                <w:rFonts w:hint="eastAsia" w:ascii="黑体" w:hAnsi="黑体" w:eastAsia="黑体" w:cs="黑体"/>
                <w:b/>
                <w:bCs/>
                <w:i w:val="0"/>
                <w:iCs w:val="0"/>
                <w:color w:val="auto"/>
                <w:sz w:val="24"/>
                <w:highlight w:val="none"/>
                <w:lang w:eastAsia="zh-CN"/>
              </w:rPr>
              <w:t>☑</w:t>
            </w:r>
            <w:r>
              <w:rPr>
                <w:rFonts w:hint="eastAsia" w:ascii="黑体" w:hAnsi="黑体" w:eastAsia="黑体" w:cs="黑体"/>
                <w:b/>
                <w:bCs/>
                <w:i w:val="0"/>
                <w:iCs w:val="0"/>
                <w:color w:val="auto"/>
                <w:sz w:val="24"/>
                <w:highlight w:val="none"/>
              </w:rPr>
              <w:t>银行转账</w:t>
            </w:r>
            <w:r>
              <w:rPr>
                <w:rFonts w:hint="eastAsia" w:ascii="黑体" w:hAnsi="黑体" w:eastAsia="黑体" w:cs="黑体"/>
                <w:b/>
                <w:bCs/>
                <w:i w:val="0"/>
                <w:iCs w:val="0"/>
                <w:color w:val="auto"/>
                <w:sz w:val="24"/>
                <w:highlight w:val="none"/>
                <w:lang w:eastAsia="zh-CN"/>
              </w:rPr>
              <w:t>等</w:t>
            </w:r>
            <w:r>
              <w:rPr>
                <w:rFonts w:hint="eastAsia" w:ascii="黑体" w:hAnsi="黑体" w:eastAsia="黑体" w:cs="黑体"/>
                <w:b/>
                <w:bCs/>
                <w:i w:val="0"/>
                <w:iCs w:val="0"/>
                <w:color w:val="auto"/>
                <w:sz w:val="24"/>
                <w:highlight w:val="none"/>
                <w:lang w:val="en-US" w:eastAsia="zh-CN"/>
              </w:rPr>
              <w:t>法律允许的其他形式。</w:t>
            </w:r>
          </w:p>
          <w:p w14:paraId="7FD38306">
            <w:pPr>
              <w:spacing w:line="360" w:lineRule="auto"/>
              <w:jc w:val="lef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保证金数额：6</w:t>
            </w:r>
            <w:r>
              <w:rPr>
                <w:rFonts w:hint="eastAsia" w:ascii="黑体" w:hAnsi="黑体" w:eastAsia="黑体" w:cs="黑体"/>
                <w:b/>
                <w:bCs/>
                <w:i w:val="0"/>
                <w:iCs w:val="0"/>
                <w:color w:val="auto"/>
                <w:sz w:val="24"/>
                <w:highlight w:val="none"/>
                <w:lang w:val="en-US" w:eastAsia="zh-CN"/>
              </w:rPr>
              <w:t>0000.00</w:t>
            </w:r>
            <w:r>
              <w:rPr>
                <w:rFonts w:hint="eastAsia" w:ascii="黑体" w:hAnsi="黑体" w:eastAsia="黑体" w:cs="黑体"/>
                <w:b/>
                <w:bCs/>
                <w:i w:val="0"/>
                <w:iCs w:val="0"/>
                <w:color w:val="auto"/>
                <w:sz w:val="24"/>
                <w:highlight w:val="none"/>
              </w:rPr>
              <w:t>元</w:t>
            </w:r>
            <w:r>
              <w:rPr>
                <w:rFonts w:hint="eastAsia" w:ascii="黑体" w:hAnsi="黑体" w:eastAsia="黑体" w:cs="黑体"/>
                <w:b/>
                <w:bCs/>
                <w:i w:val="0"/>
                <w:iCs w:val="0"/>
                <w:color w:val="auto"/>
                <w:sz w:val="24"/>
                <w:highlight w:val="none"/>
                <w:lang w:eastAsia="zh-CN"/>
              </w:rPr>
              <w:t>（大写：</w:t>
            </w:r>
            <w:r>
              <w:rPr>
                <w:rFonts w:hint="eastAsia" w:ascii="黑体" w:hAnsi="黑体" w:eastAsia="黑体" w:cs="黑体"/>
                <w:b/>
                <w:bCs/>
                <w:i w:val="0"/>
                <w:iCs w:val="0"/>
                <w:color w:val="auto"/>
                <w:sz w:val="24"/>
                <w:highlight w:val="none"/>
                <w:lang w:val="en-US" w:eastAsia="zh-CN"/>
              </w:rPr>
              <w:t>陆</w:t>
            </w:r>
            <w:r>
              <w:rPr>
                <w:rFonts w:hint="eastAsia" w:ascii="黑体" w:hAnsi="黑体" w:eastAsia="黑体" w:cs="黑体"/>
                <w:b/>
                <w:bCs/>
                <w:i w:val="0"/>
                <w:iCs w:val="0"/>
                <w:color w:val="auto"/>
                <w:sz w:val="24"/>
                <w:highlight w:val="none"/>
                <w:lang w:eastAsia="zh-CN"/>
              </w:rPr>
              <w:t>万元整）</w:t>
            </w:r>
            <w:r>
              <w:rPr>
                <w:rFonts w:hint="eastAsia" w:ascii="黑体" w:hAnsi="黑体" w:eastAsia="黑体" w:cs="黑体"/>
                <w:color w:val="auto"/>
                <w:sz w:val="24"/>
                <w:szCs w:val="24"/>
                <w:highlight w:val="none"/>
                <w:lang w:val="en-US" w:eastAsia="zh-CN"/>
              </w:rPr>
              <w:t>（按照各分包控制金额2%以内的整数计算）</w:t>
            </w:r>
          </w:p>
          <w:p w14:paraId="5985FFB8">
            <w:pPr>
              <w:spacing w:line="360" w:lineRule="auto"/>
              <w:jc w:val="lef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投标保证金收款人：智博国际工程咨询有限公司喀什市分公司</w:t>
            </w:r>
          </w:p>
          <w:p w14:paraId="172C9B52">
            <w:pPr>
              <w:spacing w:line="360" w:lineRule="auto"/>
              <w:jc w:val="lef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账号：1071 0279 3652</w:t>
            </w:r>
          </w:p>
          <w:p w14:paraId="43CFD976">
            <w:pPr>
              <w:pStyle w:val="27"/>
              <w:rPr>
                <w:rFonts w:hint="default"/>
                <w:lang w:val="en-US" w:eastAsia="zh-CN"/>
              </w:rPr>
            </w:pPr>
            <w:r>
              <w:rPr>
                <w:rFonts w:hint="eastAsia" w:ascii="黑体" w:hAnsi="黑体" w:eastAsia="黑体" w:cs="黑体"/>
                <w:color w:val="auto"/>
                <w:sz w:val="24"/>
                <w:szCs w:val="24"/>
                <w:highlight w:val="none"/>
                <w:lang w:val="en-US" w:eastAsia="zh-CN"/>
              </w:rPr>
              <w:t>行号：1048 9400 1054</w:t>
            </w:r>
          </w:p>
          <w:p w14:paraId="14D9DF1A">
            <w:pPr>
              <w:spacing w:line="360" w:lineRule="auto"/>
              <w:jc w:val="lef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开户行：中国银行股份有限公司喀什市青年南路支行</w:t>
            </w:r>
          </w:p>
          <w:p w14:paraId="2C51CD07">
            <w:pPr>
              <w:keepNext w:val="0"/>
              <w:keepLines w:val="0"/>
              <w:widowControl/>
              <w:suppressLineNumbers w:val="0"/>
              <w:shd w:val="clear" w:color="auto" w:fill="auto"/>
              <w:spacing w:line="360" w:lineRule="auto"/>
              <w:jc w:val="left"/>
              <w:rPr>
                <w:rFonts w:hint="eastAsia" w:ascii="黑体" w:hAnsi="黑体" w:eastAsia="黑体" w:cs="黑体"/>
                <w:b/>
                <w:bCs/>
                <w:i w:val="0"/>
                <w:iCs w:val="0"/>
                <w:color w:val="auto"/>
                <w:sz w:val="24"/>
                <w:highlight w:val="none"/>
                <w:lang w:val="en-US" w:eastAsia="zh-CN"/>
              </w:rPr>
            </w:pPr>
            <w:r>
              <w:rPr>
                <w:rFonts w:hint="eastAsia" w:ascii="黑体" w:hAnsi="黑体" w:eastAsia="黑体" w:cs="黑体"/>
                <w:b/>
                <w:bCs/>
                <w:i w:val="0"/>
                <w:iCs w:val="0"/>
                <w:color w:val="auto"/>
                <w:sz w:val="24"/>
                <w:highlight w:val="none"/>
                <w:lang w:val="en-US" w:eastAsia="zh-CN"/>
              </w:rPr>
              <w:t>注：1、转账或电汇形式：投标保证金须从投标人基本账户一次性转入指定账户，在投标截止时间前到达指定的账户（以实际到账时间为准）。</w:t>
            </w:r>
          </w:p>
          <w:p w14:paraId="266EF080">
            <w:pPr>
              <w:keepNext w:val="0"/>
              <w:keepLines w:val="0"/>
              <w:widowControl/>
              <w:suppressLineNumbers w:val="0"/>
              <w:shd w:val="clear" w:color="auto" w:fill="auto"/>
              <w:spacing w:line="360" w:lineRule="auto"/>
              <w:jc w:val="left"/>
              <w:rPr>
                <w:rFonts w:hint="eastAsia" w:ascii="黑体" w:hAnsi="黑体" w:eastAsia="黑体" w:cs="黑体"/>
                <w:b/>
                <w:bCs/>
                <w:i w:val="0"/>
                <w:iCs w:val="0"/>
                <w:color w:val="auto"/>
                <w:sz w:val="24"/>
                <w:highlight w:val="none"/>
                <w:lang w:val="en-US" w:eastAsia="zh-CN"/>
              </w:rPr>
            </w:pPr>
            <w:r>
              <w:rPr>
                <w:rFonts w:hint="eastAsia" w:ascii="黑体" w:hAnsi="黑体" w:eastAsia="黑体" w:cs="黑体"/>
                <w:b/>
                <w:bCs/>
                <w:i w:val="0"/>
                <w:iCs w:val="0"/>
                <w:color w:val="auto"/>
                <w:sz w:val="24"/>
                <w:highlight w:val="none"/>
                <w:lang w:val="en-US" w:eastAsia="zh-CN"/>
              </w:rPr>
              <w:t>汇款时注明投标保证金项目名称及项目编号（如有包段，需注明包段）、可简写。投标保证金转入智博国际工程咨询有限公司喀什市分公司账户后，保证金汇款凭证扫描件上传到投标文件中。</w:t>
            </w:r>
          </w:p>
          <w:p w14:paraId="62E3A725">
            <w:pPr>
              <w:keepNext w:val="0"/>
              <w:keepLines w:val="0"/>
              <w:widowControl/>
              <w:suppressLineNumbers w:val="0"/>
              <w:shd w:val="clear" w:color="auto" w:fill="auto"/>
              <w:spacing w:line="360" w:lineRule="auto"/>
              <w:jc w:val="left"/>
              <w:rPr>
                <w:rFonts w:hint="eastAsia" w:ascii="黑体" w:hAnsi="黑体" w:eastAsia="黑体" w:cs="黑体"/>
                <w:b/>
                <w:bCs/>
                <w:i w:val="0"/>
                <w:iCs w:val="0"/>
                <w:color w:val="auto"/>
                <w:sz w:val="24"/>
                <w:highlight w:val="none"/>
                <w:lang w:val="en-US" w:eastAsia="zh-CN"/>
              </w:rPr>
            </w:pPr>
            <w:r>
              <w:rPr>
                <w:rFonts w:hint="eastAsia" w:ascii="黑体" w:hAnsi="黑体" w:eastAsia="黑体" w:cs="黑体"/>
                <w:b/>
                <w:bCs/>
                <w:i w:val="0"/>
                <w:iCs w:val="0"/>
                <w:color w:val="auto"/>
                <w:sz w:val="24"/>
                <w:highlight w:val="none"/>
                <w:lang w:val="en-US" w:eastAsia="zh-CN"/>
              </w:rPr>
              <w:t>3、保函形式：应在规定截止时间前开具完成并满足投标有效期等有关内容规定。</w:t>
            </w:r>
          </w:p>
          <w:p w14:paraId="67BC3C2F">
            <w:pPr>
              <w:keepNext w:val="0"/>
              <w:keepLines w:val="0"/>
              <w:widowControl/>
              <w:suppressLineNumbers w:val="0"/>
              <w:shd w:val="clear" w:color="auto" w:fill="auto"/>
              <w:spacing w:line="360" w:lineRule="auto"/>
              <w:jc w:val="left"/>
              <w:rPr>
                <w:rFonts w:hint="eastAsia" w:ascii="黑体" w:hAnsi="黑体" w:eastAsia="黑体" w:cs="黑体"/>
                <w:b/>
                <w:bCs/>
                <w:i w:val="0"/>
                <w:iCs w:val="0"/>
                <w:color w:val="auto"/>
                <w:sz w:val="24"/>
                <w:highlight w:val="none"/>
                <w:lang w:val="en-US" w:eastAsia="zh-CN"/>
              </w:rPr>
            </w:pPr>
            <w:r>
              <w:rPr>
                <w:rFonts w:hint="eastAsia" w:ascii="黑体" w:hAnsi="黑体" w:eastAsia="黑体" w:cs="黑体"/>
                <w:b/>
                <w:bCs/>
                <w:i w:val="0"/>
                <w:iCs w:val="0"/>
                <w:color w:val="auto"/>
                <w:sz w:val="24"/>
                <w:highlight w:val="none"/>
                <w:lang w:val="en-US" w:eastAsia="zh-CN"/>
              </w:rPr>
              <w:t>4、投标保证金提交截止时间：2025年02月11日11:00（北京时间）。（过期不予办理）</w:t>
            </w:r>
          </w:p>
          <w:p w14:paraId="1B07400A">
            <w:pPr>
              <w:spacing w:line="360" w:lineRule="auto"/>
              <w:jc w:val="left"/>
              <w:rPr>
                <w:rFonts w:hint="eastAsia" w:ascii="黑体" w:hAnsi="黑体" w:eastAsia="黑体" w:cs="黑体"/>
                <w:color w:val="auto"/>
                <w:sz w:val="24"/>
                <w:szCs w:val="24"/>
                <w:highlight w:val="none"/>
                <w:lang w:val="en-US" w:eastAsia="zh-CN"/>
              </w:rPr>
            </w:pPr>
            <w:r>
              <w:rPr>
                <w:rFonts w:hint="eastAsia" w:ascii="黑体" w:hAnsi="黑体" w:eastAsia="黑体" w:cs="黑体"/>
                <w:b/>
                <w:bCs/>
                <w:i w:val="0"/>
                <w:iCs w:val="0"/>
                <w:color w:val="auto"/>
                <w:sz w:val="24"/>
                <w:highlight w:val="none"/>
                <w:lang w:val="en-US" w:eastAsia="zh-CN"/>
              </w:rPr>
              <w:t>5、根据《政府采购竞争性磋商采购方式管理暂行办法》第三十一条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tc>
      </w:tr>
      <w:tr w14:paraId="02D4F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4" w:hRule="atLeast"/>
        </w:trPr>
        <w:tc>
          <w:tcPr>
            <w:tcW w:w="1035" w:type="dxa"/>
            <w:vAlign w:val="center"/>
          </w:tcPr>
          <w:p w14:paraId="15E7C121">
            <w:pPr>
              <w:spacing w:line="360" w:lineRule="auto"/>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10</w:t>
            </w:r>
          </w:p>
        </w:tc>
        <w:tc>
          <w:tcPr>
            <w:tcW w:w="8385" w:type="dxa"/>
            <w:vAlign w:val="center"/>
          </w:tcPr>
          <w:p w14:paraId="5A7C30D2">
            <w:pPr>
              <w:spacing w:line="360" w:lineRule="auto"/>
              <w:rPr>
                <w:rFonts w:hint="eastAsia" w:ascii="黑体" w:hAnsi="黑体" w:eastAsia="黑体" w:cs="黑体"/>
                <w:color w:val="auto"/>
                <w:sz w:val="32"/>
                <w:szCs w:val="32"/>
                <w:u w:val="single"/>
              </w:rPr>
            </w:pPr>
            <w:r>
              <w:rPr>
                <w:rFonts w:hint="eastAsia" w:ascii="黑体" w:hAnsi="黑体" w:eastAsia="黑体" w:cs="黑体"/>
                <w:color w:val="auto"/>
                <w:sz w:val="24"/>
                <w:szCs w:val="24"/>
                <w:highlight w:val="none"/>
                <w:lang w:val="en-US" w:eastAsia="zh-CN"/>
              </w:rPr>
              <w:t>磋商有效期：90日历日</w:t>
            </w:r>
          </w:p>
        </w:tc>
      </w:tr>
      <w:tr w14:paraId="2D9997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48" w:hRule="atLeast"/>
        </w:trPr>
        <w:tc>
          <w:tcPr>
            <w:tcW w:w="1035" w:type="dxa"/>
            <w:vAlign w:val="center"/>
          </w:tcPr>
          <w:p w14:paraId="2485EE45">
            <w:pPr>
              <w:spacing w:line="360" w:lineRule="auto"/>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11</w:t>
            </w:r>
          </w:p>
        </w:tc>
        <w:tc>
          <w:tcPr>
            <w:tcW w:w="8385" w:type="dxa"/>
            <w:vAlign w:val="center"/>
          </w:tcPr>
          <w:p w14:paraId="596EDFCF">
            <w:pPr>
              <w:numPr>
                <w:ilvl w:val="0"/>
                <w:numId w:val="0"/>
              </w:numPr>
              <w:spacing w:line="360" w:lineRule="auto"/>
              <w:rPr>
                <w:rFonts w:hint="eastAsia" w:ascii="黑体" w:hAnsi="黑体" w:eastAsia="黑体" w:cs="黑体"/>
                <w:color w:val="auto"/>
                <w:sz w:val="24"/>
                <w:szCs w:val="32"/>
              </w:rPr>
            </w:pPr>
            <w:r>
              <w:rPr>
                <w:rFonts w:hint="eastAsia" w:ascii="黑体" w:hAnsi="黑体" w:eastAsia="黑体" w:cs="黑体"/>
                <w:color w:val="auto"/>
                <w:kern w:val="2"/>
                <w:sz w:val="24"/>
                <w:szCs w:val="32"/>
                <w:lang w:val="en-US" w:eastAsia="zh-CN" w:bidi="ar-SA"/>
              </w:rPr>
              <w:t>1.</w:t>
            </w:r>
            <w:r>
              <w:rPr>
                <w:rFonts w:hint="eastAsia" w:ascii="黑体" w:hAnsi="黑体" w:eastAsia="黑体" w:cs="黑体"/>
                <w:color w:val="auto"/>
                <w:sz w:val="24"/>
                <w:szCs w:val="32"/>
              </w:rPr>
              <w:t>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2.本项目实行网上投标，采用电子投标文件(供应商须使用CA加密设备通过政采云电子投标客户端制作投标文件)。若供应商参与投标，自行承担投标一切费用。3.各供应商应在开标前应确保成为新疆维吾尔自治区政府采购网正式注册入库供应商，并完成CA数字证书申领。因未注册入库、未办理CA数字证书等原因造成无法投标或投标失败等后果由供应商自行承担。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-43-可拨打政采云客户服务热线400-881-7190进行咨询。5.供应商在开标时须使用制作加密电子投标文件所使用的CA锁及电脑，电脑须提前配置好浏览器(建议使用360浏览器或谷歌浏览器)，以便开标时解锁。6、投标供应商应当在投标截止时间前，将生成的电子加密响应文件”上传递交至“政府采购云平台”，投标截止时间以后上传递交的响应文件将被“政府采购云平台”拒收。</w:t>
            </w:r>
          </w:p>
          <w:p w14:paraId="5BFA76C4">
            <w:pPr>
              <w:numPr>
                <w:ilvl w:val="0"/>
                <w:numId w:val="0"/>
              </w:numPr>
              <w:spacing w:line="360" w:lineRule="auto"/>
              <w:rPr>
                <w:rFonts w:hint="eastAsia" w:ascii="黑体" w:hAnsi="黑体" w:eastAsia="黑体" w:cs="黑体"/>
                <w:color w:val="auto"/>
                <w:sz w:val="24"/>
                <w:szCs w:val="32"/>
              </w:rPr>
            </w:pPr>
            <w:r>
              <w:rPr>
                <w:rFonts w:hint="eastAsia" w:ascii="黑体" w:hAnsi="黑体" w:eastAsia="黑体" w:cs="黑体"/>
                <w:color w:val="auto"/>
                <w:sz w:val="24"/>
                <w:szCs w:val="32"/>
              </w:rPr>
              <w:t>7、评标结束后，各投标单位须在一周内按要求将纸质版响应文件递交至招标代理处(所产生的的费用投标单位自理)。纸质版响应文件可通过加密电子版响应文件打印生成，应当与电子版响应文件一致。【1、份数要求:正本壹份、副本贰份，电子标壹份(U盘)。2、装订要求:响应文件商务技术部分装订成一册，响应文件的装订必须采用死页胶粘本】。</w:t>
            </w:r>
          </w:p>
          <w:p w14:paraId="17E0DD39">
            <w:pPr>
              <w:pStyle w:val="14"/>
              <w:numPr>
                <w:ilvl w:val="0"/>
                <w:numId w:val="0"/>
              </w:numPr>
              <w:tabs>
                <w:tab w:val="left" w:pos="567"/>
              </w:tabs>
              <w:spacing w:line="360" w:lineRule="auto"/>
              <w:rPr>
                <w:rFonts w:hint="eastAsia" w:ascii="黑体" w:hAnsi="黑体" w:eastAsia="黑体" w:cs="黑体"/>
                <w:b/>
                <w:bCs/>
                <w:color w:val="auto"/>
                <w:kern w:val="0"/>
                <w:sz w:val="24"/>
                <w:szCs w:val="24"/>
                <w:lang w:val="en-US" w:eastAsia="zh-CN" w:bidi="ar"/>
              </w:rPr>
            </w:pPr>
            <w:r>
              <w:rPr>
                <w:rFonts w:hint="eastAsia" w:ascii="黑体" w:hAnsi="黑体" w:eastAsia="黑体" w:cs="黑体"/>
                <w:b/>
                <w:bCs/>
                <w:color w:val="auto"/>
                <w:sz w:val="24"/>
                <w:szCs w:val="24"/>
                <w:lang w:eastAsia="zh-CN"/>
              </w:rPr>
              <w:t>注：</w:t>
            </w:r>
            <w:r>
              <w:rPr>
                <w:rFonts w:hint="eastAsia" w:ascii="黑体" w:hAnsi="黑体" w:eastAsia="黑体" w:cs="黑体"/>
                <w:b/>
                <w:bCs/>
                <w:color w:val="auto"/>
                <w:kern w:val="0"/>
                <w:sz w:val="24"/>
                <w:szCs w:val="24"/>
                <w:lang w:val="en-US" w:eastAsia="zh-CN" w:bidi="ar"/>
              </w:rPr>
              <w:t>磋商小组开启第二轮报价环节后，各投标人应尽快在政采云系统提交各自的二轮报价，超过30分钟（自磋商小组开启第二轮报价环节起计算）未提交二轮报价的视为放弃投标。敬请注意！！！</w:t>
            </w:r>
          </w:p>
          <w:p w14:paraId="040B073E">
            <w:pPr>
              <w:pStyle w:val="14"/>
              <w:numPr>
                <w:ilvl w:val="0"/>
                <w:numId w:val="0"/>
              </w:numPr>
              <w:tabs>
                <w:tab w:val="left" w:pos="567"/>
              </w:tabs>
              <w:spacing w:line="360" w:lineRule="auto"/>
              <w:rPr>
                <w:rFonts w:hint="eastAsia" w:ascii="黑体" w:hAnsi="黑体" w:eastAsia="黑体" w:cs="黑体"/>
                <w:color w:val="auto"/>
                <w:sz w:val="32"/>
                <w:szCs w:val="32"/>
              </w:rPr>
            </w:pPr>
            <w:r>
              <w:rPr>
                <w:rFonts w:hint="eastAsia" w:ascii="黑体" w:hAnsi="黑体" w:eastAsia="黑体" w:cs="黑体"/>
                <w:b/>
                <w:bCs/>
                <w:color w:val="auto"/>
                <w:kern w:val="0"/>
                <w:sz w:val="24"/>
                <w:szCs w:val="24"/>
                <w:lang w:val="en-US" w:eastAsia="zh-CN" w:bidi="ar"/>
              </w:rPr>
              <w:t>整个开标环节需要投标人在系统确认的报价等信息最长时限均为30分钟。敬请注意！！！</w:t>
            </w:r>
          </w:p>
        </w:tc>
      </w:tr>
      <w:tr w14:paraId="0B7B12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35" w:type="dxa"/>
            <w:vAlign w:val="center"/>
          </w:tcPr>
          <w:p w14:paraId="42D6EFF4">
            <w:pPr>
              <w:numPr>
                <w:ilvl w:val="0"/>
                <w:numId w:val="0"/>
              </w:numPr>
              <w:spacing w:line="360" w:lineRule="auto"/>
              <w:ind w:left="210" w:leftChars="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12</w:t>
            </w:r>
          </w:p>
        </w:tc>
        <w:tc>
          <w:tcPr>
            <w:tcW w:w="8385" w:type="dxa"/>
            <w:vAlign w:val="center"/>
          </w:tcPr>
          <w:p w14:paraId="402504A3">
            <w:pPr>
              <w:numPr>
                <w:ilvl w:val="0"/>
                <w:numId w:val="0"/>
              </w:numPr>
              <w:spacing w:line="360" w:lineRule="auto"/>
              <w:rPr>
                <w:rFonts w:hint="eastAsia" w:ascii="黑体" w:hAnsi="黑体" w:eastAsia="黑体" w:cs="黑体"/>
                <w:b/>
                <w:bCs/>
                <w:color w:val="auto"/>
                <w:sz w:val="24"/>
                <w:szCs w:val="32"/>
              </w:rPr>
            </w:pPr>
            <w:r>
              <w:rPr>
                <w:rFonts w:hint="eastAsia" w:ascii="黑体" w:hAnsi="黑体" w:eastAsia="黑体" w:cs="黑体"/>
                <w:b/>
                <w:bCs/>
                <w:color w:val="auto"/>
                <w:sz w:val="24"/>
                <w:szCs w:val="32"/>
              </w:rPr>
              <w:t>响应文件递交截止时间：</w:t>
            </w:r>
            <w:r>
              <w:rPr>
                <w:rFonts w:hint="eastAsia" w:ascii="黑体" w:hAnsi="黑体" w:eastAsia="黑体" w:cs="黑体"/>
                <w:b/>
                <w:bCs/>
                <w:color w:val="auto"/>
                <w:sz w:val="24"/>
                <w:szCs w:val="32"/>
                <w:lang w:eastAsia="zh-CN"/>
              </w:rPr>
              <w:t>2025年02月11日</w:t>
            </w:r>
            <w:r>
              <w:rPr>
                <w:rFonts w:hint="eastAsia" w:ascii="黑体" w:hAnsi="黑体" w:eastAsia="黑体" w:cs="黑体"/>
                <w:b/>
                <w:bCs/>
                <w:color w:val="auto"/>
                <w:sz w:val="24"/>
                <w:szCs w:val="32"/>
              </w:rPr>
              <w:t xml:space="preserve"> </w:t>
            </w:r>
            <w:r>
              <w:rPr>
                <w:rFonts w:hint="eastAsia" w:ascii="黑体" w:hAnsi="黑体" w:eastAsia="黑体" w:cs="黑体"/>
                <w:b/>
                <w:bCs/>
                <w:color w:val="auto"/>
                <w:sz w:val="24"/>
                <w:szCs w:val="32"/>
                <w:lang w:val="en-US" w:eastAsia="zh-CN"/>
              </w:rPr>
              <w:t>11:00</w:t>
            </w:r>
            <w:r>
              <w:rPr>
                <w:rFonts w:hint="eastAsia" w:ascii="黑体" w:hAnsi="黑体" w:eastAsia="黑体" w:cs="黑体"/>
                <w:b/>
                <w:bCs/>
                <w:color w:val="auto"/>
                <w:sz w:val="24"/>
                <w:szCs w:val="32"/>
              </w:rPr>
              <w:t>（北京时间）</w:t>
            </w:r>
          </w:p>
        </w:tc>
      </w:tr>
      <w:tr w14:paraId="38E8D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8" w:hRule="atLeast"/>
        </w:trPr>
        <w:tc>
          <w:tcPr>
            <w:tcW w:w="1035" w:type="dxa"/>
            <w:vAlign w:val="center"/>
          </w:tcPr>
          <w:p w14:paraId="33FC4A94">
            <w:pPr>
              <w:numPr>
                <w:ilvl w:val="0"/>
                <w:numId w:val="0"/>
              </w:numPr>
              <w:spacing w:line="360" w:lineRule="auto"/>
              <w:ind w:left="210" w:leftChars="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13</w:t>
            </w:r>
          </w:p>
        </w:tc>
        <w:tc>
          <w:tcPr>
            <w:tcW w:w="8385" w:type="dxa"/>
            <w:vAlign w:val="center"/>
          </w:tcPr>
          <w:p w14:paraId="3ECC708E">
            <w:pPr>
              <w:numPr>
                <w:ilvl w:val="0"/>
                <w:numId w:val="0"/>
              </w:numPr>
              <w:spacing w:line="360" w:lineRule="auto"/>
              <w:rPr>
                <w:rFonts w:hint="eastAsia" w:ascii="黑体" w:hAnsi="黑体" w:eastAsia="黑体" w:cs="黑体"/>
                <w:b/>
                <w:bCs/>
                <w:color w:val="auto"/>
                <w:sz w:val="24"/>
                <w:szCs w:val="32"/>
              </w:rPr>
            </w:pPr>
            <w:r>
              <w:rPr>
                <w:rFonts w:hint="eastAsia" w:ascii="黑体" w:hAnsi="黑体" w:eastAsia="黑体" w:cs="黑体"/>
                <w:b/>
                <w:bCs/>
                <w:color w:val="auto"/>
                <w:sz w:val="24"/>
                <w:szCs w:val="32"/>
              </w:rPr>
              <w:t>磋商开启时间：</w:t>
            </w:r>
            <w:r>
              <w:rPr>
                <w:rFonts w:hint="eastAsia" w:ascii="黑体" w:hAnsi="黑体" w:eastAsia="黑体" w:cs="黑体"/>
                <w:b/>
                <w:bCs/>
                <w:color w:val="auto"/>
                <w:sz w:val="24"/>
                <w:szCs w:val="32"/>
                <w:lang w:eastAsia="zh-CN"/>
              </w:rPr>
              <w:t>2025年02月11日</w:t>
            </w:r>
            <w:r>
              <w:rPr>
                <w:rFonts w:hint="eastAsia" w:ascii="黑体" w:hAnsi="黑体" w:eastAsia="黑体" w:cs="黑体"/>
                <w:b/>
                <w:bCs/>
                <w:color w:val="auto"/>
                <w:sz w:val="24"/>
                <w:szCs w:val="32"/>
                <w:lang w:val="en-US" w:eastAsia="zh-CN"/>
              </w:rPr>
              <w:t>11:00</w:t>
            </w:r>
            <w:r>
              <w:rPr>
                <w:rFonts w:hint="eastAsia" w:ascii="黑体" w:hAnsi="黑体" w:eastAsia="黑体" w:cs="黑体"/>
                <w:b/>
                <w:bCs/>
                <w:color w:val="auto"/>
                <w:sz w:val="24"/>
                <w:szCs w:val="32"/>
              </w:rPr>
              <w:t>（北京时间）</w:t>
            </w:r>
          </w:p>
          <w:p w14:paraId="1652DFD4">
            <w:pPr>
              <w:numPr>
                <w:ilvl w:val="0"/>
                <w:numId w:val="0"/>
              </w:numPr>
              <w:spacing w:line="360" w:lineRule="auto"/>
              <w:rPr>
                <w:rFonts w:hint="eastAsia" w:ascii="黑体" w:hAnsi="黑体" w:eastAsia="黑体" w:cs="黑体"/>
                <w:b/>
                <w:bCs/>
                <w:color w:val="auto"/>
                <w:sz w:val="24"/>
                <w:szCs w:val="32"/>
              </w:rPr>
            </w:pPr>
            <w:r>
              <w:rPr>
                <w:rFonts w:hint="eastAsia" w:ascii="黑体" w:hAnsi="黑体" w:eastAsia="黑体" w:cs="黑体"/>
                <w:b/>
                <w:bCs/>
                <w:color w:val="auto"/>
                <w:sz w:val="24"/>
                <w:szCs w:val="32"/>
              </w:rPr>
              <w:t>磋商开启地点：</w:t>
            </w:r>
            <w:r>
              <w:rPr>
                <w:rFonts w:hint="eastAsia" w:ascii="黑体" w:hAnsi="黑体" w:eastAsia="黑体" w:cs="黑体"/>
                <w:b/>
                <w:bCs/>
                <w:color w:val="auto"/>
                <w:sz w:val="24"/>
                <w:szCs w:val="32"/>
                <w:lang w:val="en-US" w:eastAsia="zh-CN"/>
              </w:rPr>
              <w:t>https：//www. zcygov. cn 不见面开标</w:t>
            </w:r>
          </w:p>
        </w:tc>
      </w:tr>
      <w:tr w14:paraId="6AE0F4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1" w:hRule="atLeast"/>
        </w:trPr>
        <w:tc>
          <w:tcPr>
            <w:tcW w:w="1035" w:type="dxa"/>
            <w:vAlign w:val="center"/>
          </w:tcPr>
          <w:p w14:paraId="61BA47B3">
            <w:pPr>
              <w:numPr>
                <w:ilvl w:val="0"/>
                <w:numId w:val="0"/>
              </w:numPr>
              <w:spacing w:line="360" w:lineRule="auto"/>
              <w:ind w:left="210" w:leftChars="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14</w:t>
            </w:r>
          </w:p>
        </w:tc>
        <w:tc>
          <w:tcPr>
            <w:tcW w:w="8385" w:type="dxa"/>
            <w:vAlign w:val="center"/>
          </w:tcPr>
          <w:p w14:paraId="0F12F729">
            <w:pPr>
              <w:numPr>
                <w:ilvl w:val="0"/>
                <w:numId w:val="0"/>
              </w:numPr>
              <w:spacing w:line="360" w:lineRule="auto"/>
              <w:rPr>
                <w:rFonts w:hint="eastAsia" w:ascii="黑体" w:hAnsi="黑体" w:eastAsia="黑体" w:cs="黑体"/>
                <w:color w:val="auto"/>
                <w:sz w:val="24"/>
                <w:szCs w:val="32"/>
              </w:rPr>
            </w:pPr>
            <w:r>
              <w:rPr>
                <w:rFonts w:hint="eastAsia" w:ascii="黑体" w:hAnsi="黑体" w:eastAsia="黑体" w:cs="黑体"/>
                <w:color w:val="auto"/>
                <w:sz w:val="24"/>
                <w:szCs w:val="32"/>
              </w:rPr>
              <w:t>评审方法：综合评分法，响应文件满足磋商文件全部实质性要求且按评审因素的量化指标评审得分最高的</w:t>
            </w:r>
            <w:r>
              <w:rPr>
                <w:rFonts w:hint="eastAsia" w:ascii="黑体" w:hAnsi="黑体" w:eastAsia="黑体" w:cs="黑体"/>
                <w:color w:val="auto"/>
                <w:sz w:val="24"/>
                <w:szCs w:val="32"/>
                <w:lang w:eastAsia="zh-CN"/>
              </w:rPr>
              <w:t>供应商</w:t>
            </w:r>
            <w:r>
              <w:rPr>
                <w:rFonts w:hint="eastAsia" w:ascii="黑体" w:hAnsi="黑体" w:eastAsia="黑体" w:cs="黑体"/>
                <w:color w:val="auto"/>
                <w:sz w:val="24"/>
                <w:szCs w:val="32"/>
              </w:rPr>
              <w:t>为</w:t>
            </w:r>
            <w:r>
              <w:rPr>
                <w:rFonts w:hint="eastAsia" w:ascii="黑体" w:hAnsi="黑体" w:eastAsia="黑体" w:cs="黑体"/>
                <w:color w:val="auto"/>
                <w:sz w:val="24"/>
                <w:szCs w:val="32"/>
                <w:lang w:eastAsia="zh-CN"/>
              </w:rPr>
              <w:t>中标</w:t>
            </w:r>
            <w:r>
              <w:rPr>
                <w:rFonts w:hint="eastAsia" w:ascii="黑体" w:hAnsi="黑体" w:eastAsia="黑体" w:cs="黑体"/>
                <w:color w:val="auto"/>
                <w:sz w:val="24"/>
                <w:szCs w:val="32"/>
              </w:rPr>
              <w:t>候选</w:t>
            </w:r>
            <w:r>
              <w:rPr>
                <w:rFonts w:hint="eastAsia" w:ascii="黑体" w:hAnsi="黑体" w:eastAsia="黑体" w:cs="黑体"/>
                <w:color w:val="auto"/>
                <w:sz w:val="24"/>
                <w:szCs w:val="32"/>
                <w:lang w:eastAsia="zh-CN"/>
              </w:rPr>
              <w:t>供应商</w:t>
            </w:r>
            <w:r>
              <w:rPr>
                <w:rFonts w:hint="eastAsia" w:ascii="黑体" w:hAnsi="黑体" w:eastAsia="黑体" w:cs="黑体"/>
                <w:color w:val="auto"/>
                <w:sz w:val="24"/>
                <w:szCs w:val="32"/>
              </w:rPr>
              <w:t>的评审方法。　　　　　</w:t>
            </w:r>
          </w:p>
        </w:tc>
      </w:tr>
      <w:tr w14:paraId="1702A4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2" w:hRule="atLeast"/>
        </w:trPr>
        <w:tc>
          <w:tcPr>
            <w:tcW w:w="1035" w:type="dxa"/>
            <w:vAlign w:val="center"/>
          </w:tcPr>
          <w:p w14:paraId="7BAC5D31">
            <w:pPr>
              <w:numPr>
                <w:ilvl w:val="0"/>
                <w:numId w:val="0"/>
              </w:numPr>
              <w:spacing w:line="360" w:lineRule="auto"/>
              <w:ind w:left="210" w:leftChars="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15</w:t>
            </w:r>
          </w:p>
        </w:tc>
        <w:tc>
          <w:tcPr>
            <w:tcW w:w="8385" w:type="dxa"/>
            <w:vAlign w:val="center"/>
          </w:tcPr>
          <w:p w14:paraId="55867192">
            <w:pPr>
              <w:numPr>
                <w:ilvl w:val="0"/>
                <w:numId w:val="0"/>
              </w:numPr>
              <w:spacing w:line="360" w:lineRule="auto"/>
              <w:rPr>
                <w:rFonts w:hint="eastAsia" w:ascii="黑体" w:hAnsi="黑体" w:eastAsia="黑体" w:cs="黑体"/>
                <w:color w:val="auto"/>
                <w:sz w:val="24"/>
                <w:szCs w:val="32"/>
              </w:rPr>
            </w:pPr>
            <w:r>
              <w:rPr>
                <w:rFonts w:hint="eastAsia" w:ascii="黑体" w:hAnsi="黑体" w:eastAsia="黑体" w:cs="黑体"/>
                <w:color w:val="auto"/>
                <w:sz w:val="24"/>
                <w:szCs w:val="32"/>
              </w:rPr>
              <w:t>推荐</w:t>
            </w:r>
            <w:r>
              <w:rPr>
                <w:rFonts w:hint="eastAsia" w:ascii="黑体" w:hAnsi="黑体" w:eastAsia="黑体" w:cs="黑体"/>
                <w:color w:val="auto"/>
                <w:sz w:val="24"/>
                <w:szCs w:val="32"/>
                <w:lang w:eastAsia="zh-CN"/>
              </w:rPr>
              <w:t>中标</w:t>
            </w:r>
            <w:r>
              <w:rPr>
                <w:rFonts w:hint="eastAsia" w:ascii="黑体" w:hAnsi="黑体" w:eastAsia="黑体" w:cs="黑体"/>
                <w:color w:val="auto"/>
                <w:sz w:val="24"/>
                <w:szCs w:val="32"/>
              </w:rPr>
              <w:t>候选</w:t>
            </w:r>
            <w:r>
              <w:rPr>
                <w:rFonts w:hint="eastAsia" w:ascii="黑体" w:hAnsi="黑体" w:eastAsia="黑体" w:cs="黑体"/>
                <w:color w:val="auto"/>
                <w:sz w:val="24"/>
                <w:szCs w:val="32"/>
                <w:lang w:eastAsia="zh-CN"/>
              </w:rPr>
              <w:t>供应商</w:t>
            </w:r>
            <w:r>
              <w:rPr>
                <w:rFonts w:hint="eastAsia" w:ascii="黑体" w:hAnsi="黑体" w:eastAsia="黑体" w:cs="黑体"/>
                <w:color w:val="auto"/>
                <w:sz w:val="24"/>
                <w:szCs w:val="32"/>
              </w:rPr>
              <w:t>的数量：3个</w:t>
            </w:r>
          </w:p>
        </w:tc>
      </w:tr>
      <w:tr w14:paraId="1D63AF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2" w:hRule="atLeast"/>
        </w:trPr>
        <w:tc>
          <w:tcPr>
            <w:tcW w:w="1035" w:type="dxa"/>
            <w:vAlign w:val="center"/>
          </w:tcPr>
          <w:p w14:paraId="639F92E9">
            <w:pPr>
              <w:numPr>
                <w:ilvl w:val="0"/>
                <w:numId w:val="0"/>
              </w:numPr>
              <w:spacing w:line="360" w:lineRule="auto"/>
              <w:ind w:left="210" w:leftChars="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16</w:t>
            </w:r>
          </w:p>
        </w:tc>
        <w:tc>
          <w:tcPr>
            <w:tcW w:w="8385" w:type="dxa"/>
            <w:vAlign w:val="center"/>
          </w:tcPr>
          <w:p w14:paraId="71ABE188">
            <w:pPr>
              <w:numPr>
                <w:ilvl w:val="0"/>
                <w:numId w:val="0"/>
              </w:numPr>
              <w:spacing w:line="360" w:lineRule="auto"/>
              <w:rPr>
                <w:rFonts w:hint="eastAsia" w:ascii="黑体" w:hAnsi="黑体" w:eastAsia="黑体" w:cs="黑体"/>
                <w:color w:val="auto"/>
                <w:sz w:val="24"/>
                <w:szCs w:val="32"/>
              </w:rPr>
            </w:pPr>
            <w:r>
              <w:rPr>
                <w:rFonts w:hint="eastAsia" w:ascii="黑体" w:hAnsi="黑体" w:eastAsia="黑体" w:cs="黑体"/>
                <w:color w:val="auto"/>
                <w:sz w:val="24"/>
                <w:szCs w:val="32"/>
                <w:lang w:eastAsia="zh-CN"/>
              </w:rPr>
              <w:t>采购人</w:t>
            </w:r>
            <w:r>
              <w:rPr>
                <w:rFonts w:hint="eastAsia" w:ascii="黑体" w:hAnsi="黑体" w:eastAsia="黑体" w:cs="黑体"/>
                <w:color w:val="auto"/>
                <w:sz w:val="24"/>
                <w:szCs w:val="32"/>
              </w:rPr>
              <w:t>是否委托评审委员会直接确定</w:t>
            </w:r>
            <w:r>
              <w:rPr>
                <w:rFonts w:hint="eastAsia" w:ascii="黑体" w:hAnsi="黑体" w:eastAsia="黑体" w:cs="黑体"/>
                <w:color w:val="auto"/>
                <w:sz w:val="24"/>
                <w:szCs w:val="32"/>
                <w:lang w:eastAsia="zh-CN"/>
              </w:rPr>
              <w:t>中标</w:t>
            </w:r>
            <w:r>
              <w:rPr>
                <w:rFonts w:hint="eastAsia" w:ascii="黑体" w:hAnsi="黑体" w:eastAsia="黑体" w:cs="黑体"/>
                <w:color w:val="auto"/>
                <w:sz w:val="24"/>
                <w:szCs w:val="32"/>
              </w:rPr>
              <w:t>人：否 （是、否）</w:t>
            </w:r>
          </w:p>
        </w:tc>
      </w:tr>
      <w:tr w14:paraId="3DBDD6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35" w:type="dxa"/>
            <w:vAlign w:val="center"/>
          </w:tcPr>
          <w:p w14:paraId="489810BE">
            <w:pPr>
              <w:numPr>
                <w:ilvl w:val="0"/>
                <w:numId w:val="0"/>
              </w:numPr>
              <w:spacing w:line="360" w:lineRule="auto"/>
              <w:ind w:left="210" w:leftChars="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17</w:t>
            </w:r>
          </w:p>
        </w:tc>
        <w:tc>
          <w:tcPr>
            <w:tcW w:w="8385" w:type="dxa"/>
            <w:vAlign w:val="center"/>
          </w:tcPr>
          <w:p w14:paraId="12ACC0EB">
            <w:pPr>
              <w:numPr>
                <w:ilvl w:val="0"/>
                <w:numId w:val="0"/>
              </w:numPr>
              <w:spacing w:line="360" w:lineRule="auto"/>
              <w:rPr>
                <w:rFonts w:hint="eastAsia" w:ascii="黑体" w:hAnsi="黑体" w:eastAsia="黑体" w:cs="黑体"/>
                <w:color w:val="auto"/>
                <w:sz w:val="24"/>
                <w:szCs w:val="32"/>
                <w:lang w:val="en-US" w:eastAsia="zh-CN"/>
              </w:rPr>
            </w:pPr>
            <w:r>
              <w:rPr>
                <w:rFonts w:hint="eastAsia" w:ascii="黑体" w:hAnsi="黑体" w:eastAsia="黑体" w:cs="黑体"/>
                <w:color w:val="auto"/>
                <w:sz w:val="24"/>
                <w:szCs w:val="32"/>
                <w:lang w:val="en-US" w:eastAsia="zh-CN"/>
              </w:rPr>
              <w:t>履约担保的金额：</w:t>
            </w:r>
            <w:r>
              <w:rPr>
                <w:rFonts w:hint="eastAsia" w:ascii="黑体" w:hAnsi="黑体" w:eastAsia="黑体" w:cs="黑体"/>
                <w:color w:val="auto"/>
                <w:sz w:val="24"/>
                <w:highlight w:val="none"/>
              </w:rPr>
              <w:t>合同总价的</w:t>
            </w:r>
            <w:r>
              <w:rPr>
                <w:rFonts w:hint="eastAsia" w:ascii="黑体" w:hAnsi="黑体" w:eastAsia="黑体" w:cs="黑体"/>
                <w:color w:val="auto"/>
                <w:sz w:val="24"/>
                <w:highlight w:val="none"/>
                <w:u w:val="none"/>
                <w:lang w:val="en-US" w:eastAsia="zh-CN"/>
              </w:rPr>
              <w:t>10%</w:t>
            </w:r>
            <w:r>
              <w:rPr>
                <w:rFonts w:hint="eastAsia" w:ascii="黑体" w:hAnsi="黑体" w:eastAsia="黑体" w:cs="黑体"/>
                <w:color w:val="auto"/>
                <w:sz w:val="24"/>
                <w:highlight w:val="none"/>
              </w:rPr>
              <w:t>（不得超过政府采购合同金额的10%）</w:t>
            </w:r>
          </w:p>
          <w:p w14:paraId="0AA32A38">
            <w:pPr>
              <w:numPr>
                <w:ilvl w:val="0"/>
                <w:numId w:val="0"/>
              </w:numPr>
              <w:spacing w:line="360" w:lineRule="auto"/>
              <w:rPr>
                <w:rFonts w:hint="eastAsia" w:ascii="黑体" w:hAnsi="黑体" w:eastAsia="黑体" w:cs="黑体"/>
                <w:color w:val="auto"/>
                <w:sz w:val="24"/>
                <w:szCs w:val="32"/>
                <w:lang w:val="en-US" w:eastAsia="zh-CN"/>
              </w:rPr>
            </w:pPr>
            <w:r>
              <w:rPr>
                <w:rFonts w:hint="eastAsia" w:ascii="黑体" w:hAnsi="黑体" w:eastAsia="黑体" w:cs="黑体"/>
                <w:color w:val="auto"/>
                <w:sz w:val="24"/>
                <w:szCs w:val="32"/>
                <w:lang w:val="en-US" w:eastAsia="zh-CN"/>
              </w:rPr>
              <w:t>履约担保形式：银行转账或银行保函等法律允许的其他形式</w:t>
            </w:r>
          </w:p>
        </w:tc>
      </w:tr>
      <w:tr w14:paraId="19B546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035" w:type="dxa"/>
            <w:vAlign w:val="center"/>
          </w:tcPr>
          <w:p w14:paraId="1CCF98E1">
            <w:pPr>
              <w:numPr>
                <w:ilvl w:val="0"/>
                <w:numId w:val="0"/>
              </w:numPr>
              <w:spacing w:line="360" w:lineRule="auto"/>
              <w:ind w:left="210" w:leftChars="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18</w:t>
            </w:r>
          </w:p>
        </w:tc>
        <w:tc>
          <w:tcPr>
            <w:tcW w:w="8385" w:type="dxa"/>
            <w:vAlign w:val="center"/>
          </w:tcPr>
          <w:p w14:paraId="288D0143">
            <w:pPr>
              <w:numPr>
                <w:ilvl w:val="0"/>
                <w:numId w:val="0"/>
              </w:numPr>
              <w:spacing w:line="360" w:lineRule="auto"/>
              <w:rPr>
                <w:rFonts w:hint="eastAsia" w:ascii="黑体" w:hAnsi="黑体" w:eastAsia="黑体" w:cs="黑体"/>
                <w:color w:val="auto"/>
                <w:sz w:val="24"/>
                <w:szCs w:val="32"/>
                <w:lang w:eastAsia="zh-CN"/>
              </w:rPr>
            </w:pPr>
            <w:r>
              <w:rPr>
                <w:rFonts w:hint="eastAsia" w:ascii="黑体" w:hAnsi="黑体" w:eastAsia="黑体" w:cs="黑体"/>
                <w:color w:val="auto"/>
                <w:sz w:val="24"/>
                <w:szCs w:val="32"/>
              </w:rPr>
              <w:t>成交服务费：</w:t>
            </w:r>
            <w:r>
              <w:rPr>
                <w:rFonts w:hint="eastAsia" w:ascii="黑体" w:hAnsi="黑体" w:eastAsia="黑体" w:cs="黑体"/>
                <w:color w:val="auto"/>
                <w:sz w:val="24"/>
                <w:szCs w:val="32"/>
                <w:lang w:val="en-US" w:eastAsia="zh-CN"/>
              </w:rPr>
              <w:t>根据发改价格【2015】299号文标准收取，由成交</w:t>
            </w:r>
            <w:r>
              <w:rPr>
                <w:rFonts w:hint="eastAsia" w:ascii="黑体" w:hAnsi="黑体" w:eastAsia="黑体" w:cs="黑体"/>
                <w:color w:val="auto"/>
                <w:sz w:val="24"/>
                <w:szCs w:val="32"/>
              </w:rPr>
              <w:t>单位支付</w:t>
            </w:r>
            <w:r>
              <w:rPr>
                <w:rFonts w:hint="eastAsia" w:ascii="黑体" w:hAnsi="黑体" w:eastAsia="黑体" w:cs="黑体"/>
                <w:color w:val="auto"/>
                <w:sz w:val="24"/>
                <w:szCs w:val="32"/>
                <w:lang w:eastAsia="zh-CN"/>
              </w:rPr>
              <w:t>。</w:t>
            </w:r>
          </w:p>
          <w:p w14:paraId="0280DACD">
            <w:pPr>
              <w:numPr>
                <w:ilvl w:val="0"/>
                <w:numId w:val="0"/>
              </w:numPr>
              <w:spacing w:line="360" w:lineRule="auto"/>
              <w:rPr>
                <w:rFonts w:hint="eastAsia" w:ascii="黑体" w:hAnsi="黑体" w:eastAsia="黑体" w:cs="黑体"/>
                <w:color w:val="auto"/>
                <w:sz w:val="24"/>
                <w:szCs w:val="32"/>
              </w:rPr>
            </w:pPr>
            <w:r>
              <w:rPr>
                <w:rFonts w:hint="eastAsia" w:ascii="黑体" w:hAnsi="黑体" w:eastAsia="黑体" w:cs="黑体"/>
                <w:color w:val="auto"/>
                <w:sz w:val="24"/>
                <w:szCs w:val="32"/>
              </w:rPr>
              <w:t>支付形式：电汇、</w:t>
            </w:r>
            <w:r>
              <w:rPr>
                <w:rFonts w:hint="eastAsia" w:ascii="黑体" w:hAnsi="黑体" w:eastAsia="黑体" w:cs="黑体"/>
                <w:color w:val="auto"/>
                <w:sz w:val="24"/>
                <w:szCs w:val="32"/>
                <w:lang w:val="en-US" w:eastAsia="zh-CN"/>
              </w:rPr>
              <w:t>银行转账</w:t>
            </w:r>
            <w:r>
              <w:rPr>
                <w:rFonts w:hint="eastAsia" w:ascii="黑体" w:hAnsi="黑体" w:eastAsia="黑体" w:cs="黑体"/>
                <w:color w:val="auto"/>
                <w:sz w:val="24"/>
                <w:szCs w:val="32"/>
              </w:rPr>
              <w:t xml:space="preserve">  </w:t>
            </w:r>
          </w:p>
          <w:p w14:paraId="31E0C649">
            <w:pPr>
              <w:numPr>
                <w:ilvl w:val="0"/>
                <w:numId w:val="0"/>
              </w:numPr>
              <w:spacing w:line="360" w:lineRule="auto"/>
              <w:rPr>
                <w:rFonts w:hint="eastAsia" w:ascii="黑体" w:hAnsi="黑体" w:eastAsia="黑体" w:cs="黑体"/>
                <w:color w:val="auto"/>
                <w:sz w:val="24"/>
                <w:szCs w:val="32"/>
              </w:rPr>
            </w:pPr>
            <w:r>
              <w:rPr>
                <w:rFonts w:hint="eastAsia" w:ascii="黑体" w:hAnsi="黑体" w:eastAsia="黑体" w:cs="黑体"/>
                <w:color w:val="auto"/>
                <w:sz w:val="24"/>
                <w:szCs w:val="32"/>
              </w:rPr>
              <w:t>支付时间：领取成交通知书时</w:t>
            </w:r>
          </w:p>
        </w:tc>
      </w:tr>
      <w:tr w14:paraId="63C33A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035" w:type="dxa"/>
            <w:vAlign w:val="center"/>
          </w:tcPr>
          <w:p w14:paraId="7D02DD83">
            <w:pPr>
              <w:numPr>
                <w:ilvl w:val="0"/>
                <w:numId w:val="0"/>
              </w:numPr>
              <w:spacing w:line="360" w:lineRule="auto"/>
              <w:ind w:left="210" w:leftChars="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19</w:t>
            </w:r>
          </w:p>
        </w:tc>
        <w:tc>
          <w:tcPr>
            <w:tcW w:w="8385" w:type="dxa"/>
            <w:vAlign w:val="center"/>
          </w:tcPr>
          <w:p w14:paraId="0886CEF9">
            <w:pPr>
              <w:numPr>
                <w:ilvl w:val="0"/>
                <w:numId w:val="0"/>
              </w:numPr>
              <w:spacing w:line="360" w:lineRule="auto"/>
              <w:rPr>
                <w:rFonts w:hint="eastAsia" w:ascii="黑体" w:hAnsi="黑体" w:eastAsia="黑体" w:cs="黑体"/>
                <w:color w:val="auto"/>
                <w:sz w:val="24"/>
                <w:szCs w:val="32"/>
                <w:lang w:eastAsia="zh-CN"/>
              </w:rPr>
            </w:pPr>
            <w:r>
              <w:rPr>
                <w:rFonts w:hint="eastAsia" w:ascii="黑体" w:hAnsi="黑体" w:eastAsia="黑体" w:cs="黑体"/>
                <w:color w:val="auto"/>
                <w:sz w:val="24"/>
                <w:szCs w:val="32"/>
              </w:rPr>
              <w:t>本项目是否属于信用担保试点范围：</w:t>
            </w:r>
            <w:r>
              <w:rPr>
                <w:rFonts w:hint="eastAsia" w:ascii="黑体" w:hAnsi="黑体" w:eastAsia="黑体" w:cs="黑体"/>
                <w:color w:val="auto"/>
                <w:sz w:val="24"/>
                <w:szCs w:val="32"/>
                <w:lang w:val="en-US" w:eastAsia="zh-CN"/>
              </w:rPr>
              <w:t>是</w:t>
            </w:r>
          </w:p>
        </w:tc>
      </w:tr>
      <w:tr w14:paraId="6CAAC0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9420" w:type="dxa"/>
            <w:gridSpan w:val="2"/>
            <w:vAlign w:val="center"/>
          </w:tcPr>
          <w:p w14:paraId="2FE7055B">
            <w:pPr>
              <w:numPr>
                <w:ilvl w:val="0"/>
                <w:numId w:val="0"/>
              </w:numPr>
              <w:spacing w:line="360" w:lineRule="auto"/>
              <w:ind w:left="210" w:leftChars="0"/>
              <w:jc w:val="center"/>
              <w:rPr>
                <w:rFonts w:hint="eastAsia" w:ascii="黑体" w:hAnsi="黑体" w:eastAsia="黑体" w:cs="黑体"/>
                <w:color w:val="auto"/>
                <w:sz w:val="24"/>
                <w:szCs w:val="24"/>
              </w:rPr>
            </w:pPr>
            <w:r>
              <w:rPr>
                <w:rFonts w:hint="eastAsia" w:ascii="黑体" w:hAnsi="黑体" w:eastAsia="黑体" w:cs="黑体"/>
                <w:color w:val="auto"/>
                <w:sz w:val="24"/>
                <w:szCs w:val="24"/>
              </w:rPr>
              <w:t>适用于本投标人须知的额外增加的变动：</w:t>
            </w:r>
          </w:p>
        </w:tc>
      </w:tr>
      <w:tr w14:paraId="0462D6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035" w:type="dxa"/>
            <w:vAlign w:val="center"/>
          </w:tcPr>
          <w:p w14:paraId="511CC382">
            <w:pPr>
              <w:numPr>
                <w:ilvl w:val="0"/>
                <w:numId w:val="0"/>
              </w:numPr>
              <w:spacing w:line="360" w:lineRule="auto"/>
              <w:ind w:left="210" w:leftChars="0"/>
              <w:jc w:val="center"/>
              <w:rPr>
                <w:rFonts w:hint="eastAsia" w:ascii="黑体" w:hAnsi="黑体" w:eastAsia="黑体" w:cs="黑体"/>
                <w:color w:val="auto"/>
                <w:sz w:val="24"/>
                <w:szCs w:val="24"/>
              </w:rPr>
            </w:pPr>
            <w:r>
              <w:rPr>
                <w:rFonts w:hint="eastAsia" w:ascii="黑体" w:hAnsi="黑体" w:eastAsia="黑体" w:cs="黑体"/>
                <w:color w:val="auto"/>
                <w:sz w:val="24"/>
                <w:szCs w:val="24"/>
              </w:rPr>
              <w:t>1</w:t>
            </w:r>
          </w:p>
        </w:tc>
        <w:tc>
          <w:tcPr>
            <w:tcW w:w="8385" w:type="dxa"/>
            <w:vAlign w:val="center"/>
          </w:tcPr>
          <w:p w14:paraId="2F897C81">
            <w:pPr>
              <w:numPr>
                <w:ilvl w:val="0"/>
                <w:numId w:val="0"/>
              </w:numPr>
              <w:spacing w:line="360" w:lineRule="auto"/>
              <w:rPr>
                <w:rFonts w:hint="eastAsia" w:ascii="黑体" w:hAnsi="黑体" w:eastAsia="黑体" w:cs="黑体"/>
                <w:color w:val="auto"/>
                <w:sz w:val="24"/>
                <w:szCs w:val="32"/>
              </w:rPr>
            </w:pPr>
            <w:r>
              <w:rPr>
                <w:rFonts w:hint="eastAsia" w:ascii="黑体" w:hAnsi="黑体" w:eastAsia="黑体" w:cs="黑体"/>
                <w:color w:val="auto"/>
                <w:sz w:val="24"/>
                <w:szCs w:val="32"/>
                <w:lang w:val="en-US" w:eastAsia="zh-CN"/>
              </w:rPr>
              <w:t>1在评标过程直至签订合同前的任何时间，如经证实发现供应商提供虚假投标资料(包括技术支持资料)或信息骗取中标的（投标单位须对投标文件内容的进行真实性承诺），或者未按本采购文件要求提交履约保证金的（如有要求），将取消其中标资格，没收其投标保证金，并报主管部门备案；</w:t>
            </w:r>
          </w:p>
          <w:p w14:paraId="565B1C95">
            <w:pPr>
              <w:numPr>
                <w:ilvl w:val="0"/>
                <w:numId w:val="0"/>
              </w:numPr>
              <w:spacing w:line="360" w:lineRule="auto"/>
              <w:rPr>
                <w:rFonts w:hint="eastAsia" w:ascii="黑体" w:hAnsi="黑体" w:eastAsia="黑体" w:cs="黑体"/>
                <w:color w:val="auto"/>
                <w:sz w:val="24"/>
                <w:szCs w:val="32"/>
              </w:rPr>
            </w:pPr>
            <w:r>
              <w:rPr>
                <w:rFonts w:hint="eastAsia" w:ascii="黑体" w:hAnsi="黑体" w:eastAsia="黑体" w:cs="黑体"/>
                <w:color w:val="auto"/>
                <w:sz w:val="24"/>
                <w:szCs w:val="32"/>
                <w:lang w:val="en-US" w:eastAsia="zh-CN"/>
              </w:rPr>
              <w:t>2、如招标文件中规定需要提供说明或者承诺等证明材料，招标文件中未给格式的其格式自拟，并做入投标文件中，未放入视为无效投标。如招标文件出现前后不一致时，以供应商须知资料表为准。未按招标文件约定的时间及格式提交投标投标文件的为无效投标。</w:t>
            </w:r>
          </w:p>
        </w:tc>
      </w:tr>
      <w:tr w14:paraId="6891F9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035" w:type="dxa"/>
            <w:vAlign w:val="center"/>
          </w:tcPr>
          <w:p w14:paraId="1BAECAAE">
            <w:pPr>
              <w:numPr>
                <w:ilvl w:val="0"/>
                <w:numId w:val="0"/>
              </w:numPr>
              <w:spacing w:line="360" w:lineRule="auto"/>
              <w:ind w:left="210" w:leftChars="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val="en-US" w:eastAsia="zh-CN"/>
              </w:rPr>
              <w:t>2</w:t>
            </w:r>
          </w:p>
        </w:tc>
        <w:tc>
          <w:tcPr>
            <w:tcW w:w="8385" w:type="dxa"/>
            <w:vAlign w:val="center"/>
          </w:tcPr>
          <w:p w14:paraId="1B352E85">
            <w:pPr>
              <w:numPr>
                <w:ilvl w:val="0"/>
                <w:numId w:val="0"/>
              </w:numPr>
              <w:spacing w:line="360" w:lineRule="auto"/>
              <w:rPr>
                <w:rFonts w:hint="eastAsia" w:ascii="黑体" w:hAnsi="黑体" w:eastAsia="黑体" w:cs="黑体"/>
                <w:color w:val="auto"/>
                <w:sz w:val="24"/>
                <w:szCs w:val="32"/>
              </w:rPr>
            </w:pPr>
            <w:r>
              <w:rPr>
                <w:rFonts w:hint="eastAsia" w:ascii="黑体" w:hAnsi="黑体" w:eastAsia="黑体" w:cs="黑体"/>
                <w:color w:val="auto"/>
                <w:sz w:val="24"/>
                <w:szCs w:val="32"/>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042DD6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52" w:hRule="atLeast"/>
        </w:trPr>
        <w:tc>
          <w:tcPr>
            <w:tcW w:w="1035" w:type="dxa"/>
            <w:vAlign w:val="center"/>
          </w:tcPr>
          <w:p w14:paraId="04F795E9">
            <w:pPr>
              <w:spacing w:line="360" w:lineRule="auto"/>
              <w:ind w:left="210" w:leftChars="0"/>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4</w:t>
            </w:r>
          </w:p>
        </w:tc>
        <w:tc>
          <w:tcPr>
            <w:tcW w:w="8385" w:type="dxa"/>
            <w:vAlign w:val="center"/>
          </w:tcPr>
          <w:p w14:paraId="63BA4928">
            <w:pPr>
              <w:keepNext w:val="0"/>
              <w:keepLines w:val="0"/>
              <w:widowControl/>
              <w:suppressLineNumbers w:val="0"/>
              <w:jc w:val="left"/>
              <w:rPr>
                <w:rFonts w:hint="eastAsia" w:ascii="黑体" w:hAnsi="黑体" w:eastAsia="黑体" w:cs="黑体"/>
                <w:color w:val="auto"/>
                <w:kern w:val="2"/>
                <w:sz w:val="24"/>
                <w:szCs w:val="32"/>
                <w:highlight w:val="none"/>
                <w:lang w:val="en-US" w:eastAsia="zh-CN"/>
              </w:rPr>
            </w:pPr>
            <w:r>
              <w:rPr>
                <w:rFonts w:hint="eastAsia" w:ascii="黑体" w:hAnsi="黑体" w:eastAsia="黑体" w:cs="黑体"/>
                <w:color w:val="auto"/>
                <w:kern w:val="2"/>
                <w:sz w:val="24"/>
                <w:szCs w:val="32"/>
                <w:highlight w:val="none"/>
                <w:lang w:val="en-US" w:eastAsia="zh-CN"/>
              </w:rPr>
              <w:t>1.本项目对应的中小企业划分标准所属行业为：建筑业</w:t>
            </w:r>
          </w:p>
          <w:p w14:paraId="6D706CDE">
            <w:pPr>
              <w:pStyle w:val="32"/>
              <w:numPr>
                <w:ilvl w:val="0"/>
                <w:numId w:val="0"/>
              </w:numPr>
              <w:spacing w:before="75" w:beforeAutospacing="0" w:after="75" w:afterAutospacing="0" w:line="360" w:lineRule="auto"/>
              <w:rPr>
                <w:rFonts w:hint="eastAsia" w:ascii="黑体" w:hAnsi="黑体" w:eastAsia="黑体" w:cs="黑体"/>
                <w:color w:val="auto"/>
                <w:kern w:val="2"/>
                <w:sz w:val="24"/>
                <w:szCs w:val="32"/>
                <w:highlight w:val="none"/>
              </w:rPr>
            </w:pPr>
            <w:r>
              <w:rPr>
                <w:rFonts w:hint="eastAsia" w:ascii="黑体" w:hAnsi="黑体" w:eastAsia="黑体" w:cs="黑体"/>
                <w:color w:val="auto"/>
                <w:kern w:val="2"/>
                <w:sz w:val="24"/>
                <w:szCs w:val="32"/>
                <w:highlight w:val="none"/>
                <w:lang w:val="en-US" w:eastAsia="zh-CN"/>
              </w:rPr>
              <w:t>2.</w:t>
            </w:r>
            <w:r>
              <w:rPr>
                <w:rFonts w:hint="eastAsia" w:ascii="黑体" w:hAnsi="黑体" w:eastAsia="黑体" w:cs="黑体"/>
                <w:color w:val="auto"/>
                <w:kern w:val="2"/>
                <w:sz w:val="24"/>
                <w:szCs w:val="32"/>
                <w:highlight w:val="none"/>
              </w:rPr>
              <w:t>本项目合同履约期限：</w:t>
            </w:r>
            <w:r>
              <w:rPr>
                <w:rFonts w:hint="eastAsia" w:ascii="黑体" w:hAnsi="黑体" w:eastAsia="黑体" w:cs="黑体"/>
                <w:color w:val="auto"/>
                <w:kern w:val="0"/>
                <w:sz w:val="24"/>
                <w:szCs w:val="24"/>
                <w:lang w:val="en-US" w:eastAsia="zh-CN" w:bidi="ar"/>
              </w:rPr>
              <w:t>自签订合同后90</w:t>
            </w:r>
            <w:r>
              <w:rPr>
                <w:rFonts w:hint="eastAsia" w:ascii="黑体" w:hAnsi="黑体" w:eastAsia="黑体" w:cs="黑体"/>
                <w:color w:val="auto"/>
                <w:sz w:val="24"/>
                <w:szCs w:val="24"/>
                <w:highlight w:val="none"/>
                <w:lang w:val="en-US" w:eastAsia="zh-CN"/>
              </w:rPr>
              <w:t>日历天完成；</w:t>
            </w:r>
            <w:r>
              <w:rPr>
                <w:rFonts w:hint="eastAsia" w:ascii="黑体" w:hAnsi="黑体" w:eastAsia="黑体" w:cs="黑体"/>
                <w:color w:val="auto"/>
                <w:kern w:val="0"/>
                <w:sz w:val="24"/>
                <w:szCs w:val="24"/>
                <w:lang w:val="en-US" w:eastAsia="zh-CN" w:bidi="ar"/>
              </w:rPr>
              <w:t>（具体以签订合同为准）</w:t>
            </w:r>
            <w:r>
              <w:rPr>
                <w:rFonts w:hint="eastAsia" w:ascii="黑体" w:hAnsi="黑体" w:eastAsia="黑体" w:cs="黑体"/>
                <w:color w:val="auto"/>
                <w:kern w:val="2"/>
                <w:sz w:val="24"/>
                <w:szCs w:val="32"/>
                <w:highlight w:val="none"/>
              </w:rPr>
              <w:t>。</w:t>
            </w:r>
          </w:p>
          <w:p w14:paraId="5D39C6B4">
            <w:pPr>
              <w:pStyle w:val="32"/>
              <w:numPr>
                <w:ilvl w:val="0"/>
                <w:numId w:val="0"/>
              </w:numPr>
              <w:spacing w:before="75" w:beforeAutospacing="0" w:after="75" w:afterAutospacing="0" w:line="360" w:lineRule="auto"/>
              <w:rPr>
                <w:rFonts w:hint="eastAsia" w:ascii="黑体" w:hAnsi="黑体" w:eastAsia="黑体" w:cs="黑体"/>
                <w:color w:val="auto"/>
                <w:kern w:val="2"/>
                <w:sz w:val="24"/>
                <w:szCs w:val="32"/>
                <w:highlight w:val="none"/>
              </w:rPr>
            </w:pPr>
            <w:r>
              <w:rPr>
                <w:rFonts w:hint="eastAsia" w:ascii="黑体" w:hAnsi="黑体" w:eastAsia="黑体" w:cs="黑体"/>
                <w:color w:val="auto"/>
                <w:kern w:val="2"/>
                <w:sz w:val="24"/>
                <w:szCs w:val="32"/>
                <w:highlight w:val="none"/>
                <w:lang w:eastAsia="zh-CN"/>
              </w:rPr>
              <w:t>（</w:t>
            </w:r>
            <w:r>
              <w:rPr>
                <w:rFonts w:hint="eastAsia" w:ascii="黑体" w:hAnsi="黑体" w:eastAsia="黑体" w:cs="黑体"/>
                <w:color w:val="auto"/>
                <w:kern w:val="2"/>
                <w:sz w:val="24"/>
                <w:szCs w:val="32"/>
                <w:highlight w:val="none"/>
                <w:lang w:val="en-US" w:eastAsia="zh-CN"/>
              </w:rPr>
              <w:t>注：</w:t>
            </w:r>
            <w:r>
              <w:rPr>
                <w:rFonts w:hint="eastAsia" w:ascii="黑体" w:hAnsi="黑体" w:eastAsia="黑体" w:cs="黑体"/>
                <w:color w:val="auto"/>
                <w:kern w:val="2"/>
                <w:sz w:val="24"/>
                <w:szCs w:val="32"/>
                <w:highlight w:val="none"/>
                <w:lang w:eastAsia="zh-CN"/>
              </w:rPr>
              <w:t>）</w:t>
            </w:r>
            <w:r>
              <w:rPr>
                <w:rFonts w:hint="eastAsia" w:ascii="黑体" w:hAnsi="黑体" w:eastAsia="黑体" w:cs="黑体"/>
                <w:color w:val="auto"/>
                <w:kern w:val="2"/>
                <w:sz w:val="24"/>
                <w:szCs w:val="32"/>
                <w:highlight w:val="none"/>
              </w:rPr>
              <w:t>各潜在投标单位务必提交“项目工期保证承诺书”（格式自拟），投标单位务必保证在规定的工期内完成本项目清单内全部的施工作业工作，且竣工验收合格，否则中标单位向建设单位缴纳中标金额1%/天的违约金，最多不超过项目中标金额的30%，无此承诺</w:t>
            </w:r>
            <w:r>
              <w:rPr>
                <w:rFonts w:hint="eastAsia" w:ascii="黑体" w:hAnsi="黑体" w:eastAsia="黑体" w:cs="黑体"/>
                <w:color w:val="auto"/>
                <w:kern w:val="2"/>
                <w:sz w:val="24"/>
                <w:szCs w:val="32"/>
                <w:highlight w:val="none"/>
                <w:lang w:val="en-US" w:eastAsia="zh-CN" w:bidi="ar-SA"/>
              </w:rPr>
              <w:t>作无效标处理</w:t>
            </w:r>
            <w:r>
              <w:rPr>
                <w:rFonts w:hint="eastAsia" w:ascii="黑体" w:hAnsi="黑体" w:eastAsia="黑体" w:cs="黑体"/>
                <w:color w:val="auto"/>
                <w:kern w:val="2"/>
                <w:sz w:val="24"/>
                <w:szCs w:val="32"/>
                <w:highlight w:val="none"/>
              </w:rPr>
              <w:t>。</w:t>
            </w:r>
          </w:p>
          <w:p w14:paraId="1674A3DB">
            <w:pPr>
              <w:numPr>
                <w:ilvl w:val="0"/>
                <w:numId w:val="0"/>
              </w:numPr>
              <w:spacing w:line="360" w:lineRule="auto"/>
              <w:rPr>
                <w:rFonts w:hint="eastAsia" w:ascii="黑体" w:hAnsi="黑体" w:eastAsia="黑体" w:cs="黑体"/>
                <w:color w:val="auto"/>
                <w:sz w:val="24"/>
                <w:szCs w:val="32"/>
                <w:lang w:val="en-US" w:eastAsia="zh-CN"/>
              </w:rPr>
            </w:pPr>
            <w:r>
              <w:rPr>
                <w:rFonts w:hint="eastAsia" w:ascii="黑体" w:hAnsi="黑体" w:eastAsia="黑体" w:cs="黑体"/>
                <w:color w:val="auto"/>
                <w:kern w:val="2"/>
                <w:sz w:val="24"/>
                <w:szCs w:val="32"/>
                <w:highlight w:val="none"/>
                <w:lang w:val="en-US" w:eastAsia="zh-CN" w:bidi="ar-SA"/>
              </w:rPr>
              <w:t>3.根据发改振兴〔2020〕1675号文件《关于在农业农村基础设施建设领域积极推广以工代赈方式的意见》及新水办建管〔2017〕32号文件有关用工要求，并在投标文件中列出使用当地农民工的用工计划及本地用工承诺书，否则作无效标处理。</w:t>
            </w:r>
          </w:p>
        </w:tc>
      </w:tr>
      <w:tr w14:paraId="2AEF22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07" w:hRule="atLeast"/>
        </w:trPr>
        <w:tc>
          <w:tcPr>
            <w:tcW w:w="1035" w:type="dxa"/>
            <w:vAlign w:val="center"/>
          </w:tcPr>
          <w:p w14:paraId="13AF2FF5">
            <w:pPr>
              <w:spacing w:line="360" w:lineRule="auto"/>
              <w:ind w:left="210" w:leftChars="0"/>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5</w:t>
            </w:r>
          </w:p>
        </w:tc>
        <w:tc>
          <w:tcPr>
            <w:tcW w:w="8385" w:type="dxa"/>
            <w:vAlign w:val="center"/>
          </w:tcPr>
          <w:p w14:paraId="38E141A4">
            <w:pPr>
              <w:numPr>
                <w:ilvl w:val="0"/>
                <w:numId w:val="0"/>
              </w:numPr>
              <w:spacing w:line="360" w:lineRule="auto"/>
              <w:rPr>
                <w:rFonts w:hint="eastAsia" w:ascii="黑体" w:hAnsi="黑体" w:eastAsia="黑体" w:cs="黑体"/>
                <w:color w:val="auto"/>
                <w:kern w:val="2"/>
                <w:sz w:val="24"/>
                <w:szCs w:val="32"/>
                <w:highlight w:val="none"/>
                <w:lang w:val="en-US" w:eastAsia="zh-CN" w:bidi="ar-SA"/>
              </w:rPr>
            </w:pPr>
            <w:r>
              <w:rPr>
                <w:rFonts w:hint="eastAsia" w:ascii="黑体" w:hAnsi="黑体" w:eastAsia="黑体" w:cs="黑体"/>
                <w:color w:val="auto"/>
                <w:kern w:val="2"/>
                <w:sz w:val="24"/>
                <w:szCs w:val="32"/>
                <w:highlight w:val="none"/>
                <w:lang w:val="en-US" w:eastAsia="zh-CN" w:bidi="ar-SA"/>
              </w:rPr>
              <w:t>供应商认为采购过程和中标结果使自己的权益受到损害的，可以在知道或者应知其权益受到损害之日起七个工作日内，按照政府采购质疑和投诉办法（中华人民共和国财政部令94号）以书面形式向采购人和采购代理机构提出质疑，逾期不再接收。在法定质疑期内供应商针对同一采购程序环节的质疑应当一次性提出。</w:t>
            </w:r>
          </w:p>
          <w:p w14:paraId="48D89A93">
            <w:pPr>
              <w:numPr>
                <w:ilvl w:val="0"/>
                <w:numId w:val="0"/>
              </w:numPr>
              <w:spacing w:line="360" w:lineRule="auto"/>
              <w:rPr>
                <w:rFonts w:hint="eastAsia" w:ascii="黑体" w:hAnsi="黑体" w:eastAsia="黑体" w:cs="黑体"/>
                <w:color w:val="auto"/>
                <w:kern w:val="2"/>
                <w:sz w:val="24"/>
                <w:szCs w:val="32"/>
                <w:highlight w:val="none"/>
                <w:lang w:val="en-US" w:eastAsia="zh-CN" w:bidi="ar-SA"/>
              </w:rPr>
            </w:pPr>
            <w:r>
              <w:rPr>
                <w:rFonts w:hint="eastAsia" w:ascii="黑体" w:hAnsi="黑体" w:eastAsia="黑体" w:cs="黑体"/>
                <w:color w:val="auto"/>
                <w:kern w:val="2"/>
                <w:sz w:val="24"/>
                <w:szCs w:val="32"/>
                <w:highlight w:val="none"/>
                <w:lang w:val="en-US" w:eastAsia="zh-CN" w:bidi="ar-SA"/>
              </w:rPr>
              <w:t>本招标文件中出现前后矛盾不一致的，以供应商须知资料表为准。</w:t>
            </w:r>
          </w:p>
        </w:tc>
      </w:tr>
    </w:tbl>
    <w:p w14:paraId="4BED730D">
      <w:pPr>
        <w:spacing w:line="240" w:lineRule="atLeast"/>
        <w:ind w:left="1080" w:leftChars="257" w:hanging="540"/>
        <w:rPr>
          <w:rFonts w:hint="eastAsia" w:ascii="黑体" w:hAnsi="黑体" w:eastAsia="黑体" w:cs="黑体"/>
          <w:color w:val="auto"/>
          <w:sz w:val="24"/>
        </w:rPr>
        <w:sectPr>
          <w:headerReference r:id="rId11" w:type="default"/>
          <w:footerReference r:id="rId13" w:type="default"/>
          <w:headerReference r:id="rId12" w:type="even"/>
          <w:footerReference r:id="rId14" w:type="even"/>
          <w:pgSz w:w="11906" w:h="16838"/>
          <w:pgMar w:top="1440" w:right="1080" w:bottom="1440" w:left="1080" w:header="510" w:footer="992" w:gutter="0"/>
          <w:pgNumType w:fmt="decimal"/>
          <w:cols w:space="720" w:num="1"/>
          <w:docGrid w:linePitch="312" w:charSpace="0"/>
        </w:sectPr>
      </w:pPr>
    </w:p>
    <w:p w14:paraId="0D29AF92">
      <w:pPr>
        <w:pStyle w:val="5"/>
        <w:numPr>
          <w:ilvl w:val="0"/>
          <w:numId w:val="4"/>
        </w:numPr>
        <w:tabs>
          <w:tab w:val="left" w:pos="0"/>
        </w:tabs>
        <w:spacing w:before="0" w:after="0" w:line="360" w:lineRule="auto"/>
        <w:jc w:val="center"/>
        <w:rPr>
          <w:rFonts w:hint="eastAsia" w:ascii="黑体" w:hAnsi="黑体" w:eastAsia="黑体" w:cs="黑体"/>
          <w:color w:val="auto"/>
          <w:sz w:val="28"/>
          <w:szCs w:val="28"/>
          <w:highlight w:val="none"/>
          <w:lang w:val="en-US" w:eastAsia="zh-CN"/>
        </w:rPr>
      </w:pPr>
      <w:bookmarkStart w:id="354" w:name="_Toc219175638"/>
      <w:bookmarkStart w:id="355" w:name="_Toc7112"/>
      <w:bookmarkStart w:id="356" w:name="_Toc507399906"/>
      <w:bookmarkStart w:id="357" w:name="_Toc29079_WPSOffice_Level1"/>
      <w:bookmarkStart w:id="358" w:name="_Toc218935354"/>
      <w:bookmarkStart w:id="359" w:name="_Toc216582825"/>
      <w:bookmarkStart w:id="360" w:name="_Toc518923126"/>
      <w:bookmarkStart w:id="361" w:name="_Toc21132"/>
      <w:bookmarkStart w:id="362" w:name="_Toc512937852"/>
      <w:r>
        <w:rPr>
          <w:rFonts w:hint="eastAsia" w:ascii="黑体" w:hAnsi="黑体" w:eastAsia="黑体" w:cs="黑体"/>
          <w:color w:val="auto"/>
          <w:sz w:val="28"/>
          <w:szCs w:val="28"/>
          <w:highlight w:val="none"/>
          <w:lang w:val="en-US" w:eastAsia="zh-CN"/>
        </w:rPr>
        <w:t xml:space="preserve"> </w:t>
      </w:r>
      <w:bookmarkEnd w:id="354"/>
      <w:bookmarkEnd w:id="355"/>
      <w:bookmarkEnd w:id="356"/>
      <w:bookmarkEnd w:id="357"/>
      <w:bookmarkEnd w:id="358"/>
      <w:bookmarkEnd w:id="359"/>
      <w:bookmarkEnd w:id="360"/>
      <w:bookmarkEnd w:id="361"/>
      <w:bookmarkStart w:id="363" w:name="_Toc14255"/>
      <w:r>
        <w:rPr>
          <w:rFonts w:hint="eastAsia" w:ascii="黑体" w:hAnsi="黑体" w:eastAsia="黑体" w:cs="黑体"/>
          <w:color w:val="auto"/>
          <w:sz w:val="28"/>
          <w:szCs w:val="28"/>
          <w:highlight w:val="none"/>
          <w:lang w:val="en-US" w:eastAsia="zh-CN"/>
        </w:rPr>
        <w:t>采购需求</w:t>
      </w:r>
      <w:r>
        <w:rPr>
          <w:rFonts w:hint="eastAsia" w:ascii="黑体" w:hAnsi="黑体" w:eastAsia="黑体" w:cs="黑体"/>
          <w:color w:val="auto"/>
          <w:sz w:val="28"/>
          <w:szCs w:val="28"/>
          <w:highlight w:val="none"/>
        </w:rPr>
        <w:t>及技术规</w:t>
      </w:r>
      <w:bookmarkEnd w:id="362"/>
      <w:r>
        <w:rPr>
          <w:rFonts w:hint="eastAsia" w:ascii="黑体" w:hAnsi="黑体" w:eastAsia="黑体" w:cs="黑体"/>
          <w:color w:val="auto"/>
          <w:sz w:val="28"/>
          <w:szCs w:val="28"/>
          <w:highlight w:val="none"/>
          <w:lang w:val="en-US" w:eastAsia="zh-CN"/>
        </w:rPr>
        <w:t>格</w:t>
      </w:r>
      <w:bookmarkEnd w:id="363"/>
    </w:p>
    <w:p w14:paraId="34503D01">
      <w:pPr>
        <w:pStyle w:val="57"/>
        <w:spacing w:line="360" w:lineRule="auto"/>
        <w:jc w:val="center"/>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采购需求详见工程量清单（另附）</w:t>
      </w:r>
    </w:p>
    <w:p w14:paraId="283351B0">
      <w:pPr>
        <w:rPr>
          <w:rFonts w:hint="eastAsia"/>
          <w:lang w:val="en-US" w:eastAsia="zh-CN"/>
        </w:rPr>
      </w:pPr>
    </w:p>
    <w:p w14:paraId="2F3FC630">
      <w:pPr>
        <w:keepNext w:val="0"/>
        <w:keepLines w:val="0"/>
        <w:numPr>
          <w:ilvl w:val="0"/>
          <w:numId w:val="0"/>
        </w:numPr>
        <w:kinsoku/>
        <w:wordWrap/>
        <w:overflowPunct/>
        <w:topLinePunct w:val="0"/>
        <w:autoSpaceDE/>
        <w:autoSpaceDN/>
        <w:bidi w:val="0"/>
        <w:spacing w:line="240" w:lineRule="auto"/>
        <w:ind w:left="0" w:leftChars="0" w:firstLine="0" w:firstLineChars="0"/>
        <w:outlineLvl w:val="9"/>
        <w:rPr>
          <w:rFonts w:hint="eastAsia" w:ascii="黑体" w:hAnsi="黑体" w:eastAsia="黑体" w:cs="黑体"/>
          <w:b/>
          <w:bCs/>
          <w:color w:val="auto"/>
          <w:sz w:val="24"/>
          <w:szCs w:val="32"/>
          <w:lang w:val="en-US" w:eastAsia="zh-CN"/>
        </w:rPr>
      </w:pPr>
      <w:r>
        <w:rPr>
          <w:rFonts w:hint="eastAsia" w:ascii="黑体" w:hAnsi="黑体" w:eastAsia="黑体" w:cs="黑体"/>
          <w:b/>
          <w:bCs/>
          <w:color w:val="auto"/>
          <w:kern w:val="2"/>
          <w:sz w:val="24"/>
          <w:szCs w:val="32"/>
          <w:lang w:val="en-US" w:eastAsia="zh-CN" w:bidi="ar-SA"/>
        </w:rPr>
        <w:t>一、</w:t>
      </w:r>
      <w:r>
        <w:rPr>
          <w:rFonts w:hint="eastAsia" w:ascii="黑体" w:hAnsi="黑体" w:eastAsia="黑体" w:cs="黑体"/>
          <w:b/>
          <w:bCs/>
          <w:color w:val="auto"/>
          <w:sz w:val="24"/>
          <w:szCs w:val="32"/>
          <w:lang w:val="en-US" w:eastAsia="zh-CN"/>
        </w:rPr>
        <w:t>主要技术要求</w:t>
      </w:r>
    </w:p>
    <w:p w14:paraId="2315CEE7">
      <w:pPr>
        <w:keepNext w:val="0"/>
        <w:keepLines w:val="0"/>
        <w:numPr>
          <w:ilvl w:val="0"/>
          <w:numId w:val="0"/>
        </w:numPr>
        <w:kinsoku/>
        <w:wordWrap/>
        <w:overflowPunct/>
        <w:topLinePunct w:val="0"/>
        <w:autoSpaceDE/>
        <w:autoSpaceDN/>
        <w:bidi w:val="0"/>
        <w:spacing w:line="360" w:lineRule="auto"/>
        <w:ind w:leftChars="0" w:firstLine="480" w:firstLineChars="200"/>
        <w:outlineLvl w:val="9"/>
        <w:rPr>
          <w:rFonts w:hint="eastAsia"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本工程必须符合国家和地方现行相关质量评定标准和施工技术规范、施工图设计要求。主要技术支持文件包括但不限于以下文件：</w:t>
      </w:r>
    </w:p>
    <w:p w14:paraId="57FB5412">
      <w:pPr>
        <w:keepNext w:val="0"/>
        <w:keepLines w:val="0"/>
        <w:numPr>
          <w:ilvl w:val="0"/>
          <w:numId w:val="0"/>
        </w:numPr>
        <w:kinsoku/>
        <w:wordWrap/>
        <w:overflowPunct/>
        <w:topLinePunct w:val="0"/>
        <w:autoSpaceDE/>
        <w:autoSpaceDN/>
        <w:bidi w:val="0"/>
        <w:spacing w:line="360" w:lineRule="auto"/>
        <w:outlineLvl w:val="9"/>
        <w:rPr>
          <w:rFonts w:hint="eastAsia"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（一）项目管理机构组成表；</w:t>
      </w:r>
    </w:p>
    <w:p w14:paraId="27AE9B55">
      <w:pPr>
        <w:keepNext w:val="0"/>
        <w:keepLines w:val="0"/>
        <w:numPr>
          <w:ilvl w:val="0"/>
          <w:numId w:val="0"/>
        </w:numPr>
        <w:kinsoku/>
        <w:wordWrap/>
        <w:overflowPunct/>
        <w:topLinePunct w:val="0"/>
        <w:autoSpaceDE/>
        <w:autoSpaceDN/>
        <w:bidi w:val="0"/>
        <w:spacing w:line="360" w:lineRule="auto"/>
        <w:outlineLvl w:val="9"/>
        <w:rPr>
          <w:rFonts w:hint="eastAsia" w:ascii="黑体" w:hAnsi="黑体" w:eastAsia="黑体" w:cs="黑体"/>
          <w:bCs/>
          <w:color w:val="auto"/>
          <w:sz w:val="24"/>
          <w:szCs w:val="24"/>
          <w:lang w:val="en-US" w:eastAsia="zh-CN"/>
        </w:rPr>
      </w:pPr>
      <w:r>
        <w:rPr>
          <w:rFonts w:hint="eastAsia" w:ascii="黑体" w:hAnsi="黑体" w:eastAsia="黑体" w:cs="黑体"/>
          <w:color w:val="auto"/>
          <w:kern w:val="0"/>
          <w:sz w:val="24"/>
          <w:szCs w:val="24"/>
          <w:highlight w:val="none"/>
          <w:lang w:val="en-US" w:eastAsia="zh-CN" w:bidi="ar-SA"/>
        </w:rPr>
        <w:t>（二）投标单位具有【水利水电工程施工总承包二级】（含）以上资质，拟派项目经理须具有【水利水电工程二级】(含)以上注册建造师执业资格并取得水利水电中级或以上职称，具备有效的B类安全生产考核合格证书且在有效期内，且不得担任其他在建工程</w:t>
      </w:r>
      <w:r>
        <w:rPr>
          <w:rFonts w:hint="eastAsia" w:ascii="黑体" w:hAnsi="黑体" w:eastAsia="黑体" w:cs="黑体"/>
          <w:b w:val="0"/>
          <w:bCs w:val="0"/>
          <w:color w:val="auto"/>
          <w:sz w:val="24"/>
          <w:szCs w:val="32"/>
          <w:lang w:val="en-US" w:eastAsia="zh-CN"/>
        </w:rPr>
        <w:t>的项目经理，并提供近六个月社保缴纳证明。</w:t>
      </w:r>
      <w:r>
        <w:rPr>
          <w:rFonts w:hint="eastAsia" w:ascii="黑体" w:hAnsi="黑体" w:eastAsia="黑体" w:cs="黑体"/>
          <w:bCs/>
          <w:color w:val="auto"/>
          <w:sz w:val="24"/>
          <w:szCs w:val="24"/>
          <w:lang w:val="en-US" w:eastAsia="zh-CN"/>
        </w:rPr>
        <w:t>响应文件中应附有相关证明资料。</w:t>
      </w:r>
    </w:p>
    <w:p w14:paraId="2F521C65">
      <w:pPr>
        <w:keepNext w:val="0"/>
        <w:keepLines w:val="0"/>
        <w:numPr>
          <w:ilvl w:val="0"/>
          <w:numId w:val="0"/>
        </w:numPr>
        <w:kinsoku/>
        <w:wordWrap/>
        <w:overflowPunct/>
        <w:topLinePunct w:val="0"/>
        <w:autoSpaceDE/>
        <w:autoSpaceDN/>
        <w:bidi w:val="0"/>
        <w:spacing w:line="360" w:lineRule="auto"/>
        <w:outlineLvl w:val="9"/>
        <w:rPr>
          <w:rFonts w:hint="eastAsia"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（三）项目负责人简历表（附相关证书）；</w:t>
      </w:r>
    </w:p>
    <w:p w14:paraId="32F57F4D">
      <w:pPr>
        <w:keepNext w:val="0"/>
        <w:keepLines w:val="0"/>
        <w:numPr>
          <w:ilvl w:val="0"/>
          <w:numId w:val="0"/>
        </w:numPr>
        <w:kinsoku/>
        <w:wordWrap/>
        <w:overflowPunct/>
        <w:topLinePunct w:val="0"/>
        <w:autoSpaceDE/>
        <w:autoSpaceDN/>
        <w:bidi w:val="0"/>
        <w:spacing w:line="360" w:lineRule="auto"/>
        <w:outlineLvl w:val="9"/>
        <w:rPr>
          <w:rFonts w:hint="eastAsia"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（四）主要项目管理人员简历表；</w:t>
      </w:r>
    </w:p>
    <w:p w14:paraId="6A476337">
      <w:pPr>
        <w:keepNext w:val="0"/>
        <w:keepLines w:val="0"/>
        <w:numPr>
          <w:ilvl w:val="0"/>
          <w:numId w:val="0"/>
        </w:numPr>
        <w:kinsoku/>
        <w:wordWrap/>
        <w:overflowPunct/>
        <w:topLinePunct w:val="0"/>
        <w:autoSpaceDE/>
        <w:autoSpaceDN/>
        <w:bidi w:val="0"/>
        <w:spacing w:line="360" w:lineRule="auto"/>
        <w:outlineLvl w:val="9"/>
        <w:rPr>
          <w:rFonts w:hint="eastAsia"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（五）投标人应根据工程的具体情况，编制相应的施工组织设计。</w:t>
      </w:r>
    </w:p>
    <w:p w14:paraId="32297705">
      <w:pPr>
        <w:keepNext w:val="0"/>
        <w:keepLines w:val="0"/>
        <w:numPr>
          <w:ilvl w:val="0"/>
          <w:numId w:val="0"/>
        </w:numPr>
        <w:kinsoku/>
        <w:wordWrap/>
        <w:overflowPunct/>
        <w:topLinePunct w:val="0"/>
        <w:autoSpaceDE/>
        <w:autoSpaceDN/>
        <w:bidi w:val="0"/>
        <w:spacing w:line="360" w:lineRule="auto"/>
        <w:outlineLvl w:val="9"/>
        <w:rPr>
          <w:rFonts w:hint="eastAsia"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施工组织设计包括下列内容：</w:t>
      </w:r>
    </w:p>
    <w:p w14:paraId="0A052E8E">
      <w:pPr>
        <w:keepNext w:val="0"/>
        <w:keepLines w:val="0"/>
        <w:numPr>
          <w:ilvl w:val="0"/>
          <w:numId w:val="0"/>
        </w:numPr>
        <w:kinsoku/>
        <w:wordWrap/>
        <w:overflowPunct/>
        <w:topLinePunct w:val="0"/>
        <w:autoSpaceDE/>
        <w:autoSpaceDN/>
        <w:bidi w:val="0"/>
        <w:spacing w:line="360" w:lineRule="auto"/>
        <w:outlineLvl w:val="9"/>
        <w:rPr>
          <w:rFonts w:hint="eastAsia"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1、工程概况及特点：应包括工程主要情况，各专业设计简介和工程施工条件。</w:t>
      </w:r>
    </w:p>
    <w:p w14:paraId="473961BA">
      <w:pPr>
        <w:keepNext w:val="0"/>
        <w:keepLines w:val="0"/>
        <w:numPr>
          <w:ilvl w:val="0"/>
          <w:numId w:val="0"/>
        </w:numPr>
        <w:kinsoku/>
        <w:wordWrap/>
        <w:overflowPunct/>
        <w:topLinePunct w:val="0"/>
        <w:autoSpaceDE/>
        <w:autoSpaceDN/>
        <w:bidi w:val="0"/>
        <w:spacing w:line="360" w:lineRule="auto"/>
        <w:outlineLvl w:val="9"/>
        <w:rPr>
          <w:rFonts w:hint="eastAsia"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1）工程主要情况应包括以下内容：工程名称、性质和地理位置；工程承包范围和分包工程范围；施工合同、招标文件和建设单位对工程施工的重点要求；其他应说明的问题。</w:t>
      </w:r>
    </w:p>
    <w:p w14:paraId="382B55C7">
      <w:pPr>
        <w:keepNext w:val="0"/>
        <w:keepLines w:val="0"/>
        <w:numPr>
          <w:ilvl w:val="0"/>
          <w:numId w:val="0"/>
        </w:numPr>
        <w:kinsoku/>
        <w:wordWrap/>
        <w:overflowPunct/>
        <w:topLinePunct w:val="0"/>
        <w:autoSpaceDE/>
        <w:autoSpaceDN/>
        <w:bidi w:val="0"/>
        <w:spacing w:line="360" w:lineRule="auto"/>
        <w:outlineLvl w:val="9"/>
        <w:rPr>
          <w:rFonts w:hint="default"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2、施工准备计划：技术准备：包括施工所需技术资料的准备、图纸深化和技术交底的要求、试验检验及测试工作计划、样板制作计划 以及相关单位的技术交接计划等；现场准备：包括生产、生活等临时设施的准备以及相关单位进行现场交接的计划等。资金准备：编制资金使用计划等。</w:t>
      </w:r>
    </w:p>
    <w:p w14:paraId="7A214EAB">
      <w:pPr>
        <w:keepNext w:val="0"/>
        <w:keepLines w:val="0"/>
        <w:numPr>
          <w:ilvl w:val="0"/>
          <w:numId w:val="0"/>
        </w:numPr>
        <w:kinsoku/>
        <w:wordWrap/>
        <w:overflowPunct/>
        <w:topLinePunct w:val="0"/>
        <w:autoSpaceDE/>
        <w:autoSpaceDN/>
        <w:bidi w:val="0"/>
        <w:spacing w:line="360" w:lineRule="auto"/>
        <w:outlineLvl w:val="9"/>
        <w:rPr>
          <w:rFonts w:hint="eastAsia"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3、主要资源配置计划：</w:t>
      </w:r>
    </w:p>
    <w:p w14:paraId="0BF10230">
      <w:pPr>
        <w:keepNext w:val="0"/>
        <w:keepLines w:val="0"/>
        <w:numPr>
          <w:ilvl w:val="0"/>
          <w:numId w:val="0"/>
        </w:numPr>
        <w:kinsoku/>
        <w:wordWrap/>
        <w:overflowPunct/>
        <w:topLinePunct w:val="0"/>
        <w:autoSpaceDE/>
        <w:autoSpaceDN/>
        <w:bidi w:val="0"/>
        <w:spacing w:line="360" w:lineRule="auto"/>
        <w:outlineLvl w:val="9"/>
        <w:rPr>
          <w:rFonts w:hint="eastAsia"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1）劳动力配置计划：确定工程用工量并编制专业工种劳动力计划表；</w:t>
      </w:r>
    </w:p>
    <w:p w14:paraId="18DEDA47">
      <w:pPr>
        <w:keepNext w:val="0"/>
        <w:keepLines w:val="0"/>
        <w:numPr>
          <w:ilvl w:val="0"/>
          <w:numId w:val="0"/>
        </w:numPr>
        <w:kinsoku/>
        <w:wordWrap/>
        <w:overflowPunct/>
        <w:topLinePunct w:val="0"/>
        <w:autoSpaceDE/>
        <w:autoSpaceDN/>
        <w:bidi w:val="0"/>
        <w:spacing w:line="360" w:lineRule="auto"/>
        <w:outlineLvl w:val="9"/>
        <w:rPr>
          <w:rFonts w:hint="default"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2）物资配置计划：包括工程材料和设备配置计划、周转材料和施工机具配置计划以及计量、测量和检验仪器配置计划等。</w:t>
      </w:r>
    </w:p>
    <w:p w14:paraId="20D3DF66">
      <w:pPr>
        <w:keepNext w:val="0"/>
        <w:keepLines w:val="0"/>
        <w:numPr>
          <w:ilvl w:val="0"/>
          <w:numId w:val="0"/>
        </w:numPr>
        <w:kinsoku/>
        <w:wordWrap/>
        <w:overflowPunct/>
        <w:topLinePunct w:val="0"/>
        <w:autoSpaceDE/>
        <w:autoSpaceDN/>
        <w:bidi w:val="0"/>
        <w:spacing w:line="360" w:lineRule="auto"/>
        <w:outlineLvl w:val="9"/>
        <w:rPr>
          <w:rFonts w:hint="eastAsia"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4、施工进度管理计划：施工进度计划的编制应内容全面，安排合理、科学实用，在进度计划中应反映出施工区段和各工序之间的搭接关系、施工期限和开始、结束时间，同时，施工进度计划应能体现和落实总体进度计划的目标控制要求，通过编制分部分项或专项工程进度计划进而实现总进度计划的合理性。</w:t>
      </w:r>
    </w:p>
    <w:p w14:paraId="472857A4">
      <w:pPr>
        <w:keepNext w:val="0"/>
        <w:keepLines w:val="0"/>
        <w:numPr>
          <w:ilvl w:val="0"/>
          <w:numId w:val="0"/>
        </w:numPr>
        <w:kinsoku/>
        <w:wordWrap/>
        <w:overflowPunct/>
        <w:topLinePunct w:val="0"/>
        <w:autoSpaceDE/>
        <w:autoSpaceDN/>
        <w:bidi w:val="0"/>
        <w:spacing w:line="360" w:lineRule="auto"/>
        <w:outlineLvl w:val="9"/>
        <w:rPr>
          <w:rFonts w:hint="eastAsia"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进度管理计划应包括以下内容：</w:t>
      </w:r>
    </w:p>
    <w:p w14:paraId="4E9D08C3">
      <w:pPr>
        <w:keepNext w:val="0"/>
        <w:keepLines w:val="0"/>
        <w:numPr>
          <w:ilvl w:val="0"/>
          <w:numId w:val="0"/>
        </w:numPr>
        <w:kinsoku/>
        <w:wordWrap/>
        <w:overflowPunct/>
        <w:topLinePunct w:val="0"/>
        <w:autoSpaceDE/>
        <w:autoSpaceDN/>
        <w:bidi w:val="0"/>
        <w:spacing w:line="360" w:lineRule="auto"/>
        <w:outlineLvl w:val="9"/>
        <w:rPr>
          <w:rFonts w:hint="eastAsia"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1）项目施工进度计划进行逐级分解，通过阶段性目标的实现保证最终工期目标的完成；</w:t>
      </w:r>
    </w:p>
    <w:p w14:paraId="287B914D">
      <w:pPr>
        <w:keepNext w:val="0"/>
        <w:keepLines w:val="0"/>
        <w:numPr>
          <w:ilvl w:val="0"/>
          <w:numId w:val="0"/>
        </w:numPr>
        <w:kinsoku/>
        <w:wordWrap/>
        <w:overflowPunct/>
        <w:topLinePunct w:val="0"/>
        <w:autoSpaceDE/>
        <w:autoSpaceDN/>
        <w:bidi w:val="0"/>
        <w:spacing w:line="360" w:lineRule="auto"/>
        <w:outlineLvl w:val="9"/>
        <w:rPr>
          <w:rFonts w:hint="default"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2）建立施工进度管理的组织机构并明确职责，制定相应的管理制度；</w:t>
      </w:r>
    </w:p>
    <w:p w14:paraId="42E7442E">
      <w:pPr>
        <w:keepNext w:val="0"/>
        <w:keepLines w:val="0"/>
        <w:numPr>
          <w:ilvl w:val="0"/>
          <w:numId w:val="0"/>
        </w:numPr>
        <w:kinsoku/>
        <w:wordWrap/>
        <w:overflowPunct/>
        <w:topLinePunct w:val="0"/>
        <w:autoSpaceDE/>
        <w:autoSpaceDN/>
        <w:bidi w:val="0"/>
        <w:spacing w:line="360" w:lineRule="auto"/>
        <w:outlineLvl w:val="9"/>
        <w:rPr>
          <w:rFonts w:hint="default"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3）针对不同施工阶段的特点，制度进度管理的相应措施，包括施工组织措施、技术措施和合同措施；</w:t>
      </w:r>
    </w:p>
    <w:p w14:paraId="5BD58CD9">
      <w:pPr>
        <w:keepNext w:val="0"/>
        <w:keepLines w:val="0"/>
        <w:numPr>
          <w:ilvl w:val="0"/>
          <w:numId w:val="0"/>
        </w:numPr>
        <w:kinsoku/>
        <w:wordWrap/>
        <w:overflowPunct/>
        <w:topLinePunct w:val="0"/>
        <w:autoSpaceDE/>
        <w:autoSpaceDN/>
        <w:bidi w:val="0"/>
        <w:spacing w:line="360" w:lineRule="auto"/>
        <w:outlineLvl w:val="9"/>
        <w:rPr>
          <w:rFonts w:hint="default"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4）建立施工进度动态管理机制，及时纠正施工过程中的进度偏差，并制定特殊情况下的赶工措施；</w:t>
      </w:r>
    </w:p>
    <w:p w14:paraId="10564B2C">
      <w:pPr>
        <w:keepNext w:val="0"/>
        <w:keepLines w:val="0"/>
        <w:numPr>
          <w:ilvl w:val="0"/>
          <w:numId w:val="0"/>
        </w:numPr>
        <w:kinsoku/>
        <w:wordWrap/>
        <w:overflowPunct/>
        <w:topLinePunct w:val="0"/>
        <w:autoSpaceDE/>
        <w:autoSpaceDN/>
        <w:bidi w:val="0"/>
        <w:spacing w:line="360" w:lineRule="auto"/>
        <w:outlineLvl w:val="9"/>
        <w:rPr>
          <w:rFonts w:hint="eastAsia"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5）根据项目周边环境特点，制定相应的协调措施，减少外部因素对施工进度的影响；</w:t>
      </w:r>
    </w:p>
    <w:p w14:paraId="06A2CE50">
      <w:pPr>
        <w:keepNext w:val="0"/>
        <w:keepLines w:val="0"/>
        <w:numPr>
          <w:ilvl w:val="0"/>
          <w:numId w:val="0"/>
        </w:numPr>
        <w:kinsoku/>
        <w:wordWrap/>
        <w:overflowPunct/>
        <w:topLinePunct w:val="0"/>
        <w:autoSpaceDE/>
        <w:autoSpaceDN/>
        <w:bidi w:val="0"/>
        <w:spacing w:line="360" w:lineRule="auto"/>
        <w:outlineLvl w:val="9"/>
        <w:rPr>
          <w:rFonts w:hint="default"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6）施工进度计划图</w:t>
      </w:r>
    </w:p>
    <w:p w14:paraId="729A4756">
      <w:pPr>
        <w:keepNext w:val="0"/>
        <w:keepLines w:val="0"/>
        <w:numPr>
          <w:ilvl w:val="0"/>
          <w:numId w:val="0"/>
        </w:numPr>
        <w:kinsoku/>
        <w:wordWrap/>
        <w:overflowPunct/>
        <w:topLinePunct w:val="0"/>
        <w:autoSpaceDE/>
        <w:autoSpaceDN/>
        <w:bidi w:val="0"/>
        <w:spacing w:line="360" w:lineRule="auto"/>
        <w:outlineLvl w:val="9"/>
        <w:rPr>
          <w:rFonts w:hint="eastAsia"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fldChar w:fldCharType="begin"/>
      </w:r>
      <w:r>
        <w:rPr>
          <w:rFonts w:hint="eastAsia" w:ascii="黑体" w:hAnsi="黑体" w:eastAsia="黑体" w:cs="黑体"/>
          <w:color w:val="auto"/>
          <w:kern w:val="0"/>
          <w:sz w:val="24"/>
          <w:szCs w:val="24"/>
          <w:highlight w:val="none"/>
          <w:lang w:val="en-US" w:eastAsia="zh-CN" w:bidi="ar-SA"/>
        </w:rPr>
        <w:instrText xml:space="preserve"> = 1 \* GB3 </w:instrText>
      </w:r>
      <w:r>
        <w:rPr>
          <w:rFonts w:hint="eastAsia" w:ascii="黑体" w:hAnsi="黑体" w:eastAsia="黑体" w:cs="黑体"/>
          <w:color w:val="auto"/>
          <w:kern w:val="0"/>
          <w:sz w:val="24"/>
          <w:szCs w:val="24"/>
          <w:highlight w:val="none"/>
          <w:lang w:val="en-US" w:eastAsia="zh-CN" w:bidi="ar-SA"/>
        </w:rPr>
        <w:fldChar w:fldCharType="separate"/>
      </w:r>
      <w:r>
        <w:rPr>
          <w:rFonts w:hint="eastAsia" w:ascii="黑体" w:hAnsi="黑体" w:eastAsia="黑体" w:cs="黑体"/>
          <w:color w:val="auto"/>
          <w:kern w:val="0"/>
          <w:sz w:val="24"/>
          <w:szCs w:val="24"/>
          <w:highlight w:val="none"/>
          <w:lang w:val="en-US" w:eastAsia="zh-CN" w:bidi="ar-SA"/>
        </w:rPr>
        <w:t>①</w:t>
      </w:r>
      <w:r>
        <w:rPr>
          <w:rFonts w:hint="eastAsia" w:ascii="黑体" w:hAnsi="黑体" w:eastAsia="黑体" w:cs="黑体"/>
          <w:color w:val="auto"/>
          <w:kern w:val="0"/>
          <w:sz w:val="24"/>
          <w:szCs w:val="24"/>
          <w:highlight w:val="none"/>
          <w:lang w:val="en-US" w:eastAsia="zh-CN" w:bidi="ar-SA"/>
        </w:rPr>
        <w:fldChar w:fldCharType="end"/>
      </w:r>
      <w:r>
        <w:rPr>
          <w:rFonts w:hint="eastAsia" w:ascii="黑体" w:hAnsi="黑体" w:eastAsia="黑体" w:cs="黑体"/>
          <w:color w:val="auto"/>
          <w:kern w:val="0"/>
          <w:sz w:val="24"/>
          <w:szCs w:val="24"/>
          <w:highlight w:val="none"/>
          <w:lang w:val="en-US" w:eastAsia="zh-CN" w:bidi="ar-SA"/>
        </w:rPr>
        <w:t>施工流水作业横道图</w:t>
      </w:r>
    </w:p>
    <w:p w14:paraId="450B20ED">
      <w:pPr>
        <w:keepNext w:val="0"/>
        <w:keepLines w:val="0"/>
        <w:numPr>
          <w:ilvl w:val="0"/>
          <w:numId w:val="0"/>
        </w:numPr>
        <w:kinsoku/>
        <w:wordWrap/>
        <w:overflowPunct/>
        <w:topLinePunct w:val="0"/>
        <w:autoSpaceDE/>
        <w:autoSpaceDN/>
        <w:bidi w:val="0"/>
        <w:spacing w:line="360" w:lineRule="auto"/>
        <w:outlineLvl w:val="9"/>
        <w:rPr>
          <w:rFonts w:hint="eastAsia"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fldChar w:fldCharType="begin"/>
      </w:r>
      <w:r>
        <w:rPr>
          <w:rFonts w:hint="eastAsia" w:ascii="黑体" w:hAnsi="黑体" w:eastAsia="黑体" w:cs="黑体"/>
          <w:color w:val="auto"/>
          <w:kern w:val="0"/>
          <w:sz w:val="24"/>
          <w:szCs w:val="24"/>
          <w:highlight w:val="none"/>
          <w:lang w:val="en-US" w:eastAsia="zh-CN" w:bidi="ar-SA"/>
        </w:rPr>
        <w:instrText xml:space="preserve"> = 2 \* GB3 </w:instrText>
      </w:r>
      <w:r>
        <w:rPr>
          <w:rFonts w:hint="eastAsia" w:ascii="黑体" w:hAnsi="黑体" w:eastAsia="黑体" w:cs="黑体"/>
          <w:color w:val="auto"/>
          <w:kern w:val="0"/>
          <w:sz w:val="24"/>
          <w:szCs w:val="24"/>
          <w:highlight w:val="none"/>
          <w:lang w:val="en-US" w:eastAsia="zh-CN" w:bidi="ar-SA"/>
        </w:rPr>
        <w:fldChar w:fldCharType="separate"/>
      </w:r>
      <w:r>
        <w:rPr>
          <w:rFonts w:hint="eastAsia" w:ascii="黑体" w:hAnsi="黑体" w:eastAsia="黑体" w:cs="黑体"/>
          <w:color w:val="auto"/>
          <w:kern w:val="0"/>
          <w:sz w:val="24"/>
          <w:szCs w:val="24"/>
          <w:highlight w:val="none"/>
          <w:lang w:val="en-US" w:eastAsia="zh-CN" w:bidi="ar-SA"/>
        </w:rPr>
        <w:t>②</w:t>
      </w:r>
      <w:r>
        <w:rPr>
          <w:rFonts w:hint="eastAsia" w:ascii="黑体" w:hAnsi="黑体" w:eastAsia="黑体" w:cs="黑体"/>
          <w:color w:val="auto"/>
          <w:kern w:val="0"/>
          <w:sz w:val="24"/>
          <w:szCs w:val="24"/>
          <w:highlight w:val="none"/>
          <w:lang w:val="en-US" w:eastAsia="zh-CN" w:bidi="ar-SA"/>
        </w:rPr>
        <w:fldChar w:fldCharType="end"/>
      </w:r>
      <w:r>
        <w:rPr>
          <w:rFonts w:hint="eastAsia" w:ascii="黑体" w:hAnsi="黑体" w:eastAsia="黑体" w:cs="黑体"/>
          <w:color w:val="auto"/>
          <w:kern w:val="0"/>
          <w:sz w:val="24"/>
          <w:szCs w:val="24"/>
          <w:highlight w:val="none"/>
          <w:lang w:val="en-US" w:eastAsia="zh-CN" w:bidi="ar-SA"/>
        </w:rPr>
        <w:t>施工进度计划网络图</w:t>
      </w:r>
    </w:p>
    <w:p w14:paraId="1F95203C">
      <w:pPr>
        <w:keepNext w:val="0"/>
        <w:keepLines w:val="0"/>
        <w:numPr>
          <w:ilvl w:val="0"/>
          <w:numId w:val="0"/>
        </w:numPr>
        <w:kinsoku/>
        <w:wordWrap/>
        <w:overflowPunct/>
        <w:topLinePunct w:val="0"/>
        <w:autoSpaceDE/>
        <w:autoSpaceDN/>
        <w:bidi w:val="0"/>
        <w:spacing w:line="360" w:lineRule="auto"/>
        <w:outlineLvl w:val="9"/>
        <w:rPr>
          <w:rFonts w:hint="eastAsia"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上述两种图表，可选任意一种。</w:t>
      </w:r>
    </w:p>
    <w:p w14:paraId="5AB66FF2">
      <w:pPr>
        <w:keepNext w:val="0"/>
        <w:keepLines w:val="0"/>
        <w:numPr>
          <w:ilvl w:val="0"/>
          <w:numId w:val="0"/>
        </w:numPr>
        <w:kinsoku/>
        <w:wordWrap/>
        <w:overflowPunct/>
        <w:topLinePunct w:val="0"/>
        <w:autoSpaceDE/>
        <w:autoSpaceDN/>
        <w:bidi w:val="0"/>
        <w:spacing w:line="360" w:lineRule="auto"/>
        <w:outlineLvl w:val="9"/>
        <w:rPr>
          <w:rFonts w:hint="default"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5、施工质量管理计划：保证实现项目施工质量目标的管理计划，包括制定、实施、评价所需的组织机构，职责和程序以及采取的施工措施和资源配置等，主要包括以下内容：</w:t>
      </w:r>
    </w:p>
    <w:p w14:paraId="5E91757C">
      <w:pPr>
        <w:keepNext w:val="0"/>
        <w:keepLines w:val="0"/>
        <w:numPr>
          <w:ilvl w:val="0"/>
          <w:numId w:val="0"/>
        </w:numPr>
        <w:kinsoku/>
        <w:wordWrap/>
        <w:overflowPunct/>
        <w:topLinePunct w:val="0"/>
        <w:autoSpaceDE/>
        <w:autoSpaceDN/>
        <w:bidi w:val="0"/>
        <w:spacing w:line="360" w:lineRule="auto"/>
        <w:outlineLvl w:val="9"/>
        <w:rPr>
          <w:rFonts w:hint="eastAsia"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1）应制定具体的项目质量目标，质量目标应不低于合同明示的要求，质量目标应尽可能地量化和层层分解至最基层，建立阶段性目标；</w:t>
      </w:r>
    </w:p>
    <w:p w14:paraId="488D75FE">
      <w:pPr>
        <w:keepNext w:val="0"/>
        <w:keepLines w:val="0"/>
        <w:numPr>
          <w:ilvl w:val="0"/>
          <w:numId w:val="0"/>
        </w:numPr>
        <w:kinsoku/>
        <w:wordWrap/>
        <w:overflowPunct/>
        <w:topLinePunct w:val="0"/>
        <w:autoSpaceDE/>
        <w:autoSpaceDN/>
        <w:bidi w:val="0"/>
        <w:spacing w:line="360" w:lineRule="auto"/>
        <w:outlineLvl w:val="9"/>
        <w:rPr>
          <w:rFonts w:hint="default"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2）应明确质量管理组织机构中各重要岗位的职责，与质量有关的各岗位人员应具备与职责要求相匹配的相应知识、能力和经验；</w:t>
      </w:r>
    </w:p>
    <w:p w14:paraId="6C0F5136">
      <w:pPr>
        <w:keepNext w:val="0"/>
        <w:keepLines w:val="0"/>
        <w:numPr>
          <w:ilvl w:val="0"/>
          <w:numId w:val="0"/>
        </w:numPr>
        <w:kinsoku/>
        <w:wordWrap/>
        <w:overflowPunct/>
        <w:topLinePunct w:val="0"/>
        <w:autoSpaceDE/>
        <w:autoSpaceDN/>
        <w:bidi w:val="0"/>
        <w:spacing w:line="360" w:lineRule="auto"/>
        <w:outlineLvl w:val="9"/>
        <w:rPr>
          <w:rFonts w:hint="default"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3）应采取各种有效措施，确保项目质量目标的实现，这些措施包括但不局限于：原材料、构配件、机具的要求和检验，主要的施工工艺、主要的质量标准和检验方法，做好季节性施工的技术措施，关键过程、特殊过程、重点工序的质量保证措施，成品、半成品的保护措施，工作场所环境以及劳动力和资金保障措施；</w:t>
      </w:r>
    </w:p>
    <w:p w14:paraId="1725AC06">
      <w:pPr>
        <w:keepNext w:val="0"/>
        <w:keepLines w:val="0"/>
        <w:numPr>
          <w:ilvl w:val="0"/>
          <w:numId w:val="0"/>
        </w:numPr>
        <w:kinsoku/>
        <w:wordWrap/>
        <w:overflowPunct/>
        <w:topLinePunct w:val="0"/>
        <w:autoSpaceDE/>
        <w:autoSpaceDN/>
        <w:bidi w:val="0"/>
        <w:spacing w:line="360" w:lineRule="auto"/>
        <w:outlineLvl w:val="9"/>
        <w:rPr>
          <w:rFonts w:hint="default"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4）按质量管理的八项原则中的过程方法要求，将各项活动和相关资源作为过程进行管理，建立质量过程检查、验收以及质量责任制等相关制度，对质量检查和验收标准做出规定，采购有效的纠正和预防措施，保障各工序和过程的质量。</w:t>
      </w:r>
    </w:p>
    <w:p w14:paraId="0BE32EB9">
      <w:pPr>
        <w:keepNext w:val="0"/>
        <w:keepLines w:val="0"/>
        <w:numPr>
          <w:ilvl w:val="0"/>
          <w:numId w:val="0"/>
        </w:numPr>
        <w:kinsoku/>
        <w:wordWrap/>
        <w:overflowPunct/>
        <w:topLinePunct w:val="0"/>
        <w:autoSpaceDE/>
        <w:autoSpaceDN/>
        <w:bidi w:val="0"/>
        <w:spacing w:line="360" w:lineRule="auto"/>
        <w:outlineLvl w:val="9"/>
        <w:rPr>
          <w:rFonts w:hint="eastAsia"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6、施工安全管理计划：包括制定、实施、评价所需的组织机构，职责和程序以及采取的施工措施和资源配置等；安全管理计划应针对项目具体情况，建立安全管理组织、制定相应的管理目标、管理制度、管理控制措施和应急预案等。</w:t>
      </w:r>
    </w:p>
    <w:p w14:paraId="414F5DD1">
      <w:pPr>
        <w:keepNext w:val="0"/>
        <w:keepLines w:val="0"/>
        <w:numPr>
          <w:ilvl w:val="0"/>
          <w:numId w:val="0"/>
        </w:numPr>
        <w:kinsoku/>
        <w:wordWrap/>
        <w:overflowPunct/>
        <w:topLinePunct w:val="0"/>
        <w:autoSpaceDE/>
        <w:autoSpaceDN/>
        <w:bidi w:val="0"/>
        <w:spacing w:line="360" w:lineRule="auto"/>
        <w:outlineLvl w:val="9"/>
        <w:rPr>
          <w:rFonts w:hint="eastAsia"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1）确定项目重要危险源，制定项目职业健康安全管理目标；</w:t>
      </w:r>
    </w:p>
    <w:p w14:paraId="1D915DDE">
      <w:pPr>
        <w:keepNext w:val="0"/>
        <w:keepLines w:val="0"/>
        <w:numPr>
          <w:ilvl w:val="0"/>
          <w:numId w:val="0"/>
        </w:numPr>
        <w:kinsoku/>
        <w:wordWrap/>
        <w:overflowPunct/>
        <w:topLinePunct w:val="0"/>
        <w:autoSpaceDE/>
        <w:autoSpaceDN/>
        <w:bidi w:val="0"/>
        <w:spacing w:line="360" w:lineRule="auto"/>
        <w:outlineLvl w:val="9"/>
        <w:rPr>
          <w:rFonts w:hint="eastAsia"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2）建立有管理层次的项目安全组织机构并明确职责；</w:t>
      </w:r>
    </w:p>
    <w:p w14:paraId="60CB022B">
      <w:pPr>
        <w:keepNext w:val="0"/>
        <w:keepLines w:val="0"/>
        <w:numPr>
          <w:ilvl w:val="0"/>
          <w:numId w:val="0"/>
        </w:numPr>
        <w:kinsoku/>
        <w:wordWrap/>
        <w:overflowPunct/>
        <w:topLinePunct w:val="0"/>
        <w:autoSpaceDE/>
        <w:autoSpaceDN/>
        <w:bidi w:val="0"/>
        <w:spacing w:line="360" w:lineRule="auto"/>
        <w:outlineLvl w:val="9"/>
        <w:rPr>
          <w:rFonts w:hint="eastAsia"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3）根据项目特点，进行职业健康安全方面的资源配置；</w:t>
      </w:r>
    </w:p>
    <w:p w14:paraId="335809B3">
      <w:pPr>
        <w:keepNext w:val="0"/>
        <w:keepLines w:val="0"/>
        <w:numPr>
          <w:ilvl w:val="0"/>
          <w:numId w:val="0"/>
        </w:numPr>
        <w:kinsoku/>
        <w:wordWrap/>
        <w:overflowPunct/>
        <w:topLinePunct w:val="0"/>
        <w:autoSpaceDE/>
        <w:autoSpaceDN/>
        <w:bidi w:val="0"/>
        <w:spacing w:line="360" w:lineRule="auto"/>
        <w:outlineLvl w:val="9"/>
        <w:rPr>
          <w:rFonts w:hint="eastAsia"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4）建立具有针对性的安全生产管理制度和职工安全教育培训制度；</w:t>
      </w:r>
    </w:p>
    <w:p w14:paraId="55156D40">
      <w:pPr>
        <w:keepNext w:val="0"/>
        <w:keepLines w:val="0"/>
        <w:numPr>
          <w:ilvl w:val="0"/>
          <w:numId w:val="0"/>
        </w:numPr>
        <w:kinsoku/>
        <w:wordWrap/>
        <w:overflowPunct/>
        <w:topLinePunct w:val="0"/>
        <w:autoSpaceDE/>
        <w:autoSpaceDN/>
        <w:bidi w:val="0"/>
        <w:spacing w:line="360" w:lineRule="auto"/>
        <w:outlineLvl w:val="9"/>
        <w:rPr>
          <w:rFonts w:hint="eastAsia"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5）针对项目重要危险源，制定相应的安全技术措施；对达到一定规模的危险性较大的分部分项工程应制定专项安全技术措施的编制计划；</w:t>
      </w:r>
    </w:p>
    <w:p w14:paraId="6DC458A1">
      <w:pPr>
        <w:keepNext w:val="0"/>
        <w:keepLines w:val="0"/>
        <w:numPr>
          <w:ilvl w:val="0"/>
          <w:numId w:val="0"/>
        </w:numPr>
        <w:kinsoku/>
        <w:wordWrap/>
        <w:overflowPunct/>
        <w:topLinePunct w:val="0"/>
        <w:autoSpaceDE/>
        <w:autoSpaceDN/>
        <w:bidi w:val="0"/>
        <w:spacing w:line="360" w:lineRule="auto"/>
        <w:outlineLvl w:val="9"/>
        <w:rPr>
          <w:rFonts w:hint="default"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6）根据季节、气候的变化，制定相应的季节性安全施工措施；</w:t>
      </w:r>
    </w:p>
    <w:p w14:paraId="19914382">
      <w:pPr>
        <w:keepNext w:val="0"/>
        <w:keepLines w:val="0"/>
        <w:numPr>
          <w:ilvl w:val="0"/>
          <w:numId w:val="0"/>
        </w:numPr>
        <w:kinsoku/>
        <w:wordWrap/>
        <w:overflowPunct/>
        <w:topLinePunct w:val="0"/>
        <w:autoSpaceDE/>
        <w:autoSpaceDN/>
        <w:bidi w:val="0"/>
        <w:spacing w:line="360" w:lineRule="auto"/>
        <w:outlineLvl w:val="9"/>
        <w:rPr>
          <w:rFonts w:hint="default"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7）建立现场安全检查制度，并对安全事故的处理做出相应的规定；</w:t>
      </w:r>
    </w:p>
    <w:p w14:paraId="3D3003DE">
      <w:pPr>
        <w:keepNext w:val="0"/>
        <w:keepLines w:val="0"/>
        <w:numPr>
          <w:ilvl w:val="0"/>
          <w:numId w:val="0"/>
        </w:numPr>
        <w:kinsoku/>
        <w:wordWrap/>
        <w:overflowPunct/>
        <w:topLinePunct w:val="0"/>
        <w:autoSpaceDE/>
        <w:autoSpaceDN/>
        <w:bidi w:val="0"/>
        <w:spacing w:line="360" w:lineRule="auto"/>
        <w:outlineLvl w:val="9"/>
        <w:rPr>
          <w:rFonts w:hint="eastAsia"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8）现场安全管理应符合国家和地方政府的规定和要求。</w:t>
      </w:r>
    </w:p>
    <w:p w14:paraId="6DD90650">
      <w:pPr>
        <w:keepNext w:val="0"/>
        <w:keepLines w:val="0"/>
        <w:numPr>
          <w:ilvl w:val="0"/>
          <w:numId w:val="0"/>
        </w:numPr>
        <w:kinsoku/>
        <w:wordWrap/>
        <w:overflowPunct/>
        <w:topLinePunct w:val="0"/>
        <w:autoSpaceDE/>
        <w:autoSpaceDN/>
        <w:bidi w:val="0"/>
        <w:spacing w:line="360" w:lineRule="auto"/>
        <w:outlineLvl w:val="9"/>
        <w:rPr>
          <w:rFonts w:hint="default"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7、现场环境管理计划：保证实现项目施工环境目标的管理计划。主要包括以下内容：</w:t>
      </w:r>
    </w:p>
    <w:p w14:paraId="2EB7F0A4">
      <w:pPr>
        <w:keepNext w:val="0"/>
        <w:keepLines w:val="0"/>
        <w:numPr>
          <w:ilvl w:val="0"/>
          <w:numId w:val="0"/>
        </w:numPr>
        <w:kinsoku/>
        <w:wordWrap/>
        <w:overflowPunct/>
        <w:topLinePunct w:val="0"/>
        <w:autoSpaceDE/>
        <w:autoSpaceDN/>
        <w:bidi w:val="0"/>
        <w:spacing w:line="360" w:lineRule="auto"/>
        <w:outlineLvl w:val="9"/>
        <w:rPr>
          <w:rFonts w:hint="eastAsia"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1）确定项目重要环境因素，制定项目环境管理目标；</w:t>
      </w:r>
    </w:p>
    <w:p w14:paraId="1308D08C">
      <w:pPr>
        <w:keepNext w:val="0"/>
        <w:keepLines w:val="0"/>
        <w:numPr>
          <w:ilvl w:val="0"/>
          <w:numId w:val="0"/>
        </w:numPr>
        <w:kinsoku/>
        <w:wordWrap/>
        <w:overflowPunct/>
        <w:topLinePunct w:val="0"/>
        <w:autoSpaceDE/>
        <w:autoSpaceDN/>
        <w:bidi w:val="0"/>
        <w:spacing w:line="360" w:lineRule="auto"/>
        <w:outlineLvl w:val="9"/>
        <w:rPr>
          <w:rFonts w:hint="eastAsia"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2）建立项目环境管理的组织机构并明确职责；</w:t>
      </w:r>
    </w:p>
    <w:p w14:paraId="1DA276EE">
      <w:pPr>
        <w:keepNext w:val="0"/>
        <w:keepLines w:val="0"/>
        <w:numPr>
          <w:ilvl w:val="0"/>
          <w:numId w:val="0"/>
        </w:numPr>
        <w:kinsoku/>
        <w:wordWrap/>
        <w:overflowPunct/>
        <w:topLinePunct w:val="0"/>
        <w:autoSpaceDE/>
        <w:autoSpaceDN/>
        <w:bidi w:val="0"/>
        <w:spacing w:line="360" w:lineRule="auto"/>
        <w:outlineLvl w:val="9"/>
        <w:rPr>
          <w:rFonts w:hint="eastAsia"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3）根据项目特点，进行环境保护方面的资源配置；</w:t>
      </w:r>
    </w:p>
    <w:p w14:paraId="26D7E9B1">
      <w:pPr>
        <w:keepNext w:val="0"/>
        <w:keepLines w:val="0"/>
        <w:numPr>
          <w:ilvl w:val="0"/>
          <w:numId w:val="0"/>
        </w:numPr>
        <w:kinsoku/>
        <w:wordWrap/>
        <w:overflowPunct/>
        <w:topLinePunct w:val="0"/>
        <w:autoSpaceDE/>
        <w:autoSpaceDN/>
        <w:bidi w:val="0"/>
        <w:spacing w:line="360" w:lineRule="auto"/>
        <w:outlineLvl w:val="9"/>
        <w:rPr>
          <w:rFonts w:hint="eastAsia"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4）制定现场环境保护的控制措施；</w:t>
      </w:r>
    </w:p>
    <w:p w14:paraId="48FBB09D">
      <w:pPr>
        <w:keepNext w:val="0"/>
        <w:keepLines w:val="0"/>
        <w:numPr>
          <w:ilvl w:val="0"/>
          <w:numId w:val="0"/>
        </w:numPr>
        <w:kinsoku/>
        <w:wordWrap/>
        <w:overflowPunct/>
        <w:topLinePunct w:val="0"/>
        <w:autoSpaceDE/>
        <w:autoSpaceDN/>
        <w:bidi w:val="0"/>
        <w:spacing w:line="360" w:lineRule="auto"/>
        <w:outlineLvl w:val="9"/>
        <w:rPr>
          <w:rFonts w:hint="eastAsia"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5）建立现场环境检查制度，并对环境事故的处理作出规定；</w:t>
      </w:r>
    </w:p>
    <w:p w14:paraId="0B695799">
      <w:pPr>
        <w:keepNext w:val="0"/>
        <w:keepLines w:val="0"/>
        <w:numPr>
          <w:ilvl w:val="0"/>
          <w:numId w:val="0"/>
        </w:numPr>
        <w:kinsoku/>
        <w:wordWrap/>
        <w:overflowPunct/>
        <w:topLinePunct w:val="0"/>
        <w:autoSpaceDE/>
        <w:autoSpaceDN/>
        <w:bidi w:val="0"/>
        <w:spacing w:line="360" w:lineRule="auto"/>
        <w:outlineLvl w:val="9"/>
        <w:rPr>
          <w:rFonts w:hint="eastAsia"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8、技术重点、难点解决方案： 结合工程实际情况，列出本工程的施工过程中的重点和难点问题，进行施工安排并简述主要管理和技术措施。</w:t>
      </w:r>
    </w:p>
    <w:p w14:paraId="6FCEBCBE">
      <w:pPr>
        <w:keepNext w:val="0"/>
        <w:keepLines w:val="0"/>
        <w:numPr>
          <w:ilvl w:val="0"/>
          <w:numId w:val="0"/>
        </w:numPr>
        <w:kinsoku/>
        <w:wordWrap/>
        <w:overflowPunct/>
        <w:topLinePunct w:val="0"/>
        <w:autoSpaceDE/>
        <w:autoSpaceDN/>
        <w:bidi w:val="0"/>
        <w:spacing w:line="360" w:lineRule="auto"/>
        <w:outlineLvl w:val="9"/>
        <w:rPr>
          <w:rFonts w:hint="default"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9、工程保修计划：依据采购单位的要求，结合本项目的实际特点，有针对性地编制工程质量保修计划，主要包括保修范围、保修内容、保修期限等内容。</w:t>
      </w:r>
    </w:p>
    <w:p w14:paraId="0673E254">
      <w:pPr>
        <w:keepNext w:val="0"/>
        <w:keepLines w:val="0"/>
        <w:numPr>
          <w:ilvl w:val="0"/>
          <w:numId w:val="0"/>
        </w:numPr>
        <w:kinsoku/>
        <w:wordWrap/>
        <w:overflowPunct/>
        <w:topLinePunct w:val="0"/>
        <w:autoSpaceDE/>
        <w:autoSpaceDN/>
        <w:bidi w:val="0"/>
        <w:spacing w:line="360" w:lineRule="auto"/>
        <w:outlineLvl w:val="9"/>
        <w:rPr>
          <w:rFonts w:hint="eastAsia"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（六）投标报价要求</w:t>
      </w:r>
    </w:p>
    <w:p w14:paraId="600A78FE">
      <w:pPr>
        <w:keepNext w:val="0"/>
        <w:keepLines w:val="0"/>
        <w:numPr>
          <w:ilvl w:val="0"/>
          <w:numId w:val="0"/>
        </w:numPr>
        <w:kinsoku/>
        <w:wordWrap/>
        <w:overflowPunct/>
        <w:topLinePunct w:val="0"/>
        <w:autoSpaceDE/>
        <w:autoSpaceDN/>
        <w:bidi w:val="0"/>
        <w:spacing w:line="360" w:lineRule="auto"/>
        <w:outlineLvl w:val="9"/>
        <w:rPr>
          <w:rFonts w:hint="eastAsia"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1、投标人的报价应为所确定的招标范围内的全部工作内容的价格体现。</w:t>
      </w:r>
    </w:p>
    <w:p w14:paraId="17529C2D">
      <w:pPr>
        <w:keepNext w:val="0"/>
        <w:keepLines w:val="0"/>
        <w:numPr>
          <w:ilvl w:val="0"/>
          <w:numId w:val="0"/>
        </w:numPr>
        <w:kinsoku/>
        <w:wordWrap/>
        <w:overflowPunct/>
        <w:topLinePunct w:val="0"/>
        <w:autoSpaceDE/>
        <w:autoSpaceDN/>
        <w:bidi w:val="0"/>
        <w:spacing w:line="360" w:lineRule="auto"/>
        <w:outlineLvl w:val="9"/>
        <w:rPr>
          <w:rFonts w:hint="eastAsia"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2、工程报价方式：工程量清单</w:t>
      </w:r>
    </w:p>
    <w:p w14:paraId="4C6CB339">
      <w:pPr>
        <w:keepNext w:val="0"/>
        <w:keepLines w:val="0"/>
        <w:numPr>
          <w:ilvl w:val="0"/>
          <w:numId w:val="0"/>
        </w:numPr>
        <w:kinsoku/>
        <w:wordWrap/>
        <w:overflowPunct/>
        <w:topLinePunct w:val="0"/>
        <w:autoSpaceDE/>
        <w:autoSpaceDN/>
        <w:bidi w:val="0"/>
        <w:spacing w:line="360" w:lineRule="auto"/>
        <w:outlineLvl w:val="9"/>
        <w:rPr>
          <w:rFonts w:hint="eastAsia"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3、竞争性磋商报价以二次最终报价为准。</w:t>
      </w:r>
    </w:p>
    <w:p w14:paraId="352B19CC">
      <w:pPr>
        <w:keepNext w:val="0"/>
        <w:keepLines w:val="0"/>
        <w:kinsoku/>
        <w:wordWrap/>
        <w:overflowPunct/>
        <w:topLinePunct w:val="0"/>
        <w:autoSpaceDE/>
        <w:autoSpaceDN/>
        <w:bidi w:val="0"/>
        <w:spacing w:line="360" w:lineRule="auto"/>
        <w:outlineLvl w:val="9"/>
        <w:rPr>
          <w:rFonts w:hint="eastAsia" w:ascii="黑体" w:hAnsi="黑体" w:eastAsia="黑体" w:cs="黑体"/>
          <w:b/>
          <w:bCs/>
          <w:color w:val="auto"/>
          <w:sz w:val="24"/>
          <w:szCs w:val="32"/>
          <w:highlight w:val="none"/>
          <w:lang w:val="en-US" w:eastAsia="zh-CN"/>
        </w:rPr>
      </w:pPr>
      <w:r>
        <w:rPr>
          <w:rFonts w:hint="eastAsia" w:ascii="黑体" w:hAnsi="黑体" w:eastAsia="黑体" w:cs="黑体"/>
          <w:b/>
          <w:bCs/>
          <w:color w:val="auto"/>
          <w:sz w:val="24"/>
          <w:szCs w:val="32"/>
          <w:highlight w:val="none"/>
          <w:lang w:val="en-US" w:eastAsia="zh-CN"/>
        </w:rPr>
        <w:t>二、主要商务要求如下：</w:t>
      </w:r>
    </w:p>
    <w:p w14:paraId="4AB0DF92">
      <w:pPr>
        <w:keepNext w:val="0"/>
        <w:keepLines w:val="0"/>
        <w:kinsoku/>
        <w:wordWrap/>
        <w:overflowPunct/>
        <w:topLinePunct w:val="0"/>
        <w:autoSpaceDE/>
        <w:autoSpaceDN/>
        <w:bidi w:val="0"/>
        <w:spacing w:line="360" w:lineRule="auto"/>
        <w:outlineLvl w:val="9"/>
        <w:rPr>
          <w:rFonts w:hint="default" w:ascii="黑体" w:hAnsi="黑体" w:eastAsia="黑体" w:cs="黑体"/>
          <w:b w:val="0"/>
          <w:bCs w:val="0"/>
          <w:color w:val="auto"/>
          <w:sz w:val="24"/>
          <w:szCs w:val="32"/>
          <w:lang w:val="en-US" w:eastAsia="zh-CN"/>
        </w:rPr>
      </w:pPr>
      <w:r>
        <w:rPr>
          <w:rFonts w:hint="default" w:ascii="Times New Roman" w:hAnsi="Times New Roman" w:eastAsia="宋体" w:cs="Times New Roman"/>
          <w:b w:val="0"/>
          <w:bCs w:val="0"/>
          <w:color w:val="auto"/>
          <w:kern w:val="2"/>
          <w:sz w:val="24"/>
          <w:szCs w:val="32"/>
          <w:highlight w:val="none"/>
          <w:lang w:val="en-US" w:eastAsia="zh-CN" w:bidi="ar-SA"/>
        </w:rPr>
        <w:t>1</w:t>
      </w:r>
      <w:r>
        <w:rPr>
          <w:rFonts w:hint="default" w:ascii="黑体" w:hAnsi="黑体" w:eastAsia="黑体" w:cs="黑体"/>
          <w:b w:val="0"/>
          <w:bCs w:val="0"/>
          <w:color w:val="auto"/>
          <w:sz w:val="24"/>
          <w:szCs w:val="32"/>
          <w:lang w:val="en-US" w:eastAsia="zh-CN"/>
        </w:rPr>
        <w:t>、合同履行期限：自签订合同后90日历天完成；（具体以签订合同为准）</w:t>
      </w:r>
    </w:p>
    <w:p w14:paraId="15718351">
      <w:pPr>
        <w:keepNext w:val="0"/>
        <w:keepLines w:val="0"/>
        <w:kinsoku/>
        <w:wordWrap/>
        <w:overflowPunct/>
        <w:topLinePunct w:val="0"/>
        <w:autoSpaceDE/>
        <w:autoSpaceDN/>
        <w:bidi w:val="0"/>
        <w:spacing w:line="360" w:lineRule="auto"/>
        <w:outlineLvl w:val="9"/>
        <w:rPr>
          <w:rFonts w:hint="default" w:ascii="黑体" w:hAnsi="黑体" w:eastAsia="黑体" w:cs="黑体"/>
          <w:b w:val="0"/>
          <w:bCs w:val="0"/>
          <w:color w:val="auto"/>
          <w:sz w:val="24"/>
          <w:szCs w:val="32"/>
          <w:lang w:val="en-US" w:eastAsia="zh-CN"/>
        </w:rPr>
      </w:pPr>
      <w:r>
        <w:rPr>
          <w:rFonts w:hint="eastAsia" w:ascii="黑体" w:hAnsi="黑体" w:eastAsia="黑体" w:cs="黑体"/>
          <w:b w:val="0"/>
          <w:bCs w:val="0"/>
          <w:color w:val="auto"/>
          <w:sz w:val="24"/>
          <w:szCs w:val="32"/>
          <w:lang w:val="en-US" w:eastAsia="zh-CN"/>
        </w:rPr>
        <w:t>2</w:t>
      </w:r>
      <w:r>
        <w:rPr>
          <w:rFonts w:hint="default" w:ascii="黑体" w:hAnsi="黑体" w:eastAsia="黑体" w:cs="黑体"/>
          <w:b w:val="0"/>
          <w:bCs w:val="0"/>
          <w:color w:val="auto"/>
          <w:sz w:val="24"/>
          <w:szCs w:val="32"/>
          <w:lang w:val="en-US" w:eastAsia="zh-CN"/>
        </w:rPr>
        <w:t>、付款方式：预付款30%，剩余工程款按实际工程进度支付</w:t>
      </w:r>
      <w:r>
        <w:rPr>
          <w:rFonts w:hint="eastAsia" w:ascii="黑体" w:hAnsi="黑体" w:eastAsia="黑体" w:cs="黑体"/>
          <w:b w:val="0"/>
          <w:bCs w:val="0"/>
          <w:color w:val="auto"/>
          <w:sz w:val="24"/>
          <w:szCs w:val="32"/>
          <w:lang w:val="en-US" w:eastAsia="zh-CN"/>
        </w:rPr>
        <w:t>，审核后支付至审定价的100%。（具体以签订合同为准）</w:t>
      </w:r>
    </w:p>
    <w:p w14:paraId="5745E3EE">
      <w:pPr>
        <w:keepNext w:val="0"/>
        <w:keepLines w:val="0"/>
        <w:kinsoku/>
        <w:wordWrap/>
        <w:overflowPunct/>
        <w:topLinePunct w:val="0"/>
        <w:autoSpaceDE/>
        <w:autoSpaceDN/>
        <w:bidi w:val="0"/>
        <w:spacing w:line="360" w:lineRule="auto"/>
        <w:outlineLvl w:val="9"/>
        <w:rPr>
          <w:rFonts w:hint="eastAsia" w:ascii="黑体" w:hAnsi="黑体" w:eastAsia="黑体" w:cs="黑体"/>
          <w:b w:val="0"/>
          <w:bCs w:val="0"/>
          <w:color w:val="auto"/>
          <w:sz w:val="24"/>
          <w:szCs w:val="32"/>
          <w:lang w:val="en-US" w:eastAsia="zh-CN"/>
        </w:rPr>
      </w:pPr>
      <w:r>
        <w:rPr>
          <w:rFonts w:hint="eastAsia" w:ascii="黑体" w:hAnsi="黑体" w:eastAsia="黑体" w:cs="黑体"/>
          <w:b w:val="0"/>
          <w:bCs w:val="0"/>
          <w:color w:val="auto"/>
          <w:sz w:val="24"/>
          <w:szCs w:val="32"/>
          <w:lang w:val="en-US" w:eastAsia="zh-CN"/>
        </w:rPr>
        <w:t>3.</w:t>
      </w:r>
      <w:r>
        <w:rPr>
          <w:rFonts w:hint="default" w:ascii="黑体" w:hAnsi="黑体" w:eastAsia="黑体" w:cs="黑体"/>
          <w:b w:val="0"/>
          <w:bCs w:val="0"/>
          <w:color w:val="auto"/>
          <w:sz w:val="24"/>
          <w:szCs w:val="32"/>
          <w:lang w:val="en-US" w:eastAsia="zh-CN"/>
        </w:rPr>
        <w:t>质量要求：合格</w:t>
      </w:r>
      <w:r>
        <w:rPr>
          <w:rFonts w:hint="eastAsia" w:ascii="黑体" w:hAnsi="黑体" w:eastAsia="黑体" w:cs="黑体"/>
          <w:b w:val="0"/>
          <w:bCs w:val="0"/>
          <w:color w:val="auto"/>
          <w:sz w:val="24"/>
          <w:szCs w:val="32"/>
          <w:lang w:val="en-US" w:eastAsia="zh-CN"/>
        </w:rPr>
        <w:t>。</w:t>
      </w:r>
    </w:p>
    <w:p w14:paraId="6F1975FA">
      <w:pPr>
        <w:pStyle w:val="27"/>
        <w:spacing w:line="360" w:lineRule="auto"/>
        <w:rPr>
          <w:rFonts w:hint="default"/>
          <w:lang w:val="en-US" w:eastAsia="zh-CN"/>
        </w:rPr>
      </w:pPr>
      <w:r>
        <w:rPr>
          <w:rFonts w:hint="eastAsia" w:ascii="黑体" w:hAnsi="黑体" w:eastAsia="黑体" w:cs="黑体"/>
          <w:b w:val="0"/>
          <w:bCs w:val="0"/>
          <w:color w:val="auto"/>
          <w:sz w:val="24"/>
          <w:szCs w:val="32"/>
          <w:lang w:val="en-US" w:eastAsia="zh-CN"/>
        </w:rPr>
        <w:t>4.质保期：一年</w:t>
      </w:r>
    </w:p>
    <w:p w14:paraId="72AF6EFF">
      <w:pPr>
        <w:keepNext w:val="0"/>
        <w:keepLines w:val="0"/>
        <w:kinsoku/>
        <w:wordWrap/>
        <w:overflowPunct/>
        <w:topLinePunct w:val="0"/>
        <w:autoSpaceDE/>
        <w:autoSpaceDN/>
        <w:bidi w:val="0"/>
        <w:spacing w:line="360" w:lineRule="auto"/>
        <w:outlineLvl w:val="9"/>
        <w:rPr>
          <w:rFonts w:hint="default" w:ascii="黑体" w:hAnsi="黑体" w:eastAsia="黑体" w:cs="黑体"/>
          <w:b w:val="0"/>
          <w:bCs w:val="0"/>
          <w:color w:val="FF0000"/>
          <w:sz w:val="24"/>
          <w:szCs w:val="32"/>
          <w:lang w:val="en-US" w:eastAsia="zh-CN"/>
        </w:rPr>
      </w:pPr>
      <w:r>
        <w:rPr>
          <w:rFonts w:hint="eastAsia" w:ascii="黑体" w:hAnsi="黑体" w:eastAsia="黑体" w:cs="黑体"/>
          <w:b w:val="0"/>
          <w:bCs w:val="0"/>
          <w:color w:val="auto"/>
          <w:sz w:val="24"/>
          <w:szCs w:val="32"/>
          <w:lang w:val="en-US" w:eastAsia="zh-CN"/>
        </w:rPr>
        <w:t>4.</w:t>
      </w:r>
      <w:r>
        <w:rPr>
          <w:rFonts w:hint="default" w:ascii="黑体" w:hAnsi="黑体" w:eastAsia="黑体" w:cs="黑体"/>
          <w:b w:val="0"/>
          <w:bCs w:val="0"/>
          <w:color w:val="auto"/>
          <w:sz w:val="24"/>
          <w:szCs w:val="32"/>
          <w:lang w:val="en-US" w:eastAsia="zh-CN"/>
        </w:rPr>
        <w:t>验收单位：</w:t>
      </w:r>
      <w:r>
        <w:rPr>
          <w:rFonts w:hint="eastAsia" w:ascii="黑体" w:hAnsi="黑体" w:eastAsia="黑体" w:cs="黑体"/>
          <w:b w:val="0"/>
          <w:bCs w:val="0"/>
          <w:color w:val="auto"/>
          <w:sz w:val="24"/>
          <w:szCs w:val="32"/>
          <w:lang w:val="en-US" w:eastAsia="zh-CN"/>
        </w:rPr>
        <w:t>伽师县水利局（伽师县水管总站）</w:t>
      </w:r>
      <w:r>
        <w:rPr>
          <w:rFonts w:hint="default" w:ascii="黑体" w:hAnsi="黑体" w:eastAsia="黑体" w:cs="黑体"/>
          <w:b w:val="0"/>
          <w:bCs w:val="0"/>
          <w:color w:val="auto"/>
          <w:sz w:val="24"/>
          <w:szCs w:val="32"/>
          <w:lang w:val="en-US" w:eastAsia="zh-CN"/>
        </w:rPr>
        <w:t>及相关单位</w:t>
      </w:r>
      <w:r>
        <w:rPr>
          <w:rFonts w:hint="eastAsia" w:ascii="黑体" w:hAnsi="黑体" w:eastAsia="黑体" w:cs="黑体"/>
          <w:b w:val="0"/>
          <w:bCs w:val="0"/>
          <w:color w:val="auto"/>
          <w:sz w:val="24"/>
          <w:szCs w:val="32"/>
          <w:lang w:val="en-US" w:eastAsia="zh-CN"/>
        </w:rPr>
        <w:t>。</w:t>
      </w:r>
    </w:p>
    <w:p w14:paraId="409E8221">
      <w:pPr>
        <w:pStyle w:val="27"/>
        <w:rPr>
          <w:rFonts w:hint="eastAsia"/>
          <w:lang w:val="en-US" w:eastAsia="zh-CN"/>
        </w:rPr>
      </w:pPr>
    </w:p>
    <w:p w14:paraId="0C726630">
      <w:pPr>
        <w:pStyle w:val="11"/>
        <w:ind w:left="0" w:leftChars="0" w:firstLine="0" w:firstLineChars="0"/>
        <w:rPr>
          <w:rFonts w:hint="eastAsia" w:ascii="黑体" w:hAnsi="黑体" w:eastAsia="黑体" w:cs="黑体"/>
          <w:color w:val="auto"/>
        </w:rPr>
      </w:pPr>
    </w:p>
    <w:p w14:paraId="59850B1D">
      <w:pPr>
        <w:rPr>
          <w:rFonts w:hint="eastAsia" w:ascii="黑体" w:hAnsi="黑体" w:eastAsia="黑体" w:cs="黑体"/>
          <w:color w:val="auto"/>
        </w:rPr>
      </w:pPr>
    </w:p>
    <w:p w14:paraId="4D90ADD1">
      <w:pPr>
        <w:rPr>
          <w:rFonts w:hint="eastAsia" w:ascii="黑体" w:hAnsi="黑体" w:eastAsia="黑体" w:cs="黑体"/>
          <w:color w:val="auto"/>
        </w:rPr>
      </w:pPr>
      <w:r>
        <w:rPr>
          <w:rFonts w:hint="eastAsia" w:ascii="黑体" w:hAnsi="黑体" w:eastAsia="黑体" w:cs="黑体"/>
          <w:color w:val="auto"/>
        </w:rPr>
        <w:br w:type="page"/>
      </w:r>
    </w:p>
    <w:p w14:paraId="480B9141">
      <w:pPr>
        <w:pStyle w:val="5"/>
        <w:tabs>
          <w:tab w:val="left" w:pos="0"/>
        </w:tabs>
        <w:spacing w:before="0" w:after="0" w:line="240" w:lineRule="auto"/>
        <w:jc w:val="center"/>
        <w:rPr>
          <w:rFonts w:hint="eastAsia" w:ascii="黑体" w:hAnsi="黑体" w:eastAsia="黑体" w:cs="黑体"/>
          <w:b/>
          <w:color w:val="auto"/>
          <w:sz w:val="28"/>
          <w:szCs w:val="28"/>
        </w:rPr>
      </w:pPr>
      <w:bookmarkStart w:id="364" w:name="_Toc23671"/>
      <w:r>
        <w:rPr>
          <w:rFonts w:hint="eastAsia" w:ascii="黑体" w:hAnsi="黑体" w:eastAsia="黑体" w:cs="黑体"/>
          <w:color w:val="auto"/>
          <w:sz w:val="28"/>
          <w:szCs w:val="28"/>
        </w:rPr>
        <w:t>第</w:t>
      </w:r>
      <w:r>
        <w:rPr>
          <w:rFonts w:hint="eastAsia" w:ascii="黑体" w:hAnsi="黑体" w:eastAsia="黑体" w:cs="黑体"/>
          <w:color w:val="auto"/>
          <w:sz w:val="28"/>
          <w:szCs w:val="28"/>
          <w:lang w:val="en-US" w:eastAsia="zh-CN"/>
        </w:rPr>
        <w:t>六</w:t>
      </w:r>
      <w:r>
        <w:rPr>
          <w:rFonts w:hint="eastAsia" w:ascii="黑体" w:hAnsi="黑体" w:eastAsia="黑体" w:cs="黑体"/>
          <w:color w:val="auto"/>
          <w:sz w:val="28"/>
          <w:szCs w:val="28"/>
        </w:rPr>
        <w:t xml:space="preserve">章  </w:t>
      </w:r>
      <w:bookmarkStart w:id="365" w:name="_Toc32647"/>
      <w:bookmarkStart w:id="366" w:name="_Toc7971"/>
      <w:bookmarkStart w:id="367" w:name="_Toc23331"/>
      <w:bookmarkStart w:id="368" w:name="_Toc515647832"/>
      <w:r>
        <w:rPr>
          <w:rFonts w:hint="eastAsia" w:ascii="黑体" w:hAnsi="黑体" w:eastAsia="黑体" w:cs="黑体"/>
          <w:color w:val="auto"/>
          <w:sz w:val="28"/>
          <w:szCs w:val="28"/>
        </w:rPr>
        <w:t>评</w:t>
      </w:r>
      <w:r>
        <w:rPr>
          <w:rFonts w:hint="eastAsia" w:ascii="黑体" w:hAnsi="黑体" w:eastAsia="黑体" w:cs="黑体"/>
          <w:color w:val="auto"/>
          <w:sz w:val="28"/>
          <w:szCs w:val="28"/>
          <w:lang w:eastAsia="zh-CN"/>
        </w:rPr>
        <w:t>审</w:t>
      </w:r>
      <w:r>
        <w:rPr>
          <w:rFonts w:hint="eastAsia" w:ascii="黑体" w:hAnsi="黑体" w:eastAsia="黑体" w:cs="黑体"/>
          <w:color w:val="auto"/>
          <w:sz w:val="28"/>
          <w:szCs w:val="28"/>
        </w:rPr>
        <w:t>方法和标准</w:t>
      </w:r>
      <w:bookmarkEnd w:id="364"/>
      <w:bookmarkEnd w:id="365"/>
      <w:bookmarkEnd w:id="366"/>
      <w:bookmarkEnd w:id="367"/>
      <w:bookmarkEnd w:id="368"/>
      <w:bookmarkStart w:id="369" w:name="_Toc4158"/>
      <w:bookmarkStart w:id="370" w:name="_Toc476758950"/>
      <w:bookmarkStart w:id="371" w:name="_Toc6035"/>
    </w:p>
    <w:bookmarkEnd w:id="369"/>
    <w:bookmarkEnd w:id="370"/>
    <w:bookmarkEnd w:id="371"/>
    <w:p w14:paraId="1F743FD2">
      <w:pPr>
        <w:adjustRightInd w:val="0"/>
        <w:snapToGrid w:val="0"/>
        <w:spacing w:line="360" w:lineRule="auto"/>
        <w:rPr>
          <w:rFonts w:hint="eastAsia" w:ascii="黑体" w:hAnsi="黑体" w:eastAsia="黑体" w:cs="黑体"/>
          <w:b/>
          <w:color w:val="auto"/>
          <w:kern w:val="0"/>
          <w:sz w:val="24"/>
          <w:szCs w:val="24"/>
          <w:highlight w:val="none"/>
        </w:rPr>
      </w:pPr>
      <w:bookmarkStart w:id="372" w:name="_Toc507399904"/>
      <w:r>
        <w:rPr>
          <w:rFonts w:hint="eastAsia" w:ascii="黑体" w:hAnsi="黑体" w:eastAsia="黑体" w:cs="黑体"/>
          <w:b/>
          <w:color w:val="auto"/>
          <w:kern w:val="0"/>
          <w:sz w:val="24"/>
          <w:szCs w:val="24"/>
          <w:highlight w:val="none"/>
        </w:rPr>
        <w:t>1.磋商小组</w:t>
      </w:r>
    </w:p>
    <w:p w14:paraId="464562D1">
      <w:pPr>
        <w:adjustRightInd w:val="0"/>
        <w:snapToGrid w:val="0"/>
        <w:spacing w:line="360" w:lineRule="auto"/>
        <w:ind w:firstLine="0" w:firstLineChars="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1.1评标由依法组建的磋商小组成员负责。</w:t>
      </w:r>
    </w:p>
    <w:p w14:paraId="2E93BE10">
      <w:pPr>
        <w:tabs>
          <w:tab w:val="left" w:pos="472"/>
        </w:tabs>
        <w:adjustRightInd w:val="0"/>
        <w:snapToGrid w:val="0"/>
        <w:spacing w:line="360" w:lineRule="auto"/>
        <w:jc w:val="left"/>
        <w:rPr>
          <w:rFonts w:hint="eastAsia" w:ascii="黑体" w:hAnsi="黑体" w:eastAsia="黑体" w:cs="黑体"/>
          <w:color w:val="auto"/>
          <w:kern w:val="0"/>
          <w:sz w:val="24"/>
          <w:szCs w:val="24"/>
          <w:highlight w:val="none"/>
          <w:lang w:eastAsia="zh-CN"/>
        </w:rPr>
      </w:pPr>
      <w:r>
        <w:rPr>
          <w:rFonts w:hint="eastAsia" w:ascii="黑体" w:hAnsi="黑体" w:eastAsia="黑体" w:cs="黑体"/>
          <w:color w:val="auto"/>
          <w:kern w:val="0"/>
          <w:sz w:val="24"/>
          <w:szCs w:val="24"/>
          <w:highlight w:val="none"/>
        </w:rPr>
        <w:t>磋商小组构成</w:t>
      </w:r>
      <w:r>
        <w:rPr>
          <w:rFonts w:hint="eastAsia" w:ascii="黑体" w:hAnsi="黑体" w:eastAsia="黑体" w:cs="黑体"/>
          <w:color w:val="auto"/>
          <w:kern w:val="0"/>
          <w:sz w:val="24"/>
          <w:szCs w:val="24"/>
          <w:highlight w:val="none"/>
          <w:lang w:eastAsia="zh-CN"/>
        </w:rPr>
        <w:t>：</w:t>
      </w:r>
      <w:r>
        <w:rPr>
          <w:rFonts w:hint="eastAsia" w:ascii="黑体" w:hAnsi="黑体" w:eastAsia="黑体" w:cs="黑体"/>
          <w:color w:val="auto"/>
          <w:kern w:val="0"/>
          <w:sz w:val="24"/>
          <w:szCs w:val="24"/>
          <w:highlight w:val="none"/>
          <w:lang w:val="en-US" w:eastAsia="zh-CN"/>
        </w:rPr>
        <w:t>3</w:t>
      </w:r>
      <w:r>
        <w:rPr>
          <w:rFonts w:hint="eastAsia" w:ascii="黑体" w:hAnsi="黑体" w:eastAsia="黑体" w:cs="黑体"/>
          <w:color w:val="auto"/>
          <w:kern w:val="0"/>
          <w:sz w:val="24"/>
          <w:szCs w:val="24"/>
          <w:highlight w:val="none"/>
        </w:rPr>
        <w:t>人</w:t>
      </w:r>
      <w:r>
        <w:rPr>
          <w:rFonts w:hint="eastAsia" w:ascii="黑体" w:hAnsi="黑体" w:eastAsia="黑体" w:cs="黑体"/>
          <w:color w:val="auto"/>
          <w:kern w:val="0"/>
          <w:sz w:val="24"/>
          <w:szCs w:val="24"/>
          <w:highlight w:val="none"/>
          <w:lang w:eastAsia="zh-CN"/>
        </w:rPr>
        <w:t>，业主代表</w:t>
      </w:r>
      <w:r>
        <w:rPr>
          <w:rFonts w:hint="eastAsia" w:ascii="黑体" w:hAnsi="黑体" w:eastAsia="黑体" w:cs="黑体"/>
          <w:color w:val="auto"/>
          <w:kern w:val="0"/>
          <w:sz w:val="24"/>
          <w:szCs w:val="24"/>
          <w:highlight w:val="none"/>
          <w:lang w:val="en-US" w:eastAsia="zh-CN"/>
        </w:rPr>
        <w:t>0人，专家3人</w:t>
      </w:r>
      <w:r>
        <w:rPr>
          <w:rFonts w:hint="eastAsia" w:ascii="黑体" w:hAnsi="黑体" w:eastAsia="黑体" w:cs="黑体"/>
          <w:color w:val="auto"/>
          <w:kern w:val="0"/>
          <w:sz w:val="24"/>
          <w:szCs w:val="24"/>
          <w:highlight w:val="none"/>
          <w:lang w:eastAsia="zh-CN"/>
        </w:rPr>
        <w:t>。</w:t>
      </w:r>
    </w:p>
    <w:p w14:paraId="1DE98ACA">
      <w:pPr>
        <w:adjustRightInd w:val="0"/>
        <w:snapToGrid w:val="0"/>
        <w:spacing w:line="360" w:lineRule="auto"/>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评标专家确定方式：随机抽取。</w:t>
      </w:r>
    </w:p>
    <w:p w14:paraId="1C42D252">
      <w:pPr>
        <w:adjustRightInd w:val="0"/>
        <w:snapToGrid w:val="0"/>
        <w:spacing w:line="360" w:lineRule="auto"/>
        <w:rPr>
          <w:rFonts w:hint="eastAsia" w:ascii="黑体" w:hAnsi="黑体" w:eastAsia="黑体" w:cs="黑体"/>
          <w:b/>
          <w:color w:val="auto"/>
          <w:kern w:val="0"/>
          <w:sz w:val="24"/>
          <w:szCs w:val="24"/>
          <w:highlight w:val="none"/>
        </w:rPr>
      </w:pPr>
      <w:r>
        <w:rPr>
          <w:rFonts w:hint="eastAsia" w:ascii="黑体" w:hAnsi="黑体" w:eastAsia="黑体" w:cs="黑体"/>
          <w:b/>
          <w:color w:val="auto"/>
          <w:kern w:val="0"/>
          <w:sz w:val="24"/>
          <w:szCs w:val="24"/>
          <w:highlight w:val="none"/>
        </w:rPr>
        <w:t>2.评标方法</w:t>
      </w:r>
    </w:p>
    <w:p w14:paraId="0922855A">
      <w:pPr>
        <w:adjustRightInd w:val="0"/>
        <w:snapToGrid w:val="0"/>
        <w:spacing w:line="360" w:lineRule="auto"/>
        <w:rPr>
          <w:rFonts w:hint="eastAsia" w:ascii="黑体" w:hAnsi="黑体" w:eastAsia="黑体" w:cs="黑体"/>
          <w:b/>
          <w:color w:val="auto"/>
          <w:kern w:val="0"/>
          <w:sz w:val="24"/>
          <w:szCs w:val="24"/>
          <w:highlight w:val="none"/>
        </w:rPr>
      </w:pPr>
      <w:r>
        <w:rPr>
          <w:rFonts w:hint="eastAsia" w:ascii="黑体" w:hAnsi="黑体" w:eastAsia="黑体" w:cs="黑体"/>
          <w:b/>
          <w:color w:val="auto"/>
          <w:kern w:val="0"/>
          <w:sz w:val="24"/>
          <w:szCs w:val="24"/>
          <w:highlight w:val="none"/>
        </w:rPr>
        <w:t>2.1本项目评标方法为：</w:t>
      </w:r>
      <w:r>
        <w:rPr>
          <w:rFonts w:hint="eastAsia" w:ascii="黑体" w:hAnsi="黑体" w:eastAsia="黑体" w:cs="黑体"/>
          <w:b/>
          <w:bCs/>
          <w:color w:val="auto"/>
          <w:sz w:val="24"/>
          <w:szCs w:val="24"/>
          <w:highlight w:val="none"/>
        </w:rPr>
        <w:t>竞争性磋商</w:t>
      </w:r>
      <w:r>
        <w:rPr>
          <w:rFonts w:hint="eastAsia" w:ascii="黑体" w:hAnsi="黑体" w:eastAsia="黑体" w:cs="黑体"/>
          <w:b/>
          <w:bCs/>
          <w:color w:val="auto"/>
          <w:sz w:val="24"/>
          <w:szCs w:val="24"/>
          <w:highlight w:val="none"/>
          <w:lang w:eastAsia="zh-CN"/>
        </w:rPr>
        <w:t>（综合评分法）</w:t>
      </w:r>
      <w:r>
        <w:rPr>
          <w:rFonts w:hint="eastAsia" w:ascii="黑体" w:hAnsi="黑体" w:eastAsia="黑体" w:cs="黑体"/>
          <w:b/>
          <w:color w:val="auto"/>
          <w:kern w:val="0"/>
          <w:sz w:val="24"/>
          <w:szCs w:val="24"/>
          <w:highlight w:val="none"/>
        </w:rPr>
        <w:t>。</w:t>
      </w:r>
    </w:p>
    <w:p w14:paraId="5B084F66">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2.1.1综合评分法（本项目采用两轮报价，投标人提交最后的报价后，磋商小组对所有满足实质性要求且提交最后报价的投标人的响应文件按评审因素评审得分，最终汇总得分由高到低排序推荐中标候选人）。</w:t>
      </w:r>
    </w:p>
    <w:p w14:paraId="264023D2">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lang w:eastAsia="zh-CN"/>
        </w:rPr>
      </w:pPr>
      <w:r>
        <w:rPr>
          <w:rFonts w:hint="eastAsia" w:ascii="黑体" w:hAnsi="黑体" w:eastAsia="黑体" w:cs="黑体"/>
          <w:color w:val="auto"/>
          <w:kern w:val="0"/>
          <w:sz w:val="24"/>
          <w:szCs w:val="24"/>
          <w:highlight w:val="none"/>
        </w:rPr>
        <w:t>评标因素的设定包括投标报价、技术水平等</w:t>
      </w:r>
      <w:r>
        <w:rPr>
          <w:rFonts w:hint="eastAsia" w:ascii="黑体" w:hAnsi="黑体" w:eastAsia="黑体" w:cs="黑体"/>
          <w:color w:val="auto"/>
          <w:kern w:val="0"/>
          <w:sz w:val="24"/>
          <w:szCs w:val="24"/>
          <w:highlight w:val="none"/>
          <w:lang w:val="en-US" w:eastAsia="zh-CN"/>
        </w:rPr>
        <w:t>有关内容</w:t>
      </w:r>
      <w:r>
        <w:rPr>
          <w:rFonts w:hint="eastAsia" w:ascii="黑体" w:hAnsi="黑体" w:eastAsia="黑体" w:cs="黑体"/>
          <w:color w:val="auto"/>
          <w:kern w:val="0"/>
          <w:sz w:val="24"/>
          <w:szCs w:val="24"/>
          <w:highlight w:val="none"/>
        </w:rPr>
        <w:t>。资格条件不得作为评标因素。最低投标报价不是确定中标候选人的唯一标准，磋商小组根据投标人企业实力、实施方案、投标报价等综合因素标准确定中标候选人</w:t>
      </w:r>
      <w:r>
        <w:rPr>
          <w:rFonts w:hint="eastAsia" w:ascii="黑体" w:hAnsi="黑体" w:eastAsia="黑体" w:cs="黑体"/>
          <w:color w:val="auto"/>
          <w:kern w:val="0"/>
          <w:sz w:val="24"/>
          <w:szCs w:val="24"/>
          <w:highlight w:val="none"/>
          <w:lang w:eastAsia="zh-CN"/>
        </w:rPr>
        <w:t>。</w:t>
      </w:r>
    </w:p>
    <w:p w14:paraId="63FDEE96">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2.1.2评标时，磋商小组各成员应当独立对每个投标人的投标文件进行评价，并汇总每个投标人的得分。</w:t>
      </w:r>
    </w:p>
    <w:p w14:paraId="064D9FD6">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2.1.3评标过程中，不得去掉报价中的最高报价和最低报价。</w:t>
      </w:r>
    </w:p>
    <w:p w14:paraId="4ADB7D7A">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2.1.4因落实政府采购政策进行价格</w:t>
      </w:r>
      <w:r>
        <w:rPr>
          <w:rFonts w:hint="eastAsia" w:ascii="黑体" w:hAnsi="黑体" w:eastAsia="黑体" w:cs="黑体"/>
          <w:color w:val="auto"/>
          <w:kern w:val="0"/>
          <w:sz w:val="24"/>
          <w:szCs w:val="24"/>
          <w:highlight w:val="none"/>
          <w:lang w:val="en-US" w:eastAsia="zh-CN"/>
        </w:rPr>
        <w:t>或投标报价得分</w:t>
      </w:r>
      <w:r>
        <w:rPr>
          <w:rFonts w:hint="eastAsia" w:ascii="黑体" w:hAnsi="黑体" w:eastAsia="黑体" w:cs="黑体"/>
          <w:color w:val="auto"/>
          <w:kern w:val="0"/>
          <w:sz w:val="24"/>
          <w:szCs w:val="24"/>
          <w:highlight w:val="none"/>
        </w:rPr>
        <w:t>调整的，</w:t>
      </w:r>
      <w:r>
        <w:rPr>
          <w:rFonts w:hint="eastAsia" w:ascii="黑体" w:hAnsi="黑体" w:eastAsia="黑体" w:cs="黑体"/>
          <w:color w:val="auto"/>
          <w:kern w:val="0"/>
          <w:sz w:val="24"/>
          <w:szCs w:val="24"/>
          <w:highlight w:val="none"/>
          <w:lang w:val="en-US" w:eastAsia="zh-CN"/>
        </w:rPr>
        <w:t>按法律法规规定内容进行调整</w:t>
      </w:r>
      <w:r>
        <w:rPr>
          <w:rFonts w:hint="eastAsia" w:ascii="黑体" w:hAnsi="黑体" w:eastAsia="黑体" w:cs="黑体"/>
          <w:color w:val="auto"/>
          <w:kern w:val="0"/>
          <w:sz w:val="24"/>
          <w:szCs w:val="24"/>
          <w:highlight w:val="none"/>
        </w:rPr>
        <w:t>。</w:t>
      </w:r>
    </w:p>
    <w:p w14:paraId="2736F9EA">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2.2评标结果按评标后得分由高到低顺序排列，得分相同的，按投标报价由低到高顺序排列。得分且投标报价相同的并列。投标文件满足</w:t>
      </w:r>
      <w:r>
        <w:rPr>
          <w:rFonts w:hint="eastAsia" w:ascii="黑体" w:hAnsi="黑体" w:eastAsia="黑体" w:cs="黑体"/>
          <w:color w:val="auto"/>
          <w:kern w:val="0"/>
          <w:sz w:val="24"/>
          <w:szCs w:val="24"/>
          <w:highlight w:val="none"/>
          <w:lang w:eastAsia="zh-CN"/>
        </w:rPr>
        <w:t>磋商</w:t>
      </w:r>
      <w:r>
        <w:rPr>
          <w:rFonts w:hint="eastAsia" w:ascii="黑体" w:hAnsi="黑体" w:eastAsia="黑体" w:cs="黑体"/>
          <w:color w:val="auto"/>
          <w:kern w:val="0"/>
          <w:sz w:val="24"/>
          <w:szCs w:val="24"/>
          <w:highlight w:val="none"/>
        </w:rPr>
        <w:t>文件全部实质性要求，且按照评标因素的量化指标评标得分最高的投标人为排名第一的中标候选人。</w:t>
      </w:r>
    </w:p>
    <w:p w14:paraId="46243137">
      <w:pPr>
        <w:adjustRightInd w:val="0"/>
        <w:snapToGrid w:val="0"/>
        <w:spacing w:line="360" w:lineRule="auto"/>
        <w:rPr>
          <w:rFonts w:hint="eastAsia" w:ascii="黑体" w:hAnsi="黑体" w:eastAsia="黑体" w:cs="黑体"/>
          <w:b/>
          <w:color w:val="auto"/>
          <w:kern w:val="0"/>
          <w:sz w:val="24"/>
          <w:szCs w:val="24"/>
          <w:highlight w:val="none"/>
        </w:rPr>
      </w:pPr>
      <w:r>
        <w:rPr>
          <w:rFonts w:hint="eastAsia" w:ascii="黑体" w:hAnsi="黑体" w:eastAsia="黑体" w:cs="黑体"/>
          <w:b/>
          <w:color w:val="auto"/>
          <w:kern w:val="0"/>
          <w:sz w:val="24"/>
          <w:szCs w:val="24"/>
          <w:highlight w:val="none"/>
        </w:rPr>
        <w:t>3.评标原则和评标纪律</w:t>
      </w:r>
    </w:p>
    <w:p w14:paraId="25F16B06">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3.1磋商小组成员应当按照客观、公正、</w:t>
      </w:r>
      <w:r>
        <w:rPr>
          <w:rFonts w:hint="eastAsia" w:ascii="黑体" w:hAnsi="黑体" w:eastAsia="黑体" w:cs="黑体"/>
          <w:color w:val="auto"/>
          <w:kern w:val="0"/>
          <w:sz w:val="24"/>
          <w:szCs w:val="24"/>
          <w:highlight w:val="none"/>
          <w:lang w:val="en-US" w:eastAsia="zh-CN"/>
        </w:rPr>
        <w:t>公平</w:t>
      </w:r>
      <w:r>
        <w:rPr>
          <w:rFonts w:hint="eastAsia" w:ascii="黑体" w:hAnsi="黑体" w:eastAsia="黑体" w:cs="黑体"/>
          <w:color w:val="auto"/>
          <w:kern w:val="0"/>
          <w:sz w:val="24"/>
          <w:szCs w:val="24"/>
          <w:highlight w:val="none"/>
        </w:rPr>
        <w:t>的原则，根据</w:t>
      </w:r>
      <w:r>
        <w:rPr>
          <w:rFonts w:hint="eastAsia" w:ascii="黑体" w:hAnsi="黑体" w:eastAsia="黑体" w:cs="黑体"/>
          <w:color w:val="auto"/>
          <w:kern w:val="0"/>
          <w:sz w:val="24"/>
          <w:szCs w:val="24"/>
          <w:highlight w:val="none"/>
          <w:lang w:eastAsia="zh-CN"/>
        </w:rPr>
        <w:t>磋商</w:t>
      </w:r>
      <w:r>
        <w:rPr>
          <w:rFonts w:hint="eastAsia" w:ascii="黑体" w:hAnsi="黑体" w:eastAsia="黑体" w:cs="黑体"/>
          <w:color w:val="auto"/>
          <w:kern w:val="0"/>
          <w:sz w:val="24"/>
          <w:szCs w:val="24"/>
          <w:highlight w:val="none"/>
        </w:rPr>
        <w:t>文件规定的评标程序、评标方法和评标标准进行独立评标。磋商小组成员发现</w:t>
      </w:r>
      <w:r>
        <w:rPr>
          <w:rFonts w:hint="eastAsia" w:ascii="黑体" w:hAnsi="黑体" w:eastAsia="黑体" w:cs="黑体"/>
          <w:color w:val="auto"/>
          <w:kern w:val="0"/>
          <w:sz w:val="24"/>
          <w:szCs w:val="24"/>
          <w:highlight w:val="none"/>
          <w:lang w:eastAsia="zh-CN"/>
        </w:rPr>
        <w:t>磋商</w:t>
      </w:r>
      <w:r>
        <w:rPr>
          <w:rFonts w:hint="eastAsia" w:ascii="黑体" w:hAnsi="黑体" w:eastAsia="黑体" w:cs="黑体"/>
          <w:color w:val="auto"/>
          <w:kern w:val="0"/>
          <w:sz w:val="24"/>
          <w:szCs w:val="24"/>
          <w:highlight w:val="none"/>
        </w:rPr>
        <w:t>文件存在歧义、重大缺陷导致评标工作无法进行，或者</w:t>
      </w:r>
      <w:r>
        <w:rPr>
          <w:rFonts w:hint="eastAsia" w:ascii="黑体" w:hAnsi="黑体" w:eastAsia="黑体" w:cs="黑体"/>
          <w:color w:val="auto"/>
          <w:kern w:val="0"/>
          <w:sz w:val="24"/>
          <w:szCs w:val="24"/>
          <w:highlight w:val="none"/>
          <w:lang w:eastAsia="zh-CN"/>
        </w:rPr>
        <w:t>磋商</w:t>
      </w:r>
      <w:r>
        <w:rPr>
          <w:rFonts w:hint="eastAsia" w:ascii="黑体" w:hAnsi="黑体" w:eastAsia="黑体" w:cs="黑体"/>
          <w:color w:val="auto"/>
          <w:kern w:val="0"/>
          <w:sz w:val="24"/>
          <w:szCs w:val="24"/>
          <w:highlight w:val="none"/>
        </w:rPr>
        <w:t>文件内容违反国家有关强制性规定的，应当停止评标工作，与采购人或者采购代理机构沟通并作书面记录。采购人或者采购代理机构确认后，应当修改</w:t>
      </w:r>
      <w:r>
        <w:rPr>
          <w:rFonts w:hint="eastAsia" w:ascii="黑体" w:hAnsi="黑体" w:eastAsia="黑体" w:cs="黑体"/>
          <w:color w:val="auto"/>
          <w:kern w:val="0"/>
          <w:sz w:val="24"/>
          <w:szCs w:val="24"/>
          <w:highlight w:val="none"/>
          <w:lang w:eastAsia="zh-CN"/>
        </w:rPr>
        <w:t>磋商</w:t>
      </w:r>
      <w:r>
        <w:rPr>
          <w:rFonts w:hint="eastAsia" w:ascii="黑体" w:hAnsi="黑体" w:eastAsia="黑体" w:cs="黑体"/>
          <w:color w:val="auto"/>
          <w:kern w:val="0"/>
          <w:sz w:val="24"/>
          <w:szCs w:val="24"/>
          <w:highlight w:val="none"/>
        </w:rPr>
        <w:t>文件，重新组织采购活动。</w:t>
      </w:r>
    </w:p>
    <w:p w14:paraId="7A213595">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3.2评标委员会成员应当在评标报告上签字，对自己的评标意见承担法律责任。评标委员会成员对需要共同认定的事项存在争议的，应当按照少数服从多数的原则作出结论。持不同意见的评标委员会成员应当在评标报告上签署不同意见及理由，否则视为同意评标报告。</w:t>
      </w:r>
    </w:p>
    <w:p w14:paraId="26D32A49">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3.3评标纪律</w:t>
      </w:r>
    </w:p>
    <w:p w14:paraId="77571ECE">
      <w:pPr>
        <w:adjustRightInd w:val="0"/>
        <w:snapToGrid w:val="0"/>
        <w:spacing w:line="360" w:lineRule="auto"/>
        <w:ind w:left="0" w:leftChars="0" w:firstLine="420" w:firstLineChars="175"/>
        <w:rPr>
          <w:rFonts w:hint="eastAsia"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4"/>
          <w:szCs w:val="24"/>
          <w:highlight w:val="none"/>
        </w:rPr>
        <w:t>3.3.1采购人委派代表参加评标委员会的，应当向采购代理机构出具授权函。除授权代表外，采购人可以委派纪检监察等相关人员进入评标现场，对评标工作实施监督，但不得超过２人。采购人需要在评标前介绍项目背景和技术需求的，应当事先提交书面介绍材料，介绍内容不得存在歧视性、倾向性意见，不得超出采购文件所述范围，书面介绍材料作为采购项目文件随其他文件一并存档。评标委员会应当推选组长，但采购人代表不得担任组长。</w:t>
      </w:r>
    </w:p>
    <w:p w14:paraId="1FD36A53">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3.3.2评标委员会成员要严格遵守评标时间，主动出具身份证明，遵守评标工作纪律和评标回避的相关规定。在评标工作开始前，将手机等通讯工具或相关电子设备交由采购人或采购代理机构统一保管，拒不上交的，采购人或采购代理机构可以拒绝其参加评标工作并向财政部门报告。</w:t>
      </w:r>
    </w:p>
    <w:p w14:paraId="0066AB14">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3.3.3评标委员会成员和评标工作有关人员不得干预或者影响正常评标工作，不得明示或者暗示其倾向性、引导性意见，不得修改或细化采购文件确定的评标程序、评标方法、评标因素和评标标准，不得接受投标人主动提出的澄清和解释，不得征询采购人代表的倾向性意见，不得协商评分，不得记录、复制或带走任何评标资料。评标结果汇总完成后，采购人、采购代理机构和评标委员会均不得修改评标结果或者要求重新评标，但资格性检查认定错误、分值汇总计算错误、分项评分超出评分标准范围、客观分评分不一致、经评标委员会一致认定评分畸高、畸低的情形除外。出现上述除外情形的，评标委员会应当现场修改评标结果，并在评标报告中明确记载。</w:t>
      </w:r>
    </w:p>
    <w:p w14:paraId="06FE1591">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3.3.4评标委员会成员不得私自泄露评标内容。评标过程应严格遵守保密制度。开标后,直到授予中标人合同止，凡是属于审查、澄清、评价和比较的有关资料以及授标建议等均不得向投标人或其他无关的人员透露。</w:t>
      </w:r>
    </w:p>
    <w:p w14:paraId="5B494C31">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3.3.5采购人、采购代理机构要加强评标现场管理，与评标工作无关的人员不得进入评标现场。各级财政部门对评标活动相关各方违反评标工作纪律及要求的行为，将依法严肃处理。</w:t>
      </w:r>
    </w:p>
    <w:p w14:paraId="0328AE9A">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3.4评标委员会成员应当履行的义务</w:t>
      </w:r>
    </w:p>
    <w:p w14:paraId="3FAAA027">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3.4.1评标委员会成员应根据政府采购法律法规和采购文件所载明的评标方法、标准进行评标，遵纪守法，客观、公正、廉洁地履行职责。</w:t>
      </w:r>
    </w:p>
    <w:p w14:paraId="48C86844">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3.4.2评标委员会成员应熟悉和理解采购文件，认真阅读所有投标人的投标文件，对所有投标文件逐一进行资格性、符合性检查，按采购文件规定的评标方法和标准，进行比较和评价；</w:t>
      </w:r>
    </w:p>
    <w:p w14:paraId="56880543">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3.4.3对投标人的价格分等客观评分项的评分应当一致，对其他需要借助专业知识评判的主观评分项，应当严格按照评分细则公正评分。</w:t>
      </w:r>
    </w:p>
    <w:p w14:paraId="55C8F041">
      <w:pPr>
        <w:pStyle w:val="37"/>
        <w:spacing w:line="360" w:lineRule="auto"/>
        <w:ind w:left="0" w:leftChars="0" w:firstLine="420" w:firstLineChars="175"/>
        <w:rPr>
          <w:rFonts w:hint="eastAsia"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已提交响应文件的供应商，在提交最后报价之前，可以根据磋商情况退出磋商。采购人、采购代理机构应当退还退出磋商的供应商的磋商保证金。</w:t>
      </w:r>
    </w:p>
    <w:p w14:paraId="5D7AFC21">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3.4.4评标委员会如需要投标人对投标文件有关事项作出澄清的，应当给予投标人必要的反馈时间，但澄清事项不得超出投标文件的范围，不得实质性改变投标文件的内容，不得通过澄清等方式对投标人实行差别对待。</w:t>
      </w:r>
    </w:p>
    <w:p w14:paraId="31FB6A86">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3.4.5评标委员会应对评分汇总情况进行复核，特别是对排名第一的、报价最低的投标或相应文件被认定为无效的情形进行重点复核，并根据评标结果推荐中标候选人，或者根据采购人委托协议规定直接确定中标人，起草并签署评标报告。</w:t>
      </w:r>
    </w:p>
    <w:p w14:paraId="4553BF2B">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3.4.6评标委员会应在采购项目招标失败时，出具</w:t>
      </w:r>
      <w:r>
        <w:rPr>
          <w:rFonts w:hint="eastAsia" w:ascii="黑体" w:hAnsi="黑体" w:eastAsia="黑体" w:cs="黑体"/>
          <w:color w:val="auto"/>
          <w:kern w:val="0"/>
          <w:sz w:val="24"/>
          <w:szCs w:val="24"/>
          <w:highlight w:val="none"/>
          <w:lang w:eastAsia="zh-CN"/>
        </w:rPr>
        <w:t>磋商</w:t>
      </w:r>
      <w:r>
        <w:rPr>
          <w:rFonts w:hint="eastAsia" w:ascii="黑体" w:hAnsi="黑体" w:eastAsia="黑体" w:cs="黑体"/>
          <w:color w:val="auto"/>
          <w:kern w:val="0"/>
          <w:sz w:val="24"/>
          <w:szCs w:val="24"/>
          <w:highlight w:val="none"/>
        </w:rPr>
        <w:t>文件是否存在不合理条款的论证意见，并协助采购人、采购代理机构、财政部门答复质疑或处理投诉事</w:t>
      </w:r>
    </w:p>
    <w:p w14:paraId="3CEF8E4E">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4.1.2符合性检查</w:t>
      </w:r>
    </w:p>
    <w:p w14:paraId="22154FFC">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4.1.2.1依据</w:t>
      </w:r>
      <w:r>
        <w:rPr>
          <w:rFonts w:hint="eastAsia" w:ascii="黑体" w:hAnsi="黑体" w:eastAsia="黑体" w:cs="黑体"/>
          <w:color w:val="auto"/>
          <w:kern w:val="0"/>
          <w:sz w:val="24"/>
          <w:szCs w:val="24"/>
          <w:highlight w:val="none"/>
          <w:lang w:eastAsia="zh-CN"/>
        </w:rPr>
        <w:t>磋商</w:t>
      </w:r>
      <w:r>
        <w:rPr>
          <w:rFonts w:hint="eastAsia" w:ascii="黑体" w:hAnsi="黑体" w:eastAsia="黑体" w:cs="黑体"/>
          <w:color w:val="auto"/>
          <w:kern w:val="0"/>
          <w:sz w:val="24"/>
          <w:szCs w:val="24"/>
          <w:highlight w:val="none"/>
        </w:rPr>
        <w:t>文件的规定，从投标文件的响应程度进行审查，以确定是否对</w:t>
      </w:r>
      <w:r>
        <w:rPr>
          <w:rFonts w:hint="eastAsia" w:ascii="黑体" w:hAnsi="黑体" w:eastAsia="黑体" w:cs="黑体"/>
          <w:color w:val="auto"/>
          <w:kern w:val="0"/>
          <w:sz w:val="24"/>
          <w:szCs w:val="24"/>
          <w:highlight w:val="none"/>
          <w:lang w:eastAsia="zh-CN"/>
        </w:rPr>
        <w:t>磋商</w:t>
      </w:r>
      <w:r>
        <w:rPr>
          <w:rFonts w:hint="eastAsia" w:ascii="黑体" w:hAnsi="黑体" w:eastAsia="黑体" w:cs="黑体"/>
          <w:color w:val="auto"/>
          <w:kern w:val="0"/>
          <w:sz w:val="24"/>
          <w:szCs w:val="24"/>
          <w:highlight w:val="none"/>
        </w:rPr>
        <w:t>文件的实质性要求作出响应。评标委员会评标投标文件的响应性只根据投标文件真实无误的内容，而不依据外部的证据，但投标文件有不真实、不正确的内容时除外。</w:t>
      </w:r>
    </w:p>
    <w:p w14:paraId="0F9205B4">
      <w:pPr>
        <w:adjustRightInd w:val="0"/>
        <w:snapToGrid w:val="0"/>
        <w:spacing w:line="360" w:lineRule="auto"/>
        <w:ind w:left="0" w:leftChars="0" w:firstLine="420" w:firstLineChars="175"/>
        <w:rPr>
          <w:rFonts w:hint="eastAsia" w:ascii="黑体" w:hAnsi="黑体" w:eastAsia="黑体" w:cs="黑体"/>
          <w:color w:val="auto"/>
          <w:sz w:val="21"/>
          <w:szCs w:val="24"/>
        </w:rPr>
      </w:pPr>
      <w:r>
        <w:rPr>
          <w:rFonts w:hint="eastAsia" w:ascii="黑体" w:hAnsi="黑体" w:eastAsia="黑体" w:cs="黑体"/>
          <w:color w:val="auto"/>
          <w:kern w:val="0"/>
          <w:sz w:val="24"/>
          <w:szCs w:val="24"/>
          <w:highlight w:val="none"/>
        </w:rPr>
        <w:t>4.1.2.2投标人不得通过修正或撤销不符合要求的偏离从而使其投标成为实质上响应的投标。</w:t>
      </w:r>
    </w:p>
    <w:p w14:paraId="68D143A1">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4.2有下列情形之一时,评标委员会应予废标,并将理由通知所有投标人：</w:t>
      </w:r>
    </w:p>
    <w:p w14:paraId="555B1434">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(1)符合专业条件的投标人或者对</w:t>
      </w:r>
      <w:r>
        <w:rPr>
          <w:rFonts w:hint="eastAsia" w:ascii="黑体" w:hAnsi="黑体" w:eastAsia="黑体" w:cs="黑体"/>
          <w:color w:val="auto"/>
          <w:kern w:val="0"/>
          <w:sz w:val="24"/>
          <w:szCs w:val="24"/>
          <w:highlight w:val="none"/>
          <w:lang w:eastAsia="zh-CN"/>
        </w:rPr>
        <w:t>磋商</w:t>
      </w:r>
      <w:r>
        <w:rPr>
          <w:rFonts w:hint="eastAsia" w:ascii="黑体" w:hAnsi="黑体" w:eastAsia="黑体" w:cs="黑体"/>
          <w:color w:val="auto"/>
          <w:kern w:val="0"/>
          <w:sz w:val="24"/>
          <w:szCs w:val="24"/>
          <w:highlight w:val="none"/>
        </w:rPr>
        <w:t>文件作实质性响应的投标人不足三家的；</w:t>
      </w:r>
    </w:p>
    <w:p w14:paraId="405DEF02">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lang w:eastAsia="zh-CN"/>
        </w:rPr>
      </w:pPr>
      <w:r>
        <w:rPr>
          <w:rFonts w:hint="eastAsia" w:ascii="黑体" w:hAnsi="黑体" w:eastAsia="黑体" w:cs="黑体"/>
          <w:color w:val="auto"/>
          <w:kern w:val="0"/>
          <w:sz w:val="24"/>
          <w:szCs w:val="24"/>
          <w:highlight w:val="none"/>
        </w:rPr>
        <w:t>(2)出现影响</w:t>
      </w:r>
      <w:r>
        <w:rPr>
          <w:rFonts w:hint="eastAsia" w:ascii="黑体" w:hAnsi="黑体" w:eastAsia="黑体" w:cs="黑体"/>
          <w:color w:val="auto"/>
          <w:kern w:val="0"/>
          <w:sz w:val="24"/>
          <w:szCs w:val="24"/>
          <w:highlight w:val="none"/>
          <w:lang w:eastAsia="zh-CN"/>
        </w:rPr>
        <w:t>磋商</w:t>
      </w:r>
      <w:r>
        <w:rPr>
          <w:rFonts w:hint="eastAsia" w:ascii="黑体" w:hAnsi="黑体" w:eastAsia="黑体" w:cs="黑体"/>
          <w:color w:val="auto"/>
          <w:kern w:val="0"/>
          <w:sz w:val="24"/>
          <w:szCs w:val="24"/>
          <w:highlight w:val="none"/>
        </w:rPr>
        <w:t>公正的违法、违规行为的；</w:t>
      </w:r>
    </w:p>
    <w:p w14:paraId="1B1CDD53">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lang w:eastAsia="zh-CN"/>
        </w:rPr>
      </w:pPr>
      <w:r>
        <w:rPr>
          <w:rFonts w:hint="eastAsia" w:ascii="黑体" w:hAnsi="黑体" w:eastAsia="黑体" w:cs="黑体"/>
          <w:color w:val="auto"/>
          <w:kern w:val="0"/>
          <w:sz w:val="24"/>
          <w:szCs w:val="24"/>
          <w:highlight w:val="none"/>
        </w:rPr>
        <w:t>(3)投标人的报价均超过了采购预算,采购人不能支付的；</w:t>
      </w:r>
    </w:p>
    <w:p w14:paraId="39D9FB91">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(4)因重大变故，采购任务取消的。</w:t>
      </w:r>
    </w:p>
    <w:p w14:paraId="5014BB56">
      <w:pPr>
        <w:pStyle w:val="11"/>
        <w:spacing w:line="360" w:lineRule="auto"/>
        <w:ind w:left="0" w:leftChars="0" w:firstLine="420" w:firstLineChars="175"/>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5）如发现有二份及以上投标文件的相互之间有相同或高度相似之处，且无合理解释的，经评标委员会半数以上成员认定有串通投标嫌疑的，其投标文件按无效标处理，予以废除，不再对其进行评审，也不影响磋商工作继续评标。</w:t>
      </w:r>
    </w:p>
    <w:p w14:paraId="6E7E7C58">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4.3废标后，除采购任务取消情形外，招标采购单位应当重新组织招标。需要采取其他采购方式的，应当在采购活动开始前获得设区的市、自治州以上人民政府财政部门的批准。</w:t>
      </w:r>
    </w:p>
    <w:p w14:paraId="0FE5049E">
      <w:pPr>
        <w:adjustRightInd w:val="0"/>
        <w:snapToGrid w:val="0"/>
        <w:spacing w:line="360" w:lineRule="auto"/>
        <w:rPr>
          <w:rFonts w:hint="eastAsia" w:ascii="黑体" w:hAnsi="黑体" w:eastAsia="黑体" w:cs="黑体"/>
          <w:b/>
          <w:color w:val="auto"/>
          <w:kern w:val="0"/>
          <w:sz w:val="24"/>
          <w:szCs w:val="24"/>
          <w:highlight w:val="none"/>
        </w:rPr>
      </w:pPr>
      <w:r>
        <w:rPr>
          <w:rFonts w:hint="eastAsia" w:ascii="黑体" w:hAnsi="黑体" w:eastAsia="黑体" w:cs="黑体"/>
          <w:b/>
          <w:color w:val="auto"/>
          <w:kern w:val="0"/>
          <w:sz w:val="24"/>
          <w:szCs w:val="24"/>
          <w:highlight w:val="none"/>
        </w:rPr>
        <w:t>5．澄清有关问题</w:t>
      </w:r>
    </w:p>
    <w:p w14:paraId="37353AA3">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5.1对于投标文件中含义不明确、同类问题表述不一致或者有明显文字和计算错误的内容，评标委员会应当以书面形式要求投标人作出必要的澄清、说明或者补正。</w:t>
      </w:r>
    </w:p>
    <w:p w14:paraId="4DF165B4">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68DACF35">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5.2投标人不得对下列内容进行澄清或补充：</w:t>
      </w:r>
    </w:p>
    <w:p w14:paraId="1E897AB6">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(1)投标报价、质量标准、合同履行期限等实质性内容。</w:t>
      </w:r>
    </w:p>
    <w:p w14:paraId="7AD3255D">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(2)不满足投标人须知规定的实质性要求的投标文件内容。</w:t>
      </w:r>
    </w:p>
    <w:p w14:paraId="7EC74AE3">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5.3投标文件报价出现前后不一致的，除</w:t>
      </w:r>
      <w:r>
        <w:rPr>
          <w:rFonts w:hint="eastAsia" w:ascii="黑体" w:hAnsi="黑体" w:eastAsia="黑体" w:cs="黑体"/>
          <w:color w:val="auto"/>
          <w:kern w:val="0"/>
          <w:sz w:val="24"/>
          <w:szCs w:val="24"/>
          <w:highlight w:val="none"/>
          <w:lang w:eastAsia="zh-CN"/>
        </w:rPr>
        <w:t>磋商</w:t>
      </w:r>
      <w:r>
        <w:rPr>
          <w:rFonts w:hint="eastAsia" w:ascii="黑体" w:hAnsi="黑体" w:eastAsia="黑体" w:cs="黑体"/>
          <w:color w:val="auto"/>
          <w:kern w:val="0"/>
          <w:sz w:val="24"/>
          <w:szCs w:val="24"/>
          <w:highlight w:val="none"/>
        </w:rPr>
        <w:t>文件另有规定外，按照下列规定修正：</w:t>
      </w:r>
    </w:p>
    <w:p w14:paraId="69AE5961">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（1）投标文件中开标一览表（报价表）内容与投标文件中相应内容不一致的，以开标一览表（报价表）为准；</w:t>
      </w:r>
    </w:p>
    <w:p w14:paraId="0451002A">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（2）大写金额和小写金额不一致的，以大写金额为准；</w:t>
      </w:r>
    </w:p>
    <w:p w14:paraId="0A5C9DBD">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（3）单价金额小数点或者百分比有明显错位的，以开标一览表的总价为准，并修改单价；</w:t>
      </w:r>
    </w:p>
    <w:p w14:paraId="282ED9D0">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（4）总价金额与按单价汇总金额不一致的，以单价金额计算结果为准。</w:t>
      </w:r>
    </w:p>
    <w:p w14:paraId="46DDFAA9">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同时出现两种以上不一致的，按照前款规定的顺序修正。修正后的报价按照本章5.1款的规定经投标人确认后产生约束力，▲</w:t>
      </w:r>
      <w:r>
        <w:rPr>
          <w:rFonts w:hint="eastAsia" w:ascii="黑体" w:hAnsi="黑体" w:eastAsia="黑体" w:cs="黑体"/>
          <w:b/>
          <w:color w:val="auto"/>
          <w:kern w:val="0"/>
          <w:sz w:val="24"/>
          <w:szCs w:val="24"/>
          <w:highlight w:val="none"/>
        </w:rPr>
        <w:t>投标人不确认或拒绝修正的，其投标无效</w:t>
      </w:r>
      <w:r>
        <w:rPr>
          <w:rFonts w:hint="eastAsia" w:ascii="黑体" w:hAnsi="黑体" w:eastAsia="黑体" w:cs="黑体"/>
          <w:color w:val="auto"/>
          <w:kern w:val="0"/>
          <w:sz w:val="24"/>
          <w:szCs w:val="24"/>
          <w:highlight w:val="none"/>
        </w:rPr>
        <w:t>。</w:t>
      </w:r>
    </w:p>
    <w:p w14:paraId="6867682A">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5.4投标人按照评标委员会要求提供的有效书面澄清材料，是投标文件的补充材料，成为其投标文件的组成部分。</w:t>
      </w:r>
    </w:p>
    <w:p w14:paraId="3EB33075">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5.5评标委员会认为投标人的报价明显低于其他通过符合性审查投标人的报价，有可能影响产品质量或者不能诚信履约的，应当要求其在评标现场合理的时间内提供书面说明，必要时提交相关证明材料；▲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黑体" w:hAnsi="黑体" w:eastAsia="黑体" w:cs="黑体"/>
          <w:b/>
          <w:color w:val="auto"/>
          <w:kern w:val="0"/>
          <w:sz w:val="24"/>
          <w:szCs w:val="24"/>
          <w:highlight w:val="none"/>
        </w:rPr>
        <w:t>投标人规定的时间内不能证明其报价合理性的，评标委员会应当将其作为无效投标处理</w:t>
      </w:r>
      <w:r>
        <w:rPr>
          <w:rFonts w:hint="eastAsia" w:ascii="黑体" w:hAnsi="黑体" w:eastAsia="黑体" w:cs="黑体"/>
          <w:color w:val="auto"/>
          <w:kern w:val="0"/>
          <w:sz w:val="24"/>
          <w:szCs w:val="24"/>
          <w:highlight w:val="none"/>
        </w:rPr>
        <w:t>。</w:t>
      </w:r>
    </w:p>
    <w:p w14:paraId="5E5F9416">
      <w:pPr>
        <w:adjustRightInd w:val="0"/>
        <w:snapToGrid w:val="0"/>
        <w:spacing w:line="360" w:lineRule="auto"/>
        <w:rPr>
          <w:rFonts w:hint="eastAsia" w:ascii="黑体" w:hAnsi="黑体" w:eastAsia="黑体" w:cs="黑体"/>
          <w:b/>
          <w:color w:val="auto"/>
          <w:kern w:val="0"/>
          <w:sz w:val="24"/>
          <w:szCs w:val="24"/>
          <w:highlight w:val="none"/>
        </w:rPr>
      </w:pPr>
      <w:r>
        <w:rPr>
          <w:rFonts w:hint="eastAsia" w:ascii="黑体" w:hAnsi="黑体" w:eastAsia="黑体" w:cs="黑体"/>
          <w:b/>
          <w:color w:val="auto"/>
          <w:kern w:val="0"/>
          <w:sz w:val="24"/>
          <w:szCs w:val="24"/>
          <w:highlight w:val="none"/>
        </w:rPr>
        <w:t>6．详细评标</w:t>
      </w:r>
    </w:p>
    <w:p w14:paraId="37E9EA23">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6.1评标委员会应按照</w:t>
      </w:r>
      <w:r>
        <w:rPr>
          <w:rFonts w:hint="eastAsia" w:ascii="黑体" w:hAnsi="黑体" w:eastAsia="黑体" w:cs="黑体"/>
          <w:color w:val="auto"/>
          <w:kern w:val="0"/>
          <w:sz w:val="24"/>
          <w:szCs w:val="24"/>
          <w:highlight w:val="none"/>
          <w:lang w:eastAsia="zh-CN"/>
        </w:rPr>
        <w:t>磋商</w:t>
      </w:r>
      <w:r>
        <w:rPr>
          <w:rFonts w:hint="eastAsia" w:ascii="黑体" w:hAnsi="黑体" w:eastAsia="黑体" w:cs="黑体"/>
          <w:color w:val="auto"/>
          <w:kern w:val="0"/>
          <w:sz w:val="24"/>
          <w:szCs w:val="24"/>
          <w:highlight w:val="none"/>
        </w:rPr>
        <w:t>文件中规定的评标方法、标准和评标因素，对资格性检查和符合性检查合格的投标文件进行商务和技术评估，综合比较与评价。</w:t>
      </w:r>
    </w:p>
    <w:p w14:paraId="6887D8AA">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6.2评标时，评标委员会各成员应当独立对每个投标人的投标文件进行评价、评分，然后汇总每个投标人每项评分因素的得分。</w:t>
      </w:r>
    </w:p>
    <w:p w14:paraId="16BAE385">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6.3投标人在评标过程中，所进行的试图影响评标结果的不符合招标规则的活动，可能导致其被取消中标资格。</w:t>
      </w:r>
    </w:p>
    <w:p w14:paraId="777267DF">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rPr>
        <w:t>6.4评分标准：具体</w:t>
      </w:r>
      <w:r>
        <w:rPr>
          <w:rFonts w:hint="eastAsia" w:ascii="黑体" w:hAnsi="黑体" w:eastAsia="黑体" w:cs="黑体"/>
          <w:color w:val="auto"/>
          <w:kern w:val="0"/>
          <w:sz w:val="24"/>
          <w:szCs w:val="24"/>
          <w:highlight w:val="none"/>
          <w:lang w:val="en-US" w:eastAsia="zh-CN"/>
        </w:rPr>
        <w:t>见三、评标标准</w:t>
      </w:r>
    </w:p>
    <w:p w14:paraId="325D4983">
      <w:pPr>
        <w:adjustRightInd w:val="0"/>
        <w:snapToGrid w:val="0"/>
        <w:spacing w:line="360" w:lineRule="auto"/>
        <w:rPr>
          <w:rFonts w:hint="eastAsia" w:ascii="黑体" w:hAnsi="黑体" w:eastAsia="黑体" w:cs="黑体"/>
          <w:b/>
          <w:color w:val="auto"/>
          <w:kern w:val="0"/>
          <w:sz w:val="24"/>
          <w:szCs w:val="24"/>
          <w:highlight w:val="none"/>
        </w:rPr>
      </w:pPr>
      <w:r>
        <w:rPr>
          <w:rFonts w:hint="eastAsia" w:ascii="黑体" w:hAnsi="黑体" w:eastAsia="黑体" w:cs="黑体"/>
          <w:b/>
          <w:color w:val="auto"/>
          <w:kern w:val="0"/>
          <w:sz w:val="24"/>
          <w:szCs w:val="24"/>
          <w:highlight w:val="none"/>
        </w:rPr>
        <w:t>7．推荐中标候选人名单</w:t>
      </w:r>
    </w:p>
    <w:p w14:paraId="2CF83DD1">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7.1评标结果按评标后得分由高到低顺序排列。得分相同的，按投标报价由低到高顺序排列。得分且投标报价相同的并列。投标文件满足</w:t>
      </w:r>
      <w:r>
        <w:rPr>
          <w:rFonts w:hint="eastAsia" w:ascii="黑体" w:hAnsi="黑体" w:eastAsia="黑体" w:cs="黑体"/>
          <w:color w:val="auto"/>
          <w:kern w:val="0"/>
          <w:sz w:val="24"/>
          <w:szCs w:val="24"/>
          <w:highlight w:val="none"/>
          <w:lang w:eastAsia="zh-CN"/>
        </w:rPr>
        <w:t>磋商</w:t>
      </w:r>
      <w:r>
        <w:rPr>
          <w:rFonts w:hint="eastAsia" w:ascii="黑体" w:hAnsi="黑体" w:eastAsia="黑体" w:cs="黑体"/>
          <w:color w:val="auto"/>
          <w:kern w:val="0"/>
          <w:sz w:val="24"/>
          <w:szCs w:val="24"/>
          <w:highlight w:val="none"/>
        </w:rPr>
        <w:t>文件全部实质性要求，且按照评标因素的量化指标评标得分最高的投标人为排名第一的中标候选人。</w:t>
      </w:r>
    </w:p>
    <w:p w14:paraId="69CE3916">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7.2评标结果汇总完成后，除下列情形外，任何人不得修改评标结果：</w:t>
      </w:r>
    </w:p>
    <w:p w14:paraId="611319F1">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(1)分值汇总计算错误的；</w:t>
      </w:r>
    </w:p>
    <w:p w14:paraId="7C485C50">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(2)分项评分超出评分标准范围的；</w:t>
      </w:r>
    </w:p>
    <w:p w14:paraId="3C6112AB">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(3)评标委员会成员对客观评标因素评分不一致的；</w:t>
      </w:r>
    </w:p>
    <w:p w14:paraId="0AF709FE">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(4)经评标委员会认定评分畸高、畸低的。</w:t>
      </w:r>
    </w:p>
    <w:p w14:paraId="1B3E4406">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标，重新评标改变评标结果的，书面报告本级财政部门。</w:t>
      </w:r>
    </w:p>
    <w:p w14:paraId="47B7555A">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投标人对上述(1)～(4)提出质疑的，采购人或者采购代理机构可以组织原评标委员会进行重新评标，重新评标改变评标结果的，应当书面报告本级财政部门。</w:t>
      </w:r>
    </w:p>
    <w:p w14:paraId="3D369B79">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7.3评标委员会根据全体评标成员签字的原始评标记录和评标结果编写评标报告。评标报告应当包括以下内容：</w:t>
      </w:r>
    </w:p>
    <w:p w14:paraId="4BD9085A">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w:t>
      </w:r>
      <w:r>
        <w:rPr>
          <w:rFonts w:hint="eastAsia" w:ascii="黑体" w:hAnsi="黑体" w:eastAsia="黑体" w:cs="黑体"/>
          <w:color w:val="auto"/>
          <w:kern w:val="0"/>
          <w:sz w:val="24"/>
          <w:szCs w:val="24"/>
          <w:highlight w:val="none"/>
          <w:lang w:eastAsia="zh-CN"/>
        </w:rPr>
        <w:t>磋商</w:t>
      </w:r>
      <w:r>
        <w:rPr>
          <w:rFonts w:hint="eastAsia" w:ascii="黑体" w:hAnsi="黑体" w:eastAsia="黑体" w:cs="黑体"/>
          <w:color w:val="auto"/>
          <w:kern w:val="0"/>
          <w:sz w:val="24"/>
          <w:szCs w:val="24"/>
          <w:highlight w:val="none"/>
        </w:rPr>
        <w:t>公告刊登的媒体名称、开标日期和地点；</w:t>
      </w:r>
    </w:p>
    <w:p w14:paraId="6C4D85B1">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（2）投标人名单和评标委员会成员名单；</w:t>
      </w:r>
    </w:p>
    <w:p w14:paraId="74E2171E">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（3）评标方法和标准；</w:t>
      </w:r>
    </w:p>
    <w:p w14:paraId="5E5D1FDB">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（4）开标记录和评标情况及说明，包括无效投标人名单及原因；</w:t>
      </w:r>
    </w:p>
    <w:p w14:paraId="3883FDB1">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（5）评标结果，确定的中标候选人名单或者经采购人委托直接确定的中标人；</w:t>
      </w:r>
    </w:p>
    <w:p w14:paraId="241B61DC">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（6）其他需要说明的情况，包括评标过程中投标人根据评标委员会要求进行的澄清、说明或者补正，评标委员会成员的更换等。</w:t>
      </w:r>
    </w:p>
    <w:p w14:paraId="0A0A2638">
      <w:pPr>
        <w:pStyle w:val="37"/>
        <w:spacing w:line="360" w:lineRule="auto"/>
        <w:ind w:left="0" w:leftChars="0" w:firstLine="420" w:firstLineChars="175"/>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val="en-US" w:eastAsia="zh-CN" w:bidi="ar-S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r>
        <w:rPr>
          <w:rFonts w:hint="eastAsia" w:ascii="黑体" w:hAnsi="黑体" w:eastAsia="黑体" w:cs="黑体"/>
          <w:color w:val="auto"/>
          <w:sz w:val="24"/>
          <w:szCs w:val="24"/>
          <w:highlight w:val="none"/>
        </w:rPr>
        <w:t>。</w:t>
      </w:r>
    </w:p>
    <w:p w14:paraId="79AAA92A">
      <w:pPr>
        <w:adjustRightInd w:val="0"/>
        <w:snapToGrid w:val="0"/>
        <w:spacing w:line="360" w:lineRule="auto"/>
        <w:ind w:left="0" w:leftChars="0" w:firstLine="420" w:firstLineChars="175"/>
        <w:rPr>
          <w:rFonts w:hint="eastAsia" w:ascii="黑体" w:hAnsi="黑体" w:eastAsia="黑体" w:cs="黑体"/>
          <w:color w:val="auto"/>
          <w:kern w:val="0"/>
          <w:sz w:val="24"/>
          <w:szCs w:val="24"/>
          <w:highlight w:val="none"/>
          <w:lang w:eastAsia="zh-CN"/>
        </w:rPr>
      </w:pPr>
      <w:r>
        <w:rPr>
          <w:rFonts w:hint="eastAsia" w:ascii="黑体" w:hAnsi="黑体" w:eastAsia="黑体" w:cs="黑体"/>
          <w:color w:val="auto"/>
          <w:kern w:val="0"/>
          <w:sz w:val="24"/>
          <w:szCs w:val="24"/>
          <w:highlight w:val="none"/>
        </w:rPr>
        <w:t>7.4本次招标采购推荐的中标候选人数量见投标须知前附表。</w:t>
      </w:r>
    </w:p>
    <w:p w14:paraId="65FE7420">
      <w:pPr>
        <w:pStyle w:val="6"/>
        <w:numPr>
          <w:ilvl w:val="0"/>
          <w:numId w:val="0"/>
        </w:numPr>
        <w:bidi w:val="0"/>
        <w:spacing w:line="360" w:lineRule="auto"/>
        <w:ind w:right="124" w:rightChars="0"/>
        <w:jc w:val="both"/>
        <w:outlineLvl w:val="1"/>
        <w:rPr>
          <w:rFonts w:hint="eastAsia" w:ascii="黑体" w:hAnsi="黑体" w:eastAsia="黑体" w:cs="黑体"/>
          <w:color w:val="auto"/>
          <w:sz w:val="32"/>
          <w:szCs w:val="32"/>
          <w:highlight w:val="none"/>
        </w:rPr>
      </w:pPr>
      <w:bookmarkStart w:id="373" w:name="_Toc873"/>
      <w:bookmarkStart w:id="374" w:name="_Toc4342"/>
      <w:bookmarkStart w:id="375" w:name="_Toc23001"/>
      <w:bookmarkStart w:id="376" w:name="_Toc2177"/>
      <w:bookmarkStart w:id="377" w:name="_Toc19871"/>
      <w:bookmarkStart w:id="378" w:name="_Toc27513"/>
      <w:r>
        <w:rPr>
          <w:rFonts w:hint="eastAsia" w:ascii="黑体" w:hAnsi="黑体" w:eastAsia="黑体" w:cs="黑体"/>
          <w:color w:val="auto"/>
          <w:sz w:val="24"/>
          <w:szCs w:val="24"/>
          <w:highlight w:val="none"/>
          <w:lang w:val="en-US" w:eastAsia="zh-CN"/>
        </w:rPr>
        <w:t>二、</w:t>
      </w:r>
      <w:r>
        <w:rPr>
          <w:rFonts w:hint="eastAsia" w:ascii="黑体" w:hAnsi="黑体" w:eastAsia="黑体" w:cs="黑体"/>
          <w:color w:val="auto"/>
          <w:sz w:val="24"/>
          <w:szCs w:val="24"/>
          <w:highlight w:val="none"/>
        </w:rPr>
        <w:t>评标中的落实政府采购政策具体办法</w:t>
      </w:r>
      <w:bookmarkEnd w:id="373"/>
      <w:bookmarkEnd w:id="374"/>
      <w:bookmarkEnd w:id="375"/>
      <w:bookmarkEnd w:id="376"/>
      <w:bookmarkEnd w:id="377"/>
      <w:bookmarkEnd w:id="378"/>
    </w:p>
    <w:p w14:paraId="2B4BAFBD">
      <w:pPr>
        <w:pStyle w:val="100"/>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outlineLvl w:val="9"/>
        <w:rPr>
          <w:rFonts w:hint="eastAsia" w:ascii="黑体" w:hAnsi="黑体" w:eastAsia="黑体" w:cs="黑体"/>
          <w:b/>
          <w:bCs/>
          <w:color w:val="auto"/>
          <w:spacing w:val="0"/>
          <w:w w:val="100"/>
          <w:position w:val="0"/>
          <w:sz w:val="24"/>
          <w:szCs w:val="24"/>
          <w:highlight w:val="none"/>
          <w:lang w:val="en-US" w:eastAsia="zh-CN"/>
        </w:rPr>
      </w:pPr>
      <w:bookmarkStart w:id="379" w:name="_bookmark68"/>
      <w:bookmarkEnd w:id="379"/>
      <w:r>
        <w:rPr>
          <w:rFonts w:hint="eastAsia" w:ascii="黑体" w:hAnsi="黑体" w:eastAsia="黑体" w:cs="黑体"/>
          <w:b/>
          <w:bCs/>
          <w:color w:val="auto"/>
          <w:spacing w:val="0"/>
          <w:w w:val="100"/>
          <w:position w:val="0"/>
          <w:sz w:val="24"/>
          <w:szCs w:val="24"/>
          <w:highlight w:val="none"/>
          <w:lang w:val="en-US" w:eastAsia="zh-CN"/>
        </w:rPr>
        <w:t>1、促进中小企业、残疾人福利性单位、监狱企业政策落实</w:t>
      </w:r>
    </w:p>
    <w:p w14:paraId="42EC2E2F">
      <w:pPr>
        <w:adjustRightInd w:val="0"/>
        <w:snapToGrid w:val="0"/>
        <w:spacing w:line="360" w:lineRule="auto"/>
        <w:ind w:firstLine="480" w:firstLineChars="200"/>
        <w:rPr>
          <w:rFonts w:hint="eastAsia"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（1）《政府采购促进中小企业发展管理办法》（财库[2020]46 号，以下简称“发展管理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8D0E68E">
      <w:pPr>
        <w:adjustRightInd w:val="0"/>
        <w:snapToGrid w:val="0"/>
        <w:spacing w:line="360" w:lineRule="auto"/>
        <w:ind w:firstLine="480" w:firstLineChars="200"/>
        <w:rPr>
          <w:rFonts w:hint="eastAsia"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（2）在政府采购活动中，供应商提供的货物、工程或者服务符合下列情形的，享受发展管理办法规定的中小企业扶持政策：</w:t>
      </w:r>
    </w:p>
    <w:p w14:paraId="1761D8FF">
      <w:pPr>
        <w:adjustRightInd w:val="0"/>
        <w:snapToGrid w:val="0"/>
        <w:spacing w:line="360" w:lineRule="auto"/>
        <w:ind w:firstLine="480" w:firstLineChars="200"/>
        <w:rPr>
          <w:rFonts w:hint="eastAsia"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（一）在货物采购项目中，货物由中小企业制造，即货物由中小企业生产且使用该中小企业商号或者注册商标；</w:t>
      </w:r>
    </w:p>
    <w:p w14:paraId="52215E1C">
      <w:pPr>
        <w:adjustRightInd w:val="0"/>
        <w:snapToGrid w:val="0"/>
        <w:spacing w:line="360" w:lineRule="auto"/>
        <w:ind w:firstLine="480" w:firstLineChars="200"/>
        <w:rPr>
          <w:rFonts w:hint="eastAsia"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（二）在工程采购项目中，工程由中小企业承建，即工程施工单位为中小企业。</w:t>
      </w:r>
    </w:p>
    <w:p w14:paraId="51F96512">
      <w:pPr>
        <w:adjustRightInd w:val="0"/>
        <w:snapToGrid w:val="0"/>
        <w:spacing w:line="360" w:lineRule="auto"/>
        <w:ind w:firstLine="480" w:firstLineChars="200"/>
        <w:rPr>
          <w:rFonts w:hint="eastAsia"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（三）在服务采购项目中，服务由中小企业承接，即提供服务的人员为中小企业依照《中华人民共和国劳动合同法》订立劳动合同的从业人员。</w:t>
      </w:r>
    </w:p>
    <w:p w14:paraId="35B239DE">
      <w:pPr>
        <w:adjustRightInd w:val="0"/>
        <w:snapToGrid w:val="0"/>
        <w:spacing w:line="360" w:lineRule="auto"/>
        <w:ind w:firstLine="480" w:firstLineChars="200"/>
        <w:rPr>
          <w:rFonts w:hint="eastAsia"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在货物采购项目中，供应商提供的货物既有中小企业制造货物，也有大型企业制造货物的，不享受发展管理办法规定的中小企业扶持政策。</w:t>
      </w:r>
    </w:p>
    <w:p w14:paraId="2C935B2D">
      <w:pPr>
        <w:adjustRightInd w:val="0"/>
        <w:snapToGrid w:val="0"/>
        <w:spacing w:line="360" w:lineRule="auto"/>
        <w:ind w:firstLine="480" w:firstLineChars="200"/>
        <w:rPr>
          <w:rFonts w:hint="eastAsia"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以联合体形式参加政府采购活动，联合体各方均为中小企业的，联合体视同中小企业。其中，联合体各方均为小微企业的，联合体视同小微企业。</w:t>
      </w:r>
    </w:p>
    <w:p w14:paraId="50731D4E">
      <w:pPr>
        <w:adjustRightInd w:val="0"/>
        <w:snapToGrid w:val="0"/>
        <w:spacing w:line="360" w:lineRule="auto"/>
        <w:ind w:firstLine="480" w:firstLineChars="200"/>
        <w:rPr>
          <w:rFonts w:hint="eastAsia"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（3）根据政府采购促进中小企业发展管理办法第九条要求</w:t>
      </w:r>
    </w:p>
    <w:p w14:paraId="31844314">
      <w:pPr>
        <w:adjustRightInd w:val="0"/>
        <w:snapToGrid w:val="0"/>
        <w:spacing w:line="360" w:lineRule="auto"/>
        <w:ind w:firstLine="480" w:firstLineChars="200"/>
        <w:rPr>
          <w:rFonts w:hint="eastAsia"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对无落实政府采购政策需满足的资格要求的项目/包件，对符合发展管理办法规定的小微企业报价给予3%的扣除，用扣除后的价格参与评审。适用招标投标法的政府采购工程建设项目，采用综合评估法但未采用低价优先法计算价格分的，评标时应当在采用原报价进行评分的基础上增加其价格得分的3%作为其价格分。</w:t>
      </w:r>
    </w:p>
    <w:p w14:paraId="29908456">
      <w:pPr>
        <w:adjustRightInd w:val="0"/>
        <w:snapToGrid w:val="0"/>
        <w:spacing w:line="360" w:lineRule="auto"/>
        <w:ind w:firstLine="480" w:firstLineChars="200"/>
        <w:rPr>
          <w:rFonts w:hint="eastAsia"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对大中型企业与小微企业组成联合体的项目/包件或者大中型企业向一家或者多家小微企业分包的项目/包件，对于联合协议或者分包意向协议约定小微企业的合同份额占到合同总金额 30%以上的，对投标报价给予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48E3F71C">
      <w:pPr>
        <w:adjustRightInd w:val="0"/>
        <w:snapToGrid w:val="0"/>
        <w:spacing w:line="360" w:lineRule="auto"/>
        <w:ind w:firstLine="480" w:firstLineChars="200"/>
        <w:rPr>
          <w:rFonts w:hint="eastAsia"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价格扣除比例或者价格分加分比例对小型企业和微型企业同等对待，不作区分。</w:t>
      </w:r>
    </w:p>
    <w:p w14:paraId="3EEA9F07">
      <w:pPr>
        <w:adjustRightInd w:val="0"/>
        <w:snapToGrid w:val="0"/>
        <w:spacing w:line="360" w:lineRule="auto"/>
        <w:ind w:firstLine="480" w:firstLineChars="200"/>
        <w:rPr>
          <w:rFonts w:hint="eastAsia"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（4）中小企业参加政府采购活动，应当按规定格式出具《中小企业声明函》，否则不得享受相关中小企业扶持政策，《中小企业声明函》格式详见第2章投标文件格式。</w:t>
      </w:r>
    </w:p>
    <w:p w14:paraId="41431941">
      <w:pPr>
        <w:adjustRightInd w:val="0"/>
        <w:snapToGrid w:val="0"/>
        <w:spacing w:line="360" w:lineRule="auto"/>
        <w:ind w:firstLine="480" w:firstLineChars="200"/>
        <w:rPr>
          <w:rFonts w:hint="eastAsia"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（5）根据《关于政府采购支持监狱企业发展有关问题的通知》（财库[2014]68 号）的要求，监狱和戒毒企业（以下简称监狱企业）参加政府采购活动时，应当提供由省级以上监狱管理局、戒毒管理局（含新疆生产建设兵团）出具的属于监狱企业的证明文件。监狱企业视同小型、微型企业，享受磋商文件规定的评审中价格扣除或价格分加分等促进中小企业发展的政府采购政策。</w:t>
      </w:r>
    </w:p>
    <w:p w14:paraId="71C54B71">
      <w:pPr>
        <w:adjustRightInd w:val="0"/>
        <w:snapToGrid w:val="0"/>
        <w:spacing w:line="360" w:lineRule="auto"/>
        <w:ind w:firstLine="480" w:firstLineChars="200"/>
        <w:rPr>
          <w:rFonts w:hint="eastAsia"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6B4DF61">
      <w:pPr>
        <w:adjustRightInd w:val="0"/>
        <w:snapToGrid w:val="0"/>
        <w:spacing w:line="360" w:lineRule="auto"/>
        <w:ind w:firstLine="480" w:firstLineChars="200"/>
        <w:rPr>
          <w:rFonts w:hint="eastAsia"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（6）根据《关于促进残疾人就业政府采购政策的通知》（财库〔2017〕141 号）规定， 投标人如符合该规定享受政府采购支持政策的残疾人福利性单位的条件，应提供《残疾人福利性单位声明函》，格式见第2章投标文件格式。残疾人福利性单位视同小型、微型企业，享受磋商文件规定的评审中价格扣除或价格分加分等促进中小企业发展的政府采购政策。残疾人福利性单位属于小型、微型企业的，不重复享受政策。享受政府采购支持政策的残疾人福利性单位应当同时满足以下条件：</w:t>
      </w:r>
    </w:p>
    <w:p w14:paraId="1F1378DC">
      <w:pPr>
        <w:adjustRightInd w:val="0"/>
        <w:snapToGrid w:val="0"/>
        <w:spacing w:line="360" w:lineRule="auto"/>
        <w:ind w:firstLine="480" w:firstLineChars="200"/>
        <w:rPr>
          <w:rFonts w:hint="eastAsia"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（一）安置的残疾人占本单位在职职工人数的比例不低于 25%（含 25%），并且安置的残疾人人数不少于 10 人（含 10 人）；</w:t>
      </w:r>
    </w:p>
    <w:p w14:paraId="58B0746E">
      <w:pPr>
        <w:adjustRightInd w:val="0"/>
        <w:snapToGrid w:val="0"/>
        <w:spacing w:line="360" w:lineRule="auto"/>
        <w:ind w:firstLine="480" w:firstLineChars="200"/>
        <w:rPr>
          <w:rFonts w:hint="eastAsia"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（二）依法与安置的每位残疾人签订了一年以上（含一年）的劳动合同或服务协议；</w:t>
      </w:r>
    </w:p>
    <w:p w14:paraId="63E13251">
      <w:pPr>
        <w:adjustRightInd w:val="0"/>
        <w:snapToGrid w:val="0"/>
        <w:spacing w:line="360" w:lineRule="auto"/>
        <w:ind w:firstLine="480" w:firstLineChars="200"/>
        <w:rPr>
          <w:rFonts w:hint="eastAsia"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（三）为安置的每位残疾人按月足额缴纳了基本养老保险、基本医疗保险、失业保险、工伤保险和生育保险等社会保险费；</w:t>
      </w:r>
    </w:p>
    <w:p w14:paraId="06EA8B59">
      <w:pPr>
        <w:adjustRightInd w:val="0"/>
        <w:snapToGrid w:val="0"/>
        <w:spacing w:line="360" w:lineRule="auto"/>
        <w:ind w:firstLine="480" w:firstLineChars="200"/>
        <w:rPr>
          <w:rFonts w:hint="eastAsia"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（四）通过银行等金融机构向安置的每位残疾人，按月支付了不低于单位所在区县适用的经省级人民政府批准的月最低工资标准的工资；</w:t>
      </w:r>
    </w:p>
    <w:p w14:paraId="2BD63FB2">
      <w:pPr>
        <w:adjustRightInd w:val="0"/>
        <w:snapToGrid w:val="0"/>
        <w:spacing w:line="360" w:lineRule="auto"/>
        <w:ind w:firstLine="480" w:firstLineChars="200"/>
        <w:rPr>
          <w:rFonts w:hint="eastAsia"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（五）提供本单位制造的货物、承担的工程或者服务（以下简称产品），或者提供其他残疾人福利性单位制造的货物（不包括使用非残疾人福利性单位注册商标的货物）。</w:t>
      </w:r>
    </w:p>
    <w:p w14:paraId="01291166">
      <w:pPr>
        <w:adjustRightInd w:val="0"/>
        <w:snapToGrid w:val="0"/>
        <w:spacing w:line="360" w:lineRule="auto"/>
        <w:ind w:firstLine="480" w:firstLineChars="200"/>
        <w:rPr>
          <w:rFonts w:hint="eastAsia"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CAC14AE">
      <w:pPr>
        <w:adjustRightInd w:val="0"/>
        <w:snapToGrid w:val="0"/>
        <w:spacing w:line="360" w:lineRule="auto"/>
        <w:ind w:firstLine="480" w:firstLineChars="200"/>
        <w:rPr>
          <w:rFonts w:hint="eastAsia"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（7）若投标报价中有小型、微型企业、监狱企业或残疾人福利性单位报价的，需单独标注。</w:t>
      </w:r>
    </w:p>
    <w:p w14:paraId="3D48EDE0">
      <w:pPr>
        <w:pStyle w:val="100"/>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outlineLvl w:val="9"/>
        <w:rPr>
          <w:rFonts w:hint="eastAsia" w:ascii="黑体" w:hAnsi="黑体" w:eastAsia="黑体" w:cs="黑体"/>
          <w:b/>
          <w:bCs/>
          <w:color w:val="auto"/>
          <w:spacing w:val="0"/>
          <w:w w:val="100"/>
          <w:position w:val="0"/>
          <w:sz w:val="24"/>
          <w:szCs w:val="24"/>
          <w:highlight w:val="none"/>
          <w:lang w:val="en-US" w:eastAsia="zh-CN"/>
        </w:rPr>
      </w:pPr>
      <w:bookmarkStart w:id="380" w:name="_bookmark69"/>
      <w:bookmarkEnd w:id="380"/>
      <w:r>
        <w:rPr>
          <w:rFonts w:hint="eastAsia" w:ascii="黑体" w:hAnsi="黑体" w:eastAsia="黑体" w:cs="黑体"/>
          <w:b/>
          <w:bCs/>
          <w:color w:val="auto"/>
          <w:spacing w:val="0"/>
          <w:w w:val="100"/>
          <w:position w:val="0"/>
          <w:sz w:val="24"/>
          <w:szCs w:val="24"/>
          <w:highlight w:val="none"/>
          <w:lang w:val="en-US" w:eastAsia="zh-CN"/>
        </w:rPr>
        <w:t>2、鼓励节能、环保政策落实</w:t>
      </w:r>
    </w:p>
    <w:p w14:paraId="1B41CE3C">
      <w:pPr>
        <w:pStyle w:val="100"/>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黑体" w:hAnsi="黑体" w:eastAsia="黑体" w:cs="黑体"/>
          <w:color w:val="auto"/>
          <w:spacing w:val="0"/>
          <w:w w:val="100"/>
          <w:position w:val="0"/>
          <w:sz w:val="24"/>
          <w:szCs w:val="24"/>
          <w:highlight w:val="none"/>
          <w:lang w:val="en-US" w:eastAsia="zh-CN"/>
        </w:rPr>
      </w:pPr>
      <w:r>
        <w:rPr>
          <w:rFonts w:hint="eastAsia" w:ascii="黑体" w:hAnsi="黑体" w:eastAsia="黑体" w:cs="黑体"/>
          <w:color w:val="auto"/>
          <w:spacing w:val="0"/>
          <w:w w:val="100"/>
          <w:position w:val="0"/>
          <w:sz w:val="24"/>
          <w:szCs w:val="24"/>
          <w:highlight w:val="none"/>
          <w:lang w:val="en-US" w:eastAsia="zh-CN"/>
        </w:rPr>
        <w:t>（1）鼓励节能政策：在性能、技术、服务等指标同等条件下，优先采购国家确定的认证机构出具的、处于有效期之内的节能产品认证证书标志产品。投标涉及上述产品的， 投标人应提供带有投标产品型号的节能产品认证证书复印件作为证明。</w:t>
      </w:r>
    </w:p>
    <w:p w14:paraId="1FA9C9E1">
      <w:pPr>
        <w:pStyle w:val="100"/>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黑体" w:hAnsi="黑体" w:eastAsia="黑体" w:cs="黑体"/>
          <w:color w:val="auto"/>
          <w:spacing w:val="0"/>
          <w:w w:val="100"/>
          <w:position w:val="0"/>
          <w:sz w:val="24"/>
          <w:szCs w:val="24"/>
          <w:highlight w:val="none"/>
          <w:lang w:val="en-US" w:eastAsia="zh-CN"/>
        </w:rPr>
      </w:pPr>
      <w:r>
        <w:rPr>
          <w:rFonts w:hint="eastAsia" w:ascii="黑体" w:hAnsi="黑体" w:eastAsia="黑体" w:cs="黑体"/>
          <w:color w:val="auto"/>
          <w:spacing w:val="0"/>
          <w:w w:val="100"/>
          <w:position w:val="0"/>
          <w:sz w:val="24"/>
          <w:szCs w:val="24"/>
          <w:highlight w:val="none"/>
          <w:lang w:val="en-US" w:eastAsia="zh-CN"/>
        </w:rPr>
        <w:t>（2）鼓励环保政策：在性能、技术、服务等指标同等条件下，优先采购国家确定的认证机构出具的、处于有效期之内的环境标志产品认证证书标志产品。投标涉及上述产品的，投标人应提供带有投标产品型号的环境标志产品认证证书复印件作为证明。</w:t>
      </w:r>
    </w:p>
    <w:p w14:paraId="1A5EA332">
      <w:pPr>
        <w:pStyle w:val="11"/>
        <w:rPr>
          <w:rFonts w:hint="eastAsia" w:ascii="黑体" w:hAnsi="黑体" w:eastAsia="黑体" w:cs="黑体"/>
          <w:b/>
          <w:color w:val="auto"/>
          <w:sz w:val="28"/>
          <w:szCs w:val="28"/>
          <w:lang w:val="en-US" w:eastAsia="zh-CN"/>
        </w:rPr>
      </w:pPr>
      <w:bookmarkStart w:id="381" w:name="_bookmark70"/>
      <w:bookmarkEnd w:id="381"/>
      <w:r>
        <w:rPr>
          <w:rFonts w:hint="eastAsia" w:ascii="黑体" w:hAnsi="黑体" w:eastAsia="黑体" w:cs="黑体"/>
          <w:color w:val="auto"/>
          <w:sz w:val="28"/>
          <w:szCs w:val="28"/>
          <w:highlight w:val="none"/>
        </w:rPr>
        <w:br w:type="page"/>
      </w:r>
    </w:p>
    <w:p w14:paraId="208A6A8C">
      <w:pPr>
        <w:spacing w:line="440" w:lineRule="exact"/>
        <w:jc w:val="center"/>
        <w:outlineLvl w:val="0"/>
        <w:rPr>
          <w:rFonts w:hint="eastAsia" w:ascii="黑体" w:hAnsi="黑体" w:eastAsia="黑体" w:cs="黑体"/>
          <w:b/>
          <w:color w:val="auto"/>
          <w:sz w:val="32"/>
          <w:szCs w:val="32"/>
          <w:lang w:val="en-US" w:eastAsia="zh-CN"/>
        </w:rPr>
      </w:pPr>
      <w:bookmarkStart w:id="382" w:name="_Toc14369"/>
      <w:bookmarkStart w:id="383" w:name="_Toc7767"/>
      <w:r>
        <w:rPr>
          <w:rFonts w:hint="eastAsia" w:ascii="黑体" w:hAnsi="黑体" w:eastAsia="黑体" w:cs="黑体"/>
          <w:b/>
          <w:color w:val="auto"/>
          <w:sz w:val="32"/>
          <w:szCs w:val="32"/>
          <w:lang w:val="en-US" w:eastAsia="zh-CN"/>
        </w:rPr>
        <w:t>资格评审表</w:t>
      </w:r>
      <w:bookmarkEnd w:id="382"/>
      <w:bookmarkEnd w:id="383"/>
    </w:p>
    <w:tbl>
      <w:tblPr>
        <w:tblStyle w:val="38"/>
        <w:tblW w:w="9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607"/>
        <w:gridCol w:w="6699"/>
        <w:gridCol w:w="732"/>
        <w:gridCol w:w="532"/>
      </w:tblGrid>
      <w:tr w14:paraId="291D6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vMerge w:val="restart"/>
            <w:noWrap w:val="0"/>
            <w:vAlign w:val="center"/>
          </w:tcPr>
          <w:p w14:paraId="3C36BADE">
            <w:pPr>
              <w:spacing w:line="440" w:lineRule="exact"/>
              <w:jc w:val="center"/>
              <w:outlineLvl w:val="0"/>
              <w:rPr>
                <w:rFonts w:hint="eastAsia" w:ascii="黑体" w:hAnsi="黑体" w:eastAsia="黑体" w:cs="黑体"/>
                <w:b/>
                <w:color w:val="auto"/>
                <w:sz w:val="22"/>
                <w:szCs w:val="22"/>
              </w:rPr>
            </w:pPr>
            <w:bookmarkStart w:id="384" w:name="_Toc23675"/>
            <w:bookmarkStart w:id="385" w:name="_Toc13628"/>
            <w:r>
              <w:rPr>
                <w:rFonts w:hint="eastAsia" w:ascii="黑体" w:hAnsi="黑体" w:eastAsia="黑体" w:cs="黑体"/>
                <w:b/>
                <w:color w:val="auto"/>
                <w:sz w:val="22"/>
                <w:szCs w:val="22"/>
              </w:rPr>
              <w:t>项目</w:t>
            </w:r>
            <w:bookmarkEnd w:id="384"/>
            <w:bookmarkEnd w:id="385"/>
          </w:p>
        </w:tc>
        <w:tc>
          <w:tcPr>
            <w:tcW w:w="7354" w:type="dxa"/>
            <w:gridSpan w:val="2"/>
            <w:vMerge w:val="restart"/>
            <w:noWrap w:val="0"/>
            <w:vAlign w:val="center"/>
          </w:tcPr>
          <w:p w14:paraId="5D2C4849">
            <w:pPr>
              <w:spacing w:line="360" w:lineRule="auto"/>
              <w:jc w:val="center"/>
              <w:outlineLvl w:val="0"/>
              <w:rPr>
                <w:rFonts w:hint="eastAsia" w:ascii="黑体" w:hAnsi="黑体" w:eastAsia="黑体" w:cs="黑体"/>
                <w:bCs/>
                <w:color w:val="auto"/>
                <w:sz w:val="22"/>
                <w:szCs w:val="22"/>
              </w:rPr>
            </w:pPr>
            <w:bookmarkStart w:id="386" w:name="_Toc21361"/>
            <w:bookmarkStart w:id="387" w:name="_Toc29353"/>
            <w:r>
              <w:rPr>
                <w:rFonts w:hint="eastAsia" w:ascii="黑体" w:hAnsi="黑体" w:eastAsia="黑体" w:cs="黑体"/>
                <w:b/>
                <w:color w:val="auto"/>
                <w:sz w:val="22"/>
                <w:szCs w:val="22"/>
              </w:rPr>
              <w:t>评审内容</w:t>
            </w:r>
            <w:bookmarkEnd w:id="386"/>
            <w:bookmarkEnd w:id="387"/>
          </w:p>
        </w:tc>
        <w:tc>
          <w:tcPr>
            <w:tcW w:w="1269" w:type="dxa"/>
            <w:gridSpan w:val="2"/>
            <w:noWrap w:val="0"/>
            <w:vAlign w:val="center"/>
          </w:tcPr>
          <w:p w14:paraId="35D3C40D">
            <w:pPr>
              <w:spacing w:line="360" w:lineRule="auto"/>
              <w:jc w:val="both"/>
              <w:outlineLvl w:val="0"/>
              <w:rPr>
                <w:rFonts w:hint="eastAsia" w:ascii="黑体" w:hAnsi="黑体" w:eastAsia="黑体" w:cs="黑体"/>
                <w:bCs/>
                <w:color w:val="auto"/>
                <w:sz w:val="22"/>
                <w:szCs w:val="22"/>
              </w:rPr>
            </w:pPr>
            <w:bookmarkStart w:id="388" w:name="_Toc9938"/>
            <w:bookmarkStart w:id="389" w:name="_Toc29147"/>
            <w:r>
              <w:rPr>
                <w:rFonts w:hint="eastAsia" w:ascii="黑体" w:hAnsi="黑体" w:eastAsia="黑体" w:cs="黑体"/>
                <w:b/>
                <w:color w:val="auto"/>
                <w:sz w:val="22"/>
                <w:szCs w:val="22"/>
              </w:rPr>
              <w:t>评审意见</w:t>
            </w:r>
            <w:bookmarkEnd w:id="388"/>
            <w:bookmarkEnd w:id="389"/>
          </w:p>
        </w:tc>
      </w:tr>
      <w:tr w14:paraId="2B6DE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17" w:type="dxa"/>
            <w:vMerge w:val="continue"/>
            <w:noWrap w:val="0"/>
            <w:vAlign w:val="center"/>
          </w:tcPr>
          <w:p w14:paraId="63E7FE33">
            <w:pPr>
              <w:spacing w:line="360" w:lineRule="auto"/>
              <w:jc w:val="left"/>
              <w:outlineLvl w:val="9"/>
              <w:rPr>
                <w:rFonts w:hint="eastAsia" w:ascii="黑体" w:hAnsi="黑体" w:eastAsia="黑体" w:cs="黑体"/>
                <w:bCs/>
                <w:color w:val="auto"/>
                <w:sz w:val="22"/>
                <w:szCs w:val="22"/>
              </w:rPr>
            </w:pPr>
          </w:p>
        </w:tc>
        <w:tc>
          <w:tcPr>
            <w:tcW w:w="7354" w:type="dxa"/>
            <w:gridSpan w:val="2"/>
            <w:vMerge w:val="continue"/>
            <w:noWrap w:val="0"/>
            <w:vAlign w:val="top"/>
          </w:tcPr>
          <w:p w14:paraId="09977A8C">
            <w:pPr>
              <w:spacing w:line="360" w:lineRule="auto"/>
              <w:jc w:val="left"/>
              <w:outlineLvl w:val="9"/>
              <w:rPr>
                <w:rFonts w:hint="eastAsia" w:ascii="黑体" w:hAnsi="黑体" w:eastAsia="黑体" w:cs="黑体"/>
                <w:bCs/>
                <w:color w:val="auto"/>
                <w:sz w:val="22"/>
                <w:szCs w:val="22"/>
              </w:rPr>
            </w:pPr>
          </w:p>
        </w:tc>
        <w:tc>
          <w:tcPr>
            <w:tcW w:w="736" w:type="dxa"/>
            <w:noWrap w:val="0"/>
            <w:vAlign w:val="center"/>
          </w:tcPr>
          <w:p w14:paraId="0977537A">
            <w:pPr>
              <w:spacing w:line="360" w:lineRule="auto"/>
              <w:jc w:val="both"/>
              <w:outlineLvl w:val="0"/>
              <w:rPr>
                <w:rFonts w:hint="eastAsia" w:ascii="黑体" w:hAnsi="黑体" w:eastAsia="黑体" w:cs="黑体"/>
                <w:b/>
                <w:color w:val="auto"/>
                <w:sz w:val="22"/>
                <w:szCs w:val="22"/>
              </w:rPr>
            </w:pPr>
            <w:bookmarkStart w:id="390" w:name="_Toc3267"/>
            <w:bookmarkStart w:id="391" w:name="_Toc24229"/>
            <w:r>
              <w:rPr>
                <w:rFonts w:hint="eastAsia" w:ascii="黑体" w:hAnsi="黑体" w:eastAsia="黑体" w:cs="黑体"/>
                <w:b/>
                <w:color w:val="auto"/>
                <w:sz w:val="22"/>
                <w:szCs w:val="22"/>
              </w:rPr>
              <w:t>是</w:t>
            </w:r>
            <w:bookmarkEnd w:id="390"/>
            <w:bookmarkEnd w:id="391"/>
          </w:p>
        </w:tc>
        <w:tc>
          <w:tcPr>
            <w:tcW w:w="533" w:type="dxa"/>
            <w:noWrap w:val="0"/>
            <w:vAlign w:val="center"/>
          </w:tcPr>
          <w:p w14:paraId="711891D3">
            <w:pPr>
              <w:spacing w:line="360" w:lineRule="auto"/>
              <w:jc w:val="both"/>
              <w:outlineLvl w:val="0"/>
              <w:rPr>
                <w:rFonts w:hint="eastAsia" w:ascii="黑体" w:hAnsi="黑体" w:eastAsia="黑体" w:cs="黑体"/>
                <w:b/>
                <w:color w:val="auto"/>
                <w:sz w:val="22"/>
                <w:szCs w:val="22"/>
              </w:rPr>
            </w:pPr>
            <w:bookmarkStart w:id="392" w:name="_Toc6532"/>
            <w:bookmarkStart w:id="393" w:name="_Toc11642"/>
            <w:r>
              <w:rPr>
                <w:rFonts w:hint="eastAsia" w:ascii="黑体" w:hAnsi="黑体" w:eastAsia="黑体" w:cs="黑体"/>
                <w:b/>
                <w:color w:val="auto"/>
                <w:sz w:val="22"/>
                <w:szCs w:val="22"/>
              </w:rPr>
              <w:t>否</w:t>
            </w:r>
            <w:bookmarkEnd w:id="392"/>
            <w:bookmarkEnd w:id="393"/>
          </w:p>
        </w:tc>
      </w:tr>
      <w:tr w14:paraId="5214B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17" w:type="dxa"/>
            <w:vMerge w:val="restart"/>
            <w:noWrap w:val="0"/>
            <w:vAlign w:val="center"/>
          </w:tcPr>
          <w:p w14:paraId="082CFCA1">
            <w:pPr>
              <w:spacing w:line="360" w:lineRule="auto"/>
              <w:jc w:val="center"/>
              <w:outlineLvl w:val="0"/>
              <w:rPr>
                <w:rFonts w:hint="eastAsia" w:ascii="黑体" w:hAnsi="黑体" w:eastAsia="黑体" w:cs="黑体"/>
                <w:b/>
                <w:bCs w:val="0"/>
                <w:color w:val="auto"/>
                <w:sz w:val="22"/>
                <w:szCs w:val="22"/>
              </w:rPr>
            </w:pPr>
            <w:bookmarkStart w:id="394" w:name="_Toc31099"/>
            <w:bookmarkStart w:id="395" w:name="_Toc9734"/>
            <w:r>
              <w:rPr>
                <w:rFonts w:hint="eastAsia" w:ascii="黑体" w:hAnsi="黑体" w:eastAsia="黑体" w:cs="黑体"/>
                <w:b/>
                <w:bCs w:val="0"/>
                <w:color w:val="auto"/>
                <w:sz w:val="22"/>
                <w:szCs w:val="22"/>
              </w:rPr>
              <w:t>审查标准</w:t>
            </w:r>
            <w:bookmarkEnd w:id="394"/>
            <w:bookmarkEnd w:id="395"/>
          </w:p>
        </w:tc>
        <w:tc>
          <w:tcPr>
            <w:tcW w:w="610" w:type="dxa"/>
            <w:noWrap w:val="0"/>
            <w:vAlign w:val="center"/>
          </w:tcPr>
          <w:p w14:paraId="5A882E89">
            <w:pPr>
              <w:spacing w:line="360" w:lineRule="auto"/>
              <w:jc w:val="center"/>
              <w:outlineLvl w:val="0"/>
              <w:rPr>
                <w:rFonts w:hint="eastAsia" w:ascii="黑体" w:hAnsi="黑体" w:eastAsia="黑体" w:cs="黑体"/>
                <w:b w:val="0"/>
                <w:bCs/>
                <w:color w:val="auto"/>
                <w:sz w:val="22"/>
                <w:szCs w:val="22"/>
              </w:rPr>
            </w:pPr>
            <w:bookmarkStart w:id="396" w:name="_Toc18080"/>
            <w:bookmarkStart w:id="397" w:name="_Toc22953"/>
            <w:r>
              <w:rPr>
                <w:rFonts w:hint="eastAsia" w:ascii="黑体" w:hAnsi="黑体" w:eastAsia="黑体" w:cs="黑体"/>
                <w:b w:val="0"/>
                <w:bCs/>
                <w:color w:val="auto"/>
                <w:sz w:val="22"/>
                <w:szCs w:val="22"/>
              </w:rPr>
              <w:t>1</w:t>
            </w:r>
            <w:bookmarkEnd w:id="396"/>
            <w:bookmarkEnd w:id="397"/>
          </w:p>
        </w:tc>
        <w:tc>
          <w:tcPr>
            <w:tcW w:w="6744" w:type="dxa"/>
            <w:noWrap w:val="0"/>
            <w:vAlign w:val="center"/>
          </w:tcPr>
          <w:p w14:paraId="0ADDB0FC">
            <w:pPr>
              <w:spacing w:line="360" w:lineRule="auto"/>
              <w:rPr>
                <w:rFonts w:hint="eastAsia" w:ascii="黑体" w:hAnsi="黑体" w:eastAsia="黑体" w:cs="黑体"/>
                <w:bCs/>
                <w:color w:val="auto"/>
                <w:sz w:val="22"/>
                <w:szCs w:val="22"/>
              </w:rPr>
            </w:pPr>
            <w:r>
              <w:rPr>
                <w:rStyle w:val="47"/>
                <w:rFonts w:hint="eastAsia" w:ascii="黑体" w:hAnsi="黑体" w:eastAsia="黑体" w:cs="黑体"/>
                <w:b w:val="0"/>
                <w:bCs w:val="0"/>
                <w:color w:val="auto"/>
                <w:sz w:val="22"/>
                <w:szCs w:val="22"/>
                <w:highlight w:val="none"/>
                <w:lang w:val="en-US" w:eastAsia="zh-CN"/>
              </w:rPr>
              <w:t>具有有效的营业执照；</w:t>
            </w:r>
          </w:p>
        </w:tc>
        <w:tc>
          <w:tcPr>
            <w:tcW w:w="736" w:type="dxa"/>
            <w:noWrap w:val="0"/>
            <w:vAlign w:val="top"/>
          </w:tcPr>
          <w:p w14:paraId="0835C973">
            <w:pPr>
              <w:spacing w:line="360" w:lineRule="auto"/>
              <w:jc w:val="left"/>
              <w:outlineLvl w:val="9"/>
              <w:rPr>
                <w:rFonts w:hint="eastAsia" w:ascii="黑体" w:hAnsi="黑体" w:eastAsia="黑体" w:cs="黑体"/>
                <w:bCs/>
                <w:color w:val="auto"/>
                <w:sz w:val="22"/>
                <w:szCs w:val="22"/>
              </w:rPr>
            </w:pPr>
          </w:p>
        </w:tc>
        <w:tc>
          <w:tcPr>
            <w:tcW w:w="533" w:type="dxa"/>
            <w:noWrap w:val="0"/>
            <w:vAlign w:val="top"/>
          </w:tcPr>
          <w:p w14:paraId="7C662C95">
            <w:pPr>
              <w:spacing w:line="360" w:lineRule="auto"/>
              <w:jc w:val="left"/>
              <w:outlineLvl w:val="9"/>
              <w:rPr>
                <w:rFonts w:hint="eastAsia" w:ascii="黑体" w:hAnsi="黑体" w:eastAsia="黑体" w:cs="黑体"/>
                <w:bCs/>
                <w:color w:val="auto"/>
                <w:sz w:val="22"/>
                <w:szCs w:val="22"/>
              </w:rPr>
            </w:pPr>
          </w:p>
        </w:tc>
      </w:tr>
      <w:tr w14:paraId="7B171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17" w:type="dxa"/>
            <w:vMerge w:val="continue"/>
            <w:noWrap w:val="0"/>
            <w:vAlign w:val="center"/>
          </w:tcPr>
          <w:p w14:paraId="342A9FA6">
            <w:pPr>
              <w:spacing w:line="360" w:lineRule="auto"/>
              <w:jc w:val="left"/>
              <w:outlineLvl w:val="9"/>
              <w:rPr>
                <w:rFonts w:hint="eastAsia" w:ascii="黑体" w:hAnsi="黑体" w:eastAsia="黑体" w:cs="黑体"/>
                <w:b/>
                <w:bCs w:val="0"/>
                <w:color w:val="auto"/>
                <w:sz w:val="22"/>
                <w:szCs w:val="22"/>
              </w:rPr>
            </w:pPr>
          </w:p>
        </w:tc>
        <w:tc>
          <w:tcPr>
            <w:tcW w:w="610" w:type="dxa"/>
            <w:noWrap w:val="0"/>
            <w:vAlign w:val="center"/>
          </w:tcPr>
          <w:p w14:paraId="319470EE">
            <w:pPr>
              <w:spacing w:line="360" w:lineRule="auto"/>
              <w:jc w:val="center"/>
              <w:outlineLvl w:val="0"/>
              <w:rPr>
                <w:rFonts w:hint="eastAsia" w:ascii="黑体" w:hAnsi="黑体" w:eastAsia="黑体" w:cs="黑体"/>
                <w:b w:val="0"/>
                <w:bCs/>
                <w:color w:val="auto"/>
                <w:sz w:val="22"/>
                <w:szCs w:val="22"/>
              </w:rPr>
            </w:pPr>
            <w:bookmarkStart w:id="398" w:name="_Toc25468"/>
            <w:bookmarkStart w:id="399" w:name="_Toc14109"/>
            <w:r>
              <w:rPr>
                <w:rFonts w:hint="eastAsia" w:ascii="黑体" w:hAnsi="黑体" w:eastAsia="黑体" w:cs="黑体"/>
                <w:b w:val="0"/>
                <w:bCs/>
                <w:color w:val="auto"/>
                <w:sz w:val="22"/>
                <w:szCs w:val="22"/>
              </w:rPr>
              <w:t>2</w:t>
            </w:r>
            <w:bookmarkEnd w:id="398"/>
            <w:bookmarkEnd w:id="399"/>
          </w:p>
        </w:tc>
        <w:tc>
          <w:tcPr>
            <w:tcW w:w="6744" w:type="dxa"/>
            <w:noWrap w:val="0"/>
            <w:vAlign w:val="center"/>
          </w:tcPr>
          <w:p w14:paraId="3D5C0FE2">
            <w:pPr>
              <w:spacing w:line="360" w:lineRule="auto"/>
              <w:jc w:val="left"/>
              <w:rPr>
                <w:rFonts w:hint="eastAsia" w:ascii="黑体" w:hAnsi="黑体" w:eastAsia="黑体" w:cs="黑体"/>
                <w:bCs/>
                <w:color w:val="auto"/>
                <w:sz w:val="22"/>
                <w:szCs w:val="22"/>
                <w:lang w:eastAsia="zh-CN"/>
              </w:rPr>
            </w:pPr>
            <w:r>
              <w:rPr>
                <w:rFonts w:hint="eastAsia" w:ascii="黑体" w:hAnsi="黑体" w:eastAsia="黑体" w:cs="黑体"/>
                <w:bCs/>
                <w:color w:val="auto"/>
                <w:sz w:val="22"/>
                <w:szCs w:val="22"/>
                <w:lang w:eastAsia="zh-CN"/>
              </w:rPr>
              <w:t>法人代表资格证明书及授权书扫描件、被授权人身份证扫描件；(法人需提供法人身份证扫描件及法人代表资格证明书);</w:t>
            </w:r>
          </w:p>
        </w:tc>
        <w:tc>
          <w:tcPr>
            <w:tcW w:w="736" w:type="dxa"/>
            <w:noWrap w:val="0"/>
            <w:vAlign w:val="top"/>
          </w:tcPr>
          <w:p w14:paraId="226301E9">
            <w:pPr>
              <w:spacing w:line="360" w:lineRule="auto"/>
              <w:jc w:val="left"/>
              <w:outlineLvl w:val="9"/>
              <w:rPr>
                <w:rFonts w:hint="eastAsia" w:ascii="黑体" w:hAnsi="黑体" w:eastAsia="黑体" w:cs="黑体"/>
                <w:bCs/>
                <w:color w:val="auto"/>
                <w:sz w:val="22"/>
                <w:szCs w:val="22"/>
              </w:rPr>
            </w:pPr>
          </w:p>
        </w:tc>
        <w:tc>
          <w:tcPr>
            <w:tcW w:w="533" w:type="dxa"/>
            <w:noWrap w:val="0"/>
            <w:vAlign w:val="top"/>
          </w:tcPr>
          <w:p w14:paraId="3E1EC304">
            <w:pPr>
              <w:spacing w:line="360" w:lineRule="auto"/>
              <w:jc w:val="left"/>
              <w:outlineLvl w:val="9"/>
              <w:rPr>
                <w:rFonts w:hint="eastAsia" w:ascii="黑体" w:hAnsi="黑体" w:eastAsia="黑体" w:cs="黑体"/>
                <w:bCs/>
                <w:color w:val="auto"/>
                <w:sz w:val="22"/>
                <w:szCs w:val="22"/>
              </w:rPr>
            </w:pPr>
          </w:p>
        </w:tc>
      </w:tr>
      <w:tr w14:paraId="29F24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17" w:type="dxa"/>
            <w:vMerge w:val="continue"/>
            <w:noWrap w:val="0"/>
            <w:vAlign w:val="center"/>
          </w:tcPr>
          <w:p w14:paraId="50986678">
            <w:pPr>
              <w:spacing w:line="360" w:lineRule="auto"/>
              <w:jc w:val="left"/>
              <w:outlineLvl w:val="9"/>
              <w:rPr>
                <w:rFonts w:hint="eastAsia" w:ascii="黑体" w:hAnsi="黑体" w:eastAsia="黑体" w:cs="黑体"/>
                <w:b/>
                <w:bCs w:val="0"/>
                <w:color w:val="auto"/>
                <w:sz w:val="22"/>
                <w:szCs w:val="22"/>
              </w:rPr>
            </w:pPr>
          </w:p>
        </w:tc>
        <w:tc>
          <w:tcPr>
            <w:tcW w:w="610" w:type="dxa"/>
            <w:noWrap w:val="0"/>
            <w:vAlign w:val="center"/>
          </w:tcPr>
          <w:p w14:paraId="6E819B07">
            <w:pPr>
              <w:spacing w:line="360" w:lineRule="auto"/>
              <w:jc w:val="center"/>
              <w:outlineLvl w:val="0"/>
              <w:rPr>
                <w:rFonts w:hint="eastAsia" w:ascii="黑体" w:hAnsi="黑体" w:eastAsia="黑体" w:cs="黑体"/>
                <w:b w:val="0"/>
                <w:bCs/>
                <w:color w:val="auto"/>
                <w:sz w:val="22"/>
                <w:szCs w:val="22"/>
              </w:rPr>
            </w:pPr>
            <w:bookmarkStart w:id="400" w:name="_Toc8732"/>
            <w:bookmarkStart w:id="401" w:name="_Toc16563"/>
            <w:r>
              <w:rPr>
                <w:rFonts w:hint="eastAsia" w:ascii="黑体" w:hAnsi="黑体" w:eastAsia="黑体" w:cs="黑体"/>
                <w:b w:val="0"/>
                <w:bCs/>
                <w:color w:val="auto"/>
                <w:sz w:val="22"/>
                <w:szCs w:val="22"/>
              </w:rPr>
              <w:t>3</w:t>
            </w:r>
            <w:bookmarkEnd w:id="400"/>
            <w:bookmarkEnd w:id="401"/>
          </w:p>
        </w:tc>
        <w:tc>
          <w:tcPr>
            <w:tcW w:w="6744" w:type="dxa"/>
            <w:noWrap w:val="0"/>
            <w:vAlign w:val="center"/>
          </w:tcPr>
          <w:p w14:paraId="7717DCC6">
            <w:pPr>
              <w:spacing w:line="360" w:lineRule="auto"/>
              <w:jc w:val="left"/>
              <w:rPr>
                <w:rFonts w:hint="eastAsia" w:ascii="黑体" w:hAnsi="黑体" w:eastAsia="黑体" w:cs="黑体"/>
                <w:bCs/>
                <w:color w:val="auto"/>
                <w:sz w:val="22"/>
                <w:szCs w:val="22"/>
              </w:rPr>
            </w:pPr>
            <w:r>
              <w:rPr>
                <w:rFonts w:hint="eastAsia" w:ascii="黑体" w:hAnsi="黑体" w:eastAsia="黑体" w:cs="黑体"/>
                <w:bCs/>
                <w:color w:val="auto"/>
                <w:sz w:val="22"/>
                <w:szCs w:val="22"/>
              </w:rPr>
              <w:t>提供2023年度经会计事务所出具财务审计报告；（新成立公司提供有效期内的银行资信证明）；</w:t>
            </w:r>
          </w:p>
        </w:tc>
        <w:tc>
          <w:tcPr>
            <w:tcW w:w="736" w:type="dxa"/>
            <w:noWrap w:val="0"/>
            <w:vAlign w:val="top"/>
          </w:tcPr>
          <w:p w14:paraId="263C29B6">
            <w:pPr>
              <w:spacing w:line="360" w:lineRule="auto"/>
              <w:jc w:val="left"/>
              <w:outlineLvl w:val="9"/>
              <w:rPr>
                <w:rFonts w:hint="eastAsia" w:ascii="黑体" w:hAnsi="黑体" w:eastAsia="黑体" w:cs="黑体"/>
                <w:bCs/>
                <w:color w:val="auto"/>
                <w:sz w:val="22"/>
                <w:szCs w:val="22"/>
              </w:rPr>
            </w:pPr>
          </w:p>
        </w:tc>
        <w:tc>
          <w:tcPr>
            <w:tcW w:w="533" w:type="dxa"/>
            <w:noWrap w:val="0"/>
            <w:vAlign w:val="top"/>
          </w:tcPr>
          <w:p w14:paraId="6749DEE8">
            <w:pPr>
              <w:spacing w:line="360" w:lineRule="auto"/>
              <w:jc w:val="left"/>
              <w:outlineLvl w:val="9"/>
              <w:rPr>
                <w:rFonts w:hint="eastAsia" w:ascii="黑体" w:hAnsi="黑体" w:eastAsia="黑体" w:cs="黑体"/>
                <w:bCs/>
                <w:color w:val="auto"/>
                <w:sz w:val="22"/>
                <w:szCs w:val="22"/>
              </w:rPr>
            </w:pPr>
          </w:p>
        </w:tc>
      </w:tr>
      <w:tr w14:paraId="6450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17" w:type="dxa"/>
            <w:vMerge w:val="continue"/>
            <w:noWrap w:val="0"/>
            <w:vAlign w:val="center"/>
          </w:tcPr>
          <w:p w14:paraId="021BE2AB">
            <w:pPr>
              <w:spacing w:line="360" w:lineRule="auto"/>
              <w:jc w:val="left"/>
              <w:outlineLvl w:val="9"/>
              <w:rPr>
                <w:rFonts w:hint="eastAsia" w:ascii="黑体" w:hAnsi="黑体" w:eastAsia="黑体" w:cs="黑体"/>
                <w:b/>
                <w:bCs w:val="0"/>
                <w:color w:val="auto"/>
                <w:sz w:val="22"/>
                <w:szCs w:val="22"/>
              </w:rPr>
            </w:pPr>
          </w:p>
        </w:tc>
        <w:tc>
          <w:tcPr>
            <w:tcW w:w="610" w:type="dxa"/>
            <w:noWrap w:val="0"/>
            <w:vAlign w:val="center"/>
          </w:tcPr>
          <w:p w14:paraId="5BB14194">
            <w:pPr>
              <w:spacing w:line="360" w:lineRule="auto"/>
              <w:jc w:val="center"/>
              <w:outlineLvl w:val="0"/>
              <w:rPr>
                <w:rFonts w:hint="eastAsia" w:ascii="黑体" w:hAnsi="黑体" w:eastAsia="黑体" w:cs="黑体"/>
                <w:b w:val="0"/>
                <w:bCs/>
                <w:color w:val="auto"/>
                <w:sz w:val="22"/>
                <w:szCs w:val="22"/>
              </w:rPr>
            </w:pPr>
            <w:bookmarkStart w:id="402" w:name="_Toc23803"/>
            <w:bookmarkStart w:id="403" w:name="_Toc99"/>
            <w:r>
              <w:rPr>
                <w:rFonts w:hint="eastAsia" w:ascii="黑体" w:hAnsi="黑体" w:eastAsia="黑体" w:cs="黑体"/>
                <w:b w:val="0"/>
                <w:bCs/>
                <w:color w:val="auto"/>
                <w:sz w:val="22"/>
                <w:szCs w:val="22"/>
              </w:rPr>
              <w:t>4</w:t>
            </w:r>
            <w:bookmarkEnd w:id="402"/>
            <w:bookmarkEnd w:id="403"/>
          </w:p>
        </w:tc>
        <w:tc>
          <w:tcPr>
            <w:tcW w:w="6744" w:type="dxa"/>
            <w:noWrap w:val="0"/>
            <w:vAlign w:val="center"/>
          </w:tcPr>
          <w:p w14:paraId="3B0BFA1D">
            <w:pPr>
              <w:spacing w:line="360" w:lineRule="auto"/>
              <w:jc w:val="left"/>
              <w:rPr>
                <w:rFonts w:hint="eastAsia" w:ascii="黑体" w:hAnsi="黑体" w:eastAsia="黑体" w:cs="黑体"/>
                <w:bCs/>
                <w:color w:val="auto"/>
                <w:sz w:val="22"/>
                <w:szCs w:val="22"/>
              </w:rPr>
            </w:pPr>
            <w:r>
              <w:rPr>
                <w:rFonts w:hint="eastAsia" w:ascii="黑体" w:hAnsi="黑体" w:eastAsia="黑体" w:cs="黑体"/>
                <w:bCs/>
                <w:color w:val="auto"/>
                <w:sz w:val="22"/>
                <w:szCs w:val="22"/>
              </w:rPr>
              <w:t>公司依法缴纳近六个月任意一个月的社保缴纳凭证；</w:t>
            </w:r>
          </w:p>
        </w:tc>
        <w:tc>
          <w:tcPr>
            <w:tcW w:w="736" w:type="dxa"/>
            <w:noWrap w:val="0"/>
            <w:vAlign w:val="top"/>
          </w:tcPr>
          <w:p w14:paraId="14AB25E9">
            <w:pPr>
              <w:spacing w:line="360" w:lineRule="auto"/>
              <w:jc w:val="left"/>
              <w:outlineLvl w:val="9"/>
              <w:rPr>
                <w:rFonts w:hint="eastAsia" w:ascii="黑体" w:hAnsi="黑体" w:eastAsia="黑体" w:cs="黑体"/>
                <w:bCs/>
                <w:color w:val="auto"/>
                <w:sz w:val="22"/>
                <w:szCs w:val="22"/>
              </w:rPr>
            </w:pPr>
          </w:p>
        </w:tc>
        <w:tc>
          <w:tcPr>
            <w:tcW w:w="533" w:type="dxa"/>
            <w:noWrap w:val="0"/>
            <w:vAlign w:val="top"/>
          </w:tcPr>
          <w:p w14:paraId="3E5118F0">
            <w:pPr>
              <w:spacing w:line="360" w:lineRule="auto"/>
              <w:jc w:val="left"/>
              <w:outlineLvl w:val="9"/>
              <w:rPr>
                <w:rFonts w:hint="eastAsia" w:ascii="黑体" w:hAnsi="黑体" w:eastAsia="黑体" w:cs="黑体"/>
                <w:bCs/>
                <w:color w:val="auto"/>
                <w:sz w:val="22"/>
                <w:szCs w:val="22"/>
              </w:rPr>
            </w:pPr>
          </w:p>
        </w:tc>
      </w:tr>
      <w:tr w14:paraId="1368D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17" w:type="dxa"/>
            <w:vMerge w:val="continue"/>
            <w:noWrap w:val="0"/>
            <w:vAlign w:val="center"/>
          </w:tcPr>
          <w:p w14:paraId="7E8C0645">
            <w:pPr>
              <w:spacing w:line="360" w:lineRule="auto"/>
              <w:jc w:val="left"/>
              <w:outlineLvl w:val="9"/>
              <w:rPr>
                <w:rFonts w:hint="eastAsia" w:ascii="黑体" w:hAnsi="黑体" w:eastAsia="黑体" w:cs="黑体"/>
                <w:b/>
                <w:bCs w:val="0"/>
                <w:color w:val="auto"/>
                <w:sz w:val="22"/>
                <w:szCs w:val="22"/>
              </w:rPr>
            </w:pPr>
          </w:p>
        </w:tc>
        <w:tc>
          <w:tcPr>
            <w:tcW w:w="610" w:type="dxa"/>
            <w:noWrap w:val="0"/>
            <w:vAlign w:val="center"/>
          </w:tcPr>
          <w:p w14:paraId="5086F783">
            <w:pPr>
              <w:spacing w:line="360" w:lineRule="auto"/>
              <w:jc w:val="center"/>
              <w:outlineLvl w:val="0"/>
              <w:rPr>
                <w:rFonts w:hint="eastAsia" w:ascii="黑体" w:hAnsi="黑体" w:eastAsia="黑体" w:cs="黑体"/>
                <w:b w:val="0"/>
                <w:bCs/>
                <w:color w:val="auto"/>
                <w:sz w:val="22"/>
                <w:szCs w:val="22"/>
              </w:rPr>
            </w:pPr>
            <w:bookmarkStart w:id="404" w:name="_Toc19406"/>
            <w:bookmarkStart w:id="405" w:name="_Toc15992"/>
            <w:r>
              <w:rPr>
                <w:rFonts w:hint="eastAsia" w:ascii="黑体" w:hAnsi="黑体" w:eastAsia="黑体" w:cs="黑体"/>
                <w:b w:val="0"/>
                <w:bCs/>
                <w:color w:val="auto"/>
                <w:sz w:val="22"/>
                <w:szCs w:val="22"/>
              </w:rPr>
              <w:t>5</w:t>
            </w:r>
            <w:bookmarkEnd w:id="404"/>
            <w:bookmarkEnd w:id="405"/>
          </w:p>
        </w:tc>
        <w:tc>
          <w:tcPr>
            <w:tcW w:w="6744" w:type="dxa"/>
            <w:noWrap w:val="0"/>
            <w:vAlign w:val="center"/>
          </w:tcPr>
          <w:p w14:paraId="3C1E54D4">
            <w:pPr>
              <w:spacing w:line="360" w:lineRule="auto"/>
              <w:jc w:val="left"/>
              <w:rPr>
                <w:rFonts w:hint="eastAsia" w:ascii="黑体" w:hAnsi="黑体" w:eastAsia="黑体" w:cs="黑体"/>
                <w:color w:val="auto"/>
                <w:sz w:val="22"/>
                <w:szCs w:val="22"/>
                <w:lang w:eastAsia="zh-CN"/>
              </w:rPr>
            </w:pPr>
            <w:r>
              <w:rPr>
                <w:rStyle w:val="47"/>
                <w:rFonts w:hint="eastAsia" w:ascii="黑体" w:hAnsi="黑体" w:eastAsia="黑体" w:cs="黑体"/>
                <w:b w:val="0"/>
                <w:bCs w:val="0"/>
                <w:color w:val="auto"/>
                <w:sz w:val="22"/>
                <w:szCs w:val="22"/>
                <w:highlight w:val="none"/>
                <w:lang w:val="en-US" w:eastAsia="zh-CN"/>
              </w:rPr>
              <w:t>公司依法缴纳的近六个月任意一个月的完税证明；</w:t>
            </w:r>
          </w:p>
        </w:tc>
        <w:tc>
          <w:tcPr>
            <w:tcW w:w="736" w:type="dxa"/>
            <w:noWrap w:val="0"/>
            <w:vAlign w:val="top"/>
          </w:tcPr>
          <w:p w14:paraId="484CD06E">
            <w:pPr>
              <w:spacing w:line="360" w:lineRule="auto"/>
              <w:jc w:val="left"/>
              <w:outlineLvl w:val="9"/>
              <w:rPr>
                <w:rFonts w:hint="eastAsia" w:ascii="黑体" w:hAnsi="黑体" w:eastAsia="黑体" w:cs="黑体"/>
                <w:bCs/>
                <w:color w:val="auto"/>
                <w:sz w:val="22"/>
                <w:szCs w:val="22"/>
              </w:rPr>
            </w:pPr>
          </w:p>
        </w:tc>
        <w:tc>
          <w:tcPr>
            <w:tcW w:w="533" w:type="dxa"/>
            <w:noWrap w:val="0"/>
            <w:vAlign w:val="top"/>
          </w:tcPr>
          <w:p w14:paraId="12C38878">
            <w:pPr>
              <w:spacing w:line="360" w:lineRule="auto"/>
              <w:jc w:val="left"/>
              <w:outlineLvl w:val="9"/>
              <w:rPr>
                <w:rFonts w:hint="eastAsia" w:ascii="黑体" w:hAnsi="黑体" w:eastAsia="黑体" w:cs="黑体"/>
                <w:bCs/>
                <w:color w:val="auto"/>
                <w:sz w:val="22"/>
                <w:szCs w:val="22"/>
              </w:rPr>
            </w:pPr>
          </w:p>
        </w:tc>
      </w:tr>
      <w:tr w14:paraId="6A62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17" w:type="dxa"/>
            <w:vMerge w:val="continue"/>
            <w:noWrap w:val="0"/>
            <w:vAlign w:val="center"/>
          </w:tcPr>
          <w:p w14:paraId="3F3B75BB">
            <w:pPr>
              <w:spacing w:line="360" w:lineRule="auto"/>
              <w:jc w:val="left"/>
              <w:outlineLvl w:val="9"/>
              <w:rPr>
                <w:rFonts w:hint="eastAsia" w:ascii="黑体" w:hAnsi="黑体" w:eastAsia="黑体" w:cs="黑体"/>
                <w:b/>
                <w:bCs w:val="0"/>
                <w:color w:val="auto"/>
                <w:sz w:val="22"/>
                <w:szCs w:val="22"/>
              </w:rPr>
            </w:pPr>
          </w:p>
        </w:tc>
        <w:tc>
          <w:tcPr>
            <w:tcW w:w="610" w:type="dxa"/>
            <w:noWrap w:val="0"/>
            <w:vAlign w:val="center"/>
          </w:tcPr>
          <w:p w14:paraId="6E40FCB0">
            <w:pPr>
              <w:spacing w:line="360" w:lineRule="auto"/>
              <w:jc w:val="center"/>
              <w:outlineLvl w:val="0"/>
              <w:rPr>
                <w:rFonts w:hint="eastAsia" w:ascii="黑体" w:hAnsi="黑体" w:eastAsia="黑体" w:cs="黑体"/>
                <w:b w:val="0"/>
                <w:bCs/>
                <w:color w:val="auto"/>
                <w:sz w:val="22"/>
                <w:szCs w:val="22"/>
              </w:rPr>
            </w:pPr>
            <w:bookmarkStart w:id="406" w:name="_Toc4790"/>
            <w:bookmarkStart w:id="407" w:name="_Toc22716"/>
            <w:r>
              <w:rPr>
                <w:rFonts w:hint="eastAsia" w:ascii="黑体" w:hAnsi="黑体" w:eastAsia="黑体" w:cs="黑体"/>
                <w:b w:val="0"/>
                <w:bCs/>
                <w:color w:val="auto"/>
                <w:sz w:val="22"/>
                <w:szCs w:val="22"/>
              </w:rPr>
              <w:t>6</w:t>
            </w:r>
            <w:bookmarkEnd w:id="406"/>
            <w:bookmarkEnd w:id="407"/>
          </w:p>
        </w:tc>
        <w:tc>
          <w:tcPr>
            <w:tcW w:w="6744" w:type="dxa"/>
            <w:noWrap w:val="0"/>
            <w:vAlign w:val="center"/>
          </w:tcPr>
          <w:p w14:paraId="592B9086">
            <w:pPr>
              <w:spacing w:line="360" w:lineRule="auto"/>
              <w:jc w:val="left"/>
              <w:rPr>
                <w:rFonts w:hint="eastAsia" w:ascii="黑体" w:hAnsi="黑体" w:eastAsia="黑体" w:cs="黑体"/>
                <w:bCs/>
                <w:color w:val="auto"/>
                <w:sz w:val="22"/>
                <w:szCs w:val="22"/>
              </w:rPr>
            </w:pPr>
            <w:r>
              <w:rPr>
                <w:rFonts w:hint="eastAsia" w:ascii="黑体" w:hAnsi="黑体" w:eastAsia="黑体" w:cs="黑体"/>
                <w:bCs/>
                <w:color w:val="auto"/>
                <w:sz w:val="22"/>
                <w:szCs w:val="22"/>
              </w:rPr>
              <w:t>投标人近3年(投标截止时间往前推算)，凡拟参加本次招标项目的投标人，如在“信用中国”网站被列入失信被执行人、重大税收违法失信主体(信用中国首页-点击信用服务-查询）、中国政府采购网（http://www.ccgp.gov.cn/search/cr/）严重违法失信行为记录名单的（尚在处罚期内的）。将拒绝其参加本次招标活动；（提供查询结果网页截图并加盖供应商公章，提供截图日期需在本项目领取磋商文件期内）。</w:t>
            </w:r>
          </w:p>
        </w:tc>
        <w:tc>
          <w:tcPr>
            <w:tcW w:w="736" w:type="dxa"/>
            <w:noWrap w:val="0"/>
            <w:vAlign w:val="top"/>
          </w:tcPr>
          <w:p w14:paraId="69E86E00">
            <w:pPr>
              <w:spacing w:line="360" w:lineRule="auto"/>
              <w:jc w:val="left"/>
              <w:outlineLvl w:val="9"/>
              <w:rPr>
                <w:rFonts w:hint="eastAsia" w:ascii="黑体" w:hAnsi="黑体" w:eastAsia="黑体" w:cs="黑体"/>
                <w:bCs/>
                <w:color w:val="auto"/>
                <w:sz w:val="22"/>
                <w:szCs w:val="22"/>
              </w:rPr>
            </w:pPr>
          </w:p>
        </w:tc>
        <w:tc>
          <w:tcPr>
            <w:tcW w:w="533" w:type="dxa"/>
            <w:noWrap w:val="0"/>
            <w:vAlign w:val="top"/>
          </w:tcPr>
          <w:p w14:paraId="2CF0330B">
            <w:pPr>
              <w:spacing w:line="360" w:lineRule="auto"/>
              <w:jc w:val="left"/>
              <w:outlineLvl w:val="9"/>
              <w:rPr>
                <w:rFonts w:hint="eastAsia" w:ascii="黑体" w:hAnsi="黑体" w:eastAsia="黑体" w:cs="黑体"/>
                <w:bCs/>
                <w:color w:val="auto"/>
                <w:sz w:val="22"/>
                <w:szCs w:val="22"/>
              </w:rPr>
            </w:pPr>
          </w:p>
        </w:tc>
      </w:tr>
      <w:tr w14:paraId="5F018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17" w:type="dxa"/>
            <w:vMerge w:val="continue"/>
            <w:noWrap w:val="0"/>
            <w:vAlign w:val="center"/>
          </w:tcPr>
          <w:p w14:paraId="4D522EA6">
            <w:pPr>
              <w:spacing w:line="360" w:lineRule="auto"/>
              <w:jc w:val="left"/>
              <w:outlineLvl w:val="9"/>
              <w:rPr>
                <w:rFonts w:hint="eastAsia" w:ascii="黑体" w:hAnsi="黑体" w:eastAsia="黑体" w:cs="黑体"/>
                <w:b/>
                <w:bCs w:val="0"/>
                <w:color w:val="auto"/>
                <w:sz w:val="22"/>
                <w:szCs w:val="22"/>
              </w:rPr>
            </w:pPr>
          </w:p>
        </w:tc>
        <w:tc>
          <w:tcPr>
            <w:tcW w:w="610" w:type="dxa"/>
            <w:noWrap w:val="0"/>
            <w:vAlign w:val="center"/>
          </w:tcPr>
          <w:p w14:paraId="5CDF63AA">
            <w:pPr>
              <w:spacing w:line="360" w:lineRule="auto"/>
              <w:jc w:val="center"/>
              <w:outlineLvl w:val="0"/>
              <w:rPr>
                <w:rFonts w:hint="eastAsia" w:ascii="黑体" w:hAnsi="黑体" w:eastAsia="黑体" w:cs="黑体"/>
                <w:b w:val="0"/>
                <w:bCs/>
                <w:color w:val="auto"/>
                <w:sz w:val="22"/>
                <w:szCs w:val="22"/>
              </w:rPr>
            </w:pPr>
            <w:bookmarkStart w:id="408" w:name="_Toc6344"/>
            <w:bookmarkStart w:id="409" w:name="_Toc16016"/>
            <w:r>
              <w:rPr>
                <w:rFonts w:hint="eastAsia" w:ascii="黑体" w:hAnsi="黑体" w:eastAsia="黑体" w:cs="黑体"/>
                <w:b w:val="0"/>
                <w:bCs/>
                <w:color w:val="auto"/>
                <w:sz w:val="22"/>
                <w:szCs w:val="22"/>
              </w:rPr>
              <w:t>7</w:t>
            </w:r>
            <w:bookmarkEnd w:id="408"/>
            <w:bookmarkEnd w:id="409"/>
          </w:p>
        </w:tc>
        <w:tc>
          <w:tcPr>
            <w:tcW w:w="6744" w:type="dxa"/>
            <w:noWrap w:val="0"/>
            <w:vAlign w:val="center"/>
          </w:tcPr>
          <w:p w14:paraId="68DB85FB">
            <w:pPr>
              <w:spacing w:line="360" w:lineRule="auto"/>
              <w:jc w:val="left"/>
              <w:rPr>
                <w:rFonts w:hint="eastAsia" w:ascii="黑体" w:hAnsi="黑体" w:eastAsia="黑体" w:cs="黑体"/>
                <w:color w:val="auto"/>
                <w:sz w:val="22"/>
                <w:szCs w:val="22"/>
              </w:rPr>
            </w:pPr>
            <w:r>
              <w:rPr>
                <w:rFonts w:hint="eastAsia" w:ascii="黑体" w:hAnsi="黑体" w:eastAsia="黑体" w:cs="黑体"/>
                <w:color w:val="auto"/>
                <w:sz w:val="22"/>
                <w:szCs w:val="22"/>
              </w:rPr>
              <w:t>供应商须具备【水利水电工程施工总承包二级】（含）以上资质，拟派项目经理须具备【水利水电工程二级】(含)以上注册建造师执业资格并取得水利水电中级或以上职称，具备有效的B类安全生产考核合格证书且在有效期内，且不得担任其他在建工程的项目经理，并提供近六个月任意一个月社保缴纳证明；</w:t>
            </w:r>
          </w:p>
        </w:tc>
        <w:tc>
          <w:tcPr>
            <w:tcW w:w="736" w:type="dxa"/>
            <w:noWrap w:val="0"/>
            <w:vAlign w:val="top"/>
          </w:tcPr>
          <w:p w14:paraId="3ED0B41B">
            <w:pPr>
              <w:spacing w:line="360" w:lineRule="auto"/>
              <w:jc w:val="left"/>
              <w:outlineLvl w:val="9"/>
              <w:rPr>
                <w:rFonts w:hint="eastAsia" w:ascii="黑体" w:hAnsi="黑体" w:eastAsia="黑体" w:cs="黑体"/>
                <w:bCs/>
                <w:color w:val="auto"/>
                <w:sz w:val="22"/>
                <w:szCs w:val="22"/>
              </w:rPr>
            </w:pPr>
          </w:p>
        </w:tc>
        <w:tc>
          <w:tcPr>
            <w:tcW w:w="533" w:type="dxa"/>
            <w:noWrap w:val="0"/>
            <w:vAlign w:val="top"/>
          </w:tcPr>
          <w:p w14:paraId="6F907720">
            <w:pPr>
              <w:spacing w:line="360" w:lineRule="auto"/>
              <w:jc w:val="left"/>
              <w:outlineLvl w:val="9"/>
              <w:rPr>
                <w:rFonts w:hint="eastAsia" w:ascii="黑体" w:hAnsi="黑体" w:eastAsia="黑体" w:cs="黑体"/>
                <w:bCs/>
                <w:color w:val="auto"/>
                <w:sz w:val="22"/>
                <w:szCs w:val="22"/>
              </w:rPr>
            </w:pPr>
          </w:p>
        </w:tc>
      </w:tr>
      <w:tr w14:paraId="79579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17" w:type="dxa"/>
            <w:vMerge w:val="continue"/>
            <w:noWrap w:val="0"/>
            <w:vAlign w:val="center"/>
          </w:tcPr>
          <w:p w14:paraId="0AC45C08">
            <w:pPr>
              <w:spacing w:line="360" w:lineRule="auto"/>
              <w:jc w:val="left"/>
              <w:outlineLvl w:val="9"/>
              <w:rPr>
                <w:rFonts w:hint="eastAsia" w:ascii="黑体" w:hAnsi="黑体" w:eastAsia="黑体" w:cs="黑体"/>
                <w:b/>
                <w:bCs w:val="0"/>
                <w:color w:val="auto"/>
                <w:sz w:val="22"/>
                <w:szCs w:val="22"/>
              </w:rPr>
            </w:pPr>
          </w:p>
        </w:tc>
        <w:tc>
          <w:tcPr>
            <w:tcW w:w="610" w:type="dxa"/>
            <w:noWrap w:val="0"/>
            <w:vAlign w:val="center"/>
          </w:tcPr>
          <w:p w14:paraId="3235B661">
            <w:pPr>
              <w:spacing w:line="360" w:lineRule="auto"/>
              <w:jc w:val="center"/>
              <w:outlineLvl w:val="0"/>
              <w:rPr>
                <w:rFonts w:hint="eastAsia" w:ascii="黑体" w:hAnsi="黑体" w:eastAsia="黑体" w:cs="黑体"/>
                <w:b w:val="0"/>
                <w:bCs/>
                <w:color w:val="auto"/>
                <w:sz w:val="22"/>
                <w:szCs w:val="22"/>
                <w:lang w:val="en-US" w:eastAsia="zh-CN"/>
              </w:rPr>
            </w:pPr>
            <w:bookmarkStart w:id="410" w:name="_Toc6316"/>
            <w:bookmarkStart w:id="411" w:name="_Toc30558"/>
            <w:r>
              <w:rPr>
                <w:rFonts w:hint="eastAsia" w:ascii="黑体" w:hAnsi="黑体" w:eastAsia="黑体" w:cs="黑体"/>
                <w:b w:val="0"/>
                <w:bCs/>
                <w:color w:val="auto"/>
                <w:sz w:val="22"/>
                <w:szCs w:val="22"/>
                <w:lang w:val="en-US" w:eastAsia="zh-CN"/>
              </w:rPr>
              <w:t>8</w:t>
            </w:r>
            <w:bookmarkEnd w:id="410"/>
            <w:bookmarkEnd w:id="411"/>
          </w:p>
        </w:tc>
        <w:tc>
          <w:tcPr>
            <w:tcW w:w="6744" w:type="dxa"/>
            <w:noWrap w:val="0"/>
            <w:vAlign w:val="center"/>
          </w:tcPr>
          <w:p w14:paraId="4E5A353D">
            <w:pPr>
              <w:spacing w:line="360" w:lineRule="auto"/>
              <w:jc w:val="left"/>
              <w:rPr>
                <w:rFonts w:hint="eastAsia" w:ascii="黑体" w:hAnsi="黑体" w:eastAsia="黑体" w:cs="黑体"/>
                <w:bCs/>
                <w:color w:val="auto"/>
                <w:sz w:val="22"/>
                <w:szCs w:val="22"/>
              </w:rPr>
            </w:pPr>
            <w:r>
              <w:rPr>
                <w:rFonts w:hint="eastAsia" w:ascii="黑体" w:hAnsi="黑体" w:eastAsia="黑体" w:cs="黑体"/>
                <w:bCs/>
                <w:color w:val="auto"/>
                <w:sz w:val="22"/>
                <w:szCs w:val="22"/>
              </w:rPr>
              <w:t>提供参加政府采购活动前3年内在经营活动中没有重大违法记录的书面声明；</w:t>
            </w:r>
          </w:p>
        </w:tc>
        <w:tc>
          <w:tcPr>
            <w:tcW w:w="736" w:type="dxa"/>
            <w:noWrap w:val="0"/>
            <w:vAlign w:val="top"/>
          </w:tcPr>
          <w:p w14:paraId="1940FFF6">
            <w:pPr>
              <w:spacing w:line="360" w:lineRule="auto"/>
              <w:jc w:val="left"/>
              <w:outlineLvl w:val="9"/>
              <w:rPr>
                <w:rFonts w:hint="eastAsia" w:ascii="黑体" w:hAnsi="黑体" w:eastAsia="黑体" w:cs="黑体"/>
                <w:bCs/>
                <w:color w:val="auto"/>
                <w:sz w:val="22"/>
                <w:szCs w:val="22"/>
              </w:rPr>
            </w:pPr>
          </w:p>
        </w:tc>
        <w:tc>
          <w:tcPr>
            <w:tcW w:w="533" w:type="dxa"/>
            <w:noWrap w:val="0"/>
            <w:vAlign w:val="top"/>
          </w:tcPr>
          <w:p w14:paraId="5140CBF6">
            <w:pPr>
              <w:spacing w:line="360" w:lineRule="auto"/>
              <w:jc w:val="left"/>
              <w:outlineLvl w:val="9"/>
              <w:rPr>
                <w:rFonts w:hint="eastAsia" w:ascii="黑体" w:hAnsi="黑体" w:eastAsia="黑体" w:cs="黑体"/>
                <w:bCs/>
                <w:color w:val="auto"/>
                <w:sz w:val="22"/>
                <w:szCs w:val="22"/>
              </w:rPr>
            </w:pPr>
          </w:p>
        </w:tc>
      </w:tr>
      <w:tr w14:paraId="79F4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17" w:type="dxa"/>
            <w:vMerge w:val="continue"/>
            <w:noWrap w:val="0"/>
            <w:vAlign w:val="center"/>
          </w:tcPr>
          <w:p w14:paraId="1BC5A01B">
            <w:pPr>
              <w:spacing w:line="360" w:lineRule="auto"/>
              <w:jc w:val="left"/>
              <w:outlineLvl w:val="9"/>
              <w:rPr>
                <w:rFonts w:hint="eastAsia" w:ascii="黑体" w:hAnsi="黑体" w:eastAsia="黑体" w:cs="黑体"/>
                <w:b/>
                <w:bCs w:val="0"/>
                <w:color w:val="auto"/>
                <w:sz w:val="22"/>
                <w:szCs w:val="22"/>
              </w:rPr>
            </w:pPr>
          </w:p>
        </w:tc>
        <w:tc>
          <w:tcPr>
            <w:tcW w:w="610" w:type="dxa"/>
            <w:noWrap w:val="0"/>
            <w:vAlign w:val="top"/>
          </w:tcPr>
          <w:p w14:paraId="3E7ADE3C">
            <w:pPr>
              <w:spacing w:line="360" w:lineRule="auto"/>
              <w:jc w:val="center"/>
              <w:outlineLvl w:val="0"/>
              <w:rPr>
                <w:rFonts w:hint="eastAsia" w:ascii="黑体" w:hAnsi="黑体" w:eastAsia="黑体" w:cs="黑体"/>
                <w:b w:val="0"/>
                <w:bCs/>
                <w:color w:val="auto"/>
                <w:sz w:val="22"/>
                <w:szCs w:val="22"/>
                <w:lang w:val="en-US" w:eastAsia="zh-CN"/>
              </w:rPr>
            </w:pPr>
            <w:bookmarkStart w:id="412" w:name="_Toc23982"/>
            <w:bookmarkStart w:id="413" w:name="_Toc4931"/>
            <w:r>
              <w:rPr>
                <w:rFonts w:hint="eastAsia" w:ascii="黑体" w:hAnsi="黑体" w:eastAsia="黑体" w:cs="黑体"/>
                <w:b w:val="0"/>
                <w:bCs/>
                <w:color w:val="auto"/>
                <w:sz w:val="22"/>
                <w:szCs w:val="22"/>
                <w:lang w:val="en-US" w:eastAsia="zh-CN"/>
              </w:rPr>
              <w:t>9</w:t>
            </w:r>
            <w:bookmarkEnd w:id="412"/>
            <w:bookmarkEnd w:id="413"/>
          </w:p>
        </w:tc>
        <w:tc>
          <w:tcPr>
            <w:tcW w:w="6744" w:type="dxa"/>
            <w:noWrap w:val="0"/>
            <w:vAlign w:val="top"/>
          </w:tcPr>
          <w:p w14:paraId="751BA960">
            <w:pPr>
              <w:spacing w:line="360" w:lineRule="auto"/>
              <w:jc w:val="left"/>
              <w:outlineLvl w:val="0"/>
              <w:rPr>
                <w:rFonts w:hint="eastAsia" w:ascii="黑体" w:hAnsi="黑体" w:eastAsia="黑体" w:cs="黑体"/>
                <w:bCs/>
                <w:color w:val="auto"/>
                <w:sz w:val="22"/>
                <w:szCs w:val="22"/>
              </w:rPr>
            </w:pPr>
            <w:bookmarkStart w:id="414" w:name="_Toc17839"/>
            <w:bookmarkStart w:id="415" w:name="_Toc26427"/>
            <w:r>
              <w:rPr>
                <w:rFonts w:hint="eastAsia" w:ascii="黑体" w:hAnsi="黑体" w:eastAsia="黑体" w:cs="黑体"/>
                <w:bCs/>
                <w:color w:val="auto"/>
                <w:sz w:val="22"/>
                <w:szCs w:val="22"/>
              </w:rPr>
              <w:t>提供针对本次采购项目的《反商业贿赂承诺书》；</w:t>
            </w:r>
            <w:bookmarkEnd w:id="414"/>
            <w:bookmarkEnd w:id="415"/>
          </w:p>
        </w:tc>
        <w:tc>
          <w:tcPr>
            <w:tcW w:w="1269" w:type="dxa"/>
            <w:gridSpan w:val="2"/>
            <w:noWrap w:val="0"/>
            <w:vAlign w:val="top"/>
          </w:tcPr>
          <w:p w14:paraId="26207D7A">
            <w:pPr>
              <w:spacing w:line="360" w:lineRule="auto"/>
              <w:jc w:val="left"/>
              <w:outlineLvl w:val="9"/>
              <w:rPr>
                <w:rFonts w:hint="eastAsia" w:ascii="黑体" w:hAnsi="黑体" w:eastAsia="黑体" w:cs="黑体"/>
                <w:bCs/>
                <w:color w:val="auto"/>
                <w:sz w:val="22"/>
                <w:szCs w:val="22"/>
              </w:rPr>
            </w:pPr>
          </w:p>
        </w:tc>
      </w:tr>
      <w:tr w14:paraId="0392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17" w:type="dxa"/>
            <w:vMerge w:val="continue"/>
            <w:noWrap w:val="0"/>
            <w:vAlign w:val="center"/>
          </w:tcPr>
          <w:p w14:paraId="0688EE4B">
            <w:pPr>
              <w:spacing w:line="360" w:lineRule="auto"/>
              <w:jc w:val="left"/>
              <w:outlineLvl w:val="9"/>
              <w:rPr>
                <w:rFonts w:hint="eastAsia" w:ascii="黑体" w:hAnsi="黑体" w:eastAsia="黑体" w:cs="黑体"/>
                <w:b/>
                <w:bCs w:val="0"/>
                <w:color w:val="auto"/>
                <w:sz w:val="22"/>
                <w:szCs w:val="22"/>
              </w:rPr>
            </w:pPr>
          </w:p>
        </w:tc>
        <w:tc>
          <w:tcPr>
            <w:tcW w:w="610" w:type="dxa"/>
            <w:noWrap w:val="0"/>
            <w:vAlign w:val="top"/>
          </w:tcPr>
          <w:p w14:paraId="4A455656">
            <w:pPr>
              <w:spacing w:line="360" w:lineRule="auto"/>
              <w:jc w:val="center"/>
              <w:outlineLvl w:val="0"/>
              <w:rPr>
                <w:rFonts w:hint="default" w:ascii="黑体" w:hAnsi="黑体" w:eastAsia="黑体" w:cs="黑体"/>
                <w:b w:val="0"/>
                <w:bCs/>
                <w:color w:val="auto"/>
                <w:sz w:val="22"/>
                <w:szCs w:val="22"/>
                <w:lang w:val="en-US" w:eastAsia="zh-CN"/>
              </w:rPr>
            </w:pPr>
            <w:bookmarkStart w:id="416" w:name="_Toc3340"/>
            <w:bookmarkStart w:id="417" w:name="_Toc20745"/>
            <w:r>
              <w:rPr>
                <w:rFonts w:hint="eastAsia" w:ascii="黑体" w:hAnsi="黑体" w:eastAsia="黑体" w:cs="黑体"/>
                <w:b w:val="0"/>
                <w:bCs/>
                <w:color w:val="auto"/>
                <w:sz w:val="22"/>
                <w:szCs w:val="22"/>
                <w:lang w:val="en-US" w:eastAsia="zh-CN"/>
              </w:rPr>
              <w:t>10</w:t>
            </w:r>
            <w:bookmarkEnd w:id="416"/>
            <w:bookmarkEnd w:id="417"/>
          </w:p>
        </w:tc>
        <w:tc>
          <w:tcPr>
            <w:tcW w:w="6744" w:type="dxa"/>
            <w:noWrap w:val="0"/>
            <w:vAlign w:val="top"/>
          </w:tcPr>
          <w:p w14:paraId="5916A4C5">
            <w:pPr>
              <w:spacing w:line="360" w:lineRule="auto"/>
              <w:jc w:val="left"/>
              <w:outlineLvl w:val="0"/>
              <w:rPr>
                <w:rFonts w:hint="eastAsia" w:ascii="黑体" w:hAnsi="黑体" w:eastAsia="黑体" w:cs="黑体"/>
                <w:bCs/>
                <w:color w:val="auto"/>
                <w:sz w:val="22"/>
                <w:szCs w:val="22"/>
                <w:lang w:val="en-US" w:eastAsia="zh-CN"/>
              </w:rPr>
            </w:pPr>
            <w:bookmarkStart w:id="418" w:name="_Toc27535"/>
            <w:bookmarkStart w:id="419" w:name="_Toc11358"/>
            <w:r>
              <w:rPr>
                <w:rStyle w:val="47"/>
                <w:rFonts w:hint="eastAsia" w:ascii="黑体" w:hAnsi="黑体" w:eastAsia="黑体" w:cs="黑体"/>
                <w:b w:val="0"/>
                <w:bCs w:val="0"/>
                <w:color w:val="auto"/>
                <w:sz w:val="22"/>
                <w:szCs w:val="22"/>
                <w:highlight w:val="none"/>
                <w:lang w:val="en-US" w:eastAsia="zh-CN"/>
              </w:rPr>
              <w:t>缴纳投标保证金的有效凭证；</w:t>
            </w:r>
            <w:bookmarkEnd w:id="418"/>
            <w:bookmarkEnd w:id="419"/>
          </w:p>
        </w:tc>
        <w:tc>
          <w:tcPr>
            <w:tcW w:w="1269" w:type="dxa"/>
            <w:gridSpan w:val="2"/>
            <w:noWrap w:val="0"/>
            <w:vAlign w:val="top"/>
          </w:tcPr>
          <w:p w14:paraId="576E9A1B">
            <w:pPr>
              <w:spacing w:line="360" w:lineRule="auto"/>
              <w:jc w:val="left"/>
              <w:outlineLvl w:val="9"/>
              <w:rPr>
                <w:rFonts w:hint="eastAsia" w:ascii="黑体" w:hAnsi="黑体" w:eastAsia="黑体" w:cs="黑体"/>
                <w:bCs/>
                <w:color w:val="auto"/>
                <w:sz w:val="22"/>
                <w:szCs w:val="22"/>
              </w:rPr>
            </w:pPr>
          </w:p>
        </w:tc>
      </w:tr>
      <w:tr w14:paraId="4E4D4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17" w:type="dxa"/>
            <w:noWrap w:val="0"/>
            <w:vAlign w:val="center"/>
          </w:tcPr>
          <w:p w14:paraId="37495796">
            <w:pPr>
              <w:spacing w:line="360" w:lineRule="auto"/>
              <w:jc w:val="left"/>
              <w:outlineLvl w:val="9"/>
              <w:rPr>
                <w:rFonts w:hint="eastAsia" w:ascii="黑体" w:hAnsi="黑体" w:eastAsia="黑体" w:cs="黑体"/>
                <w:b/>
                <w:bCs w:val="0"/>
                <w:color w:val="auto"/>
                <w:sz w:val="22"/>
                <w:szCs w:val="22"/>
              </w:rPr>
            </w:pPr>
          </w:p>
        </w:tc>
        <w:tc>
          <w:tcPr>
            <w:tcW w:w="610" w:type="dxa"/>
            <w:noWrap w:val="0"/>
            <w:vAlign w:val="top"/>
          </w:tcPr>
          <w:p w14:paraId="239181C9">
            <w:pPr>
              <w:spacing w:line="360" w:lineRule="auto"/>
              <w:jc w:val="center"/>
              <w:outlineLvl w:val="0"/>
              <w:rPr>
                <w:rFonts w:hint="default" w:ascii="黑体" w:hAnsi="黑体" w:eastAsia="黑体" w:cs="黑体"/>
                <w:b w:val="0"/>
                <w:bCs/>
                <w:color w:val="auto"/>
                <w:sz w:val="22"/>
                <w:szCs w:val="22"/>
                <w:lang w:val="en-US" w:eastAsia="zh-CN"/>
              </w:rPr>
            </w:pPr>
            <w:bookmarkStart w:id="420" w:name="_Toc14575"/>
            <w:bookmarkStart w:id="421" w:name="_Toc21381"/>
            <w:r>
              <w:rPr>
                <w:rFonts w:hint="eastAsia" w:ascii="黑体" w:hAnsi="黑体" w:eastAsia="黑体" w:cs="黑体"/>
                <w:b w:val="0"/>
                <w:bCs/>
                <w:color w:val="auto"/>
                <w:sz w:val="22"/>
                <w:szCs w:val="22"/>
                <w:lang w:val="en-US" w:eastAsia="zh-CN"/>
              </w:rPr>
              <w:t>11</w:t>
            </w:r>
            <w:bookmarkEnd w:id="420"/>
            <w:bookmarkEnd w:id="421"/>
          </w:p>
        </w:tc>
        <w:tc>
          <w:tcPr>
            <w:tcW w:w="6744" w:type="dxa"/>
            <w:noWrap w:val="0"/>
            <w:vAlign w:val="top"/>
          </w:tcPr>
          <w:p w14:paraId="3F25CE08">
            <w:pPr>
              <w:spacing w:line="360" w:lineRule="auto"/>
              <w:jc w:val="left"/>
              <w:outlineLvl w:val="0"/>
              <w:rPr>
                <w:rFonts w:hint="default" w:ascii="黑体" w:hAnsi="黑体" w:eastAsia="黑体" w:cs="黑体"/>
                <w:bCs/>
                <w:color w:val="auto"/>
                <w:sz w:val="22"/>
                <w:szCs w:val="22"/>
                <w:lang w:val="en-US" w:eastAsia="zh-CN"/>
              </w:rPr>
            </w:pPr>
            <w:bookmarkStart w:id="422" w:name="_Toc16875"/>
            <w:bookmarkStart w:id="423" w:name="_Toc26736"/>
            <w:r>
              <w:rPr>
                <w:rFonts w:hint="eastAsia" w:ascii="黑体" w:hAnsi="黑体" w:eastAsia="黑体" w:cs="黑体"/>
                <w:bCs/>
                <w:color w:val="auto"/>
                <w:sz w:val="22"/>
                <w:szCs w:val="22"/>
                <w:lang w:val="en-US" w:eastAsia="zh-CN"/>
              </w:rPr>
              <w:t>提供中小企业声明函；</w:t>
            </w:r>
            <w:bookmarkEnd w:id="422"/>
            <w:bookmarkEnd w:id="423"/>
          </w:p>
        </w:tc>
        <w:tc>
          <w:tcPr>
            <w:tcW w:w="1269" w:type="dxa"/>
            <w:gridSpan w:val="2"/>
            <w:noWrap w:val="0"/>
            <w:vAlign w:val="top"/>
          </w:tcPr>
          <w:p w14:paraId="52B1AFFA">
            <w:pPr>
              <w:spacing w:line="360" w:lineRule="auto"/>
              <w:jc w:val="left"/>
              <w:outlineLvl w:val="9"/>
              <w:rPr>
                <w:rFonts w:hint="eastAsia" w:ascii="黑体" w:hAnsi="黑体" w:eastAsia="黑体" w:cs="黑体"/>
                <w:bCs/>
                <w:color w:val="auto"/>
                <w:sz w:val="22"/>
                <w:szCs w:val="22"/>
              </w:rPr>
            </w:pPr>
          </w:p>
        </w:tc>
      </w:tr>
      <w:tr w14:paraId="5F58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440" w:type="dxa"/>
            <w:gridSpan w:val="5"/>
            <w:noWrap w:val="0"/>
            <w:vAlign w:val="center"/>
          </w:tcPr>
          <w:p w14:paraId="50691B56">
            <w:pPr>
              <w:spacing w:line="360" w:lineRule="auto"/>
              <w:jc w:val="left"/>
              <w:outlineLvl w:val="0"/>
              <w:rPr>
                <w:rFonts w:hint="eastAsia" w:ascii="黑体" w:hAnsi="黑体" w:eastAsia="黑体" w:cs="黑体"/>
                <w:bCs/>
                <w:color w:val="auto"/>
                <w:sz w:val="22"/>
                <w:szCs w:val="22"/>
              </w:rPr>
            </w:pPr>
            <w:bookmarkStart w:id="424" w:name="_Toc32125"/>
            <w:bookmarkStart w:id="425" w:name="_Toc15314"/>
            <w:r>
              <w:rPr>
                <w:rFonts w:hint="eastAsia" w:ascii="黑体" w:hAnsi="黑体" w:eastAsia="黑体" w:cs="黑体"/>
                <w:bCs/>
                <w:color w:val="auto"/>
                <w:sz w:val="22"/>
                <w:szCs w:val="22"/>
              </w:rPr>
              <w:t>结论：是否通过评审（须填写通过或不通过）注：如有一项不合格，作废标处理。</w:t>
            </w:r>
            <w:bookmarkEnd w:id="424"/>
            <w:bookmarkEnd w:id="425"/>
          </w:p>
        </w:tc>
      </w:tr>
    </w:tbl>
    <w:p w14:paraId="5D3D80C2">
      <w:pPr>
        <w:spacing w:line="240" w:lineRule="atLeast"/>
        <w:rPr>
          <w:rFonts w:hint="eastAsia" w:ascii="黑体" w:hAnsi="黑体" w:eastAsia="黑体" w:cs="黑体"/>
          <w:color w:val="auto"/>
          <w:sz w:val="20"/>
          <w:szCs w:val="22"/>
        </w:rPr>
      </w:pPr>
      <w:r>
        <w:rPr>
          <w:rFonts w:hint="eastAsia" w:ascii="黑体" w:hAnsi="黑体" w:eastAsia="黑体" w:cs="黑体"/>
          <w:color w:val="auto"/>
          <w:sz w:val="22"/>
          <w:szCs w:val="22"/>
        </w:rPr>
        <w:t>注：★</w:t>
      </w:r>
      <w:r>
        <w:rPr>
          <w:rFonts w:hint="eastAsia" w:ascii="黑体" w:hAnsi="黑体" w:eastAsia="黑体" w:cs="黑体"/>
          <w:b/>
          <w:bCs/>
          <w:color w:val="auto"/>
          <w:sz w:val="22"/>
          <w:szCs w:val="22"/>
        </w:rPr>
        <w:t>备注：如评标专家在检验电子标书过程中，如果由于投标人自身原因导致评标专家无法查看并检验电子标书中以上相关资料的，否决其投标。即使投标单位将原件携带至现场的，同样按无效投标处理。</w:t>
      </w:r>
    </w:p>
    <w:p w14:paraId="0EB4F4B5">
      <w:pPr>
        <w:rPr>
          <w:rFonts w:hint="eastAsia" w:ascii="黑体" w:hAnsi="黑体" w:eastAsia="黑体" w:cs="黑体"/>
          <w:b/>
          <w:color w:val="auto"/>
          <w:sz w:val="28"/>
          <w:szCs w:val="28"/>
        </w:rPr>
      </w:pPr>
      <w:r>
        <w:rPr>
          <w:rFonts w:hint="eastAsia" w:ascii="黑体" w:hAnsi="黑体" w:eastAsia="黑体" w:cs="黑体"/>
          <w:b/>
          <w:color w:val="auto"/>
          <w:sz w:val="28"/>
          <w:szCs w:val="28"/>
        </w:rPr>
        <w:br w:type="page"/>
      </w:r>
    </w:p>
    <w:p w14:paraId="7C5EEB05">
      <w:pPr>
        <w:spacing w:line="440" w:lineRule="exact"/>
        <w:jc w:val="center"/>
        <w:outlineLvl w:val="0"/>
        <w:rPr>
          <w:rFonts w:hint="eastAsia" w:ascii="黑体" w:hAnsi="黑体" w:eastAsia="黑体" w:cs="黑体"/>
          <w:b/>
          <w:color w:val="auto"/>
          <w:sz w:val="32"/>
          <w:szCs w:val="32"/>
        </w:rPr>
      </w:pPr>
      <w:bookmarkStart w:id="426" w:name="_Toc5882"/>
      <w:bookmarkStart w:id="427" w:name="_Toc10774"/>
      <w:r>
        <w:rPr>
          <w:rFonts w:hint="eastAsia" w:ascii="黑体" w:hAnsi="黑体" w:eastAsia="黑体" w:cs="黑体"/>
          <w:b/>
          <w:color w:val="auto"/>
          <w:sz w:val="28"/>
          <w:szCs w:val="28"/>
        </w:rPr>
        <w:t>初步评审—符合性审查表符合性检查</w:t>
      </w:r>
      <w:bookmarkEnd w:id="426"/>
      <w:bookmarkEnd w:id="427"/>
    </w:p>
    <w:tbl>
      <w:tblPr>
        <w:tblStyle w:val="38"/>
        <w:tblpPr w:leftFromText="180" w:rightFromText="180" w:vertAnchor="text" w:horzAnchor="page" w:tblpX="1578" w:tblpY="69"/>
        <w:tblW w:w="898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5"/>
        <w:gridCol w:w="599"/>
        <w:gridCol w:w="6131"/>
        <w:gridCol w:w="640"/>
        <w:gridCol w:w="599"/>
      </w:tblGrid>
      <w:tr w14:paraId="0B70CD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6" w:hRule="atLeast"/>
        </w:trPr>
        <w:tc>
          <w:tcPr>
            <w:tcW w:w="1015" w:type="dxa"/>
            <w:vMerge w:val="restart"/>
            <w:tcBorders>
              <w:top w:val="single" w:color="auto" w:sz="4" w:space="0"/>
              <w:left w:val="single" w:color="auto" w:sz="4" w:space="0"/>
            </w:tcBorders>
            <w:noWrap w:val="0"/>
            <w:vAlign w:val="center"/>
          </w:tcPr>
          <w:p w14:paraId="00923ED7">
            <w:pPr>
              <w:spacing w:line="360" w:lineRule="auto"/>
              <w:jc w:val="left"/>
              <w:outlineLvl w:val="0"/>
              <w:rPr>
                <w:rFonts w:hint="eastAsia" w:ascii="黑体" w:hAnsi="黑体" w:eastAsia="黑体" w:cs="黑体"/>
                <w:b/>
                <w:color w:val="auto"/>
                <w:sz w:val="24"/>
                <w:szCs w:val="24"/>
              </w:rPr>
            </w:pPr>
            <w:bookmarkStart w:id="428" w:name="_Toc21653"/>
            <w:bookmarkStart w:id="429" w:name="_Toc27515"/>
            <w:r>
              <w:rPr>
                <w:rFonts w:hint="eastAsia" w:ascii="黑体" w:hAnsi="黑体" w:eastAsia="黑体" w:cs="黑体"/>
                <w:b/>
                <w:color w:val="auto"/>
                <w:sz w:val="24"/>
                <w:szCs w:val="24"/>
              </w:rPr>
              <w:t>项目</w:t>
            </w:r>
            <w:bookmarkEnd w:id="428"/>
            <w:bookmarkEnd w:id="429"/>
          </w:p>
        </w:tc>
        <w:tc>
          <w:tcPr>
            <w:tcW w:w="6730" w:type="dxa"/>
            <w:gridSpan w:val="2"/>
            <w:vMerge w:val="restart"/>
            <w:tcBorders>
              <w:top w:val="single" w:color="auto" w:sz="4" w:space="0"/>
            </w:tcBorders>
            <w:noWrap w:val="0"/>
            <w:vAlign w:val="center"/>
          </w:tcPr>
          <w:p w14:paraId="348CC961">
            <w:pPr>
              <w:spacing w:line="360" w:lineRule="auto"/>
              <w:jc w:val="center"/>
              <w:outlineLvl w:val="0"/>
              <w:rPr>
                <w:rFonts w:hint="eastAsia" w:ascii="黑体" w:hAnsi="黑体" w:eastAsia="黑体" w:cs="黑体"/>
                <w:b/>
                <w:color w:val="auto"/>
                <w:sz w:val="24"/>
                <w:szCs w:val="24"/>
              </w:rPr>
            </w:pPr>
            <w:bookmarkStart w:id="430" w:name="_Toc29292"/>
            <w:bookmarkStart w:id="431" w:name="_Toc29049"/>
            <w:r>
              <w:rPr>
                <w:rFonts w:hint="eastAsia" w:ascii="黑体" w:hAnsi="黑体" w:eastAsia="黑体" w:cs="黑体"/>
                <w:b/>
                <w:color w:val="auto"/>
                <w:sz w:val="24"/>
                <w:szCs w:val="24"/>
              </w:rPr>
              <w:t>评审内容</w:t>
            </w:r>
            <w:bookmarkEnd w:id="430"/>
            <w:bookmarkEnd w:id="431"/>
          </w:p>
        </w:tc>
        <w:tc>
          <w:tcPr>
            <w:tcW w:w="1239" w:type="dxa"/>
            <w:gridSpan w:val="2"/>
            <w:tcBorders>
              <w:top w:val="single" w:color="auto" w:sz="4" w:space="0"/>
              <w:right w:val="single" w:color="auto" w:sz="4" w:space="0"/>
            </w:tcBorders>
            <w:noWrap w:val="0"/>
            <w:vAlign w:val="center"/>
          </w:tcPr>
          <w:p w14:paraId="7EBBF07D">
            <w:pPr>
              <w:spacing w:line="360" w:lineRule="auto"/>
              <w:jc w:val="center"/>
              <w:outlineLvl w:val="0"/>
              <w:rPr>
                <w:rFonts w:hint="eastAsia" w:ascii="黑体" w:hAnsi="黑体" w:eastAsia="黑体" w:cs="黑体"/>
                <w:b/>
                <w:color w:val="auto"/>
                <w:sz w:val="24"/>
                <w:szCs w:val="24"/>
              </w:rPr>
            </w:pPr>
            <w:bookmarkStart w:id="432" w:name="_Toc4323"/>
            <w:bookmarkStart w:id="433" w:name="_Toc23083"/>
            <w:r>
              <w:rPr>
                <w:rFonts w:hint="eastAsia" w:ascii="黑体" w:hAnsi="黑体" w:eastAsia="黑体" w:cs="黑体"/>
                <w:b/>
                <w:color w:val="auto"/>
                <w:sz w:val="24"/>
                <w:szCs w:val="24"/>
              </w:rPr>
              <w:t>评审意见</w:t>
            </w:r>
            <w:bookmarkEnd w:id="432"/>
            <w:bookmarkEnd w:id="433"/>
          </w:p>
        </w:tc>
      </w:tr>
      <w:tr w14:paraId="1871B3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1015" w:type="dxa"/>
            <w:vMerge w:val="continue"/>
            <w:tcBorders>
              <w:left w:val="single" w:color="auto" w:sz="4" w:space="0"/>
              <w:bottom w:val="single" w:color="auto" w:sz="4" w:space="0"/>
            </w:tcBorders>
            <w:noWrap w:val="0"/>
            <w:vAlign w:val="center"/>
          </w:tcPr>
          <w:p w14:paraId="0332093F">
            <w:pPr>
              <w:spacing w:line="360" w:lineRule="auto"/>
              <w:jc w:val="left"/>
              <w:outlineLvl w:val="9"/>
              <w:rPr>
                <w:rFonts w:hint="eastAsia" w:ascii="黑体" w:hAnsi="黑体" w:eastAsia="黑体" w:cs="黑体"/>
                <w:bCs/>
                <w:color w:val="auto"/>
                <w:szCs w:val="21"/>
              </w:rPr>
            </w:pPr>
          </w:p>
        </w:tc>
        <w:tc>
          <w:tcPr>
            <w:tcW w:w="6730" w:type="dxa"/>
            <w:gridSpan w:val="2"/>
            <w:vMerge w:val="continue"/>
            <w:tcBorders>
              <w:bottom w:val="single" w:color="auto" w:sz="4" w:space="0"/>
            </w:tcBorders>
            <w:noWrap w:val="0"/>
            <w:vAlign w:val="top"/>
          </w:tcPr>
          <w:p w14:paraId="099C2DCA">
            <w:pPr>
              <w:spacing w:line="360" w:lineRule="auto"/>
              <w:jc w:val="left"/>
              <w:outlineLvl w:val="9"/>
              <w:rPr>
                <w:rFonts w:hint="eastAsia" w:ascii="黑体" w:hAnsi="黑体" w:eastAsia="黑体" w:cs="黑体"/>
                <w:bCs/>
                <w:color w:val="auto"/>
                <w:szCs w:val="21"/>
              </w:rPr>
            </w:pPr>
          </w:p>
        </w:tc>
        <w:tc>
          <w:tcPr>
            <w:tcW w:w="640" w:type="dxa"/>
            <w:noWrap w:val="0"/>
            <w:vAlign w:val="center"/>
          </w:tcPr>
          <w:p w14:paraId="3E581D28">
            <w:pPr>
              <w:spacing w:line="360" w:lineRule="auto"/>
              <w:jc w:val="center"/>
              <w:outlineLvl w:val="0"/>
              <w:rPr>
                <w:rFonts w:hint="eastAsia" w:ascii="黑体" w:hAnsi="黑体" w:eastAsia="黑体" w:cs="黑体"/>
                <w:b/>
                <w:color w:val="auto"/>
                <w:szCs w:val="21"/>
              </w:rPr>
            </w:pPr>
            <w:bookmarkStart w:id="434" w:name="_Toc10970"/>
            <w:bookmarkStart w:id="435" w:name="_Toc21347"/>
            <w:r>
              <w:rPr>
                <w:rFonts w:hint="eastAsia" w:ascii="黑体" w:hAnsi="黑体" w:eastAsia="黑体" w:cs="黑体"/>
                <w:b/>
                <w:color w:val="auto"/>
                <w:szCs w:val="21"/>
              </w:rPr>
              <w:t>是</w:t>
            </w:r>
            <w:bookmarkEnd w:id="434"/>
            <w:bookmarkEnd w:id="435"/>
          </w:p>
        </w:tc>
        <w:tc>
          <w:tcPr>
            <w:tcW w:w="599" w:type="dxa"/>
            <w:tcBorders>
              <w:right w:val="single" w:color="auto" w:sz="4" w:space="0"/>
            </w:tcBorders>
            <w:noWrap w:val="0"/>
            <w:vAlign w:val="center"/>
          </w:tcPr>
          <w:p w14:paraId="2DBB5C4B">
            <w:pPr>
              <w:spacing w:line="360" w:lineRule="auto"/>
              <w:jc w:val="center"/>
              <w:outlineLvl w:val="0"/>
              <w:rPr>
                <w:rFonts w:hint="eastAsia" w:ascii="黑体" w:hAnsi="黑体" w:eastAsia="黑体" w:cs="黑体"/>
                <w:b/>
                <w:color w:val="auto"/>
                <w:szCs w:val="21"/>
              </w:rPr>
            </w:pPr>
            <w:bookmarkStart w:id="436" w:name="_Toc9166"/>
            <w:bookmarkStart w:id="437" w:name="_Toc9479"/>
            <w:r>
              <w:rPr>
                <w:rFonts w:hint="eastAsia" w:ascii="黑体" w:hAnsi="黑体" w:eastAsia="黑体" w:cs="黑体"/>
                <w:b/>
                <w:color w:val="auto"/>
                <w:szCs w:val="21"/>
              </w:rPr>
              <w:t>否</w:t>
            </w:r>
            <w:bookmarkEnd w:id="436"/>
            <w:bookmarkEnd w:id="437"/>
          </w:p>
        </w:tc>
      </w:tr>
      <w:tr w14:paraId="08A45E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3" w:hRule="atLeast"/>
        </w:trPr>
        <w:tc>
          <w:tcPr>
            <w:tcW w:w="1015" w:type="dxa"/>
            <w:vMerge w:val="restart"/>
            <w:tcBorders>
              <w:top w:val="single" w:color="auto" w:sz="4" w:space="0"/>
              <w:left w:val="single" w:color="auto" w:sz="4" w:space="0"/>
              <w:right w:val="single" w:color="auto" w:sz="4" w:space="0"/>
            </w:tcBorders>
            <w:noWrap w:val="0"/>
            <w:vAlign w:val="center"/>
          </w:tcPr>
          <w:p w14:paraId="514FDD5F">
            <w:pPr>
              <w:spacing w:line="360" w:lineRule="auto"/>
              <w:jc w:val="center"/>
              <w:outlineLvl w:val="0"/>
              <w:rPr>
                <w:rFonts w:hint="eastAsia" w:ascii="黑体" w:hAnsi="黑体" w:eastAsia="黑体" w:cs="黑体"/>
                <w:b/>
                <w:bCs w:val="0"/>
                <w:color w:val="auto"/>
                <w:sz w:val="24"/>
                <w:szCs w:val="24"/>
              </w:rPr>
            </w:pPr>
            <w:bookmarkStart w:id="438" w:name="_Toc3126"/>
            <w:bookmarkStart w:id="439" w:name="_Toc22022"/>
            <w:r>
              <w:rPr>
                <w:rFonts w:hint="eastAsia" w:ascii="黑体" w:hAnsi="黑体" w:eastAsia="黑体" w:cs="黑体"/>
                <w:b/>
                <w:bCs w:val="0"/>
                <w:color w:val="auto"/>
                <w:sz w:val="24"/>
                <w:szCs w:val="24"/>
              </w:rPr>
              <w:t>审</w:t>
            </w:r>
            <w:bookmarkEnd w:id="438"/>
            <w:bookmarkEnd w:id="439"/>
          </w:p>
          <w:p w14:paraId="03D7B412">
            <w:pPr>
              <w:spacing w:line="360" w:lineRule="auto"/>
              <w:jc w:val="center"/>
              <w:outlineLvl w:val="0"/>
              <w:rPr>
                <w:rFonts w:hint="eastAsia" w:ascii="黑体" w:hAnsi="黑体" w:eastAsia="黑体" w:cs="黑体"/>
                <w:b/>
                <w:bCs w:val="0"/>
                <w:color w:val="auto"/>
                <w:sz w:val="24"/>
                <w:szCs w:val="24"/>
              </w:rPr>
            </w:pPr>
            <w:bookmarkStart w:id="440" w:name="_Toc3554"/>
            <w:bookmarkStart w:id="441" w:name="_Toc2994"/>
            <w:r>
              <w:rPr>
                <w:rFonts w:hint="eastAsia" w:ascii="黑体" w:hAnsi="黑体" w:eastAsia="黑体" w:cs="黑体"/>
                <w:b/>
                <w:bCs w:val="0"/>
                <w:color w:val="auto"/>
                <w:sz w:val="24"/>
                <w:szCs w:val="24"/>
              </w:rPr>
              <w:t>查</w:t>
            </w:r>
            <w:bookmarkEnd w:id="440"/>
            <w:bookmarkEnd w:id="441"/>
          </w:p>
          <w:p w14:paraId="1C83A310">
            <w:pPr>
              <w:spacing w:line="360" w:lineRule="auto"/>
              <w:jc w:val="center"/>
              <w:outlineLvl w:val="0"/>
              <w:rPr>
                <w:rFonts w:hint="eastAsia" w:ascii="黑体" w:hAnsi="黑体" w:eastAsia="黑体" w:cs="黑体"/>
                <w:b/>
                <w:bCs w:val="0"/>
                <w:color w:val="auto"/>
                <w:sz w:val="24"/>
                <w:szCs w:val="24"/>
              </w:rPr>
            </w:pPr>
            <w:bookmarkStart w:id="442" w:name="_Toc2966"/>
            <w:bookmarkStart w:id="443" w:name="_Toc4083"/>
            <w:r>
              <w:rPr>
                <w:rFonts w:hint="eastAsia" w:ascii="黑体" w:hAnsi="黑体" w:eastAsia="黑体" w:cs="黑体"/>
                <w:b/>
                <w:bCs w:val="0"/>
                <w:color w:val="auto"/>
                <w:sz w:val="24"/>
                <w:szCs w:val="24"/>
              </w:rPr>
              <w:t>标</w:t>
            </w:r>
            <w:bookmarkEnd w:id="442"/>
            <w:bookmarkEnd w:id="443"/>
          </w:p>
          <w:p w14:paraId="46CDBBB8">
            <w:pPr>
              <w:spacing w:line="360" w:lineRule="auto"/>
              <w:jc w:val="center"/>
              <w:outlineLvl w:val="0"/>
              <w:rPr>
                <w:rFonts w:hint="eastAsia" w:ascii="黑体" w:hAnsi="黑体" w:eastAsia="黑体" w:cs="黑体"/>
                <w:bCs/>
                <w:color w:val="auto"/>
                <w:szCs w:val="21"/>
              </w:rPr>
            </w:pPr>
            <w:bookmarkStart w:id="444" w:name="_Toc30871"/>
            <w:bookmarkStart w:id="445" w:name="_Toc3392"/>
            <w:r>
              <w:rPr>
                <w:rFonts w:hint="eastAsia" w:ascii="黑体" w:hAnsi="黑体" w:eastAsia="黑体" w:cs="黑体"/>
                <w:b/>
                <w:bCs w:val="0"/>
                <w:color w:val="auto"/>
                <w:sz w:val="24"/>
                <w:szCs w:val="24"/>
              </w:rPr>
              <w:t>准</w:t>
            </w:r>
            <w:bookmarkEnd w:id="444"/>
            <w:bookmarkEnd w:id="445"/>
          </w:p>
        </w:tc>
        <w:tc>
          <w:tcPr>
            <w:tcW w:w="599" w:type="dxa"/>
            <w:tcBorders>
              <w:top w:val="single" w:color="auto" w:sz="4" w:space="0"/>
              <w:left w:val="single" w:color="auto" w:sz="4" w:space="0"/>
              <w:right w:val="single" w:color="auto" w:sz="4" w:space="0"/>
            </w:tcBorders>
            <w:noWrap w:val="0"/>
            <w:vAlign w:val="center"/>
          </w:tcPr>
          <w:p w14:paraId="7F02FA0D">
            <w:pPr>
              <w:spacing w:line="360" w:lineRule="auto"/>
              <w:jc w:val="both"/>
              <w:outlineLvl w:val="0"/>
              <w:rPr>
                <w:rFonts w:hint="eastAsia" w:ascii="黑体" w:hAnsi="黑体" w:eastAsia="黑体" w:cs="黑体"/>
                <w:bCs/>
                <w:color w:val="auto"/>
                <w:sz w:val="24"/>
                <w:szCs w:val="24"/>
              </w:rPr>
            </w:pPr>
            <w:bookmarkStart w:id="446" w:name="_Toc29818"/>
            <w:bookmarkStart w:id="447" w:name="_Toc18827"/>
            <w:r>
              <w:rPr>
                <w:rFonts w:hint="eastAsia" w:ascii="黑体" w:hAnsi="黑体" w:eastAsia="黑体" w:cs="黑体"/>
                <w:bCs/>
                <w:color w:val="auto"/>
                <w:sz w:val="24"/>
                <w:szCs w:val="24"/>
              </w:rPr>
              <w:t>1</w:t>
            </w:r>
            <w:bookmarkEnd w:id="446"/>
            <w:bookmarkEnd w:id="447"/>
          </w:p>
        </w:tc>
        <w:tc>
          <w:tcPr>
            <w:tcW w:w="6131" w:type="dxa"/>
            <w:tcBorders>
              <w:top w:val="single" w:color="auto" w:sz="4" w:space="0"/>
              <w:left w:val="single" w:color="auto" w:sz="4" w:space="0"/>
              <w:right w:val="single" w:color="auto" w:sz="4" w:space="0"/>
            </w:tcBorders>
            <w:noWrap w:val="0"/>
            <w:vAlign w:val="center"/>
          </w:tcPr>
          <w:p w14:paraId="20E098F6">
            <w:pPr>
              <w:spacing w:line="360" w:lineRule="auto"/>
              <w:jc w:val="both"/>
              <w:outlineLvl w:val="0"/>
              <w:rPr>
                <w:rFonts w:hint="eastAsia" w:ascii="黑体" w:hAnsi="黑体" w:eastAsia="黑体" w:cs="黑体"/>
                <w:bCs/>
                <w:color w:val="auto"/>
                <w:sz w:val="24"/>
                <w:szCs w:val="24"/>
              </w:rPr>
            </w:pPr>
            <w:bookmarkStart w:id="448" w:name="_Toc23883"/>
            <w:bookmarkStart w:id="449" w:name="_Toc31753"/>
            <w:r>
              <w:rPr>
                <w:rFonts w:hint="eastAsia" w:ascii="黑体" w:hAnsi="黑体" w:eastAsia="黑体" w:cs="黑体"/>
                <w:bCs/>
                <w:color w:val="auto"/>
                <w:sz w:val="24"/>
                <w:szCs w:val="24"/>
              </w:rPr>
              <w:t>投标报价高于设定的采购</w:t>
            </w:r>
            <w:r>
              <w:rPr>
                <w:rFonts w:hint="eastAsia" w:ascii="黑体" w:hAnsi="黑体" w:eastAsia="黑体" w:cs="黑体"/>
                <w:bCs/>
                <w:color w:val="auto"/>
                <w:sz w:val="24"/>
                <w:szCs w:val="24"/>
                <w:lang w:val="en-US" w:eastAsia="zh-CN"/>
              </w:rPr>
              <w:t>最高限价</w:t>
            </w:r>
            <w:r>
              <w:rPr>
                <w:rFonts w:hint="eastAsia" w:ascii="黑体" w:hAnsi="黑体" w:eastAsia="黑体" w:cs="黑体"/>
                <w:bCs/>
                <w:color w:val="auto"/>
                <w:sz w:val="24"/>
                <w:szCs w:val="24"/>
              </w:rPr>
              <w:t>的；</w:t>
            </w:r>
            <w:bookmarkEnd w:id="448"/>
            <w:bookmarkEnd w:id="449"/>
          </w:p>
        </w:tc>
        <w:tc>
          <w:tcPr>
            <w:tcW w:w="640" w:type="dxa"/>
            <w:tcBorders>
              <w:left w:val="single" w:color="auto" w:sz="4" w:space="0"/>
              <w:right w:val="single" w:color="auto" w:sz="4" w:space="0"/>
            </w:tcBorders>
            <w:noWrap w:val="0"/>
            <w:vAlign w:val="top"/>
          </w:tcPr>
          <w:p w14:paraId="1627ADE2">
            <w:pPr>
              <w:spacing w:line="360" w:lineRule="auto"/>
              <w:jc w:val="left"/>
              <w:outlineLvl w:val="9"/>
              <w:rPr>
                <w:rFonts w:hint="eastAsia" w:ascii="黑体" w:hAnsi="黑体" w:eastAsia="黑体" w:cs="黑体"/>
                <w:bCs/>
                <w:color w:val="auto"/>
                <w:szCs w:val="21"/>
              </w:rPr>
            </w:pPr>
          </w:p>
        </w:tc>
        <w:tc>
          <w:tcPr>
            <w:tcW w:w="599" w:type="dxa"/>
            <w:tcBorders>
              <w:left w:val="single" w:color="auto" w:sz="4" w:space="0"/>
              <w:right w:val="single" w:color="auto" w:sz="4" w:space="0"/>
            </w:tcBorders>
            <w:noWrap w:val="0"/>
            <w:vAlign w:val="top"/>
          </w:tcPr>
          <w:p w14:paraId="34E0FF98">
            <w:pPr>
              <w:spacing w:line="360" w:lineRule="auto"/>
              <w:jc w:val="left"/>
              <w:outlineLvl w:val="9"/>
              <w:rPr>
                <w:rFonts w:hint="eastAsia" w:ascii="黑体" w:hAnsi="黑体" w:eastAsia="黑体" w:cs="黑体"/>
                <w:bCs/>
                <w:color w:val="auto"/>
                <w:szCs w:val="21"/>
              </w:rPr>
            </w:pPr>
          </w:p>
        </w:tc>
      </w:tr>
      <w:tr w14:paraId="571074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trPr>
        <w:tc>
          <w:tcPr>
            <w:tcW w:w="1015" w:type="dxa"/>
            <w:vMerge w:val="continue"/>
            <w:tcBorders>
              <w:left w:val="single" w:color="auto" w:sz="4" w:space="0"/>
              <w:right w:val="single" w:color="auto" w:sz="4" w:space="0"/>
            </w:tcBorders>
            <w:noWrap w:val="0"/>
            <w:vAlign w:val="center"/>
          </w:tcPr>
          <w:p w14:paraId="2A705EFF">
            <w:pPr>
              <w:spacing w:line="360" w:lineRule="auto"/>
              <w:jc w:val="left"/>
              <w:outlineLvl w:val="9"/>
              <w:rPr>
                <w:rFonts w:hint="eastAsia" w:ascii="黑体" w:hAnsi="黑体" w:eastAsia="黑体" w:cs="黑体"/>
                <w:bCs/>
                <w:color w:val="auto"/>
                <w:szCs w:val="21"/>
              </w:rPr>
            </w:pPr>
          </w:p>
        </w:tc>
        <w:tc>
          <w:tcPr>
            <w:tcW w:w="599" w:type="dxa"/>
            <w:tcBorders>
              <w:top w:val="single" w:color="auto" w:sz="4" w:space="0"/>
              <w:left w:val="single" w:color="auto" w:sz="4" w:space="0"/>
              <w:bottom w:val="single" w:color="auto" w:sz="4" w:space="0"/>
              <w:right w:val="single" w:color="auto" w:sz="4" w:space="0"/>
            </w:tcBorders>
            <w:noWrap w:val="0"/>
            <w:vAlign w:val="center"/>
          </w:tcPr>
          <w:p w14:paraId="50BE838D">
            <w:pPr>
              <w:spacing w:line="360" w:lineRule="auto"/>
              <w:jc w:val="both"/>
              <w:outlineLvl w:val="0"/>
              <w:rPr>
                <w:rFonts w:hint="eastAsia" w:ascii="黑体" w:hAnsi="黑体" w:eastAsia="黑体" w:cs="黑体"/>
                <w:bCs/>
                <w:color w:val="auto"/>
                <w:sz w:val="24"/>
                <w:szCs w:val="24"/>
              </w:rPr>
            </w:pPr>
            <w:bookmarkStart w:id="450" w:name="_Toc25247"/>
            <w:bookmarkStart w:id="451" w:name="_Toc24027"/>
            <w:r>
              <w:rPr>
                <w:rFonts w:hint="eastAsia" w:ascii="黑体" w:hAnsi="黑体" w:eastAsia="黑体" w:cs="黑体"/>
                <w:bCs/>
                <w:color w:val="auto"/>
                <w:sz w:val="24"/>
                <w:szCs w:val="24"/>
              </w:rPr>
              <w:t>2</w:t>
            </w:r>
            <w:bookmarkEnd w:id="450"/>
            <w:bookmarkEnd w:id="451"/>
          </w:p>
        </w:tc>
        <w:tc>
          <w:tcPr>
            <w:tcW w:w="6131" w:type="dxa"/>
            <w:tcBorders>
              <w:left w:val="single" w:color="auto" w:sz="4" w:space="0"/>
              <w:bottom w:val="single" w:color="auto" w:sz="4" w:space="0"/>
              <w:right w:val="single" w:color="auto" w:sz="4" w:space="0"/>
            </w:tcBorders>
            <w:noWrap w:val="0"/>
            <w:vAlign w:val="center"/>
          </w:tcPr>
          <w:p w14:paraId="628164E3">
            <w:pPr>
              <w:spacing w:line="360" w:lineRule="auto"/>
              <w:jc w:val="both"/>
              <w:outlineLvl w:val="0"/>
              <w:rPr>
                <w:rFonts w:hint="eastAsia" w:ascii="黑体" w:hAnsi="黑体" w:eastAsia="黑体" w:cs="黑体"/>
                <w:bCs/>
                <w:color w:val="auto"/>
                <w:sz w:val="24"/>
                <w:szCs w:val="24"/>
              </w:rPr>
            </w:pPr>
            <w:bookmarkStart w:id="452" w:name="_Toc31183"/>
            <w:bookmarkStart w:id="453" w:name="_Toc22551"/>
            <w:r>
              <w:rPr>
                <w:rFonts w:hint="eastAsia" w:ascii="黑体" w:hAnsi="黑体" w:eastAsia="黑体" w:cs="黑体"/>
                <w:bCs/>
                <w:color w:val="auto"/>
                <w:sz w:val="24"/>
                <w:szCs w:val="24"/>
              </w:rPr>
              <w:t>投标人对同一招标项目作出两个以上报价未明确效力的；</w:t>
            </w:r>
            <w:bookmarkEnd w:id="452"/>
            <w:bookmarkEnd w:id="453"/>
          </w:p>
        </w:tc>
        <w:tc>
          <w:tcPr>
            <w:tcW w:w="640" w:type="dxa"/>
            <w:tcBorders>
              <w:left w:val="single" w:color="auto" w:sz="4" w:space="0"/>
              <w:right w:val="single" w:color="auto" w:sz="4" w:space="0"/>
            </w:tcBorders>
            <w:noWrap w:val="0"/>
            <w:vAlign w:val="top"/>
          </w:tcPr>
          <w:p w14:paraId="5B945D2B">
            <w:pPr>
              <w:spacing w:line="360" w:lineRule="auto"/>
              <w:jc w:val="left"/>
              <w:outlineLvl w:val="9"/>
              <w:rPr>
                <w:rFonts w:hint="eastAsia" w:ascii="黑体" w:hAnsi="黑体" w:eastAsia="黑体" w:cs="黑体"/>
                <w:bCs/>
                <w:color w:val="auto"/>
                <w:szCs w:val="21"/>
              </w:rPr>
            </w:pPr>
          </w:p>
        </w:tc>
        <w:tc>
          <w:tcPr>
            <w:tcW w:w="599" w:type="dxa"/>
            <w:tcBorders>
              <w:left w:val="single" w:color="auto" w:sz="4" w:space="0"/>
              <w:right w:val="single" w:color="auto" w:sz="4" w:space="0"/>
            </w:tcBorders>
            <w:noWrap w:val="0"/>
            <w:vAlign w:val="top"/>
          </w:tcPr>
          <w:p w14:paraId="7298E947">
            <w:pPr>
              <w:spacing w:line="360" w:lineRule="auto"/>
              <w:jc w:val="left"/>
              <w:outlineLvl w:val="9"/>
              <w:rPr>
                <w:rFonts w:hint="eastAsia" w:ascii="黑体" w:hAnsi="黑体" w:eastAsia="黑体" w:cs="黑体"/>
                <w:bCs/>
                <w:color w:val="auto"/>
                <w:szCs w:val="21"/>
              </w:rPr>
            </w:pPr>
          </w:p>
        </w:tc>
      </w:tr>
      <w:tr w14:paraId="1C014F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1015" w:type="dxa"/>
            <w:vMerge w:val="continue"/>
            <w:tcBorders>
              <w:left w:val="single" w:color="auto" w:sz="4" w:space="0"/>
              <w:right w:val="single" w:color="auto" w:sz="4" w:space="0"/>
            </w:tcBorders>
            <w:noWrap w:val="0"/>
            <w:vAlign w:val="center"/>
          </w:tcPr>
          <w:p w14:paraId="4ACD911F">
            <w:pPr>
              <w:spacing w:line="360" w:lineRule="auto"/>
              <w:jc w:val="left"/>
              <w:outlineLvl w:val="9"/>
              <w:rPr>
                <w:rFonts w:hint="eastAsia" w:ascii="黑体" w:hAnsi="黑体" w:eastAsia="黑体" w:cs="黑体"/>
                <w:bCs/>
                <w:color w:val="auto"/>
                <w:szCs w:val="21"/>
              </w:rPr>
            </w:pPr>
          </w:p>
        </w:tc>
        <w:tc>
          <w:tcPr>
            <w:tcW w:w="599" w:type="dxa"/>
            <w:tcBorders>
              <w:top w:val="single" w:color="auto" w:sz="4" w:space="0"/>
              <w:left w:val="single" w:color="auto" w:sz="4" w:space="0"/>
              <w:bottom w:val="single" w:color="auto" w:sz="4" w:space="0"/>
              <w:right w:val="single" w:color="auto" w:sz="4" w:space="0"/>
            </w:tcBorders>
            <w:noWrap w:val="0"/>
            <w:vAlign w:val="center"/>
          </w:tcPr>
          <w:p w14:paraId="1E28CFC7">
            <w:pPr>
              <w:spacing w:line="360" w:lineRule="auto"/>
              <w:jc w:val="both"/>
              <w:outlineLvl w:val="0"/>
              <w:rPr>
                <w:rFonts w:hint="eastAsia" w:ascii="黑体" w:hAnsi="黑体" w:eastAsia="黑体" w:cs="黑体"/>
                <w:bCs/>
                <w:color w:val="auto"/>
                <w:sz w:val="24"/>
                <w:szCs w:val="24"/>
              </w:rPr>
            </w:pPr>
            <w:bookmarkStart w:id="454" w:name="_Toc8440"/>
            <w:bookmarkStart w:id="455" w:name="_Toc20914"/>
            <w:r>
              <w:rPr>
                <w:rFonts w:hint="eastAsia" w:ascii="黑体" w:hAnsi="黑体" w:eastAsia="黑体" w:cs="黑体"/>
                <w:bCs/>
                <w:color w:val="auto"/>
                <w:sz w:val="24"/>
                <w:szCs w:val="24"/>
              </w:rPr>
              <w:t>3</w:t>
            </w:r>
            <w:bookmarkEnd w:id="454"/>
            <w:bookmarkEnd w:id="455"/>
          </w:p>
        </w:tc>
        <w:tc>
          <w:tcPr>
            <w:tcW w:w="6131" w:type="dxa"/>
            <w:tcBorders>
              <w:top w:val="single" w:color="auto" w:sz="4" w:space="0"/>
              <w:left w:val="single" w:color="auto" w:sz="4" w:space="0"/>
              <w:bottom w:val="single" w:color="auto" w:sz="4" w:space="0"/>
              <w:right w:val="single" w:color="auto" w:sz="4" w:space="0"/>
            </w:tcBorders>
            <w:noWrap w:val="0"/>
            <w:vAlign w:val="center"/>
          </w:tcPr>
          <w:p w14:paraId="59DB3D2C">
            <w:pPr>
              <w:spacing w:line="360" w:lineRule="auto"/>
              <w:jc w:val="both"/>
              <w:outlineLvl w:val="0"/>
              <w:rPr>
                <w:rFonts w:hint="eastAsia" w:ascii="黑体" w:hAnsi="黑体" w:eastAsia="黑体" w:cs="黑体"/>
                <w:bCs/>
                <w:color w:val="auto"/>
                <w:sz w:val="24"/>
                <w:szCs w:val="24"/>
              </w:rPr>
            </w:pPr>
            <w:bookmarkStart w:id="456" w:name="_Toc5578"/>
            <w:bookmarkStart w:id="457" w:name="_Toc32419"/>
            <w:r>
              <w:rPr>
                <w:rFonts w:hint="eastAsia" w:ascii="黑体" w:hAnsi="黑体" w:eastAsia="黑体" w:cs="黑体"/>
                <w:bCs/>
                <w:color w:val="auto"/>
                <w:sz w:val="24"/>
                <w:szCs w:val="24"/>
              </w:rPr>
              <w:t>未按招标文件规定的格式填写，内容不全或关键字迹模糊、无法辨认的；</w:t>
            </w:r>
            <w:bookmarkEnd w:id="456"/>
            <w:bookmarkEnd w:id="457"/>
          </w:p>
        </w:tc>
        <w:tc>
          <w:tcPr>
            <w:tcW w:w="640" w:type="dxa"/>
            <w:tcBorders>
              <w:left w:val="single" w:color="auto" w:sz="4" w:space="0"/>
            </w:tcBorders>
            <w:noWrap w:val="0"/>
            <w:vAlign w:val="top"/>
          </w:tcPr>
          <w:p w14:paraId="1C59126B">
            <w:pPr>
              <w:spacing w:line="360" w:lineRule="auto"/>
              <w:jc w:val="left"/>
              <w:outlineLvl w:val="9"/>
              <w:rPr>
                <w:rFonts w:hint="eastAsia" w:ascii="黑体" w:hAnsi="黑体" w:eastAsia="黑体" w:cs="黑体"/>
                <w:bCs/>
                <w:color w:val="auto"/>
                <w:szCs w:val="21"/>
              </w:rPr>
            </w:pPr>
          </w:p>
        </w:tc>
        <w:tc>
          <w:tcPr>
            <w:tcW w:w="599" w:type="dxa"/>
            <w:tcBorders>
              <w:right w:val="single" w:color="auto" w:sz="4" w:space="0"/>
            </w:tcBorders>
            <w:noWrap w:val="0"/>
            <w:vAlign w:val="top"/>
          </w:tcPr>
          <w:p w14:paraId="301DC744">
            <w:pPr>
              <w:spacing w:line="360" w:lineRule="auto"/>
              <w:jc w:val="left"/>
              <w:outlineLvl w:val="9"/>
              <w:rPr>
                <w:rFonts w:hint="eastAsia" w:ascii="黑体" w:hAnsi="黑体" w:eastAsia="黑体" w:cs="黑体"/>
                <w:bCs/>
                <w:color w:val="auto"/>
                <w:szCs w:val="21"/>
              </w:rPr>
            </w:pPr>
          </w:p>
        </w:tc>
      </w:tr>
      <w:tr w14:paraId="65DC99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0" w:hRule="atLeast"/>
        </w:trPr>
        <w:tc>
          <w:tcPr>
            <w:tcW w:w="1015" w:type="dxa"/>
            <w:vMerge w:val="continue"/>
            <w:tcBorders>
              <w:left w:val="single" w:color="auto" w:sz="4" w:space="0"/>
              <w:right w:val="single" w:color="auto" w:sz="4" w:space="0"/>
            </w:tcBorders>
            <w:noWrap w:val="0"/>
            <w:vAlign w:val="center"/>
          </w:tcPr>
          <w:p w14:paraId="43A7E22E">
            <w:pPr>
              <w:spacing w:line="360" w:lineRule="auto"/>
              <w:jc w:val="left"/>
              <w:outlineLvl w:val="9"/>
              <w:rPr>
                <w:rFonts w:hint="eastAsia" w:ascii="黑体" w:hAnsi="黑体" w:eastAsia="黑体" w:cs="黑体"/>
                <w:bCs/>
                <w:color w:val="auto"/>
                <w:szCs w:val="21"/>
              </w:rPr>
            </w:pPr>
          </w:p>
        </w:tc>
        <w:tc>
          <w:tcPr>
            <w:tcW w:w="599" w:type="dxa"/>
            <w:tcBorders>
              <w:top w:val="single" w:color="auto" w:sz="4" w:space="0"/>
              <w:left w:val="single" w:color="auto" w:sz="4" w:space="0"/>
              <w:bottom w:val="single" w:color="auto" w:sz="4" w:space="0"/>
              <w:right w:val="single" w:color="auto" w:sz="4" w:space="0"/>
            </w:tcBorders>
            <w:noWrap w:val="0"/>
            <w:vAlign w:val="center"/>
          </w:tcPr>
          <w:p w14:paraId="5061F1A5">
            <w:pPr>
              <w:spacing w:line="360" w:lineRule="auto"/>
              <w:jc w:val="both"/>
              <w:outlineLvl w:val="0"/>
              <w:rPr>
                <w:rFonts w:hint="eastAsia" w:ascii="黑体" w:hAnsi="黑体" w:eastAsia="黑体" w:cs="黑体"/>
                <w:bCs/>
                <w:color w:val="auto"/>
                <w:sz w:val="24"/>
                <w:szCs w:val="24"/>
              </w:rPr>
            </w:pPr>
            <w:bookmarkStart w:id="458" w:name="_Toc24479"/>
            <w:bookmarkStart w:id="459" w:name="_Toc14843"/>
            <w:r>
              <w:rPr>
                <w:rFonts w:hint="eastAsia" w:ascii="黑体" w:hAnsi="黑体" w:eastAsia="黑体" w:cs="黑体"/>
                <w:bCs/>
                <w:color w:val="auto"/>
                <w:sz w:val="24"/>
                <w:szCs w:val="24"/>
              </w:rPr>
              <w:t>4</w:t>
            </w:r>
            <w:bookmarkEnd w:id="458"/>
            <w:bookmarkEnd w:id="459"/>
          </w:p>
        </w:tc>
        <w:tc>
          <w:tcPr>
            <w:tcW w:w="6131" w:type="dxa"/>
            <w:tcBorders>
              <w:top w:val="single" w:color="auto" w:sz="4" w:space="0"/>
              <w:left w:val="single" w:color="auto" w:sz="4" w:space="0"/>
              <w:bottom w:val="single" w:color="auto" w:sz="4" w:space="0"/>
              <w:right w:val="single" w:color="auto" w:sz="4" w:space="0"/>
            </w:tcBorders>
            <w:noWrap w:val="0"/>
            <w:vAlign w:val="center"/>
          </w:tcPr>
          <w:p w14:paraId="546FFAEA">
            <w:pPr>
              <w:keepNext w:val="0"/>
              <w:keepLines w:val="0"/>
              <w:widowControl/>
              <w:suppressLineNumbers w:val="0"/>
              <w:spacing w:line="360" w:lineRule="auto"/>
              <w:jc w:val="both"/>
              <w:rPr>
                <w:rFonts w:hint="eastAsia" w:ascii="黑体" w:hAnsi="黑体" w:eastAsia="黑体" w:cs="黑体"/>
                <w:bCs/>
                <w:color w:val="auto"/>
                <w:sz w:val="24"/>
                <w:szCs w:val="24"/>
              </w:rPr>
            </w:pPr>
            <w:r>
              <w:rPr>
                <w:rFonts w:hint="eastAsia" w:ascii="黑体" w:hAnsi="黑体" w:eastAsia="黑体" w:cs="黑体"/>
                <w:bCs/>
                <w:color w:val="auto"/>
                <w:sz w:val="24"/>
                <w:szCs w:val="24"/>
                <w:lang w:val="en-US" w:eastAsia="zh-CN"/>
              </w:rPr>
              <w:t>改变磋商文件提供的工程量清单中的计量单位、工程量、页码、编码、计算规则的；</w:t>
            </w:r>
          </w:p>
        </w:tc>
        <w:tc>
          <w:tcPr>
            <w:tcW w:w="640" w:type="dxa"/>
            <w:tcBorders>
              <w:left w:val="single" w:color="auto" w:sz="4" w:space="0"/>
            </w:tcBorders>
            <w:noWrap w:val="0"/>
            <w:vAlign w:val="top"/>
          </w:tcPr>
          <w:p w14:paraId="6D98397E">
            <w:pPr>
              <w:spacing w:line="360" w:lineRule="auto"/>
              <w:jc w:val="left"/>
              <w:outlineLvl w:val="9"/>
              <w:rPr>
                <w:rFonts w:hint="eastAsia" w:ascii="黑体" w:hAnsi="黑体" w:eastAsia="黑体" w:cs="黑体"/>
                <w:bCs/>
                <w:color w:val="auto"/>
                <w:szCs w:val="21"/>
              </w:rPr>
            </w:pPr>
          </w:p>
        </w:tc>
        <w:tc>
          <w:tcPr>
            <w:tcW w:w="599" w:type="dxa"/>
            <w:tcBorders>
              <w:right w:val="single" w:color="auto" w:sz="4" w:space="0"/>
            </w:tcBorders>
            <w:noWrap w:val="0"/>
            <w:vAlign w:val="top"/>
          </w:tcPr>
          <w:p w14:paraId="3178331B">
            <w:pPr>
              <w:spacing w:line="360" w:lineRule="auto"/>
              <w:jc w:val="left"/>
              <w:outlineLvl w:val="9"/>
              <w:rPr>
                <w:rFonts w:hint="eastAsia" w:ascii="黑体" w:hAnsi="黑体" w:eastAsia="黑体" w:cs="黑体"/>
                <w:bCs/>
                <w:color w:val="auto"/>
                <w:szCs w:val="21"/>
              </w:rPr>
            </w:pPr>
          </w:p>
        </w:tc>
      </w:tr>
      <w:tr w14:paraId="3686FB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1015" w:type="dxa"/>
            <w:vMerge w:val="continue"/>
            <w:tcBorders>
              <w:left w:val="single" w:color="auto" w:sz="4" w:space="0"/>
              <w:right w:val="single" w:color="auto" w:sz="4" w:space="0"/>
            </w:tcBorders>
            <w:noWrap w:val="0"/>
            <w:vAlign w:val="center"/>
          </w:tcPr>
          <w:p w14:paraId="39724A17">
            <w:pPr>
              <w:spacing w:line="360" w:lineRule="auto"/>
              <w:jc w:val="left"/>
              <w:outlineLvl w:val="9"/>
              <w:rPr>
                <w:rFonts w:hint="eastAsia" w:ascii="黑体" w:hAnsi="黑体" w:eastAsia="黑体" w:cs="黑体"/>
                <w:bCs/>
                <w:color w:val="auto"/>
                <w:szCs w:val="21"/>
              </w:rPr>
            </w:pPr>
          </w:p>
        </w:tc>
        <w:tc>
          <w:tcPr>
            <w:tcW w:w="599" w:type="dxa"/>
            <w:tcBorders>
              <w:left w:val="single" w:color="auto" w:sz="4" w:space="0"/>
            </w:tcBorders>
            <w:noWrap w:val="0"/>
            <w:vAlign w:val="center"/>
          </w:tcPr>
          <w:p w14:paraId="13DF6D97">
            <w:pPr>
              <w:spacing w:line="360" w:lineRule="auto"/>
              <w:jc w:val="both"/>
              <w:outlineLvl w:val="0"/>
              <w:rPr>
                <w:rFonts w:hint="eastAsia" w:ascii="黑体" w:hAnsi="黑体" w:eastAsia="黑体" w:cs="黑体"/>
                <w:bCs/>
                <w:color w:val="auto"/>
                <w:sz w:val="24"/>
                <w:szCs w:val="24"/>
              </w:rPr>
            </w:pPr>
            <w:bookmarkStart w:id="460" w:name="_Toc12905"/>
            <w:bookmarkStart w:id="461" w:name="_Toc13410"/>
            <w:r>
              <w:rPr>
                <w:rFonts w:hint="eastAsia" w:ascii="黑体" w:hAnsi="黑体" w:eastAsia="黑体" w:cs="黑体"/>
                <w:bCs/>
                <w:color w:val="auto"/>
                <w:sz w:val="24"/>
                <w:szCs w:val="24"/>
              </w:rPr>
              <w:t>5</w:t>
            </w:r>
            <w:bookmarkEnd w:id="460"/>
            <w:bookmarkEnd w:id="461"/>
          </w:p>
        </w:tc>
        <w:tc>
          <w:tcPr>
            <w:tcW w:w="6131" w:type="dxa"/>
            <w:tcBorders>
              <w:right w:val="single" w:color="auto" w:sz="4" w:space="0"/>
            </w:tcBorders>
            <w:noWrap w:val="0"/>
            <w:vAlign w:val="center"/>
          </w:tcPr>
          <w:p w14:paraId="6C9349D0">
            <w:pPr>
              <w:spacing w:line="360" w:lineRule="auto"/>
              <w:jc w:val="both"/>
              <w:outlineLvl w:val="0"/>
              <w:rPr>
                <w:rFonts w:hint="eastAsia" w:ascii="黑体" w:hAnsi="黑体" w:eastAsia="黑体" w:cs="黑体"/>
                <w:bCs/>
                <w:color w:val="auto"/>
                <w:sz w:val="24"/>
                <w:szCs w:val="24"/>
              </w:rPr>
            </w:pPr>
            <w:bookmarkStart w:id="462" w:name="_Toc14033"/>
            <w:bookmarkStart w:id="463" w:name="_Toc24037"/>
            <w:r>
              <w:rPr>
                <w:rFonts w:hint="eastAsia" w:ascii="黑体" w:hAnsi="黑体" w:eastAsia="黑体" w:cs="黑体"/>
                <w:bCs/>
                <w:color w:val="auto"/>
                <w:sz w:val="24"/>
                <w:szCs w:val="24"/>
              </w:rPr>
              <w:t>评标委员会共同确定有实质上不响应招标文件要求的；</w:t>
            </w:r>
            <w:bookmarkEnd w:id="462"/>
            <w:bookmarkEnd w:id="463"/>
          </w:p>
        </w:tc>
        <w:tc>
          <w:tcPr>
            <w:tcW w:w="640" w:type="dxa"/>
            <w:tcBorders>
              <w:left w:val="single" w:color="auto" w:sz="4" w:space="0"/>
            </w:tcBorders>
            <w:noWrap w:val="0"/>
            <w:vAlign w:val="top"/>
          </w:tcPr>
          <w:p w14:paraId="3B654A1F">
            <w:pPr>
              <w:spacing w:line="360" w:lineRule="auto"/>
              <w:jc w:val="left"/>
              <w:outlineLvl w:val="9"/>
              <w:rPr>
                <w:rFonts w:hint="eastAsia" w:ascii="黑体" w:hAnsi="黑体" w:eastAsia="黑体" w:cs="黑体"/>
                <w:bCs/>
                <w:color w:val="auto"/>
                <w:szCs w:val="21"/>
              </w:rPr>
            </w:pPr>
          </w:p>
        </w:tc>
        <w:tc>
          <w:tcPr>
            <w:tcW w:w="599" w:type="dxa"/>
            <w:tcBorders>
              <w:right w:val="single" w:color="auto" w:sz="4" w:space="0"/>
            </w:tcBorders>
            <w:noWrap w:val="0"/>
            <w:vAlign w:val="top"/>
          </w:tcPr>
          <w:p w14:paraId="0886A9F9">
            <w:pPr>
              <w:spacing w:line="360" w:lineRule="auto"/>
              <w:jc w:val="left"/>
              <w:outlineLvl w:val="9"/>
              <w:rPr>
                <w:rFonts w:hint="eastAsia" w:ascii="黑体" w:hAnsi="黑体" w:eastAsia="黑体" w:cs="黑体"/>
                <w:bCs/>
                <w:color w:val="auto"/>
                <w:szCs w:val="21"/>
              </w:rPr>
            </w:pPr>
          </w:p>
        </w:tc>
      </w:tr>
      <w:tr w14:paraId="623094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7" w:hRule="atLeast"/>
        </w:trPr>
        <w:tc>
          <w:tcPr>
            <w:tcW w:w="1015" w:type="dxa"/>
            <w:vMerge w:val="continue"/>
            <w:tcBorders>
              <w:left w:val="single" w:color="auto" w:sz="4" w:space="0"/>
              <w:right w:val="single" w:color="auto" w:sz="4" w:space="0"/>
            </w:tcBorders>
            <w:noWrap w:val="0"/>
            <w:vAlign w:val="center"/>
          </w:tcPr>
          <w:p w14:paraId="182DD884">
            <w:pPr>
              <w:spacing w:line="360" w:lineRule="auto"/>
              <w:jc w:val="left"/>
              <w:outlineLvl w:val="9"/>
              <w:rPr>
                <w:rFonts w:hint="eastAsia" w:ascii="黑体" w:hAnsi="黑体" w:eastAsia="黑体" w:cs="黑体"/>
                <w:bCs/>
                <w:color w:val="auto"/>
                <w:szCs w:val="21"/>
              </w:rPr>
            </w:pPr>
          </w:p>
        </w:tc>
        <w:tc>
          <w:tcPr>
            <w:tcW w:w="599" w:type="dxa"/>
            <w:tcBorders>
              <w:left w:val="single" w:color="auto" w:sz="4" w:space="0"/>
              <w:bottom w:val="single" w:color="auto" w:sz="4" w:space="0"/>
            </w:tcBorders>
            <w:noWrap w:val="0"/>
            <w:vAlign w:val="center"/>
          </w:tcPr>
          <w:p w14:paraId="376A836C">
            <w:pPr>
              <w:spacing w:line="360" w:lineRule="auto"/>
              <w:jc w:val="both"/>
              <w:outlineLvl w:val="0"/>
              <w:rPr>
                <w:rFonts w:hint="eastAsia" w:ascii="黑体" w:hAnsi="黑体" w:eastAsia="黑体" w:cs="黑体"/>
                <w:bCs/>
                <w:color w:val="auto"/>
                <w:sz w:val="24"/>
                <w:szCs w:val="24"/>
              </w:rPr>
            </w:pPr>
            <w:bookmarkStart w:id="464" w:name="_Toc19060"/>
            <w:bookmarkStart w:id="465" w:name="_Toc32041"/>
            <w:r>
              <w:rPr>
                <w:rFonts w:hint="eastAsia" w:ascii="黑体" w:hAnsi="黑体" w:eastAsia="黑体" w:cs="黑体"/>
                <w:bCs/>
                <w:color w:val="auto"/>
                <w:sz w:val="24"/>
                <w:szCs w:val="24"/>
              </w:rPr>
              <w:t>6</w:t>
            </w:r>
            <w:bookmarkEnd w:id="464"/>
            <w:bookmarkEnd w:id="465"/>
          </w:p>
        </w:tc>
        <w:tc>
          <w:tcPr>
            <w:tcW w:w="6131" w:type="dxa"/>
            <w:tcBorders>
              <w:bottom w:val="single" w:color="auto" w:sz="4" w:space="0"/>
              <w:right w:val="single" w:color="auto" w:sz="4" w:space="0"/>
            </w:tcBorders>
            <w:noWrap w:val="0"/>
            <w:vAlign w:val="center"/>
          </w:tcPr>
          <w:p w14:paraId="496E5982">
            <w:pPr>
              <w:spacing w:line="360" w:lineRule="auto"/>
              <w:jc w:val="both"/>
              <w:outlineLvl w:val="0"/>
              <w:rPr>
                <w:rFonts w:hint="eastAsia" w:ascii="黑体" w:hAnsi="黑体" w:eastAsia="黑体" w:cs="黑体"/>
                <w:bCs/>
                <w:color w:val="auto"/>
                <w:sz w:val="24"/>
                <w:szCs w:val="24"/>
              </w:rPr>
            </w:pPr>
            <w:bookmarkStart w:id="466" w:name="_Toc21088"/>
            <w:bookmarkStart w:id="467" w:name="_Toc12075"/>
            <w:r>
              <w:rPr>
                <w:rFonts w:hint="eastAsia" w:ascii="黑体" w:hAnsi="黑体" w:eastAsia="黑体" w:cs="黑体"/>
                <w:bCs/>
                <w:color w:val="auto"/>
                <w:sz w:val="24"/>
                <w:szCs w:val="24"/>
              </w:rPr>
              <w:t>磋商文件没有投标单位法定代表人或其授权代表签字（章）和加盖投标单位公章的（磋商文件正本的印章和签字不能为复印件）；</w:t>
            </w:r>
            <w:bookmarkEnd w:id="466"/>
            <w:bookmarkEnd w:id="467"/>
          </w:p>
        </w:tc>
        <w:tc>
          <w:tcPr>
            <w:tcW w:w="640" w:type="dxa"/>
            <w:tcBorders>
              <w:left w:val="single" w:color="auto" w:sz="4" w:space="0"/>
              <w:bottom w:val="single" w:color="auto" w:sz="4" w:space="0"/>
            </w:tcBorders>
            <w:noWrap w:val="0"/>
            <w:vAlign w:val="top"/>
          </w:tcPr>
          <w:p w14:paraId="00A21B0D">
            <w:pPr>
              <w:spacing w:line="360" w:lineRule="auto"/>
              <w:jc w:val="left"/>
              <w:outlineLvl w:val="9"/>
              <w:rPr>
                <w:rFonts w:hint="eastAsia" w:ascii="黑体" w:hAnsi="黑体" w:eastAsia="黑体" w:cs="黑体"/>
                <w:bCs/>
                <w:color w:val="auto"/>
                <w:szCs w:val="21"/>
              </w:rPr>
            </w:pPr>
          </w:p>
        </w:tc>
        <w:tc>
          <w:tcPr>
            <w:tcW w:w="599" w:type="dxa"/>
            <w:tcBorders>
              <w:bottom w:val="single" w:color="auto" w:sz="4" w:space="0"/>
              <w:right w:val="single" w:color="auto" w:sz="4" w:space="0"/>
            </w:tcBorders>
            <w:noWrap w:val="0"/>
            <w:vAlign w:val="top"/>
          </w:tcPr>
          <w:p w14:paraId="5A7472FF">
            <w:pPr>
              <w:spacing w:line="360" w:lineRule="auto"/>
              <w:jc w:val="left"/>
              <w:outlineLvl w:val="9"/>
              <w:rPr>
                <w:rFonts w:hint="eastAsia" w:ascii="黑体" w:hAnsi="黑体" w:eastAsia="黑体" w:cs="黑体"/>
                <w:bCs/>
                <w:color w:val="auto"/>
                <w:szCs w:val="21"/>
              </w:rPr>
            </w:pPr>
          </w:p>
        </w:tc>
      </w:tr>
      <w:tr w14:paraId="32DC2A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1015" w:type="dxa"/>
            <w:vMerge w:val="continue"/>
            <w:tcBorders>
              <w:left w:val="single" w:color="auto" w:sz="4" w:space="0"/>
              <w:right w:val="single" w:color="auto" w:sz="4" w:space="0"/>
            </w:tcBorders>
            <w:noWrap w:val="0"/>
            <w:vAlign w:val="center"/>
          </w:tcPr>
          <w:p w14:paraId="51A2EEA6">
            <w:pPr>
              <w:spacing w:line="360" w:lineRule="auto"/>
              <w:jc w:val="left"/>
              <w:outlineLvl w:val="9"/>
              <w:rPr>
                <w:rFonts w:hint="eastAsia" w:ascii="黑体" w:hAnsi="黑体" w:eastAsia="黑体" w:cs="黑体"/>
                <w:bCs/>
                <w:color w:val="auto"/>
                <w:szCs w:val="21"/>
              </w:rPr>
            </w:pPr>
          </w:p>
        </w:tc>
        <w:tc>
          <w:tcPr>
            <w:tcW w:w="599" w:type="dxa"/>
            <w:tcBorders>
              <w:top w:val="single" w:color="auto" w:sz="4" w:space="0"/>
              <w:left w:val="single" w:color="auto" w:sz="4" w:space="0"/>
              <w:bottom w:val="single" w:color="auto" w:sz="4" w:space="0"/>
              <w:right w:val="single" w:color="auto" w:sz="4" w:space="0"/>
            </w:tcBorders>
            <w:noWrap w:val="0"/>
            <w:vAlign w:val="center"/>
          </w:tcPr>
          <w:p w14:paraId="086A4C13">
            <w:pPr>
              <w:spacing w:line="360" w:lineRule="auto"/>
              <w:jc w:val="both"/>
              <w:outlineLvl w:val="0"/>
              <w:rPr>
                <w:rFonts w:hint="eastAsia" w:ascii="黑体" w:hAnsi="黑体" w:eastAsia="黑体" w:cs="黑体"/>
                <w:bCs/>
                <w:color w:val="auto"/>
                <w:sz w:val="24"/>
                <w:szCs w:val="24"/>
              </w:rPr>
            </w:pPr>
            <w:bookmarkStart w:id="468" w:name="_Toc23446"/>
            <w:bookmarkStart w:id="469" w:name="_Toc26209"/>
            <w:r>
              <w:rPr>
                <w:rFonts w:hint="eastAsia" w:ascii="黑体" w:hAnsi="黑体" w:eastAsia="黑体" w:cs="黑体"/>
                <w:bCs/>
                <w:color w:val="auto"/>
                <w:sz w:val="24"/>
                <w:szCs w:val="24"/>
              </w:rPr>
              <w:t>7</w:t>
            </w:r>
            <w:bookmarkEnd w:id="468"/>
            <w:bookmarkEnd w:id="469"/>
          </w:p>
        </w:tc>
        <w:tc>
          <w:tcPr>
            <w:tcW w:w="6131" w:type="dxa"/>
            <w:tcBorders>
              <w:top w:val="single" w:color="auto" w:sz="4" w:space="0"/>
              <w:left w:val="single" w:color="auto" w:sz="4" w:space="0"/>
              <w:bottom w:val="single" w:color="auto" w:sz="4" w:space="0"/>
              <w:right w:val="single" w:color="auto" w:sz="4" w:space="0"/>
            </w:tcBorders>
            <w:noWrap w:val="0"/>
            <w:vAlign w:val="center"/>
          </w:tcPr>
          <w:p w14:paraId="43B08EE6">
            <w:pPr>
              <w:spacing w:line="360" w:lineRule="auto"/>
              <w:jc w:val="both"/>
              <w:outlineLvl w:val="0"/>
              <w:rPr>
                <w:rFonts w:hint="eastAsia" w:ascii="黑体" w:hAnsi="黑体" w:eastAsia="黑体" w:cs="黑体"/>
                <w:bCs/>
                <w:color w:val="auto"/>
                <w:sz w:val="24"/>
                <w:szCs w:val="24"/>
              </w:rPr>
            </w:pPr>
            <w:bookmarkStart w:id="470" w:name="_Toc23120"/>
            <w:bookmarkStart w:id="471" w:name="_Toc10589"/>
            <w:r>
              <w:rPr>
                <w:rFonts w:hint="eastAsia" w:ascii="黑体" w:hAnsi="黑体" w:eastAsia="黑体" w:cs="黑体"/>
                <w:bCs/>
                <w:color w:val="auto"/>
                <w:sz w:val="24"/>
                <w:szCs w:val="24"/>
              </w:rPr>
              <w:t>投标的政府采购项目完成期限超过招标文件规定期限的；</w:t>
            </w:r>
            <w:bookmarkEnd w:id="470"/>
            <w:bookmarkEnd w:id="471"/>
          </w:p>
        </w:tc>
        <w:tc>
          <w:tcPr>
            <w:tcW w:w="640" w:type="dxa"/>
            <w:tcBorders>
              <w:top w:val="single" w:color="auto" w:sz="4" w:space="0"/>
              <w:left w:val="single" w:color="auto" w:sz="4" w:space="0"/>
              <w:bottom w:val="single" w:color="auto" w:sz="4" w:space="0"/>
              <w:right w:val="single" w:color="auto" w:sz="4" w:space="0"/>
            </w:tcBorders>
            <w:noWrap w:val="0"/>
            <w:vAlign w:val="top"/>
          </w:tcPr>
          <w:p w14:paraId="48EC66CB">
            <w:pPr>
              <w:spacing w:line="360" w:lineRule="auto"/>
              <w:jc w:val="left"/>
              <w:outlineLvl w:val="9"/>
              <w:rPr>
                <w:rFonts w:hint="eastAsia" w:ascii="黑体" w:hAnsi="黑体" w:eastAsia="黑体" w:cs="黑体"/>
                <w:bCs/>
                <w:color w:val="auto"/>
                <w:szCs w:val="21"/>
              </w:rPr>
            </w:pPr>
          </w:p>
        </w:tc>
        <w:tc>
          <w:tcPr>
            <w:tcW w:w="599" w:type="dxa"/>
            <w:tcBorders>
              <w:top w:val="single" w:color="auto" w:sz="4" w:space="0"/>
              <w:left w:val="single" w:color="auto" w:sz="4" w:space="0"/>
              <w:bottom w:val="single" w:color="auto" w:sz="4" w:space="0"/>
              <w:right w:val="single" w:color="auto" w:sz="4" w:space="0"/>
            </w:tcBorders>
            <w:noWrap w:val="0"/>
            <w:vAlign w:val="top"/>
          </w:tcPr>
          <w:p w14:paraId="10671D57">
            <w:pPr>
              <w:spacing w:line="360" w:lineRule="auto"/>
              <w:jc w:val="left"/>
              <w:outlineLvl w:val="9"/>
              <w:rPr>
                <w:rFonts w:hint="eastAsia" w:ascii="黑体" w:hAnsi="黑体" w:eastAsia="黑体" w:cs="黑体"/>
                <w:bCs/>
                <w:color w:val="auto"/>
                <w:szCs w:val="21"/>
              </w:rPr>
            </w:pPr>
          </w:p>
        </w:tc>
      </w:tr>
      <w:tr w14:paraId="5FC83F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3" w:hRule="atLeast"/>
        </w:trPr>
        <w:tc>
          <w:tcPr>
            <w:tcW w:w="1015" w:type="dxa"/>
            <w:vMerge w:val="continue"/>
            <w:tcBorders>
              <w:left w:val="single" w:color="auto" w:sz="4" w:space="0"/>
              <w:right w:val="single" w:color="auto" w:sz="4" w:space="0"/>
            </w:tcBorders>
            <w:noWrap w:val="0"/>
            <w:vAlign w:val="center"/>
          </w:tcPr>
          <w:p w14:paraId="0329395A">
            <w:pPr>
              <w:spacing w:line="360" w:lineRule="auto"/>
              <w:jc w:val="left"/>
              <w:outlineLvl w:val="9"/>
              <w:rPr>
                <w:rFonts w:hint="eastAsia" w:ascii="黑体" w:hAnsi="黑体" w:eastAsia="黑体" w:cs="黑体"/>
                <w:bCs/>
                <w:color w:val="auto"/>
                <w:szCs w:val="21"/>
              </w:rPr>
            </w:pPr>
          </w:p>
        </w:tc>
        <w:tc>
          <w:tcPr>
            <w:tcW w:w="599" w:type="dxa"/>
            <w:tcBorders>
              <w:left w:val="single" w:color="auto" w:sz="4" w:space="0"/>
            </w:tcBorders>
            <w:noWrap w:val="0"/>
            <w:vAlign w:val="center"/>
          </w:tcPr>
          <w:p w14:paraId="17311301">
            <w:pPr>
              <w:spacing w:line="360" w:lineRule="auto"/>
              <w:jc w:val="both"/>
              <w:outlineLvl w:val="0"/>
              <w:rPr>
                <w:rFonts w:hint="eastAsia" w:ascii="黑体" w:hAnsi="黑体" w:eastAsia="黑体" w:cs="黑体"/>
                <w:bCs/>
                <w:color w:val="auto"/>
                <w:sz w:val="24"/>
                <w:szCs w:val="24"/>
              </w:rPr>
            </w:pPr>
            <w:bookmarkStart w:id="472" w:name="_Toc30111"/>
            <w:bookmarkStart w:id="473" w:name="_Toc22301"/>
            <w:r>
              <w:rPr>
                <w:rFonts w:hint="eastAsia" w:ascii="黑体" w:hAnsi="黑体" w:eastAsia="黑体" w:cs="黑体"/>
                <w:bCs/>
                <w:color w:val="auto"/>
                <w:sz w:val="24"/>
                <w:szCs w:val="24"/>
              </w:rPr>
              <w:t>8</w:t>
            </w:r>
            <w:bookmarkEnd w:id="472"/>
            <w:bookmarkEnd w:id="473"/>
          </w:p>
        </w:tc>
        <w:tc>
          <w:tcPr>
            <w:tcW w:w="6131" w:type="dxa"/>
            <w:tcBorders>
              <w:right w:val="single" w:color="auto" w:sz="4" w:space="0"/>
            </w:tcBorders>
            <w:noWrap w:val="0"/>
            <w:vAlign w:val="center"/>
          </w:tcPr>
          <w:p w14:paraId="710C8CB8">
            <w:pPr>
              <w:spacing w:line="360" w:lineRule="auto"/>
              <w:jc w:val="both"/>
              <w:outlineLvl w:val="0"/>
              <w:rPr>
                <w:rFonts w:hint="eastAsia" w:ascii="黑体" w:hAnsi="黑体" w:eastAsia="黑体" w:cs="黑体"/>
                <w:bCs/>
                <w:color w:val="auto"/>
                <w:sz w:val="24"/>
                <w:szCs w:val="24"/>
              </w:rPr>
            </w:pPr>
            <w:bookmarkStart w:id="474" w:name="_Toc9976"/>
            <w:bookmarkStart w:id="475" w:name="_Toc23213"/>
            <w:r>
              <w:rPr>
                <w:rFonts w:hint="eastAsia" w:ascii="黑体" w:hAnsi="黑体" w:eastAsia="黑体" w:cs="黑体"/>
                <w:bCs/>
                <w:color w:val="auto"/>
                <w:sz w:val="24"/>
                <w:szCs w:val="24"/>
                <w:lang w:val="en-US" w:eastAsia="zh-CN"/>
              </w:rPr>
              <w:t>响应</w:t>
            </w:r>
            <w:r>
              <w:rPr>
                <w:rFonts w:hint="eastAsia" w:ascii="黑体" w:hAnsi="黑体" w:eastAsia="黑体" w:cs="黑体"/>
                <w:bCs/>
                <w:color w:val="auto"/>
                <w:sz w:val="24"/>
                <w:szCs w:val="24"/>
              </w:rPr>
              <w:t>文件附有采购人不能接受条件的；</w:t>
            </w:r>
            <w:bookmarkEnd w:id="474"/>
            <w:bookmarkEnd w:id="475"/>
          </w:p>
        </w:tc>
        <w:tc>
          <w:tcPr>
            <w:tcW w:w="640" w:type="dxa"/>
            <w:tcBorders>
              <w:left w:val="single" w:color="auto" w:sz="4" w:space="0"/>
            </w:tcBorders>
            <w:noWrap w:val="0"/>
            <w:vAlign w:val="top"/>
          </w:tcPr>
          <w:p w14:paraId="1B151852">
            <w:pPr>
              <w:spacing w:line="360" w:lineRule="auto"/>
              <w:jc w:val="left"/>
              <w:outlineLvl w:val="9"/>
              <w:rPr>
                <w:rFonts w:hint="eastAsia" w:ascii="黑体" w:hAnsi="黑体" w:eastAsia="黑体" w:cs="黑体"/>
                <w:bCs/>
                <w:color w:val="auto"/>
                <w:szCs w:val="21"/>
              </w:rPr>
            </w:pPr>
          </w:p>
        </w:tc>
        <w:tc>
          <w:tcPr>
            <w:tcW w:w="599" w:type="dxa"/>
            <w:tcBorders>
              <w:right w:val="single" w:color="auto" w:sz="4" w:space="0"/>
            </w:tcBorders>
            <w:noWrap w:val="0"/>
            <w:vAlign w:val="top"/>
          </w:tcPr>
          <w:p w14:paraId="1A4420B9">
            <w:pPr>
              <w:spacing w:line="360" w:lineRule="auto"/>
              <w:jc w:val="left"/>
              <w:outlineLvl w:val="9"/>
              <w:rPr>
                <w:rFonts w:hint="eastAsia" w:ascii="黑体" w:hAnsi="黑体" w:eastAsia="黑体" w:cs="黑体"/>
                <w:bCs/>
                <w:color w:val="auto"/>
                <w:szCs w:val="21"/>
              </w:rPr>
            </w:pPr>
          </w:p>
        </w:tc>
      </w:tr>
      <w:tr w14:paraId="697BCD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trPr>
        <w:tc>
          <w:tcPr>
            <w:tcW w:w="1015" w:type="dxa"/>
            <w:vMerge w:val="continue"/>
            <w:tcBorders>
              <w:left w:val="single" w:color="auto" w:sz="4" w:space="0"/>
              <w:right w:val="single" w:color="auto" w:sz="4" w:space="0"/>
            </w:tcBorders>
            <w:noWrap w:val="0"/>
            <w:vAlign w:val="center"/>
          </w:tcPr>
          <w:p w14:paraId="7FF2A450">
            <w:pPr>
              <w:spacing w:line="360" w:lineRule="auto"/>
              <w:jc w:val="left"/>
              <w:outlineLvl w:val="9"/>
              <w:rPr>
                <w:rFonts w:hint="eastAsia" w:ascii="黑体" w:hAnsi="黑体" w:eastAsia="黑体" w:cs="黑体"/>
                <w:bCs/>
                <w:color w:val="auto"/>
                <w:szCs w:val="21"/>
              </w:rPr>
            </w:pPr>
          </w:p>
        </w:tc>
        <w:tc>
          <w:tcPr>
            <w:tcW w:w="599" w:type="dxa"/>
            <w:tcBorders>
              <w:left w:val="single" w:color="auto" w:sz="4" w:space="0"/>
            </w:tcBorders>
            <w:noWrap w:val="0"/>
            <w:vAlign w:val="center"/>
          </w:tcPr>
          <w:p w14:paraId="5E29C6EC">
            <w:pPr>
              <w:spacing w:line="360" w:lineRule="auto"/>
              <w:jc w:val="both"/>
              <w:outlineLvl w:val="0"/>
              <w:rPr>
                <w:rFonts w:hint="eastAsia" w:ascii="黑体" w:hAnsi="黑体" w:eastAsia="黑体" w:cs="黑体"/>
                <w:bCs/>
                <w:color w:val="auto"/>
                <w:sz w:val="24"/>
                <w:szCs w:val="24"/>
              </w:rPr>
            </w:pPr>
            <w:bookmarkStart w:id="476" w:name="_Toc4374"/>
            <w:bookmarkStart w:id="477" w:name="_Toc29106"/>
            <w:r>
              <w:rPr>
                <w:rFonts w:hint="eastAsia" w:ascii="黑体" w:hAnsi="黑体" w:eastAsia="黑体" w:cs="黑体"/>
                <w:bCs/>
                <w:color w:val="auto"/>
                <w:sz w:val="24"/>
                <w:szCs w:val="24"/>
              </w:rPr>
              <w:t>9</w:t>
            </w:r>
            <w:bookmarkEnd w:id="476"/>
            <w:bookmarkEnd w:id="477"/>
          </w:p>
        </w:tc>
        <w:tc>
          <w:tcPr>
            <w:tcW w:w="6131" w:type="dxa"/>
            <w:tcBorders>
              <w:right w:val="single" w:color="auto" w:sz="4" w:space="0"/>
            </w:tcBorders>
            <w:noWrap w:val="0"/>
            <w:vAlign w:val="center"/>
          </w:tcPr>
          <w:p w14:paraId="74FFEFF8">
            <w:pPr>
              <w:spacing w:line="360" w:lineRule="auto"/>
              <w:jc w:val="both"/>
              <w:outlineLvl w:val="0"/>
              <w:rPr>
                <w:rFonts w:hint="eastAsia" w:ascii="黑体" w:hAnsi="黑体" w:eastAsia="黑体" w:cs="黑体"/>
                <w:bCs/>
                <w:color w:val="auto"/>
                <w:sz w:val="24"/>
                <w:szCs w:val="24"/>
                <w:lang w:eastAsia="zh-CN"/>
              </w:rPr>
            </w:pPr>
            <w:bookmarkStart w:id="478" w:name="_Toc12034"/>
            <w:bookmarkStart w:id="479" w:name="_Toc94"/>
            <w:r>
              <w:rPr>
                <w:rFonts w:hint="eastAsia" w:ascii="黑体" w:hAnsi="黑体" w:eastAsia="黑体" w:cs="黑体"/>
                <w:bCs/>
                <w:color w:val="auto"/>
                <w:sz w:val="24"/>
                <w:szCs w:val="24"/>
              </w:rPr>
              <w:t>不满足招标文件实质性要求的其他情形</w:t>
            </w:r>
            <w:r>
              <w:rPr>
                <w:rFonts w:hint="eastAsia" w:ascii="黑体" w:hAnsi="黑体" w:eastAsia="黑体" w:cs="黑体"/>
                <w:bCs/>
                <w:color w:val="auto"/>
                <w:sz w:val="24"/>
                <w:szCs w:val="24"/>
                <w:lang w:eastAsia="zh-CN"/>
              </w:rPr>
              <w:t>。</w:t>
            </w:r>
            <w:bookmarkEnd w:id="478"/>
            <w:bookmarkEnd w:id="479"/>
          </w:p>
        </w:tc>
        <w:tc>
          <w:tcPr>
            <w:tcW w:w="640" w:type="dxa"/>
            <w:tcBorders>
              <w:left w:val="single" w:color="auto" w:sz="4" w:space="0"/>
            </w:tcBorders>
            <w:noWrap w:val="0"/>
            <w:vAlign w:val="top"/>
          </w:tcPr>
          <w:p w14:paraId="72909A03">
            <w:pPr>
              <w:spacing w:line="360" w:lineRule="auto"/>
              <w:jc w:val="left"/>
              <w:outlineLvl w:val="9"/>
              <w:rPr>
                <w:rFonts w:hint="eastAsia" w:ascii="黑体" w:hAnsi="黑体" w:eastAsia="黑体" w:cs="黑体"/>
                <w:bCs/>
                <w:color w:val="auto"/>
                <w:szCs w:val="21"/>
              </w:rPr>
            </w:pPr>
          </w:p>
        </w:tc>
        <w:tc>
          <w:tcPr>
            <w:tcW w:w="599" w:type="dxa"/>
            <w:tcBorders>
              <w:right w:val="single" w:color="auto" w:sz="4" w:space="0"/>
            </w:tcBorders>
            <w:noWrap w:val="0"/>
            <w:vAlign w:val="top"/>
          </w:tcPr>
          <w:p w14:paraId="336F111C">
            <w:pPr>
              <w:spacing w:line="360" w:lineRule="auto"/>
              <w:jc w:val="left"/>
              <w:outlineLvl w:val="9"/>
              <w:rPr>
                <w:rFonts w:hint="eastAsia" w:ascii="黑体" w:hAnsi="黑体" w:eastAsia="黑体" w:cs="黑体"/>
                <w:bCs/>
                <w:color w:val="auto"/>
                <w:szCs w:val="21"/>
              </w:rPr>
            </w:pPr>
          </w:p>
        </w:tc>
      </w:tr>
      <w:tr w14:paraId="709BEF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8984" w:type="dxa"/>
            <w:gridSpan w:val="5"/>
            <w:tcBorders>
              <w:left w:val="single" w:color="auto" w:sz="4" w:space="0"/>
              <w:bottom w:val="single" w:color="auto" w:sz="4" w:space="0"/>
              <w:right w:val="single" w:color="auto" w:sz="4" w:space="0"/>
            </w:tcBorders>
            <w:noWrap w:val="0"/>
            <w:vAlign w:val="center"/>
          </w:tcPr>
          <w:p w14:paraId="6D0FB7B9">
            <w:pPr>
              <w:spacing w:line="360" w:lineRule="auto"/>
              <w:jc w:val="left"/>
              <w:outlineLvl w:val="0"/>
              <w:rPr>
                <w:rFonts w:hint="eastAsia" w:ascii="黑体" w:hAnsi="黑体" w:eastAsia="黑体" w:cs="黑体"/>
                <w:bCs/>
                <w:color w:val="auto"/>
                <w:sz w:val="24"/>
                <w:szCs w:val="24"/>
              </w:rPr>
            </w:pPr>
            <w:bookmarkStart w:id="480" w:name="_Toc14731"/>
            <w:bookmarkStart w:id="481" w:name="_Toc12584"/>
            <w:r>
              <w:rPr>
                <w:rFonts w:hint="eastAsia" w:ascii="黑体" w:hAnsi="黑体" w:eastAsia="黑体" w:cs="黑体"/>
                <w:bCs/>
                <w:color w:val="auto"/>
                <w:sz w:val="24"/>
                <w:szCs w:val="24"/>
              </w:rPr>
              <w:t>结论：是否通过评审（须填写通过或不通过）</w:t>
            </w:r>
            <w:bookmarkEnd w:id="480"/>
            <w:bookmarkEnd w:id="481"/>
          </w:p>
          <w:p w14:paraId="49B7C2BB">
            <w:pPr>
              <w:spacing w:line="360" w:lineRule="auto"/>
              <w:jc w:val="left"/>
              <w:outlineLvl w:val="0"/>
              <w:rPr>
                <w:rFonts w:hint="eastAsia" w:ascii="黑体" w:hAnsi="黑体" w:eastAsia="黑体" w:cs="黑体"/>
                <w:bCs/>
                <w:color w:val="auto"/>
                <w:szCs w:val="21"/>
              </w:rPr>
            </w:pPr>
            <w:bookmarkStart w:id="482" w:name="_Toc2339"/>
            <w:bookmarkStart w:id="483" w:name="_Toc30952"/>
            <w:r>
              <w:rPr>
                <w:rFonts w:hint="eastAsia" w:ascii="黑体" w:hAnsi="黑体" w:eastAsia="黑体" w:cs="黑体"/>
                <w:bCs/>
                <w:color w:val="auto"/>
                <w:sz w:val="24"/>
                <w:szCs w:val="24"/>
              </w:rPr>
              <w:t>注：如有一项不合格，作废标处理。</w:t>
            </w:r>
            <w:bookmarkEnd w:id="482"/>
            <w:bookmarkEnd w:id="483"/>
          </w:p>
        </w:tc>
      </w:tr>
    </w:tbl>
    <w:p w14:paraId="439A02CA">
      <w:pPr>
        <w:pStyle w:val="4"/>
        <w:spacing w:line="360" w:lineRule="auto"/>
        <w:rPr>
          <w:rFonts w:hint="eastAsia" w:ascii="黑体" w:hAnsi="黑体" w:eastAsia="黑体" w:cs="黑体"/>
          <w:b/>
          <w:color w:val="auto"/>
          <w:sz w:val="32"/>
          <w:szCs w:val="32"/>
          <w:highlight w:val="none"/>
        </w:rPr>
      </w:pPr>
      <w:r>
        <w:rPr>
          <w:rFonts w:hint="eastAsia" w:ascii="黑体" w:hAnsi="黑体" w:eastAsia="黑体" w:cs="黑体"/>
          <w:color w:val="auto"/>
          <w:sz w:val="24"/>
          <w:szCs w:val="24"/>
        </w:rPr>
        <w:t>★</w:t>
      </w:r>
      <w:r>
        <w:rPr>
          <w:rFonts w:hint="eastAsia" w:ascii="黑体" w:hAnsi="黑体" w:eastAsia="黑体" w:cs="黑体"/>
          <w:b/>
          <w:bCs/>
          <w:color w:val="auto"/>
          <w:sz w:val="24"/>
          <w:szCs w:val="24"/>
        </w:rPr>
        <w:t>备注：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00D8AA59">
      <w:pPr>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br w:type="page"/>
      </w:r>
    </w:p>
    <w:p w14:paraId="7895CFDE">
      <w:pPr>
        <w:spacing w:line="360" w:lineRule="auto"/>
        <w:jc w:val="center"/>
        <w:outlineLvl w:val="0"/>
        <w:rPr>
          <w:rFonts w:hint="eastAsia" w:ascii="黑体" w:hAnsi="黑体" w:eastAsia="黑体" w:cs="黑体"/>
          <w:color w:val="auto"/>
          <w:sz w:val="32"/>
          <w:szCs w:val="32"/>
          <w:highlight w:val="none"/>
        </w:rPr>
      </w:pPr>
      <w:bookmarkStart w:id="484" w:name="_Toc447"/>
      <w:r>
        <w:rPr>
          <w:rFonts w:hint="eastAsia" w:ascii="黑体" w:hAnsi="黑体" w:eastAsia="黑体" w:cs="黑体"/>
          <w:b/>
          <w:color w:val="auto"/>
          <w:sz w:val="32"/>
          <w:szCs w:val="32"/>
          <w:highlight w:val="none"/>
        </w:rPr>
        <w:t>综合评分法评分标准</w:t>
      </w:r>
      <w:bookmarkEnd w:id="484"/>
    </w:p>
    <w:tbl>
      <w:tblPr>
        <w:tblStyle w:val="38"/>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1"/>
        <w:gridCol w:w="1040"/>
        <w:gridCol w:w="795"/>
        <w:gridCol w:w="6373"/>
      </w:tblGrid>
      <w:tr w14:paraId="23B23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5" w:hRule="atLeast"/>
        </w:trPr>
        <w:tc>
          <w:tcPr>
            <w:tcW w:w="2191" w:type="dxa"/>
            <w:gridSpan w:val="2"/>
            <w:tcBorders>
              <w:right w:val="single" w:color="auto" w:sz="4" w:space="0"/>
            </w:tcBorders>
            <w:noWrap w:val="0"/>
            <w:vAlign w:val="center"/>
          </w:tcPr>
          <w:p w14:paraId="7DCF0E02">
            <w:pPr>
              <w:keepNext w:val="0"/>
              <w:keepLines w:val="0"/>
              <w:kinsoku/>
              <w:wordWrap/>
              <w:overflowPunct/>
              <w:topLinePunct w:val="0"/>
              <w:autoSpaceDE/>
              <w:autoSpaceDN/>
              <w:bidi w:val="0"/>
              <w:spacing w:after="120" w:afterLines="50" w:line="360" w:lineRule="auto"/>
              <w:jc w:val="center"/>
              <w:outlineLvl w:val="9"/>
              <w:rPr>
                <w:rFonts w:hint="default" w:ascii="黑体" w:hAnsi="黑体" w:eastAsia="黑体" w:cs="黑体"/>
                <w:b/>
                <w:bCs w:val="0"/>
                <w:color w:val="auto"/>
                <w:sz w:val="24"/>
                <w:szCs w:val="24"/>
                <w:lang w:val="en-US" w:eastAsia="zh-CN"/>
              </w:rPr>
            </w:pPr>
            <w:r>
              <w:rPr>
                <w:rFonts w:hint="eastAsia" w:ascii="黑体" w:hAnsi="黑体" w:eastAsia="黑体" w:cs="黑体"/>
                <w:b/>
                <w:bCs w:val="0"/>
                <w:color w:val="auto"/>
                <w:sz w:val="24"/>
                <w:szCs w:val="24"/>
                <w:lang w:val="en-US" w:eastAsia="zh-CN"/>
              </w:rPr>
              <w:t>评审项</w:t>
            </w:r>
          </w:p>
        </w:tc>
        <w:tc>
          <w:tcPr>
            <w:tcW w:w="7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E47C92">
            <w:pPr>
              <w:pStyle w:val="33"/>
              <w:keepNext w:val="0"/>
              <w:keepLines w:val="0"/>
              <w:kinsoku/>
              <w:wordWrap/>
              <w:overflowPunct/>
              <w:topLinePunct w:val="0"/>
              <w:autoSpaceDE/>
              <w:autoSpaceDN/>
              <w:bidi w:val="0"/>
              <w:spacing w:line="360" w:lineRule="auto"/>
              <w:jc w:val="center"/>
              <w:outlineLvl w:val="9"/>
              <w:rPr>
                <w:rFonts w:hint="default" w:ascii="黑体" w:hAnsi="黑体" w:eastAsia="黑体" w:cs="黑体"/>
                <w:b/>
                <w:bCs w:val="0"/>
                <w:color w:val="auto"/>
                <w:sz w:val="24"/>
                <w:szCs w:val="22"/>
                <w:lang w:val="en-US" w:eastAsia="zh-CN"/>
              </w:rPr>
            </w:pPr>
            <w:r>
              <w:rPr>
                <w:rFonts w:hint="eastAsia" w:ascii="黑体" w:hAnsi="黑体" w:eastAsia="黑体" w:cs="黑体"/>
                <w:b/>
                <w:bCs w:val="0"/>
                <w:color w:val="auto"/>
                <w:sz w:val="24"/>
                <w:szCs w:val="22"/>
                <w:lang w:val="en-US" w:eastAsia="zh-CN"/>
              </w:rPr>
              <w:t>分值</w:t>
            </w:r>
          </w:p>
        </w:tc>
        <w:tc>
          <w:tcPr>
            <w:tcW w:w="63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F5760F">
            <w:pPr>
              <w:pStyle w:val="33"/>
              <w:keepNext w:val="0"/>
              <w:keepLines w:val="0"/>
              <w:kinsoku/>
              <w:wordWrap/>
              <w:overflowPunct/>
              <w:topLinePunct w:val="0"/>
              <w:autoSpaceDE/>
              <w:autoSpaceDN/>
              <w:bidi w:val="0"/>
              <w:spacing w:line="360" w:lineRule="auto"/>
              <w:jc w:val="center"/>
              <w:outlineLvl w:val="9"/>
              <w:rPr>
                <w:rFonts w:hint="default" w:ascii="黑体" w:hAnsi="黑体" w:eastAsia="黑体" w:cs="黑体"/>
                <w:b/>
                <w:bCs w:val="0"/>
                <w:color w:val="auto"/>
                <w:sz w:val="24"/>
                <w:szCs w:val="22"/>
                <w:lang w:val="en-US" w:eastAsia="zh-CN"/>
              </w:rPr>
            </w:pPr>
            <w:r>
              <w:rPr>
                <w:rFonts w:hint="eastAsia" w:ascii="黑体" w:hAnsi="黑体" w:eastAsia="黑体" w:cs="黑体"/>
                <w:b/>
                <w:bCs w:val="0"/>
                <w:color w:val="auto"/>
                <w:sz w:val="24"/>
                <w:szCs w:val="24"/>
                <w:lang w:val="en-US" w:eastAsia="zh-CN"/>
              </w:rPr>
              <w:t>评审因素</w:t>
            </w:r>
          </w:p>
        </w:tc>
      </w:tr>
      <w:tr w14:paraId="29D84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5" w:hRule="atLeast"/>
        </w:trPr>
        <w:tc>
          <w:tcPr>
            <w:tcW w:w="2191" w:type="dxa"/>
            <w:gridSpan w:val="2"/>
            <w:tcBorders>
              <w:right w:val="single" w:color="auto" w:sz="4" w:space="0"/>
            </w:tcBorders>
            <w:noWrap w:val="0"/>
            <w:vAlign w:val="center"/>
          </w:tcPr>
          <w:p w14:paraId="1FFF2285">
            <w:pPr>
              <w:keepNext w:val="0"/>
              <w:keepLines w:val="0"/>
              <w:kinsoku/>
              <w:wordWrap/>
              <w:overflowPunct/>
              <w:topLinePunct w:val="0"/>
              <w:autoSpaceDE/>
              <w:autoSpaceDN/>
              <w:bidi w:val="0"/>
              <w:spacing w:after="120" w:afterLines="50" w:line="360" w:lineRule="auto"/>
              <w:jc w:val="center"/>
              <w:outlineLvl w:val="9"/>
              <w:rPr>
                <w:rFonts w:hint="eastAsia" w:ascii="黑体" w:hAnsi="黑体" w:eastAsia="黑体" w:cs="黑体"/>
                <w:b/>
                <w:bCs w:val="0"/>
                <w:color w:val="auto"/>
                <w:sz w:val="24"/>
                <w:szCs w:val="24"/>
                <w:highlight w:val="red"/>
              </w:rPr>
            </w:pPr>
            <w:r>
              <w:rPr>
                <w:rFonts w:hint="eastAsia" w:ascii="黑体" w:hAnsi="黑体" w:eastAsia="黑体" w:cs="黑体"/>
                <w:b/>
                <w:bCs w:val="0"/>
                <w:color w:val="auto"/>
                <w:sz w:val="24"/>
                <w:szCs w:val="24"/>
                <w:lang w:val="en-US" w:eastAsia="zh-CN"/>
              </w:rPr>
              <w:t>响应</w:t>
            </w:r>
            <w:r>
              <w:rPr>
                <w:rFonts w:hint="eastAsia" w:ascii="黑体" w:hAnsi="黑体" w:eastAsia="黑体" w:cs="黑体"/>
                <w:b/>
                <w:bCs w:val="0"/>
                <w:color w:val="auto"/>
                <w:sz w:val="24"/>
                <w:szCs w:val="24"/>
              </w:rPr>
              <w:t>报价</w:t>
            </w:r>
          </w:p>
        </w:tc>
        <w:tc>
          <w:tcPr>
            <w:tcW w:w="7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AC061D">
            <w:pPr>
              <w:pStyle w:val="33"/>
              <w:keepNext w:val="0"/>
              <w:keepLines w:val="0"/>
              <w:kinsoku/>
              <w:wordWrap/>
              <w:overflowPunct/>
              <w:topLinePunct w:val="0"/>
              <w:autoSpaceDE/>
              <w:autoSpaceDN/>
              <w:bidi w:val="0"/>
              <w:spacing w:line="360" w:lineRule="auto"/>
              <w:jc w:val="center"/>
              <w:outlineLvl w:val="9"/>
              <w:rPr>
                <w:rFonts w:hint="eastAsia" w:ascii="黑体" w:hAnsi="黑体" w:eastAsia="黑体" w:cs="黑体"/>
                <w:b/>
                <w:bCs w:val="0"/>
                <w:color w:val="auto"/>
                <w:sz w:val="24"/>
                <w:szCs w:val="22"/>
                <w:lang w:val="en-US" w:eastAsia="zh-CN"/>
              </w:rPr>
            </w:pPr>
            <w:r>
              <w:rPr>
                <w:rFonts w:hint="eastAsia" w:ascii="黑体" w:hAnsi="黑体" w:eastAsia="黑体" w:cs="黑体"/>
                <w:b/>
                <w:bCs w:val="0"/>
                <w:color w:val="auto"/>
                <w:sz w:val="24"/>
                <w:szCs w:val="22"/>
                <w:lang w:val="en-US" w:eastAsia="zh-CN"/>
              </w:rPr>
              <w:t>30分</w:t>
            </w:r>
          </w:p>
        </w:tc>
        <w:tc>
          <w:tcPr>
            <w:tcW w:w="63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A06A83">
            <w:pPr>
              <w:pStyle w:val="33"/>
              <w:keepNext w:val="0"/>
              <w:keepLines w:val="0"/>
              <w:kinsoku/>
              <w:wordWrap/>
              <w:overflowPunct/>
              <w:topLinePunct w:val="0"/>
              <w:autoSpaceDE/>
              <w:autoSpaceDN/>
              <w:bidi w:val="0"/>
              <w:spacing w:line="360" w:lineRule="auto"/>
              <w:jc w:val="left"/>
              <w:outlineLvl w:val="9"/>
              <w:rPr>
                <w:rFonts w:hint="eastAsia" w:ascii="黑体" w:hAnsi="黑体" w:eastAsia="黑体" w:cs="黑体"/>
                <w:bCs/>
                <w:color w:val="auto"/>
                <w:sz w:val="24"/>
                <w:szCs w:val="22"/>
                <w:lang w:val="en-US" w:eastAsia="zh-CN"/>
              </w:rPr>
            </w:pPr>
            <w:r>
              <w:rPr>
                <w:rFonts w:hint="eastAsia" w:ascii="黑体" w:hAnsi="黑体" w:eastAsia="黑体" w:cs="黑体"/>
                <w:bCs/>
                <w:color w:val="auto"/>
                <w:sz w:val="24"/>
                <w:szCs w:val="22"/>
                <w:lang w:val="en-US" w:eastAsia="zh-CN"/>
              </w:rPr>
              <w:t>综合评分法中的价格分统一采用低价优先法计算，即满足磋商文件要求且最终响应价格最低的报价为评标基准价，其价格分为满分30分，其它响应报价得分=评标基准价/响应报价*30</w:t>
            </w:r>
          </w:p>
        </w:tc>
      </w:tr>
      <w:tr w14:paraId="3800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7" w:hRule="atLeast"/>
        </w:trPr>
        <w:tc>
          <w:tcPr>
            <w:tcW w:w="1151" w:type="dxa"/>
            <w:vMerge w:val="restart"/>
            <w:noWrap w:val="0"/>
            <w:vAlign w:val="center"/>
          </w:tcPr>
          <w:p w14:paraId="2325BF00">
            <w:pPr>
              <w:keepNext w:val="0"/>
              <w:keepLines w:val="0"/>
              <w:kinsoku/>
              <w:wordWrap/>
              <w:overflowPunct/>
              <w:topLinePunct w:val="0"/>
              <w:autoSpaceDE/>
              <w:autoSpaceDN/>
              <w:bidi w:val="0"/>
              <w:spacing w:after="120" w:afterLines="50" w:line="360" w:lineRule="auto"/>
              <w:jc w:val="center"/>
              <w:outlineLvl w:val="9"/>
              <w:rPr>
                <w:rFonts w:hint="eastAsia" w:ascii="黑体" w:hAnsi="黑体" w:eastAsia="黑体" w:cs="黑体"/>
                <w:b/>
                <w:bCs w:val="0"/>
                <w:color w:val="auto"/>
                <w:sz w:val="24"/>
                <w:szCs w:val="24"/>
              </w:rPr>
            </w:pPr>
            <w:r>
              <w:rPr>
                <w:rFonts w:hint="eastAsia" w:ascii="黑体" w:hAnsi="黑体" w:eastAsia="黑体" w:cs="黑体"/>
                <w:b/>
                <w:bCs w:val="0"/>
                <w:color w:val="auto"/>
                <w:sz w:val="24"/>
                <w:szCs w:val="24"/>
              </w:rPr>
              <w:t>商务部分</w:t>
            </w:r>
            <w:r>
              <w:rPr>
                <w:rFonts w:hint="eastAsia" w:ascii="黑体" w:hAnsi="黑体" w:eastAsia="黑体" w:cs="黑体"/>
                <w:b/>
                <w:bCs w:val="0"/>
                <w:color w:val="auto"/>
                <w:sz w:val="24"/>
                <w:szCs w:val="24"/>
                <w:lang w:val="en-US" w:eastAsia="zh-CN"/>
              </w:rPr>
              <w:t xml:space="preserve"> </w:t>
            </w:r>
            <w:r>
              <w:rPr>
                <w:rFonts w:hint="eastAsia" w:ascii="黑体" w:hAnsi="黑体" w:eastAsia="黑体" w:cs="黑体"/>
                <w:b/>
                <w:bCs w:val="0"/>
                <w:color w:val="auto"/>
                <w:sz w:val="24"/>
                <w:szCs w:val="24"/>
              </w:rPr>
              <w:t>（</w:t>
            </w:r>
            <w:r>
              <w:rPr>
                <w:rFonts w:hint="eastAsia" w:ascii="黑体" w:hAnsi="黑体" w:eastAsia="黑体" w:cs="黑体"/>
                <w:b/>
                <w:bCs w:val="0"/>
                <w:color w:val="auto"/>
                <w:sz w:val="24"/>
                <w:szCs w:val="24"/>
                <w:lang w:val="en-US" w:eastAsia="zh-CN"/>
              </w:rPr>
              <w:t>14</w:t>
            </w:r>
            <w:r>
              <w:rPr>
                <w:rFonts w:hint="eastAsia" w:ascii="黑体" w:hAnsi="黑体" w:eastAsia="黑体" w:cs="黑体"/>
                <w:b/>
                <w:bCs w:val="0"/>
                <w:color w:val="auto"/>
                <w:sz w:val="24"/>
                <w:szCs w:val="24"/>
              </w:rPr>
              <w:t>分）</w:t>
            </w:r>
          </w:p>
        </w:tc>
        <w:tc>
          <w:tcPr>
            <w:tcW w:w="10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8B23A6">
            <w:pPr>
              <w:spacing w:after="120" w:afterLines="50" w:line="360" w:lineRule="auto"/>
              <w:jc w:val="center"/>
              <w:rPr>
                <w:rFonts w:hint="eastAsia" w:ascii="黑体" w:hAnsi="黑体" w:eastAsia="黑体" w:cs="黑体"/>
                <w:b/>
                <w:bCs w:val="0"/>
                <w:color w:val="auto"/>
                <w:sz w:val="24"/>
                <w:szCs w:val="24"/>
                <w:highlight w:val="none"/>
                <w:lang w:val="en-US" w:eastAsia="zh-CN"/>
              </w:rPr>
            </w:pPr>
            <w:r>
              <w:rPr>
                <w:rFonts w:hint="eastAsia" w:ascii="黑体" w:hAnsi="黑体" w:eastAsia="黑体" w:cs="黑体"/>
                <w:b/>
                <w:bCs w:val="0"/>
                <w:color w:val="auto"/>
                <w:sz w:val="24"/>
                <w:szCs w:val="24"/>
                <w:highlight w:val="none"/>
              </w:rPr>
              <w:t>企业业绩</w:t>
            </w:r>
          </w:p>
        </w:tc>
        <w:tc>
          <w:tcPr>
            <w:tcW w:w="7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A6D599">
            <w:pPr>
              <w:pStyle w:val="33"/>
              <w:spacing w:line="360" w:lineRule="auto"/>
              <w:jc w:val="center"/>
              <w:rPr>
                <w:rFonts w:hint="eastAsia" w:ascii="黑体" w:hAnsi="黑体" w:eastAsia="黑体" w:cs="黑体"/>
                <w:b/>
                <w:bCs w:val="0"/>
                <w:color w:val="auto"/>
                <w:sz w:val="24"/>
                <w:szCs w:val="22"/>
                <w:highlight w:val="none"/>
              </w:rPr>
            </w:pPr>
            <w:r>
              <w:rPr>
                <w:rFonts w:hint="eastAsia" w:ascii="黑体" w:hAnsi="黑体" w:eastAsia="黑体" w:cs="黑体"/>
                <w:b/>
                <w:bCs w:val="0"/>
                <w:color w:val="auto"/>
                <w:sz w:val="24"/>
                <w:szCs w:val="22"/>
                <w:highlight w:val="none"/>
              </w:rPr>
              <w:t>5分</w:t>
            </w:r>
          </w:p>
        </w:tc>
        <w:tc>
          <w:tcPr>
            <w:tcW w:w="63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0A6171">
            <w:pPr>
              <w:pStyle w:val="33"/>
              <w:spacing w:line="360" w:lineRule="auto"/>
              <w:jc w:val="left"/>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提供近三年内（2022年01月至今）有效类似水利渠系防渗工程施工业绩；每提供1份得2.5分，最高得5分。</w:t>
            </w:r>
          </w:p>
          <w:p w14:paraId="4D55E6C4">
            <w:pPr>
              <w:pStyle w:val="33"/>
              <w:spacing w:line="360" w:lineRule="auto"/>
              <w:jc w:val="left"/>
              <w:rPr>
                <w:rFonts w:hint="eastAsia" w:ascii="黑体" w:hAnsi="黑体" w:eastAsia="黑体" w:cs="黑体"/>
                <w:bCs/>
                <w:color w:val="auto"/>
                <w:sz w:val="24"/>
                <w:szCs w:val="22"/>
                <w:highlight w:val="none"/>
              </w:rPr>
            </w:pPr>
            <w:r>
              <w:rPr>
                <w:rFonts w:hint="eastAsia" w:ascii="黑体" w:hAnsi="黑体" w:eastAsia="黑体" w:cs="黑体"/>
                <w:bCs/>
                <w:color w:val="auto"/>
                <w:sz w:val="24"/>
                <w:szCs w:val="24"/>
                <w:highlight w:val="none"/>
              </w:rPr>
              <w:t>注：</w:t>
            </w:r>
            <w:r>
              <w:rPr>
                <w:rFonts w:hint="eastAsia" w:ascii="黑体" w:hAnsi="黑体" w:eastAsia="黑体" w:cs="黑体"/>
                <w:bCs/>
                <w:color w:val="auto"/>
                <w:sz w:val="24"/>
                <w:szCs w:val="24"/>
                <w:highlight w:val="none"/>
                <w:lang w:val="en-US" w:eastAsia="zh-CN"/>
              </w:rPr>
              <w:t>一份业绩须同时</w:t>
            </w:r>
            <w:r>
              <w:rPr>
                <w:rFonts w:hint="eastAsia" w:ascii="黑体" w:hAnsi="黑体" w:eastAsia="黑体" w:cs="黑体"/>
                <w:bCs/>
                <w:color w:val="auto"/>
                <w:sz w:val="24"/>
                <w:szCs w:val="24"/>
                <w:highlight w:val="none"/>
              </w:rPr>
              <w:t>提供中标通知书、合同协议书、验收文件（或项目法人出具的完工证明文件）；业绩须是在水利建设市场监管平台可查询到的，否则视为无效业绩。(须附网站查询截图)。</w:t>
            </w:r>
          </w:p>
        </w:tc>
      </w:tr>
      <w:tr w14:paraId="65E41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99" w:hRule="atLeast"/>
        </w:trPr>
        <w:tc>
          <w:tcPr>
            <w:tcW w:w="1151" w:type="dxa"/>
            <w:vMerge w:val="continue"/>
            <w:noWrap w:val="0"/>
            <w:vAlign w:val="center"/>
          </w:tcPr>
          <w:p w14:paraId="5FD36EF6">
            <w:pPr>
              <w:keepNext w:val="0"/>
              <w:keepLines w:val="0"/>
              <w:kinsoku/>
              <w:wordWrap/>
              <w:overflowPunct/>
              <w:topLinePunct w:val="0"/>
              <w:autoSpaceDE/>
              <w:autoSpaceDN/>
              <w:bidi w:val="0"/>
              <w:spacing w:after="120" w:afterLines="50" w:line="360" w:lineRule="auto"/>
              <w:jc w:val="center"/>
              <w:outlineLvl w:val="9"/>
              <w:rPr>
                <w:rFonts w:hint="eastAsia" w:ascii="黑体" w:hAnsi="黑体" w:eastAsia="黑体" w:cs="黑体"/>
                <w:b/>
                <w:bCs w:val="0"/>
                <w:color w:val="auto"/>
                <w:sz w:val="24"/>
                <w:szCs w:val="24"/>
                <w:lang w:val="en-US" w:eastAsia="zh-CN"/>
              </w:rPr>
            </w:pPr>
          </w:p>
        </w:tc>
        <w:tc>
          <w:tcPr>
            <w:tcW w:w="10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8B5C9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kern w:val="2"/>
                <w:sz w:val="24"/>
                <w:szCs w:val="24"/>
                <w:highlight w:val="none"/>
                <w:lang w:val="en-US" w:eastAsia="zh-CN" w:bidi="ar-SA"/>
              </w:rPr>
            </w:pPr>
            <w:r>
              <w:rPr>
                <w:rFonts w:hint="eastAsia" w:ascii="黑体" w:hAnsi="黑体" w:eastAsia="黑体" w:cs="黑体"/>
                <w:b/>
                <w:bCs w:val="0"/>
                <w:color w:val="auto"/>
                <w:kern w:val="2"/>
                <w:sz w:val="24"/>
                <w:szCs w:val="24"/>
                <w:highlight w:val="none"/>
                <w:lang w:val="en-US" w:eastAsia="zh-CN" w:bidi="ar-SA"/>
              </w:rPr>
              <w:t>项目技术负责人任职资格与业绩</w:t>
            </w:r>
          </w:p>
        </w:tc>
        <w:tc>
          <w:tcPr>
            <w:tcW w:w="7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B9ADB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kern w:val="2"/>
                <w:sz w:val="24"/>
                <w:szCs w:val="24"/>
                <w:highlight w:val="none"/>
                <w:lang w:val="en-US" w:eastAsia="zh-CN" w:bidi="ar-SA"/>
              </w:rPr>
            </w:pPr>
            <w:r>
              <w:rPr>
                <w:rFonts w:hint="eastAsia" w:ascii="黑体" w:hAnsi="黑体" w:eastAsia="黑体" w:cs="黑体"/>
                <w:b/>
                <w:bCs w:val="0"/>
                <w:color w:val="auto"/>
                <w:kern w:val="2"/>
                <w:sz w:val="24"/>
                <w:szCs w:val="24"/>
                <w:highlight w:val="none"/>
                <w:lang w:val="en-US" w:eastAsia="zh-CN" w:bidi="ar-SA"/>
              </w:rPr>
              <w:t>5分</w:t>
            </w:r>
          </w:p>
        </w:tc>
        <w:tc>
          <w:tcPr>
            <w:tcW w:w="63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4666E7">
            <w:pPr>
              <w:spacing w:line="360" w:lineRule="auto"/>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lang w:val="en-US" w:eastAsia="zh-CN"/>
              </w:rPr>
              <w:t>1、</w:t>
            </w:r>
            <w:r>
              <w:rPr>
                <w:rFonts w:hint="eastAsia" w:ascii="黑体" w:hAnsi="黑体" w:eastAsia="黑体" w:cs="黑体"/>
                <w:bCs/>
                <w:color w:val="auto"/>
                <w:sz w:val="24"/>
                <w:szCs w:val="24"/>
                <w:highlight w:val="none"/>
              </w:rPr>
              <w:t>具有</w:t>
            </w:r>
            <w:r>
              <w:rPr>
                <w:rFonts w:hint="eastAsia" w:ascii="黑体" w:hAnsi="黑体" w:eastAsia="黑体" w:cs="黑体"/>
                <w:bCs/>
                <w:color w:val="auto"/>
                <w:sz w:val="24"/>
                <w:szCs w:val="24"/>
                <w:highlight w:val="none"/>
                <w:lang w:val="en-US" w:eastAsia="zh-CN"/>
              </w:rPr>
              <w:t>高</w:t>
            </w:r>
            <w:r>
              <w:rPr>
                <w:rFonts w:hint="eastAsia" w:ascii="黑体" w:hAnsi="黑体" w:eastAsia="黑体" w:cs="黑体"/>
                <w:bCs/>
                <w:color w:val="auto"/>
                <w:sz w:val="24"/>
                <w:szCs w:val="24"/>
                <w:highlight w:val="none"/>
              </w:rPr>
              <w:t xml:space="preserve">级及以上职称，参与过类似工程施工的，得5分； </w:t>
            </w:r>
            <w:r>
              <w:rPr>
                <w:rFonts w:hint="eastAsia" w:ascii="黑体" w:hAnsi="黑体" w:eastAsia="黑体" w:cs="黑体"/>
                <w:bCs/>
                <w:color w:val="auto"/>
                <w:sz w:val="24"/>
                <w:szCs w:val="24"/>
                <w:highlight w:val="none"/>
                <w:lang w:val="en-US" w:eastAsia="zh-CN"/>
              </w:rPr>
              <w:t>2、</w:t>
            </w:r>
            <w:r>
              <w:rPr>
                <w:rFonts w:hint="eastAsia" w:ascii="黑体" w:hAnsi="黑体" w:eastAsia="黑体" w:cs="黑体"/>
                <w:bCs/>
                <w:color w:val="auto"/>
                <w:sz w:val="24"/>
                <w:szCs w:val="24"/>
                <w:highlight w:val="none"/>
              </w:rPr>
              <w:t>具有</w:t>
            </w:r>
            <w:r>
              <w:rPr>
                <w:rFonts w:hint="eastAsia" w:ascii="黑体" w:hAnsi="黑体" w:eastAsia="黑体" w:cs="黑体"/>
                <w:bCs/>
                <w:color w:val="auto"/>
                <w:sz w:val="24"/>
                <w:szCs w:val="24"/>
                <w:highlight w:val="none"/>
                <w:lang w:val="en-US" w:eastAsia="zh-CN"/>
              </w:rPr>
              <w:t>中</w:t>
            </w:r>
            <w:r>
              <w:rPr>
                <w:rFonts w:hint="eastAsia" w:ascii="黑体" w:hAnsi="黑体" w:eastAsia="黑体" w:cs="黑体"/>
                <w:bCs/>
                <w:color w:val="auto"/>
                <w:sz w:val="24"/>
                <w:szCs w:val="24"/>
                <w:highlight w:val="none"/>
              </w:rPr>
              <w:t xml:space="preserve">级职称，参与过类似工程施工的，得3分； </w:t>
            </w:r>
          </w:p>
          <w:p w14:paraId="1CE614E9">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cs="黑体"/>
                <w:bCs/>
                <w:color w:val="auto"/>
                <w:kern w:val="2"/>
                <w:sz w:val="24"/>
                <w:szCs w:val="24"/>
                <w:highlight w:val="none"/>
                <w:lang w:val="en-US" w:eastAsia="zh-CN" w:bidi="ar-SA"/>
              </w:rPr>
            </w:pPr>
            <w:r>
              <w:rPr>
                <w:rFonts w:hint="eastAsia" w:ascii="黑体" w:hAnsi="黑体" w:eastAsia="黑体" w:cs="黑体"/>
                <w:bCs/>
                <w:color w:val="auto"/>
                <w:sz w:val="24"/>
                <w:szCs w:val="24"/>
                <w:highlight w:val="none"/>
                <w:lang w:val="en-US" w:eastAsia="zh-CN"/>
              </w:rPr>
              <w:t>3、</w:t>
            </w:r>
            <w:r>
              <w:rPr>
                <w:rFonts w:hint="eastAsia" w:ascii="黑体" w:hAnsi="黑体" w:eastAsia="黑体" w:cs="黑体"/>
                <w:bCs/>
                <w:color w:val="auto"/>
                <w:sz w:val="24"/>
                <w:szCs w:val="24"/>
                <w:highlight w:val="none"/>
              </w:rPr>
              <w:t>无职称或没有参与过类似工程施工经历的，得0分。</w:t>
            </w:r>
          </w:p>
        </w:tc>
      </w:tr>
      <w:tr w14:paraId="6706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8" w:hRule="atLeast"/>
        </w:trPr>
        <w:tc>
          <w:tcPr>
            <w:tcW w:w="1151" w:type="dxa"/>
            <w:vMerge w:val="continue"/>
            <w:noWrap w:val="0"/>
            <w:vAlign w:val="center"/>
          </w:tcPr>
          <w:p w14:paraId="7CB15095">
            <w:pPr>
              <w:keepNext w:val="0"/>
              <w:keepLines w:val="0"/>
              <w:kinsoku/>
              <w:wordWrap/>
              <w:overflowPunct/>
              <w:topLinePunct w:val="0"/>
              <w:autoSpaceDE/>
              <w:autoSpaceDN/>
              <w:bidi w:val="0"/>
              <w:spacing w:after="120" w:afterLines="50" w:line="360" w:lineRule="auto"/>
              <w:jc w:val="center"/>
              <w:outlineLvl w:val="9"/>
              <w:rPr>
                <w:rFonts w:hint="eastAsia" w:ascii="黑体" w:hAnsi="黑体" w:eastAsia="黑体" w:cs="黑体"/>
                <w:b/>
                <w:bCs w:val="0"/>
                <w:color w:val="auto"/>
                <w:sz w:val="24"/>
                <w:szCs w:val="24"/>
              </w:rPr>
            </w:pPr>
          </w:p>
        </w:tc>
        <w:tc>
          <w:tcPr>
            <w:tcW w:w="10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ABBEBE">
            <w:pPr>
              <w:keepNext w:val="0"/>
              <w:keepLines w:val="0"/>
              <w:kinsoku/>
              <w:wordWrap/>
              <w:overflowPunct/>
              <w:topLinePunct w:val="0"/>
              <w:autoSpaceDE/>
              <w:autoSpaceDN/>
              <w:bidi w:val="0"/>
              <w:spacing w:after="120" w:afterLines="50" w:line="360" w:lineRule="auto"/>
              <w:jc w:val="center"/>
              <w:outlineLvl w:val="9"/>
              <w:rPr>
                <w:rFonts w:hint="eastAsia" w:ascii="黑体" w:hAnsi="黑体" w:eastAsia="黑体" w:cs="黑体"/>
                <w:b/>
                <w:bCs w:val="0"/>
                <w:color w:val="auto"/>
                <w:sz w:val="24"/>
                <w:szCs w:val="24"/>
                <w:lang w:val="en-US" w:eastAsia="zh-CN"/>
              </w:rPr>
            </w:pPr>
            <w:r>
              <w:rPr>
                <w:rFonts w:hint="eastAsia" w:ascii="黑体" w:hAnsi="黑体" w:eastAsia="黑体" w:cs="黑体"/>
                <w:b/>
                <w:bCs w:val="0"/>
                <w:color w:val="auto"/>
                <w:sz w:val="24"/>
                <w:szCs w:val="24"/>
              </w:rPr>
              <w:t>其他主要人员配置</w:t>
            </w:r>
          </w:p>
        </w:tc>
        <w:tc>
          <w:tcPr>
            <w:tcW w:w="7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C48552">
            <w:pPr>
              <w:pStyle w:val="33"/>
              <w:keepNext w:val="0"/>
              <w:keepLines w:val="0"/>
              <w:kinsoku/>
              <w:wordWrap/>
              <w:overflowPunct/>
              <w:topLinePunct w:val="0"/>
              <w:autoSpaceDE/>
              <w:autoSpaceDN/>
              <w:bidi w:val="0"/>
              <w:spacing w:line="360" w:lineRule="auto"/>
              <w:jc w:val="center"/>
              <w:outlineLvl w:val="9"/>
              <w:rPr>
                <w:rFonts w:hint="eastAsia" w:ascii="黑体" w:hAnsi="黑体" w:eastAsia="黑体" w:cs="黑体"/>
                <w:b/>
                <w:bCs w:val="0"/>
                <w:color w:val="auto"/>
                <w:sz w:val="24"/>
                <w:szCs w:val="22"/>
                <w:lang w:val="en-US" w:eastAsia="zh-CN"/>
              </w:rPr>
            </w:pPr>
            <w:r>
              <w:rPr>
                <w:rFonts w:hint="eastAsia" w:ascii="黑体" w:hAnsi="黑体" w:eastAsia="黑体" w:cs="黑体"/>
                <w:b/>
                <w:bCs w:val="0"/>
                <w:color w:val="auto"/>
                <w:sz w:val="24"/>
                <w:szCs w:val="22"/>
                <w:lang w:val="en-US" w:eastAsia="zh-CN"/>
              </w:rPr>
              <w:t>4分</w:t>
            </w:r>
          </w:p>
        </w:tc>
        <w:tc>
          <w:tcPr>
            <w:tcW w:w="63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12650F">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hAnsi="黑体" w:eastAsia="黑体" w:cs="黑体"/>
                <w:bCs/>
                <w:color w:val="auto"/>
                <w:sz w:val="24"/>
                <w:szCs w:val="32"/>
                <w:lang w:val="en-US" w:eastAsia="zh-CN"/>
              </w:rPr>
            </w:pPr>
            <w:r>
              <w:rPr>
                <w:rFonts w:hint="eastAsia" w:ascii="黑体" w:hAnsi="黑体" w:eastAsia="黑体" w:cs="黑体"/>
                <w:bCs/>
                <w:color w:val="auto"/>
                <w:sz w:val="24"/>
                <w:szCs w:val="24"/>
                <w:lang w:val="en-US" w:eastAsia="zh-CN"/>
              </w:rPr>
              <w:t>主要管理人员：项目经理、技术负责人、安全管理人员、施工员、质量管理人员。</w:t>
            </w:r>
            <w:r>
              <w:rPr>
                <w:rFonts w:hint="eastAsia" w:ascii="黑体" w:hAnsi="黑体" w:eastAsia="黑体" w:cs="黑体"/>
                <w:bCs/>
                <w:color w:val="auto"/>
                <w:sz w:val="24"/>
                <w:szCs w:val="32"/>
                <w:lang w:val="en-US" w:eastAsia="zh-CN"/>
              </w:rPr>
              <w:t>（须提供固定劳务人员聘用合同、本单位人员近六个月任意一月社保缴纳明细及身份证、学历证等复印件为依据）</w:t>
            </w:r>
            <w:r>
              <w:rPr>
                <w:rFonts w:hint="eastAsia" w:ascii="黑体" w:hAnsi="黑体" w:eastAsia="黑体" w:cs="黑体"/>
                <w:bCs/>
                <w:color w:val="auto"/>
                <w:sz w:val="24"/>
                <w:szCs w:val="24"/>
                <w:lang w:val="en-US" w:eastAsia="zh-CN"/>
              </w:rPr>
              <w:t>长驻施工现场不少于22天（</w:t>
            </w:r>
            <w:r>
              <w:rPr>
                <w:rFonts w:hint="eastAsia" w:ascii="黑体" w:hAnsi="黑体" w:eastAsia="黑体" w:cs="黑体"/>
                <w:bCs/>
                <w:color w:val="auto"/>
                <w:sz w:val="24"/>
                <w:szCs w:val="32"/>
                <w:lang w:val="en-US" w:eastAsia="zh-CN"/>
              </w:rPr>
              <w:t>须提供承诺书</w:t>
            </w:r>
            <w:r>
              <w:rPr>
                <w:rFonts w:hint="eastAsia" w:ascii="黑体" w:hAnsi="黑体" w:eastAsia="黑体" w:cs="黑体"/>
                <w:bCs/>
                <w:color w:val="auto"/>
                <w:sz w:val="24"/>
                <w:szCs w:val="24"/>
                <w:lang w:val="en-US" w:eastAsia="zh-CN"/>
              </w:rPr>
              <w:t>）得4分；不提供承诺书得0分；</w:t>
            </w:r>
          </w:p>
        </w:tc>
      </w:tr>
      <w:tr w14:paraId="1D1F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trPr>
        <w:tc>
          <w:tcPr>
            <w:tcW w:w="1151" w:type="dxa"/>
            <w:vMerge w:val="restart"/>
            <w:noWrap w:val="0"/>
            <w:vAlign w:val="center"/>
          </w:tcPr>
          <w:p w14:paraId="0A52AFA8">
            <w:pPr>
              <w:keepNext w:val="0"/>
              <w:keepLines w:val="0"/>
              <w:kinsoku/>
              <w:wordWrap/>
              <w:overflowPunct/>
              <w:topLinePunct w:val="0"/>
              <w:autoSpaceDE/>
              <w:autoSpaceDN/>
              <w:bidi w:val="0"/>
              <w:spacing w:after="120" w:afterLines="50" w:line="360" w:lineRule="auto"/>
              <w:jc w:val="center"/>
              <w:outlineLvl w:val="9"/>
              <w:rPr>
                <w:rFonts w:hint="eastAsia" w:ascii="黑体" w:hAnsi="黑体" w:eastAsia="黑体" w:cs="黑体"/>
                <w:b/>
                <w:bCs w:val="0"/>
                <w:color w:val="auto"/>
                <w:sz w:val="24"/>
                <w:szCs w:val="24"/>
              </w:rPr>
            </w:pPr>
            <w:r>
              <w:rPr>
                <w:rFonts w:hint="eastAsia" w:ascii="黑体" w:hAnsi="黑体" w:eastAsia="黑体" w:cs="黑体"/>
                <w:b/>
                <w:bCs w:val="0"/>
                <w:color w:val="auto"/>
                <w:sz w:val="24"/>
                <w:szCs w:val="24"/>
                <w:highlight w:val="none"/>
              </w:rPr>
              <w:t>技术部分（56分）</w:t>
            </w:r>
          </w:p>
        </w:tc>
        <w:tc>
          <w:tcPr>
            <w:tcW w:w="10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BE70BD">
            <w:pPr>
              <w:keepNext w:val="0"/>
              <w:keepLines w:val="0"/>
              <w:kinsoku/>
              <w:wordWrap/>
              <w:overflowPunct/>
              <w:topLinePunct w:val="0"/>
              <w:autoSpaceDE/>
              <w:autoSpaceDN/>
              <w:bidi w:val="0"/>
              <w:spacing w:after="120" w:afterLines="50" w:line="360" w:lineRule="auto"/>
              <w:jc w:val="center"/>
              <w:outlineLvl w:val="9"/>
              <w:rPr>
                <w:rFonts w:hint="eastAsia" w:ascii="黑体" w:hAnsi="黑体" w:eastAsia="黑体" w:cs="黑体"/>
                <w:b/>
                <w:bCs w:val="0"/>
                <w:color w:val="auto"/>
                <w:sz w:val="24"/>
                <w:szCs w:val="24"/>
              </w:rPr>
            </w:pPr>
            <w:r>
              <w:rPr>
                <w:rFonts w:hint="eastAsia" w:ascii="黑体" w:hAnsi="黑体" w:eastAsia="黑体" w:cs="黑体"/>
                <w:b/>
                <w:bCs w:val="0"/>
                <w:color w:val="auto"/>
                <w:sz w:val="24"/>
                <w:szCs w:val="24"/>
              </w:rPr>
              <w:t>施工准备计划</w:t>
            </w:r>
          </w:p>
        </w:tc>
        <w:tc>
          <w:tcPr>
            <w:tcW w:w="7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2EE8AC">
            <w:pPr>
              <w:pStyle w:val="33"/>
              <w:keepNext w:val="0"/>
              <w:keepLines w:val="0"/>
              <w:kinsoku/>
              <w:wordWrap/>
              <w:overflowPunct/>
              <w:topLinePunct w:val="0"/>
              <w:autoSpaceDE/>
              <w:autoSpaceDN/>
              <w:bidi w:val="0"/>
              <w:spacing w:line="360" w:lineRule="auto"/>
              <w:jc w:val="center"/>
              <w:outlineLvl w:val="9"/>
              <w:rPr>
                <w:rFonts w:hint="eastAsia" w:ascii="黑体" w:hAnsi="黑体" w:eastAsia="黑体" w:cs="黑体"/>
                <w:b/>
                <w:bCs w:val="0"/>
                <w:color w:val="auto"/>
                <w:sz w:val="24"/>
                <w:szCs w:val="22"/>
              </w:rPr>
            </w:pPr>
            <w:r>
              <w:rPr>
                <w:rFonts w:hint="eastAsia" w:ascii="黑体" w:hAnsi="黑体" w:eastAsia="黑体" w:cs="黑体"/>
                <w:b/>
                <w:bCs w:val="0"/>
                <w:color w:val="auto"/>
                <w:sz w:val="24"/>
                <w:szCs w:val="22"/>
                <w:lang w:val="en-US" w:eastAsia="zh-CN"/>
              </w:rPr>
              <w:t>5</w:t>
            </w:r>
            <w:r>
              <w:rPr>
                <w:rFonts w:hint="eastAsia" w:ascii="黑体" w:hAnsi="黑体" w:eastAsia="黑体" w:cs="黑体"/>
                <w:b/>
                <w:bCs w:val="0"/>
                <w:color w:val="auto"/>
                <w:sz w:val="24"/>
                <w:szCs w:val="22"/>
              </w:rPr>
              <w:t>分</w:t>
            </w:r>
          </w:p>
        </w:tc>
        <w:tc>
          <w:tcPr>
            <w:tcW w:w="63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7015774">
            <w:pPr>
              <w:pStyle w:val="33"/>
              <w:keepNext w:val="0"/>
              <w:keepLines w:val="0"/>
              <w:kinsoku/>
              <w:wordWrap/>
              <w:overflowPunct/>
              <w:topLinePunct w:val="0"/>
              <w:autoSpaceDE/>
              <w:autoSpaceDN/>
              <w:bidi w:val="0"/>
              <w:spacing w:line="360" w:lineRule="auto"/>
              <w:jc w:val="left"/>
              <w:outlineLvl w:val="9"/>
              <w:rPr>
                <w:rFonts w:hint="eastAsia" w:ascii="黑体" w:hAnsi="黑体" w:eastAsia="黑体" w:cs="黑体"/>
                <w:bCs/>
                <w:color w:val="auto"/>
                <w:sz w:val="24"/>
                <w:szCs w:val="22"/>
                <w:lang w:eastAsia="zh-CN"/>
              </w:rPr>
            </w:pPr>
            <w:r>
              <w:rPr>
                <w:rFonts w:hint="eastAsia" w:ascii="黑体" w:hAnsi="黑体" w:eastAsia="黑体" w:cs="黑体"/>
                <w:bCs/>
                <w:color w:val="auto"/>
                <w:sz w:val="24"/>
                <w:szCs w:val="22"/>
                <w:lang w:val="en-US" w:eastAsia="zh-CN"/>
              </w:rPr>
              <w:t>准备计划内容全面，结合项目实际紧密，切实满足</w:t>
            </w:r>
            <w:r>
              <w:rPr>
                <w:rFonts w:hint="eastAsia" w:ascii="黑体" w:hAnsi="黑体" w:eastAsia="黑体" w:cs="黑体"/>
                <w:bCs/>
                <w:color w:val="auto"/>
                <w:sz w:val="24"/>
                <w:szCs w:val="22"/>
              </w:rPr>
              <w:t>工程需要</w:t>
            </w:r>
            <w:r>
              <w:rPr>
                <w:rFonts w:hint="eastAsia" w:ascii="黑体" w:hAnsi="黑体" w:eastAsia="黑体" w:cs="黑体"/>
                <w:bCs/>
                <w:color w:val="auto"/>
                <w:sz w:val="24"/>
                <w:szCs w:val="22"/>
                <w:lang w:val="en-US" w:eastAsia="zh-CN"/>
              </w:rPr>
              <w:t>的</w:t>
            </w:r>
            <w:r>
              <w:rPr>
                <w:rFonts w:hint="eastAsia" w:ascii="黑体" w:hAnsi="黑体" w:eastAsia="黑体" w:cs="黑体"/>
                <w:bCs/>
                <w:color w:val="auto"/>
                <w:sz w:val="24"/>
                <w:szCs w:val="22"/>
              </w:rPr>
              <w:t>得</w:t>
            </w:r>
            <w:r>
              <w:rPr>
                <w:rFonts w:hint="eastAsia" w:ascii="黑体" w:hAnsi="黑体" w:eastAsia="黑体" w:cs="黑体"/>
                <w:bCs/>
                <w:color w:val="auto"/>
                <w:sz w:val="24"/>
                <w:szCs w:val="22"/>
                <w:lang w:val="en-US" w:eastAsia="zh-CN"/>
              </w:rPr>
              <w:t>5</w:t>
            </w:r>
            <w:r>
              <w:rPr>
                <w:rFonts w:hint="eastAsia" w:ascii="黑体" w:hAnsi="黑体" w:eastAsia="黑体" w:cs="黑体"/>
                <w:bCs/>
                <w:color w:val="auto"/>
                <w:sz w:val="24"/>
                <w:szCs w:val="22"/>
              </w:rPr>
              <w:t>分，</w:t>
            </w:r>
            <w:r>
              <w:rPr>
                <w:rFonts w:hint="eastAsia" w:ascii="黑体" w:hAnsi="黑体" w:eastAsia="黑体" w:cs="黑体"/>
                <w:bCs/>
                <w:color w:val="auto"/>
                <w:sz w:val="24"/>
                <w:szCs w:val="24"/>
              </w:rPr>
              <w:t>施工准备计划</w:t>
            </w:r>
            <w:r>
              <w:rPr>
                <w:rFonts w:hint="eastAsia" w:ascii="黑体" w:hAnsi="黑体" w:eastAsia="黑体" w:cs="黑体"/>
                <w:bCs/>
                <w:color w:val="auto"/>
                <w:sz w:val="24"/>
                <w:szCs w:val="24"/>
                <w:lang w:val="en-US" w:eastAsia="zh-CN"/>
              </w:rPr>
              <w:t>比较</w:t>
            </w:r>
            <w:r>
              <w:rPr>
                <w:rFonts w:hint="eastAsia" w:ascii="黑体" w:hAnsi="黑体" w:eastAsia="黑体" w:cs="黑体"/>
                <w:bCs/>
                <w:color w:val="auto"/>
                <w:sz w:val="24"/>
                <w:szCs w:val="22"/>
                <w:lang w:val="en-US" w:eastAsia="zh-CN"/>
              </w:rPr>
              <w:t>满足的</w:t>
            </w:r>
            <w:r>
              <w:rPr>
                <w:rFonts w:hint="eastAsia" w:ascii="黑体" w:hAnsi="黑体" w:eastAsia="黑体" w:cs="黑体"/>
                <w:bCs/>
                <w:color w:val="auto"/>
                <w:sz w:val="24"/>
                <w:szCs w:val="22"/>
              </w:rPr>
              <w:t>得</w:t>
            </w:r>
            <w:r>
              <w:rPr>
                <w:rFonts w:hint="eastAsia" w:ascii="黑体" w:hAnsi="黑体" w:eastAsia="黑体" w:cs="黑体"/>
                <w:bCs/>
                <w:color w:val="auto"/>
                <w:sz w:val="24"/>
                <w:szCs w:val="22"/>
                <w:lang w:val="en-US" w:eastAsia="zh-CN"/>
              </w:rPr>
              <w:t>3</w:t>
            </w:r>
            <w:r>
              <w:rPr>
                <w:rFonts w:hint="eastAsia" w:ascii="黑体" w:hAnsi="黑体" w:eastAsia="黑体" w:cs="黑体"/>
                <w:bCs/>
                <w:color w:val="auto"/>
                <w:sz w:val="24"/>
                <w:szCs w:val="22"/>
              </w:rPr>
              <w:t>分，</w:t>
            </w:r>
            <w:r>
              <w:rPr>
                <w:rFonts w:hint="eastAsia" w:ascii="黑体" w:hAnsi="黑体" w:eastAsia="黑体" w:cs="黑体"/>
                <w:bCs/>
                <w:color w:val="auto"/>
                <w:sz w:val="24"/>
                <w:szCs w:val="22"/>
                <w:lang w:val="en-US" w:eastAsia="zh-CN"/>
              </w:rPr>
              <w:t>施工准备计划不完整的</w:t>
            </w:r>
            <w:r>
              <w:rPr>
                <w:rFonts w:hint="eastAsia" w:ascii="黑体" w:hAnsi="黑体" w:eastAsia="黑体" w:cs="黑体"/>
                <w:bCs/>
                <w:color w:val="auto"/>
                <w:sz w:val="24"/>
                <w:szCs w:val="22"/>
              </w:rPr>
              <w:t>得</w:t>
            </w:r>
            <w:r>
              <w:rPr>
                <w:rFonts w:hint="eastAsia" w:ascii="黑体" w:hAnsi="黑体" w:eastAsia="黑体" w:cs="黑体"/>
                <w:bCs/>
                <w:color w:val="auto"/>
                <w:sz w:val="24"/>
                <w:szCs w:val="22"/>
                <w:lang w:val="en-US" w:eastAsia="zh-CN"/>
              </w:rPr>
              <w:t>1</w:t>
            </w:r>
            <w:r>
              <w:rPr>
                <w:rFonts w:hint="eastAsia" w:ascii="黑体" w:hAnsi="黑体" w:eastAsia="黑体" w:cs="黑体"/>
                <w:bCs/>
                <w:color w:val="auto"/>
                <w:sz w:val="24"/>
                <w:szCs w:val="22"/>
              </w:rPr>
              <w:t>分</w:t>
            </w:r>
            <w:r>
              <w:rPr>
                <w:rFonts w:hint="eastAsia" w:ascii="黑体" w:hAnsi="黑体" w:eastAsia="黑体" w:cs="黑体"/>
                <w:bCs/>
                <w:color w:val="auto"/>
                <w:sz w:val="24"/>
                <w:szCs w:val="22"/>
                <w:lang w:eastAsia="zh-CN"/>
              </w:rPr>
              <w:t>，</w:t>
            </w:r>
            <w:r>
              <w:rPr>
                <w:rFonts w:hint="eastAsia" w:ascii="黑体" w:hAnsi="黑体" w:eastAsia="黑体" w:cs="黑体"/>
                <w:bCs/>
                <w:color w:val="auto"/>
                <w:sz w:val="24"/>
                <w:szCs w:val="22"/>
                <w:lang w:val="en-US" w:eastAsia="zh-CN"/>
              </w:rPr>
              <w:t>无计划得0分。</w:t>
            </w:r>
          </w:p>
        </w:tc>
      </w:tr>
      <w:tr w14:paraId="3DB3F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2" w:hRule="atLeast"/>
        </w:trPr>
        <w:tc>
          <w:tcPr>
            <w:tcW w:w="1151" w:type="dxa"/>
            <w:vMerge w:val="continue"/>
            <w:noWrap w:val="0"/>
            <w:vAlign w:val="center"/>
          </w:tcPr>
          <w:p w14:paraId="1E382304">
            <w:pPr>
              <w:keepNext w:val="0"/>
              <w:keepLines w:val="0"/>
              <w:kinsoku/>
              <w:wordWrap/>
              <w:overflowPunct/>
              <w:topLinePunct w:val="0"/>
              <w:autoSpaceDE/>
              <w:autoSpaceDN/>
              <w:bidi w:val="0"/>
              <w:spacing w:after="120" w:afterLines="50" w:line="360" w:lineRule="auto"/>
              <w:jc w:val="center"/>
              <w:outlineLvl w:val="9"/>
              <w:rPr>
                <w:rFonts w:hint="eastAsia" w:ascii="黑体" w:hAnsi="黑体" w:eastAsia="黑体" w:cs="黑体"/>
                <w:b/>
                <w:bCs w:val="0"/>
                <w:color w:val="auto"/>
                <w:sz w:val="24"/>
                <w:szCs w:val="24"/>
              </w:rPr>
            </w:pPr>
          </w:p>
        </w:tc>
        <w:tc>
          <w:tcPr>
            <w:tcW w:w="10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812E58">
            <w:pPr>
              <w:keepNext w:val="0"/>
              <w:keepLines w:val="0"/>
              <w:kinsoku/>
              <w:wordWrap/>
              <w:overflowPunct/>
              <w:topLinePunct w:val="0"/>
              <w:autoSpaceDE/>
              <w:autoSpaceDN/>
              <w:bidi w:val="0"/>
              <w:spacing w:after="120" w:afterLines="50" w:line="360" w:lineRule="auto"/>
              <w:jc w:val="center"/>
              <w:outlineLvl w:val="9"/>
              <w:rPr>
                <w:rFonts w:hint="eastAsia" w:ascii="黑体" w:hAnsi="黑体" w:eastAsia="黑体" w:cs="黑体"/>
                <w:b/>
                <w:bCs w:val="0"/>
                <w:color w:val="auto"/>
                <w:sz w:val="24"/>
                <w:szCs w:val="24"/>
              </w:rPr>
            </w:pPr>
            <w:r>
              <w:rPr>
                <w:rFonts w:hint="eastAsia" w:ascii="黑体" w:hAnsi="黑体" w:eastAsia="黑体" w:cs="黑体"/>
                <w:b/>
                <w:bCs w:val="0"/>
                <w:color w:val="auto"/>
                <w:sz w:val="24"/>
                <w:szCs w:val="24"/>
                <w:lang w:val="en-US" w:eastAsia="zh-CN"/>
              </w:rPr>
              <w:t>主要资源配置计划</w:t>
            </w:r>
          </w:p>
        </w:tc>
        <w:tc>
          <w:tcPr>
            <w:tcW w:w="7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AFBCCA">
            <w:pPr>
              <w:pStyle w:val="33"/>
              <w:keepNext w:val="0"/>
              <w:keepLines w:val="0"/>
              <w:kinsoku/>
              <w:wordWrap/>
              <w:overflowPunct/>
              <w:topLinePunct w:val="0"/>
              <w:autoSpaceDE/>
              <w:autoSpaceDN/>
              <w:bidi w:val="0"/>
              <w:spacing w:line="360" w:lineRule="auto"/>
              <w:jc w:val="center"/>
              <w:outlineLvl w:val="9"/>
              <w:rPr>
                <w:rFonts w:hint="eastAsia" w:ascii="黑体" w:hAnsi="黑体" w:eastAsia="黑体" w:cs="黑体"/>
                <w:b/>
                <w:bCs w:val="0"/>
                <w:color w:val="auto"/>
                <w:sz w:val="24"/>
                <w:szCs w:val="22"/>
              </w:rPr>
            </w:pPr>
            <w:r>
              <w:rPr>
                <w:rFonts w:hint="eastAsia" w:ascii="黑体" w:hAnsi="黑体" w:eastAsia="黑体" w:cs="黑体"/>
                <w:b/>
                <w:bCs w:val="0"/>
                <w:color w:val="auto"/>
                <w:sz w:val="24"/>
                <w:szCs w:val="22"/>
                <w:lang w:val="en-US" w:eastAsia="zh-CN"/>
              </w:rPr>
              <w:t>5分</w:t>
            </w:r>
          </w:p>
        </w:tc>
        <w:tc>
          <w:tcPr>
            <w:tcW w:w="63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8B1CA8">
            <w:pPr>
              <w:pStyle w:val="33"/>
              <w:keepNext w:val="0"/>
              <w:keepLines w:val="0"/>
              <w:kinsoku/>
              <w:wordWrap/>
              <w:overflowPunct/>
              <w:topLinePunct w:val="0"/>
              <w:autoSpaceDE/>
              <w:autoSpaceDN/>
              <w:bidi w:val="0"/>
              <w:spacing w:line="360" w:lineRule="auto"/>
              <w:jc w:val="left"/>
              <w:outlineLvl w:val="9"/>
              <w:rPr>
                <w:rFonts w:hint="eastAsia" w:ascii="黑体" w:hAnsi="黑体" w:eastAsia="黑体" w:cs="黑体"/>
                <w:bCs/>
                <w:color w:val="auto"/>
                <w:sz w:val="24"/>
                <w:szCs w:val="22"/>
              </w:rPr>
            </w:pPr>
            <w:r>
              <w:rPr>
                <w:rFonts w:hint="eastAsia" w:ascii="黑体" w:hAnsi="黑体" w:eastAsia="黑体" w:cs="黑体"/>
                <w:bCs/>
                <w:color w:val="auto"/>
                <w:sz w:val="24"/>
                <w:szCs w:val="22"/>
                <w:lang w:val="en-US" w:eastAsia="zh-CN"/>
              </w:rPr>
              <w:t>配置计划详尽，结合项目实际紧密，安排细致恰当，满足工程正常施工进度需要的得5分，</w:t>
            </w:r>
            <w:r>
              <w:rPr>
                <w:rFonts w:hint="eastAsia" w:ascii="黑体" w:hAnsi="黑体" w:eastAsia="黑体" w:cs="黑体"/>
                <w:bCs/>
                <w:color w:val="auto"/>
                <w:sz w:val="24"/>
                <w:szCs w:val="24"/>
                <w:lang w:val="en-US" w:eastAsia="zh-CN"/>
              </w:rPr>
              <w:t>主要资源配置计划比较</w:t>
            </w:r>
            <w:r>
              <w:rPr>
                <w:rFonts w:hint="eastAsia" w:ascii="黑体" w:hAnsi="黑体" w:eastAsia="黑体" w:cs="黑体"/>
                <w:bCs/>
                <w:color w:val="auto"/>
                <w:sz w:val="24"/>
                <w:szCs w:val="22"/>
                <w:lang w:val="en-US" w:eastAsia="zh-CN"/>
              </w:rPr>
              <w:t>满足的得3分，</w:t>
            </w:r>
            <w:r>
              <w:rPr>
                <w:rFonts w:hint="eastAsia" w:ascii="黑体" w:hAnsi="黑体" w:eastAsia="黑体" w:cs="黑体"/>
                <w:bCs/>
                <w:color w:val="auto"/>
                <w:sz w:val="24"/>
                <w:szCs w:val="24"/>
                <w:lang w:val="en-US" w:eastAsia="zh-CN"/>
              </w:rPr>
              <w:t>主要资源配置计划</w:t>
            </w:r>
            <w:r>
              <w:rPr>
                <w:rFonts w:hint="eastAsia" w:ascii="黑体" w:hAnsi="黑体" w:eastAsia="黑体" w:cs="黑体"/>
                <w:bCs/>
                <w:color w:val="auto"/>
                <w:sz w:val="24"/>
                <w:szCs w:val="22"/>
                <w:lang w:val="en-US" w:eastAsia="zh-CN"/>
              </w:rPr>
              <w:t>较差的得1分，无计划得0分。</w:t>
            </w:r>
          </w:p>
        </w:tc>
      </w:tr>
      <w:tr w14:paraId="6C442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5" w:hRule="atLeast"/>
        </w:trPr>
        <w:tc>
          <w:tcPr>
            <w:tcW w:w="1151" w:type="dxa"/>
            <w:vMerge w:val="continue"/>
            <w:noWrap w:val="0"/>
            <w:vAlign w:val="center"/>
          </w:tcPr>
          <w:p w14:paraId="36FF5733">
            <w:pPr>
              <w:keepNext w:val="0"/>
              <w:keepLines w:val="0"/>
              <w:kinsoku/>
              <w:wordWrap/>
              <w:overflowPunct/>
              <w:topLinePunct w:val="0"/>
              <w:autoSpaceDE/>
              <w:autoSpaceDN/>
              <w:bidi w:val="0"/>
              <w:spacing w:after="120" w:afterLines="50" w:line="360" w:lineRule="auto"/>
              <w:jc w:val="center"/>
              <w:outlineLvl w:val="9"/>
              <w:rPr>
                <w:rFonts w:hint="eastAsia" w:ascii="黑体" w:hAnsi="黑体" w:eastAsia="黑体" w:cs="黑体"/>
                <w:b/>
                <w:bCs w:val="0"/>
                <w:color w:val="auto"/>
                <w:sz w:val="24"/>
                <w:szCs w:val="24"/>
              </w:rPr>
            </w:pPr>
          </w:p>
        </w:tc>
        <w:tc>
          <w:tcPr>
            <w:tcW w:w="10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1BBBD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kern w:val="2"/>
                <w:sz w:val="24"/>
                <w:szCs w:val="22"/>
                <w:lang w:val="en-US" w:eastAsia="zh-CN" w:bidi="ar-SA"/>
              </w:rPr>
            </w:pPr>
            <w:r>
              <w:rPr>
                <w:rFonts w:hint="eastAsia" w:ascii="黑体" w:hAnsi="黑体" w:eastAsia="黑体" w:cs="黑体"/>
                <w:b/>
                <w:bCs w:val="0"/>
                <w:color w:val="auto"/>
                <w:kern w:val="2"/>
                <w:sz w:val="24"/>
                <w:szCs w:val="22"/>
                <w:lang w:val="en-US" w:eastAsia="zh-CN" w:bidi="ar-SA"/>
              </w:rPr>
              <w:t>资源配备计划</w:t>
            </w:r>
          </w:p>
        </w:tc>
        <w:tc>
          <w:tcPr>
            <w:tcW w:w="7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76586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kern w:val="2"/>
                <w:sz w:val="24"/>
                <w:szCs w:val="22"/>
                <w:lang w:val="en-US" w:eastAsia="zh-CN" w:bidi="ar-SA"/>
              </w:rPr>
            </w:pPr>
            <w:r>
              <w:rPr>
                <w:rFonts w:hint="eastAsia" w:ascii="黑体" w:hAnsi="黑体" w:eastAsia="黑体" w:cs="黑体"/>
                <w:b/>
                <w:bCs w:val="0"/>
                <w:color w:val="auto"/>
                <w:kern w:val="2"/>
                <w:sz w:val="24"/>
                <w:szCs w:val="22"/>
                <w:lang w:val="en-US" w:eastAsia="zh-CN" w:bidi="ar-SA"/>
              </w:rPr>
              <w:t>10分</w:t>
            </w:r>
          </w:p>
        </w:tc>
        <w:tc>
          <w:tcPr>
            <w:tcW w:w="63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F2EDB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黑体" w:hAnsi="黑体" w:eastAsia="黑体" w:cs="黑体"/>
                <w:bCs/>
                <w:color w:val="auto"/>
                <w:kern w:val="2"/>
                <w:sz w:val="24"/>
                <w:szCs w:val="22"/>
                <w:lang w:val="en-US" w:eastAsia="zh-CN" w:bidi="ar-SA"/>
              </w:rPr>
            </w:pPr>
            <w:r>
              <w:rPr>
                <w:rFonts w:hint="eastAsia" w:ascii="黑体" w:hAnsi="黑体" w:eastAsia="黑体" w:cs="黑体"/>
                <w:bCs/>
                <w:color w:val="auto"/>
                <w:kern w:val="2"/>
                <w:sz w:val="24"/>
                <w:szCs w:val="22"/>
                <w:lang w:val="en-US" w:eastAsia="zh-CN" w:bidi="ar-SA"/>
              </w:rPr>
              <w:t>（1）资金使用计划安排合理的，得2分,否则得0分；</w:t>
            </w:r>
          </w:p>
          <w:p w14:paraId="1619DDB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黑体" w:hAnsi="黑体" w:eastAsia="黑体" w:cs="黑体"/>
                <w:bCs/>
                <w:color w:val="auto"/>
                <w:kern w:val="2"/>
                <w:sz w:val="24"/>
                <w:szCs w:val="22"/>
                <w:lang w:val="en-US" w:eastAsia="zh-CN" w:bidi="ar-SA"/>
              </w:rPr>
            </w:pPr>
            <w:r>
              <w:rPr>
                <w:rFonts w:hint="eastAsia" w:ascii="黑体" w:hAnsi="黑体" w:eastAsia="黑体" w:cs="黑体"/>
                <w:bCs/>
                <w:color w:val="auto"/>
                <w:kern w:val="2"/>
                <w:sz w:val="24"/>
                <w:szCs w:val="22"/>
                <w:lang w:val="en-US" w:eastAsia="zh-CN" w:bidi="ar-SA"/>
              </w:rPr>
              <w:t>（2）劳动力安排计划合理且有计算说明的，得2分,否则得0分；</w:t>
            </w:r>
          </w:p>
          <w:p w14:paraId="7AB446D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黑体" w:hAnsi="黑体" w:eastAsia="黑体" w:cs="黑体"/>
                <w:bCs/>
                <w:color w:val="auto"/>
                <w:kern w:val="2"/>
                <w:sz w:val="24"/>
                <w:szCs w:val="22"/>
                <w:lang w:val="en-US" w:eastAsia="zh-CN" w:bidi="ar-SA"/>
              </w:rPr>
            </w:pPr>
            <w:r>
              <w:rPr>
                <w:rFonts w:hint="eastAsia" w:ascii="黑体" w:hAnsi="黑体" w:eastAsia="黑体" w:cs="黑体"/>
                <w:bCs/>
                <w:color w:val="auto"/>
                <w:kern w:val="2"/>
                <w:sz w:val="24"/>
                <w:szCs w:val="22"/>
                <w:lang w:val="en-US" w:eastAsia="zh-CN" w:bidi="ar-SA"/>
              </w:rPr>
              <w:t>（3）主要材料用量计划安排合理且有计算说明的，得2分,否则得0分；</w:t>
            </w:r>
          </w:p>
          <w:p w14:paraId="62D936A6">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cs="黑体"/>
                <w:bCs/>
                <w:color w:val="auto"/>
                <w:kern w:val="2"/>
                <w:sz w:val="24"/>
                <w:szCs w:val="22"/>
                <w:lang w:val="en-US" w:eastAsia="zh-CN" w:bidi="ar-SA"/>
              </w:rPr>
            </w:pPr>
            <w:r>
              <w:rPr>
                <w:rFonts w:hint="eastAsia" w:ascii="黑体" w:hAnsi="黑体" w:eastAsia="黑体" w:cs="黑体"/>
                <w:bCs/>
                <w:color w:val="auto"/>
                <w:kern w:val="2"/>
                <w:sz w:val="24"/>
                <w:szCs w:val="22"/>
                <w:lang w:val="en-US" w:eastAsia="zh-CN" w:bidi="ar-SA"/>
              </w:rPr>
              <w:t>（4）主要施工机械设备使用计划合理且有计算说明的，得4分, 基本合理的得2分，否则得0分。</w:t>
            </w:r>
          </w:p>
        </w:tc>
      </w:tr>
      <w:tr w14:paraId="52D50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1" w:hRule="atLeast"/>
        </w:trPr>
        <w:tc>
          <w:tcPr>
            <w:tcW w:w="1151" w:type="dxa"/>
            <w:vMerge w:val="continue"/>
            <w:noWrap w:val="0"/>
            <w:vAlign w:val="center"/>
          </w:tcPr>
          <w:p w14:paraId="52C738BF">
            <w:pPr>
              <w:keepNext w:val="0"/>
              <w:keepLines w:val="0"/>
              <w:kinsoku/>
              <w:wordWrap/>
              <w:overflowPunct/>
              <w:topLinePunct w:val="0"/>
              <w:autoSpaceDE/>
              <w:autoSpaceDN/>
              <w:bidi w:val="0"/>
              <w:spacing w:after="120" w:afterLines="50" w:line="360" w:lineRule="auto"/>
              <w:jc w:val="center"/>
              <w:outlineLvl w:val="9"/>
              <w:rPr>
                <w:rFonts w:hint="eastAsia" w:ascii="黑体" w:hAnsi="黑体" w:eastAsia="黑体" w:cs="黑体"/>
                <w:b/>
                <w:bCs w:val="0"/>
                <w:color w:val="auto"/>
                <w:sz w:val="24"/>
                <w:szCs w:val="24"/>
              </w:rPr>
            </w:pPr>
          </w:p>
        </w:tc>
        <w:tc>
          <w:tcPr>
            <w:tcW w:w="10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7961D1">
            <w:pPr>
              <w:keepNext w:val="0"/>
              <w:keepLines w:val="0"/>
              <w:kinsoku/>
              <w:wordWrap/>
              <w:overflowPunct/>
              <w:topLinePunct w:val="0"/>
              <w:autoSpaceDE/>
              <w:autoSpaceDN/>
              <w:bidi w:val="0"/>
              <w:spacing w:after="120" w:afterLines="50" w:line="360" w:lineRule="auto"/>
              <w:jc w:val="center"/>
              <w:outlineLvl w:val="9"/>
              <w:rPr>
                <w:rFonts w:hint="eastAsia" w:ascii="黑体" w:hAnsi="黑体" w:eastAsia="黑体" w:cs="黑体"/>
                <w:b/>
                <w:bCs w:val="0"/>
                <w:color w:val="auto"/>
                <w:sz w:val="24"/>
                <w:szCs w:val="24"/>
              </w:rPr>
            </w:pPr>
            <w:r>
              <w:rPr>
                <w:rFonts w:hint="eastAsia" w:ascii="黑体" w:hAnsi="黑体" w:eastAsia="黑体" w:cs="黑体"/>
                <w:b/>
                <w:bCs w:val="0"/>
                <w:color w:val="auto"/>
                <w:sz w:val="24"/>
                <w:szCs w:val="24"/>
                <w:lang w:val="en-US" w:eastAsia="zh-CN"/>
              </w:rPr>
              <w:t>施工质量管理计划</w:t>
            </w:r>
          </w:p>
        </w:tc>
        <w:tc>
          <w:tcPr>
            <w:tcW w:w="7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2A7123">
            <w:pPr>
              <w:pStyle w:val="33"/>
              <w:keepNext w:val="0"/>
              <w:keepLines w:val="0"/>
              <w:kinsoku/>
              <w:wordWrap/>
              <w:overflowPunct/>
              <w:topLinePunct w:val="0"/>
              <w:autoSpaceDE/>
              <w:autoSpaceDN/>
              <w:bidi w:val="0"/>
              <w:spacing w:line="360" w:lineRule="auto"/>
              <w:jc w:val="center"/>
              <w:outlineLvl w:val="9"/>
              <w:rPr>
                <w:rFonts w:hint="eastAsia" w:ascii="黑体" w:hAnsi="黑体" w:eastAsia="黑体" w:cs="黑体"/>
                <w:b/>
                <w:bCs w:val="0"/>
                <w:color w:val="auto"/>
                <w:sz w:val="24"/>
                <w:szCs w:val="22"/>
                <w:lang w:val="en-US" w:eastAsia="zh-CN"/>
              </w:rPr>
            </w:pPr>
            <w:r>
              <w:rPr>
                <w:rFonts w:hint="eastAsia" w:ascii="黑体" w:hAnsi="黑体" w:eastAsia="黑体" w:cs="黑体"/>
                <w:b/>
                <w:bCs w:val="0"/>
                <w:color w:val="auto"/>
                <w:sz w:val="24"/>
                <w:szCs w:val="22"/>
                <w:lang w:val="en-US" w:eastAsia="zh-CN"/>
              </w:rPr>
              <w:t>10</w:t>
            </w:r>
            <w:r>
              <w:rPr>
                <w:rFonts w:hint="eastAsia" w:ascii="黑体" w:hAnsi="黑体" w:eastAsia="黑体" w:cs="黑体"/>
                <w:b/>
                <w:bCs w:val="0"/>
                <w:color w:val="auto"/>
                <w:sz w:val="24"/>
                <w:szCs w:val="22"/>
              </w:rPr>
              <w:t>分</w:t>
            </w:r>
          </w:p>
        </w:tc>
        <w:tc>
          <w:tcPr>
            <w:tcW w:w="63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28CD53">
            <w:pPr>
              <w:pStyle w:val="33"/>
              <w:keepNext w:val="0"/>
              <w:keepLines w:val="0"/>
              <w:kinsoku/>
              <w:wordWrap/>
              <w:overflowPunct/>
              <w:topLinePunct w:val="0"/>
              <w:autoSpaceDE/>
              <w:autoSpaceDN/>
              <w:bidi w:val="0"/>
              <w:spacing w:line="360" w:lineRule="auto"/>
              <w:jc w:val="left"/>
              <w:outlineLvl w:val="9"/>
              <w:rPr>
                <w:rFonts w:hint="eastAsia" w:ascii="黑体" w:hAnsi="黑体" w:eastAsia="黑体" w:cs="黑体"/>
                <w:bCs/>
                <w:color w:val="auto"/>
                <w:sz w:val="24"/>
                <w:szCs w:val="22"/>
                <w:lang w:val="en-US" w:eastAsia="zh-CN"/>
              </w:rPr>
            </w:pPr>
            <w:r>
              <w:rPr>
                <w:rFonts w:hint="eastAsia" w:ascii="黑体" w:hAnsi="黑体" w:eastAsia="黑体" w:cs="黑体"/>
                <w:bCs/>
                <w:color w:val="auto"/>
                <w:sz w:val="24"/>
                <w:szCs w:val="22"/>
                <w:lang w:val="en-US" w:eastAsia="zh-CN"/>
              </w:rPr>
              <w:t>质量管理计划内容全面，结合项目实际紧密，</w:t>
            </w:r>
            <w:r>
              <w:rPr>
                <w:rFonts w:hint="eastAsia" w:ascii="黑体" w:hAnsi="黑体" w:eastAsia="黑体" w:cs="黑体"/>
                <w:bCs/>
                <w:color w:val="auto"/>
                <w:sz w:val="24"/>
                <w:szCs w:val="22"/>
              </w:rPr>
              <w:t>符合施工</w:t>
            </w:r>
            <w:r>
              <w:rPr>
                <w:rFonts w:hint="eastAsia" w:ascii="黑体" w:hAnsi="黑体" w:eastAsia="黑体" w:cs="黑体"/>
                <w:bCs/>
                <w:color w:val="auto"/>
                <w:sz w:val="24"/>
                <w:szCs w:val="22"/>
                <w:lang w:val="en-US" w:eastAsia="zh-CN"/>
              </w:rPr>
              <w:t>科学</w:t>
            </w:r>
            <w:r>
              <w:rPr>
                <w:rFonts w:hint="eastAsia" w:ascii="黑体" w:hAnsi="黑体" w:eastAsia="黑体" w:cs="黑体"/>
                <w:bCs/>
                <w:color w:val="auto"/>
                <w:sz w:val="24"/>
                <w:szCs w:val="22"/>
              </w:rPr>
              <w:t>规律、国家规定的</w:t>
            </w:r>
            <w:r>
              <w:rPr>
                <w:rFonts w:hint="eastAsia" w:ascii="黑体" w:hAnsi="黑体" w:eastAsia="黑体" w:cs="黑体"/>
                <w:bCs/>
                <w:color w:val="auto"/>
                <w:sz w:val="24"/>
                <w:szCs w:val="22"/>
                <w:lang w:val="en-US" w:eastAsia="zh-CN"/>
              </w:rPr>
              <w:t>质量</w:t>
            </w:r>
            <w:r>
              <w:rPr>
                <w:rFonts w:hint="eastAsia" w:ascii="黑体" w:hAnsi="黑体" w:eastAsia="黑体" w:cs="黑体"/>
                <w:bCs/>
                <w:color w:val="auto"/>
                <w:sz w:val="24"/>
                <w:szCs w:val="22"/>
              </w:rPr>
              <w:t>强制性标准，</w:t>
            </w:r>
            <w:r>
              <w:rPr>
                <w:rFonts w:hint="eastAsia" w:ascii="黑体" w:hAnsi="黑体" w:eastAsia="黑体" w:cs="黑体"/>
                <w:bCs/>
                <w:color w:val="auto"/>
                <w:sz w:val="24"/>
                <w:szCs w:val="22"/>
                <w:lang w:val="en-US" w:eastAsia="zh-CN"/>
              </w:rPr>
              <w:t>质量保证措施</w:t>
            </w:r>
            <w:r>
              <w:rPr>
                <w:rFonts w:hint="eastAsia" w:ascii="黑体" w:hAnsi="黑体" w:eastAsia="黑体" w:cs="黑体"/>
                <w:bCs/>
                <w:color w:val="auto"/>
                <w:sz w:val="24"/>
                <w:szCs w:val="22"/>
              </w:rPr>
              <w:t>切实可行</w:t>
            </w:r>
            <w:r>
              <w:rPr>
                <w:rFonts w:hint="eastAsia" w:ascii="黑体" w:hAnsi="黑体" w:eastAsia="黑体" w:cs="黑体"/>
                <w:bCs/>
                <w:color w:val="auto"/>
                <w:sz w:val="24"/>
                <w:szCs w:val="22"/>
                <w:lang w:val="en-US" w:eastAsia="zh-CN"/>
              </w:rPr>
              <w:t>的</w:t>
            </w:r>
            <w:r>
              <w:rPr>
                <w:rFonts w:hint="eastAsia" w:ascii="黑体" w:hAnsi="黑体" w:eastAsia="黑体" w:cs="黑体"/>
                <w:bCs/>
                <w:color w:val="auto"/>
                <w:sz w:val="24"/>
                <w:szCs w:val="22"/>
              </w:rPr>
              <w:t>得</w:t>
            </w:r>
            <w:r>
              <w:rPr>
                <w:rFonts w:hint="eastAsia" w:ascii="黑体" w:hAnsi="黑体" w:eastAsia="黑体" w:cs="黑体"/>
                <w:bCs/>
                <w:color w:val="auto"/>
                <w:sz w:val="24"/>
                <w:szCs w:val="22"/>
                <w:lang w:val="en-US" w:eastAsia="zh-CN"/>
              </w:rPr>
              <w:t>10</w:t>
            </w:r>
            <w:r>
              <w:rPr>
                <w:rFonts w:hint="eastAsia" w:ascii="黑体" w:hAnsi="黑体" w:eastAsia="黑体" w:cs="黑体"/>
                <w:bCs/>
                <w:color w:val="auto"/>
                <w:sz w:val="24"/>
                <w:szCs w:val="22"/>
              </w:rPr>
              <w:t>分，</w:t>
            </w:r>
            <w:r>
              <w:rPr>
                <w:rFonts w:hint="eastAsia" w:ascii="黑体" w:hAnsi="黑体" w:eastAsia="黑体" w:cs="黑体"/>
                <w:bCs/>
                <w:color w:val="auto"/>
                <w:sz w:val="24"/>
                <w:szCs w:val="24"/>
                <w:lang w:val="en-US" w:eastAsia="zh-CN"/>
              </w:rPr>
              <w:t>施工质量管理计划比较全面</w:t>
            </w:r>
            <w:r>
              <w:rPr>
                <w:rFonts w:hint="eastAsia" w:ascii="黑体" w:hAnsi="黑体" w:eastAsia="黑体" w:cs="黑体"/>
                <w:bCs/>
                <w:color w:val="auto"/>
                <w:sz w:val="24"/>
                <w:szCs w:val="22"/>
                <w:lang w:val="en-US" w:eastAsia="zh-CN"/>
              </w:rPr>
              <w:t>的得6分</w:t>
            </w:r>
            <w:r>
              <w:rPr>
                <w:rFonts w:hint="eastAsia" w:ascii="黑体" w:hAnsi="黑体" w:eastAsia="黑体" w:cs="黑体"/>
                <w:bCs/>
                <w:color w:val="auto"/>
                <w:sz w:val="24"/>
                <w:szCs w:val="22"/>
              </w:rPr>
              <w:t>，</w:t>
            </w:r>
            <w:r>
              <w:rPr>
                <w:rFonts w:hint="eastAsia" w:ascii="黑体" w:hAnsi="黑体" w:eastAsia="黑体" w:cs="黑体"/>
                <w:bCs/>
                <w:color w:val="auto"/>
                <w:sz w:val="24"/>
                <w:szCs w:val="24"/>
                <w:lang w:val="en-US" w:eastAsia="zh-CN"/>
              </w:rPr>
              <w:t>施工质量管理计划</w:t>
            </w:r>
            <w:r>
              <w:rPr>
                <w:rFonts w:hint="eastAsia" w:ascii="黑体" w:hAnsi="黑体" w:eastAsia="黑体" w:cs="黑体"/>
                <w:bCs/>
                <w:color w:val="auto"/>
                <w:sz w:val="24"/>
                <w:szCs w:val="22"/>
                <w:lang w:val="en-US" w:eastAsia="zh-CN"/>
              </w:rPr>
              <w:t>较差的得2分，无措施的得0分。</w:t>
            </w:r>
          </w:p>
        </w:tc>
      </w:tr>
      <w:tr w14:paraId="44C9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08" w:hRule="atLeast"/>
        </w:trPr>
        <w:tc>
          <w:tcPr>
            <w:tcW w:w="1151" w:type="dxa"/>
            <w:vMerge w:val="continue"/>
            <w:noWrap w:val="0"/>
            <w:vAlign w:val="center"/>
          </w:tcPr>
          <w:p w14:paraId="21CD9D65">
            <w:pPr>
              <w:keepNext w:val="0"/>
              <w:keepLines w:val="0"/>
              <w:kinsoku/>
              <w:wordWrap/>
              <w:overflowPunct/>
              <w:topLinePunct w:val="0"/>
              <w:autoSpaceDE/>
              <w:autoSpaceDN/>
              <w:bidi w:val="0"/>
              <w:spacing w:after="120" w:afterLines="50" w:line="360" w:lineRule="auto"/>
              <w:jc w:val="center"/>
              <w:outlineLvl w:val="9"/>
              <w:rPr>
                <w:rFonts w:hint="eastAsia" w:ascii="黑体" w:hAnsi="黑体" w:eastAsia="黑体" w:cs="黑体"/>
                <w:b/>
                <w:bCs w:val="0"/>
                <w:color w:val="auto"/>
                <w:sz w:val="24"/>
                <w:szCs w:val="24"/>
              </w:rPr>
            </w:pPr>
          </w:p>
        </w:tc>
        <w:tc>
          <w:tcPr>
            <w:tcW w:w="10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1A8EA0">
            <w:pPr>
              <w:keepNext w:val="0"/>
              <w:keepLines w:val="0"/>
              <w:kinsoku/>
              <w:wordWrap/>
              <w:overflowPunct/>
              <w:topLinePunct w:val="0"/>
              <w:autoSpaceDE/>
              <w:autoSpaceDN/>
              <w:bidi w:val="0"/>
              <w:spacing w:after="120" w:afterLines="50" w:line="360" w:lineRule="auto"/>
              <w:jc w:val="center"/>
              <w:outlineLvl w:val="9"/>
              <w:rPr>
                <w:rFonts w:hint="eastAsia" w:ascii="黑体" w:hAnsi="黑体" w:eastAsia="黑体" w:cs="黑体"/>
                <w:b/>
                <w:bCs w:val="0"/>
                <w:color w:val="auto"/>
                <w:sz w:val="24"/>
                <w:szCs w:val="24"/>
              </w:rPr>
            </w:pPr>
            <w:r>
              <w:rPr>
                <w:rFonts w:hint="eastAsia" w:ascii="黑体" w:hAnsi="黑体" w:eastAsia="黑体" w:cs="黑体"/>
                <w:b/>
                <w:bCs w:val="0"/>
                <w:color w:val="auto"/>
                <w:sz w:val="24"/>
                <w:szCs w:val="24"/>
                <w:lang w:val="en-US" w:eastAsia="zh-CN"/>
              </w:rPr>
              <w:t>施工安全管理计划</w:t>
            </w:r>
          </w:p>
        </w:tc>
        <w:tc>
          <w:tcPr>
            <w:tcW w:w="795"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0A06AA28">
            <w:pPr>
              <w:pStyle w:val="33"/>
              <w:keepNext w:val="0"/>
              <w:keepLines w:val="0"/>
              <w:kinsoku/>
              <w:wordWrap/>
              <w:overflowPunct/>
              <w:topLinePunct w:val="0"/>
              <w:autoSpaceDE/>
              <w:autoSpaceDN/>
              <w:bidi w:val="0"/>
              <w:spacing w:line="360" w:lineRule="auto"/>
              <w:jc w:val="center"/>
              <w:outlineLvl w:val="9"/>
              <w:rPr>
                <w:rFonts w:hint="eastAsia" w:ascii="黑体" w:hAnsi="黑体" w:eastAsia="黑体" w:cs="黑体"/>
                <w:b/>
                <w:bCs w:val="0"/>
                <w:color w:val="auto"/>
                <w:sz w:val="24"/>
                <w:szCs w:val="22"/>
              </w:rPr>
            </w:pPr>
            <w:r>
              <w:rPr>
                <w:rFonts w:hint="eastAsia" w:ascii="黑体" w:hAnsi="黑体" w:eastAsia="黑体" w:cs="黑体"/>
                <w:b/>
                <w:bCs w:val="0"/>
                <w:color w:val="auto"/>
                <w:sz w:val="24"/>
                <w:szCs w:val="22"/>
                <w:lang w:val="en-US" w:eastAsia="zh-CN"/>
              </w:rPr>
              <w:t>10</w:t>
            </w:r>
            <w:r>
              <w:rPr>
                <w:rFonts w:hint="eastAsia" w:ascii="黑体" w:hAnsi="黑体" w:eastAsia="黑体" w:cs="黑体"/>
                <w:b/>
                <w:bCs w:val="0"/>
                <w:color w:val="auto"/>
                <w:sz w:val="24"/>
                <w:szCs w:val="22"/>
              </w:rPr>
              <w:t>分</w:t>
            </w:r>
          </w:p>
        </w:tc>
        <w:tc>
          <w:tcPr>
            <w:tcW w:w="6373"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0C8A4567">
            <w:pPr>
              <w:pStyle w:val="33"/>
              <w:keepNext w:val="0"/>
              <w:keepLines w:val="0"/>
              <w:kinsoku/>
              <w:wordWrap/>
              <w:overflowPunct/>
              <w:topLinePunct w:val="0"/>
              <w:autoSpaceDE/>
              <w:autoSpaceDN/>
              <w:bidi w:val="0"/>
              <w:spacing w:line="360" w:lineRule="auto"/>
              <w:jc w:val="left"/>
              <w:outlineLvl w:val="9"/>
              <w:rPr>
                <w:rFonts w:hint="eastAsia" w:ascii="黑体" w:hAnsi="黑体" w:eastAsia="黑体" w:cs="黑体"/>
                <w:bCs/>
                <w:color w:val="auto"/>
                <w:sz w:val="24"/>
                <w:szCs w:val="22"/>
              </w:rPr>
            </w:pPr>
            <w:r>
              <w:rPr>
                <w:rFonts w:hint="eastAsia" w:ascii="黑体" w:hAnsi="黑体" w:eastAsia="黑体" w:cs="黑体"/>
                <w:bCs/>
                <w:color w:val="auto"/>
                <w:sz w:val="24"/>
                <w:szCs w:val="22"/>
                <w:lang w:val="en-US" w:eastAsia="zh-CN"/>
              </w:rPr>
              <w:t>安全管理计划内容全面，结合项目实际紧密，</w:t>
            </w:r>
            <w:r>
              <w:rPr>
                <w:rFonts w:hint="eastAsia" w:ascii="黑体" w:hAnsi="黑体" w:eastAsia="黑体" w:cs="黑体"/>
                <w:bCs/>
                <w:color w:val="auto"/>
                <w:sz w:val="24"/>
                <w:szCs w:val="22"/>
              </w:rPr>
              <w:t>符合施工</w:t>
            </w:r>
            <w:r>
              <w:rPr>
                <w:rFonts w:hint="eastAsia" w:ascii="黑体" w:hAnsi="黑体" w:eastAsia="黑体" w:cs="黑体"/>
                <w:bCs/>
                <w:color w:val="auto"/>
                <w:sz w:val="24"/>
                <w:szCs w:val="22"/>
                <w:lang w:val="en-US" w:eastAsia="zh-CN"/>
              </w:rPr>
              <w:t>科学</w:t>
            </w:r>
            <w:r>
              <w:rPr>
                <w:rFonts w:hint="eastAsia" w:ascii="黑体" w:hAnsi="黑体" w:eastAsia="黑体" w:cs="黑体"/>
                <w:bCs/>
                <w:color w:val="auto"/>
                <w:sz w:val="24"/>
                <w:szCs w:val="22"/>
              </w:rPr>
              <w:t>规律、国家规定的</w:t>
            </w:r>
            <w:r>
              <w:rPr>
                <w:rFonts w:hint="eastAsia" w:ascii="黑体" w:hAnsi="黑体" w:eastAsia="黑体" w:cs="黑体"/>
                <w:bCs/>
                <w:color w:val="auto"/>
                <w:sz w:val="24"/>
                <w:szCs w:val="22"/>
                <w:lang w:val="en-US" w:eastAsia="zh-CN"/>
              </w:rPr>
              <w:t>质量</w:t>
            </w:r>
            <w:r>
              <w:rPr>
                <w:rFonts w:hint="eastAsia" w:ascii="黑体" w:hAnsi="黑体" w:eastAsia="黑体" w:cs="黑体"/>
                <w:bCs/>
                <w:color w:val="auto"/>
                <w:sz w:val="24"/>
                <w:szCs w:val="22"/>
              </w:rPr>
              <w:t>强制性标准，</w:t>
            </w:r>
            <w:r>
              <w:rPr>
                <w:rFonts w:hint="eastAsia" w:ascii="黑体" w:hAnsi="黑体" w:eastAsia="黑体" w:cs="黑体"/>
                <w:bCs/>
                <w:color w:val="auto"/>
                <w:sz w:val="24"/>
                <w:szCs w:val="22"/>
                <w:lang w:val="en-US" w:eastAsia="zh-CN"/>
              </w:rPr>
              <w:t>安全保证措施</w:t>
            </w:r>
            <w:r>
              <w:rPr>
                <w:rFonts w:hint="eastAsia" w:ascii="黑体" w:hAnsi="黑体" w:eastAsia="黑体" w:cs="黑体"/>
                <w:bCs/>
                <w:color w:val="auto"/>
                <w:sz w:val="24"/>
                <w:szCs w:val="22"/>
              </w:rPr>
              <w:t>切实可行</w:t>
            </w:r>
            <w:r>
              <w:rPr>
                <w:rFonts w:hint="eastAsia" w:ascii="黑体" w:hAnsi="黑体" w:eastAsia="黑体" w:cs="黑体"/>
                <w:bCs/>
                <w:color w:val="auto"/>
                <w:sz w:val="24"/>
                <w:szCs w:val="22"/>
                <w:lang w:val="en-US" w:eastAsia="zh-CN"/>
              </w:rPr>
              <w:t>的</w:t>
            </w:r>
            <w:r>
              <w:rPr>
                <w:rFonts w:hint="eastAsia" w:ascii="黑体" w:hAnsi="黑体" w:eastAsia="黑体" w:cs="黑体"/>
                <w:bCs/>
                <w:color w:val="auto"/>
                <w:sz w:val="24"/>
                <w:szCs w:val="22"/>
              </w:rPr>
              <w:t>得</w:t>
            </w:r>
            <w:r>
              <w:rPr>
                <w:rFonts w:hint="eastAsia" w:ascii="黑体" w:hAnsi="黑体" w:eastAsia="黑体" w:cs="黑体"/>
                <w:bCs/>
                <w:color w:val="auto"/>
                <w:sz w:val="24"/>
                <w:szCs w:val="22"/>
                <w:lang w:val="en-US" w:eastAsia="zh-CN"/>
              </w:rPr>
              <w:t>10</w:t>
            </w:r>
            <w:r>
              <w:rPr>
                <w:rFonts w:hint="eastAsia" w:ascii="黑体" w:hAnsi="黑体" w:eastAsia="黑体" w:cs="黑体"/>
                <w:bCs/>
                <w:color w:val="auto"/>
                <w:sz w:val="24"/>
                <w:szCs w:val="22"/>
              </w:rPr>
              <w:t>分，</w:t>
            </w:r>
            <w:r>
              <w:rPr>
                <w:rFonts w:hint="eastAsia" w:ascii="黑体" w:hAnsi="黑体" w:eastAsia="黑体" w:cs="黑体"/>
                <w:bCs/>
                <w:color w:val="auto"/>
                <w:sz w:val="24"/>
                <w:szCs w:val="24"/>
                <w:lang w:val="en-US" w:eastAsia="zh-CN"/>
              </w:rPr>
              <w:t>施工安全管理计划比较全面</w:t>
            </w:r>
            <w:r>
              <w:rPr>
                <w:rFonts w:hint="eastAsia" w:ascii="黑体" w:hAnsi="黑体" w:eastAsia="黑体" w:cs="黑体"/>
                <w:bCs/>
                <w:color w:val="auto"/>
                <w:sz w:val="24"/>
                <w:szCs w:val="22"/>
                <w:lang w:val="en-US" w:eastAsia="zh-CN"/>
              </w:rPr>
              <w:t>的得6分</w:t>
            </w:r>
            <w:r>
              <w:rPr>
                <w:rFonts w:hint="eastAsia" w:ascii="黑体" w:hAnsi="黑体" w:eastAsia="黑体" w:cs="黑体"/>
                <w:bCs/>
                <w:color w:val="auto"/>
                <w:sz w:val="24"/>
                <w:szCs w:val="22"/>
              </w:rPr>
              <w:t>，</w:t>
            </w:r>
            <w:r>
              <w:rPr>
                <w:rFonts w:hint="eastAsia" w:ascii="黑体" w:hAnsi="黑体" w:eastAsia="黑体" w:cs="黑体"/>
                <w:bCs/>
                <w:color w:val="auto"/>
                <w:sz w:val="24"/>
                <w:szCs w:val="24"/>
                <w:lang w:val="en-US" w:eastAsia="zh-CN"/>
              </w:rPr>
              <w:t>施工安全管理计划</w:t>
            </w:r>
            <w:r>
              <w:rPr>
                <w:rFonts w:hint="eastAsia" w:ascii="黑体" w:hAnsi="黑体" w:eastAsia="黑体" w:cs="黑体"/>
                <w:bCs/>
                <w:color w:val="auto"/>
                <w:sz w:val="24"/>
                <w:szCs w:val="22"/>
                <w:lang w:val="en-US" w:eastAsia="zh-CN"/>
              </w:rPr>
              <w:t>较差的得2分，无措施的得0分。</w:t>
            </w:r>
          </w:p>
        </w:tc>
      </w:tr>
      <w:tr w14:paraId="3561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08" w:hRule="atLeast"/>
        </w:trPr>
        <w:tc>
          <w:tcPr>
            <w:tcW w:w="1151" w:type="dxa"/>
            <w:vMerge w:val="continue"/>
            <w:noWrap w:val="0"/>
            <w:vAlign w:val="center"/>
          </w:tcPr>
          <w:p w14:paraId="14AA54D9">
            <w:pPr>
              <w:keepNext w:val="0"/>
              <w:keepLines w:val="0"/>
              <w:kinsoku/>
              <w:wordWrap/>
              <w:overflowPunct/>
              <w:topLinePunct w:val="0"/>
              <w:autoSpaceDE/>
              <w:autoSpaceDN/>
              <w:bidi w:val="0"/>
              <w:spacing w:after="120" w:afterLines="50" w:line="360" w:lineRule="auto"/>
              <w:jc w:val="center"/>
              <w:outlineLvl w:val="9"/>
              <w:rPr>
                <w:rFonts w:hint="eastAsia" w:ascii="黑体" w:hAnsi="黑体" w:eastAsia="黑体" w:cs="黑体"/>
                <w:b/>
                <w:bCs w:val="0"/>
                <w:color w:val="auto"/>
                <w:sz w:val="24"/>
                <w:szCs w:val="24"/>
              </w:rPr>
            </w:pPr>
          </w:p>
        </w:tc>
        <w:tc>
          <w:tcPr>
            <w:tcW w:w="10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15BB83D">
            <w:pPr>
              <w:keepNext w:val="0"/>
              <w:keepLines w:val="0"/>
              <w:kinsoku/>
              <w:wordWrap/>
              <w:overflowPunct/>
              <w:topLinePunct w:val="0"/>
              <w:autoSpaceDE/>
              <w:autoSpaceDN/>
              <w:bidi w:val="0"/>
              <w:spacing w:after="120" w:afterLines="50" w:line="360" w:lineRule="auto"/>
              <w:jc w:val="center"/>
              <w:outlineLvl w:val="9"/>
              <w:rPr>
                <w:rFonts w:hint="eastAsia" w:ascii="黑体" w:hAnsi="黑体" w:eastAsia="黑体" w:cs="黑体"/>
                <w:b/>
                <w:bCs w:val="0"/>
                <w:color w:val="auto"/>
                <w:sz w:val="24"/>
                <w:szCs w:val="24"/>
              </w:rPr>
            </w:pPr>
            <w:r>
              <w:rPr>
                <w:rFonts w:hint="eastAsia" w:ascii="黑体" w:hAnsi="黑体" w:eastAsia="黑体" w:cs="黑体"/>
                <w:b/>
                <w:bCs w:val="0"/>
                <w:color w:val="auto"/>
                <w:sz w:val="24"/>
                <w:szCs w:val="24"/>
                <w:lang w:val="en-US" w:eastAsia="zh-CN"/>
              </w:rPr>
              <w:t>现场环境管理计划</w:t>
            </w:r>
          </w:p>
        </w:tc>
        <w:tc>
          <w:tcPr>
            <w:tcW w:w="795"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CAF1318">
            <w:pPr>
              <w:pStyle w:val="33"/>
              <w:keepNext w:val="0"/>
              <w:keepLines w:val="0"/>
              <w:kinsoku/>
              <w:wordWrap/>
              <w:overflowPunct/>
              <w:topLinePunct w:val="0"/>
              <w:autoSpaceDE/>
              <w:autoSpaceDN/>
              <w:bidi w:val="0"/>
              <w:spacing w:line="360" w:lineRule="auto"/>
              <w:jc w:val="center"/>
              <w:outlineLvl w:val="9"/>
              <w:rPr>
                <w:rFonts w:hint="eastAsia" w:ascii="黑体" w:hAnsi="黑体" w:eastAsia="黑体" w:cs="黑体"/>
                <w:b/>
                <w:bCs w:val="0"/>
                <w:color w:val="auto"/>
                <w:sz w:val="24"/>
                <w:szCs w:val="22"/>
              </w:rPr>
            </w:pPr>
            <w:r>
              <w:rPr>
                <w:rFonts w:hint="eastAsia" w:ascii="黑体" w:hAnsi="黑体" w:eastAsia="黑体" w:cs="黑体"/>
                <w:b/>
                <w:bCs w:val="0"/>
                <w:color w:val="auto"/>
                <w:sz w:val="24"/>
                <w:szCs w:val="22"/>
                <w:lang w:val="en-US" w:eastAsia="zh-CN"/>
              </w:rPr>
              <w:t>10分</w:t>
            </w:r>
          </w:p>
        </w:tc>
        <w:tc>
          <w:tcPr>
            <w:tcW w:w="6373"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79688041">
            <w:pPr>
              <w:pStyle w:val="33"/>
              <w:keepNext w:val="0"/>
              <w:keepLines w:val="0"/>
              <w:kinsoku/>
              <w:wordWrap/>
              <w:overflowPunct/>
              <w:topLinePunct w:val="0"/>
              <w:autoSpaceDE/>
              <w:autoSpaceDN/>
              <w:bidi w:val="0"/>
              <w:spacing w:line="360" w:lineRule="auto"/>
              <w:jc w:val="left"/>
              <w:outlineLvl w:val="9"/>
              <w:rPr>
                <w:rFonts w:hint="eastAsia" w:ascii="黑体" w:hAnsi="黑体" w:eastAsia="黑体" w:cs="黑体"/>
                <w:bCs/>
                <w:color w:val="auto"/>
                <w:sz w:val="24"/>
                <w:szCs w:val="22"/>
              </w:rPr>
            </w:pPr>
            <w:r>
              <w:rPr>
                <w:rFonts w:hint="eastAsia" w:ascii="黑体" w:hAnsi="黑体" w:eastAsia="黑体" w:cs="黑体"/>
                <w:bCs/>
                <w:color w:val="auto"/>
                <w:sz w:val="24"/>
                <w:szCs w:val="22"/>
                <w:lang w:val="en-US" w:eastAsia="zh-CN"/>
              </w:rPr>
              <w:t>环境管理计划内容全面，结合项目实际紧密，</w:t>
            </w:r>
            <w:r>
              <w:rPr>
                <w:rFonts w:hint="eastAsia" w:ascii="黑体" w:hAnsi="黑体" w:eastAsia="黑体" w:cs="黑体"/>
                <w:bCs/>
                <w:color w:val="auto"/>
                <w:sz w:val="24"/>
                <w:szCs w:val="22"/>
              </w:rPr>
              <w:t>符合施工</w:t>
            </w:r>
            <w:r>
              <w:rPr>
                <w:rFonts w:hint="eastAsia" w:ascii="黑体" w:hAnsi="黑体" w:eastAsia="黑体" w:cs="黑体"/>
                <w:bCs/>
                <w:color w:val="auto"/>
                <w:sz w:val="24"/>
                <w:szCs w:val="22"/>
                <w:lang w:val="en-US" w:eastAsia="zh-CN"/>
              </w:rPr>
              <w:t>科学</w:t>
            </w:r>
            <w:r>
              <w:rPr>
                <w:rFonts w:hint="eastAsia" w:ascii="黑体" w:hAnsi="黑体" w:eastAsia="黑体" w:cs="黑体"/>
                <w:bCs/>
                <w:color w:val="auto"/>
                <w:sz w:val="24"/>
                <w:szCs w:val="22"/>
              </w:rPr>
              <w:t>规律，</w:t>
            </w:r>
            <w:r>
              <w:rPr>
                <w:rFonts w:hint="eastAsia" w:ascii="黑体" w:hAnsi="黑体" w:eastAsia="黑体" w:cs="黑体"/>
                <w:bCs/>
                <w:color w:val="auto"/>
                <w:sz w:val="24"/>
                <w:szCs w:val="22"/>
                <w:lang w:val="en-US" w:eastAsia="zh-CN"/>
              </w:rPr>
              <w:t>环境改善制度健全，目标明确，环境保证措施</w:t>
            </w:r>
            <w:r>
              <w:rPr>
                <w:rFonts w:hint="eastAsia" w:ascii="黑体" w:hAnsi="黑体" w:eastAsia="黑体" w:cs="黑体"/>
                <w:bCs/>
                <w:color w:val="auto"/>
                <w:sz w:val="24"/>
                <w:szCs w:val="22"/>
              </w:rPr>
              <w:t>切实可行</w:t>
            </w:r>
            <w:r>
              <w:rPr>
                <w:rFonts w:hint="eastAsia" w:ascii="黑体" w:hAnsi="黑体" w:eastAsia="黑体" w:cs="黑体"/>
                <w:bCs/>
                <w:color w:val="auto"/>
                <w:sz w:val="24"/>
                <w:szCs w:val="22"/>
                <w:lang w:val="en-US" w:eastAsia="zh-CN"/>
              </w:rPr>
              <w:t>的</w:t>
            </w:r>
            <w:r>
              <w:rPr>
                <w:rFonts w:hint="eastAsia" w:ascii="黑体" w:hAnsi="黑体" w:eastAsia="黑体" w:cs="黑体"/>
                <w:bCs/>
                <w:color w:val="auto"/>
                <w:sz w:val="24"/>
                <w:szCs w:val="22"/>
              </w:rPr>
              <w:t>得</w:t>
            </w:r>
            <w:r>
              <w:rPr>
                <w:rFonts w:hint="eastAsia" w:ascii="黑体" w:hAnsi="黑体" w:eastAsia="黑体" w:cs="黑体"/>
                <w:bCs/>
                <w:color w:val="auto"/>
                <w:sz w:val="24"/>
                <w:szCs w:val="22"/>
                <w:lang w:val="en-US" w:eastAsia="zh-CN"/>
              </w:rPr>
              <w:t>10</w:t>
            </w:r>
            <w:r>
              <w:rPr>
                <w:rFonts w:hint="eastAsia" w:ascii="黑体" w:hAnsi="黑体" w:eastAsia="黑体" w:cs="黑体"/>
                <w:bCs/>
                <w:color w:val="auto"/>
                <w:sz w:val="24"/>
                <w:szCs w:val="22"/>
              </w:rPr>
              <w:t>分，</w:t>
            </w:r>
            <w:r>
              <w:rPr>
                <w:rFonts w:hint="eastAsia" w:ascii="黑体" w:hAnsi="黑体" w:eastAsia="黑体" w:cs="黑体"/>
                <w:bCs/>
                <w:color w:val="auto"/>
                <w:sz w:val="24"/>
                <w:szCs w:val="24"/>
                <w:lang w:val="en-US" w:eastAsia="zh-CN"/>
              </w:rPr>
              <w:t>现场环境管理计划</w:t>
            </w:r>
            <w:r>
              <w:rPr>
                <w:rFonts w:hint="eastAsia" w:ascii="黑体" w:hAnsi="黑体" w:eastAsia="黑体" w:cs="黑体"/>
                <w:bCs/>
                <w:color w:val="auto"/>
                <w:sz w:val="24"/>
                <w:szCs w:val="22"/>
                <w:lang w:val="en-US" w:eastAsia="zh-CN"/>
              </w:rPr>
              <w:t>比较全面的得6分</w:t>
            </w:r>
            <w:r>
              <w:rPr>
                <w:rFonts w:hint="eastAsia" w:ascii="黑体" w:hAnsi="黑体" w:eastAsia="黑体" w:cs="黑体"/>
                <w:bCs/>
                <w:color w:val="auto"/>
                <w:sz w:val="24"/>
                <w:szCs w:val="22"/>
              </w:rPr>
              <w:t>，</w:t>
            </w:r>
            <w:r>
              <w:rPr>
                <w:rFonts w:hint="eastAsia" w:ascii="黑体" w:hAnsi="黑体" w:eastAsia="黑体" w:cs="黑体"/>
                <w:bCs/>
                <w:color w:val="auto"/>
                <w:sz w:val="24"/>
                <w:szCs w:val="24"/>
                <w:lang w:val="en-US" w:eastAsia="zh-CN"/>
              </w:rPr>
              <w:t>现场环境管理计划</w:t>
            </w:r>
            <w:r>
              <w:rPr>
                <w:rFonts w:hint="eastAsia" w:ascii="黑体" w:hAnsi="黑体" w:eastAsia="黑体" w:cs="黑体"/>
                <w:bCs/>
                <w:color w:val="auto"/>
                <w:sz w:val="24"/>
                <w:szCs w:val="22"/>
                <w:lang w:val="en-US" w:eastAsia="zh-CN"/>
              </w:rPr>
              <w:t>较差的得2分，无措施的得0分。</w:t>
            </w:r>
          </w:p>
        </w:tc>
      </w:tr>
      <w:tr w14:paraId="67D24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1" w:hRule="atLeast"/>
        </w:trPr>
        <w:tc>
          <w:tcPr>
            <w:tcW w:w="1151" w:type="dxa"/>
            <w:vMerge w:val="continue"/>
            <w:noWrap w:val="0"/>
            <w:vAlign w:val="center"/>
          </w:tcPr>
          <w:p w14:paraId="60B0A93F">
            <w:pPr>
              <w:keepNext w:val="0"/>
              <w:keepLines w:val="0"/>
              <w:kinsoku/>
              <w:wordWrap/>
              <w:overflowPunct/>
              <w:topLinePunct w:val="0"/>
              <w:autoSpaceDE/>
              <w:autoSpaceDN/>
              <w:bidi w:val="0"/>
              <w:spacing w:after="120" w:afterLines="50" w:line="360" w:lineRule="auto"/>
              <w:jc w:val="center"/>
              <w:outlineLvl w:val="9"/>
              <w:rPr>
                <w:rFonts w:hint="eastAsia" w:ascii="黑体" w:hAnsi="黑体" w:eastAsia="黑体" w:cs="黑体"/>
                <w:b/>
                <w:bCs w:val="0"/>
                <w:color w:val="auto"/>
                <w:sz w:val="24"/>
                <w:szCs w:val="24"/>
              </w:rPr>
            </w:pPr>
          </w:p>
        </w:tc>
        <w:tc>
          <w:tcPr>
            <w:tcW w:w="10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5E411A">
            <w:pPr>
              <w:keepNext w:val="0"/>
              <w:keepLines w:val="0"/>
              <w:kinsoku/>
              <w:wordWrap/>
              <w:overflowPunct/>
              <w:topLinePunct w:val="0"/>
              <w:autoSpaceDE/>
              <w:autoSpaceDN/>
              <w:bidi w:val="0"/>
              <w:spacing w:after="120" w:afterLines="50" w:line="360" w:lineRule="auto"/>
              <w:jc w:val="both"/>
              <w:outlineLvl w:val="9"/>
              <w:rPr>
                <w:rFonts w:hint="eastAsia" w:ascii="黑体" w:hAnsi="黑体" w:eastAsia="黑体" w:cs="黑体"/>
                <w:b/>
                <w:bCs w:val="0"/>
                <w:color w:val="auto"/>
                <w:sz w:val="24"/>
                <w:szCs w:val="24"/>
              </w:rPr>
            </w:pPr>
            <w:r>
              <w:rPr>
                <w:rFonts w:hint="eastAsia" w:ascii="黑体" w:hAnsi="黑体" w:eastAsia="黑体" w:cs="黑体"/>
                <w:b/>
                <w:bCs w:val="0"/>
                <w:color w:val="auto"/>
                <w:sz w:val="24"/>
                <w:szCs w:val="24"/>
              </w:rPr>
              <w:t>技术重点、难点解决方案</w:t>
            </w:r>
          </w:p>
        </w:tc>
        <w:tc>
          <w:tcPr>
            <w:tcW w:w="795"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724389A">
            <w:pPr>
              <w:pStyle w:val="33"/>
              <w:keepNext w:val="0"/>
              <w:keepLines w:val="0"/>
              <w:kinsoku/>
              <w:wordWrap/>
              <w:overflowPunct/>
              <w:topLinePunct w:val="0"/>
              <w:autoSpaceDE/>
              <w:autoSpaceDN/>
              <w:bidi w:val="0"/>
              <w:spacing w:line="360" w:lineRule="auto"/>
              <w:jc w:val="center"/>
              <w:outlineLvl w:val="9"/>
              <w:rPr>
                <w:rFonts w:hint="eastAsia" w:ascii="黑体" w:hAnsi="黑体" w:eastAsia="黑体" w:cs="黑体"/>
                <w:b/>
                <w:bCs w:val="0"/>
                <w:color w:val="auto"/>
                <w:sz w:val="24"/>
                <w:szCs w:val="22"/>
              </w:rPr>
            </w:pPr>
            <w:r>
              <w:rPr>
                <w:rFonts w:hint="eastAsia" w:ascii="黑体" w:hAnsi="黑体" w:eastAsia="黑体" w:cs="黑体"/>
                <w:b/>
                <w:bCs w:val="0"/>
                <w:color w:val="auto"/>
                <w:sz w:val="24"/>
                <w:szCs w:val="22"/>
                <w:lang w:val="en-US" w:eastAsia="zh-CN"/>
              </w:rPr>
              <w:t>4分</w:t>
            </w:r>
          </w:p>
        </w:tc>
        <w:tc>
          <w:tcPr>
            <w:tcW w:w="6373" w:type="dxa"/>
            <w:tcBorders>
              <w:left w:val="single" w:color="auto" w:sz="4" w:space="0"/>
              <w:right w:val="single" w:color="auto" w:sz="4" w:space="0"/>
            </w:tcBorders>
            <w:noWrap w:val="0"/>
            <w:tcMar>
              <w:top w:w="15" w:type="dxa"/>
              <w:left w:w="15" w:type="dxa"/>
              <w:bottom w:w="0" w:type="dxa"/>
              <w:right w:w="15" w:type="dxa"/>
            </w:tcMar>
            <w:vAlign w:val="center"/>
          </w:tcPr>
          <w:p w14:paraId="5A622549">
            <w:pPr>
              <w:pStyle w:val="33"/>
              <w:keepNext w:val="0"/>
              <w:keepLines w:val="0"/>
              <w:kinsoku/>
              <w:wordWrap/>
              <w:overflowPunct/>
              <w:topLinePunct w:val="0"/>
              <w:autoSpaceDE/>
              <w:autoSpaceDN/>
              <w:bidi w:val="0"/>
              <w:spacing w:line="360" w:lineRule="auto"/>
              <w:jc w:val="left"/>
              <w:outlineLvl w:val="9"/>
              <w:rPr>
                <w:rFonts w:hint="eastAsia" w:ascii="黑体" w:hAnsi="黑体" w:eastAsia="黑体" w:cs="黑体"/>
                <w:bCs/>
                <w:color w:val="auto"/>
                <w:sz w:val="24"/>
                <w:szCs w:val="22"/>
              </w:rPr>
            </w:pPr>
            <w:r>
              <w:rPr>
                <w:rFonts w:hint="eastAsia" w:ascii="黑体" w:hAnsi="黑体" w:eastAsia="黑体" w:cs="黑体"/>
                <w:bCs/>
                <w:color w:val="auto"/>
                <w:sz w:val="24"/>
                <w:szCs w:val="22"/>
              </w:rPr>
              <w:t>技术重点</w:t>
            </w:r>
            <w:r>
              <w:rPr>
                <w:rFonts w:hint="eastAsia" w:ascii="黑体" w:hAnsi="黑体" w:eastAsia="黑体" w:cs="黑体"/>
                <w:bCs/>
                <w:color w:val="auto"/>
                <w:sz w:val="24"/>
                <w:szCs w:val="22"/>
                <w:lang w:eastAsia="zh-CN"/>
              </w:rPr>
              <w:t>、</w:t>
            </w:r>
            <w:r>
              <w:rPr>
                <w:rFonts w:hint="eastAsia" w:ascii="黑体" w:hAnsi="黑体" w:eastAsia="黑体" w:cs="黑体"/>
                <w:bCs/>
                <w:color w:val="auto"/>
                <w:sz w:val="24"/>
                <w:szCs w:val="22"/>
              </w:rPr>
              <w:t>难点</w:t>
            </w:r>
            <w:r>
              <w:rPr>
                <w:rFonts w:hint="eastAsia" w:ascii="黑体" w:hAnsi="黑体" w:eastAsia="黑体" w:cs="黑体"/>
                <w:bCs/>
                <w:color w:val="auto"/>
                <w:sz w:val="24"/>
                <w:szCs w:val="22"/>
                <w:lang w:val="en-US" w:eastAsia="zh-CN"/>
              </w:rPr>
              <w:t>分析符合工程实际，</w:t>
            </w:r>
            <w:r>
              <w:rPr>
                <w:rFonts w:hint="eastAsia" w:ascii="黑体" w:hAnsi="黑体" w:eastAsia="黑体" w:cs="黑体"/>
                <w:bCs/>
                <w:color w:val="auto"/>
                <w:sz w:val="24"/>
                <w:szCs w:val="22"/>
              </w:rPr>
              <w:t>相应的解决方案</w:t>
            </w:r>
            <w:r>
              <w:rPr>
                <w:rFonts w:hint="eastAsia" w:ascii="黑体" w:hAnsi="黑体" w:eastAsia="黑体" w:cs="黑体"/>
                <w:bCs/>
                <w:color w:val="auto"/>
                <w:sz w:val="24"/>
                <w:szCs w:val="22"/>
                <w:lang w:val="en-US" w:eastAsia="zh-CN"/>
              </w:rPr>
              <w:t>切实可行的</w:t>
            </w:r>
            <w:r>
              <w:rPr>
                <w:rFonts w:hint="eastAsia" w:ascii="黑体" w:hAnsi="黑体" w:eastAsia="黑体" w:cs="黑体"/>
                <w:bCs/>
                <w:color w:val="auto"/>
                <w:sz w:val="24"/>
                <w:szCs w:val="22"/>
              </w:rPr>
              <w:t>得</w:t>
            </w:r>
            <w:r>
              <w:rPr>
                <w:rFonts w:hint="eastAsia" w:ascii="黑体" w:hAnsi="黑体" w:eastAsia="黑体" w:cs="黑体"/>
                <w:bCs/>
                <w:color w:val="auto"/>
                <w:sz w:val="24"/>
                <w:szCs w:val="22"/>
                <w:lang w:val="en-US" w:eastAsia="zh-CN"/>
              </w:rPr>
              <w:t>4</w:t>
            </w:r>
            <w:r>
              <w:rPr>
                <w:rFonts w:hint="eastAsia" w:ascii="黑体" w:hAnsi="黑体" w:eastAsia="黑体" w:cs="黑体"/>
                <w:bCs/>
                <w:color w:val="auto"/>
                <w:sz w:val="24"/>
                <w:szCs w:val="22"/>
              </w:rPr>
              <w:t>分，</w:t>
            </w:r>
            <w:r>
              <w:rPr>
                <w:rFonts w:hint="eastAsia" w:ascii="黑体" w:hAnsi="黑体" w:eastAsia="黑体" w:cs="黑体"/>
                <w:bCs/>
                <w:color w:val="auto"/>
                <w:sz w:val="24"/>
                <w:szCs w:val="24"/>
              </w:rPr>
              <w:t>技术重点、难点解决方案</w:t>
            </w:r>
            <w:r>
              <w:rPr>
                <w:rFonts w:hint="eastAsia" w:ascii="黑体" w:hAnsi="黑体" w:eastAsia="黑体" w:cs="黑体"/>
                <w:bCs/>
                <w:color w:val="auto"/>
                <w:sz w:val="24"/>
                <w:szCs w:val="24"/>
                <w:lang w:val="en-US" w:eastAsia="zh-CN"/>
              </w:rPr>
              <w:t>比较</w:t>
            </w:r>
            <w:r>
              <w:rPr>
                <w:rFonts w:hint="eastAsia" w:ascii="黑体" w:hAnsi="黑体" w:eastAsia="黑体" w:cs="黑体"/>
                <w:bCs/>
                <w:color w:val="auto"/>
                <w:sz w:val="24"/>
                <w:szCs w:val="22"/>
              </w:rPr>
              <w:t>一般</w:t>
            </w:r>
            <w:r>
              <w:rPr>
                <w:rFonts w:hint="eastAsia" w:ascii="黑体" w:hAnsi="黑体" w:eastAsia="黑体" w:cs="黑体"/>
                <w:bCs/>
                <w:color w:val="auto"/>
                <w:sz w:val="24"/>
                <w:szCs w:val="22"/>
                <w:lang w:val="en-US" w:eastAsia="zh-CN"/>
              </w:rPr>
              <w:t>的</w:t>
            </w:r>
            <w:r>
              <w:rPr>
                <w:rFonts w:hint="eastAsia" w:ascii="黑体" w:hAnsi="黑体" w:eastAsia="黑体" w:cs="黑体"/>
                <w:bCs/>
                <w:color w:val="auto"/>
                <w:sz w:val="24"/>
                <w:szCs w:val="22"/>
              </w:rPr>
              <w:t>得</w:t>
            </w:r>
            <w:r>
              <w:rPr>
                <w:rFonts w:hint="eastAsia" w:ascii="黑体" w:hAnsi="黑体" w:eastAsia="黑体" w:cs="黑体"/>
                <w:bCs/>
                <w:color w:val="auto"/>
                <w:sz w:val="24"/>
                <w:szCs w:val="22"/>
                <w:lang w:val="en-US" w:eastAsia="zh-CN"/>
              </w:rPr>
              <w:t>2</w:t>
            </w:r>
            <w:r>
              <w:rPr>
                <w:rFonts w:hint="eastAsia" w:ascii="黑体" w:hAnsi="黑体" w:eastAsia="黑体" w:cs="黑体"/>
                <w:bCs/>
                <w:color w:val="auto"/>
                <w:sz w:val="24"/>
                <w:szCs w:val="22"/>
              </w:rPr>
              <w:t>分，</w:t>
            </w:r>
            <w:r>
              <w:rPr>
                <w:rFonts w:hint="eastAsia" w:ascii="黑体" w:hAnsi="黑体" w:eastAsia="黑体" w:cs="黑体"/>
                <w:bCs/>
                <w:color w:val="auto"/>
                <w:sz w:val="24"/>
                <w:szCs w:val="24"/>
              </w:rPr>
              <w:t>技术重点、难点解决方案</w:t>
            </w:r>
            <w:r>
              <w:rPr>
                <w:rFonts w:hint="eastAsia" w:ascii="黑体" w:hAnsi="黑体" w:eastAsia="黑体" w:cs="黑体"/>
                <w:bCs/>
                <w:color w:val="auto"/>
                <w:sz w:val="24"/>
                <w:szCs w:val="22"/>
              </w:rPr>
              <w:t>较差</w:t>
            </w:r>
            <w:r>
              <w:rPr>
                <w:rFonts w:hint="eastAsia" w:ascii="黑体" w:hAnsi="黑体" w:eastAsia="黑体" w:cs="黑体"/>
                <w:bCs/>
                <w:color w:val="auto"/>
                <w:sz w:val="24"/>
                <w:szCs w:val="22"/>
                <w:lang w:val="en-US" w:eastAsia="zh-CN"/>
              </w:rPr>
              <w:t>的</w:t>
            </w:r>
            <w:r>
              <w:rPr>
                <w:rFonts w:hint="eastAsia" w:ascii="黑体" w:hAnsi="黑体" w:eastAsia="黑体" w:cs="黑体"/>
                <w:bCs/>
                <w:color w:val="auto"/>
                <w:sz w:val="24"/>
                <w:szCs w:val="22"/>
              </w:rPr>
              <w:t>得</w:t>
            </w:r>
            <w:r>
              <w:rPr>
                <w:rFonts w:hint="eastAsia" w:ascii="黑体" w:hAnsi="黑体" w:eastAsia="黑体" w:cs="黑体"/>
                <w:bCs/>
                <w:color w:val="auto"/>
                <w:sz w:val="24"/>
                <w:szCs w:val="22"/>
                <w:lang w:val="en-US" w:eastAsia="zh-CN"/>
              </w:rPr>
              <w:t>1</w:t>
            </w:r>
            <w:r>
              <w:rPr>
                <w:rFonts w:hint="eastAsia" w:ascii="黑体" w:hAnsi="黑体" w:eastAsia="黑体" w:cs="黑体"/>
                <w:bCs/>
                <w:color w:val="auto"/>
                <w:sz w:val="24"/>
                <w:szCs w:val="22"/>
              </w:rPr>
              <w:t>分</w:t>
            </w:r>
            <w:r>
              <w:rPr>
                <w:rFonts w:hint="eastAsia" w:ascii="黑体" w:hAnsi="黑体" w:eastAsia="黑体" w:cs="黑体"/>
                <w:bCs/>
                <w:color w:val="auto"/>
                <w:sz w:val="24"/>
                <w:szCs w:val="22"/>
                <w:lang w:eastAsia="zh-CN"/>
              </w:rPr>
              <w:t>，</w:t>
            </w:r>
            <w:r>
              <w:rPr>
                <w:rFonts w:hint="eastAsia" w:ascii="黑体" w:hAnsi="黑体" w:eastAsia="黑体" w:cs="黑体"/>
                <w:bCs/>
                <w:color w:val="auto"/>
                <w:sz w:val="24"/>
                <w:szCs w:val="22"/>
                <w:lang w:val="en-US" w:eastAsia="zh-CN"/>
              </w:rPr>
              <w:t>无方案的得0分。</w:t>
            </w:r>
          </w:p>
        </w:tc>
      </w:tr>
      <w:tr w14:paraId="0BC88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1" w:hRule="atLeast"/>
        </w:trPr>
        <w:tc>
          <w:tcPr>
            <w:tcW w:w="1151" w:type="dxa"/>
            <w:noWrap w:val="0"/>
            <w:vAlign w:val="center"/>
          </w:tcPr>
          <w:p w14:paraId="4A598D60">
            <w:pPr>
              <w:keepNext w:val="0"/>
              <w:keepLines w:val="0"/>
              <w:kinsoku/>
              <w:wordWrap/>
              <w:overflowPunct/>
              <w:topLinePunct w:val="0"/>
              <w:autoSpaceDE/>
              <w:autoSpaceDN/>
              <w:bidi w:val="0"/>
              <w:spacing w:after="120" w:afterLines="50" w:line="360" w:lineRule="auto"/>
              <w:jc w:val="center"/>
              <w:outlineLvl w:val="9"/>
              <w:rPr>
                <w:rFonts w:hint="eastAsia" w:ascii="黑体" w:hAnsi="黑体" w:eastAsia="黑体" w:cs="黑体"/>
                <w:b/>
                <w:bCs w:val="0"/>
                <w:color w:val="auto"/>
                <w:sz w:val="24"/>
                <w:szCs w:val="32"/>
              </w:rPr>
            </w:pPr>
          </w:p>
        </w:tc>
        <w:tc>
          <w:tcPr>
            <w:tcW w:w="10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228ACA">
            <w:pPr>
              <w:keepNext w:val="0"/>
              <w:keepLines w:val="0"/>
              <w:kinsoku/>
              <w:wordWrap/>
              <w:overflowPunct/>
              <w:topLinePunct w:val="0"/>
              <w:autoSpaceDE/>
              <w:autoSpaceDN/>
              <w:bidi w:val="0"/>
              <w:spacing w:after="120" w:afterLines="50" w:line="360" w:lineRule="auto"/>
              <w:jc w:val="center"/>
              <w:outlineLvl w:val="9"/>
              <w:rPr>
                <w:rFonts w:hint="eastAsia" w:ascii="黑体" w:hAnsi="黑体" w:eastAsia="黑体" w:cs="黑体"/>
                <w:b/>
                <w:bCs w:val="0"/>
                <w:color w:val="auto"/>
                <w:sz w:val="24"/>
                <w:szCs w:val="24"/>
              </w:rPr>
            </w:pPr>
            <w:r>
              <w:rPr>
                <w:rFonts w:hint="eastAsia" w:ascii="黑体" w:hAnsi="黑体" w:eastAsia="黑体" w:cs="黑体"/>
                <w:b/>
                <w:bCs w:val="0"/>
                <w:color w:val="auto"/>
                <w:sz w:val="24"/>
                <w:szCs w:val="24"/>
                <w:lang w:val="en-US" w:eastAsia="zh-CN"/>
              </w:rPr>
              <w:t>工程保修计划</w:t>
            </w:r>
          </w:p>
        </w:tc>
        <w:tc>
          <w:tcPr>
            <w:tcW w:w="795"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97B29EF">
            <w:pPr>
              <w:pStyle w:val="33"/>
              <w:keepNext w:val="0"/>
              <w:keepLines w:val="0"/>
              <w:kinsoku/>
              <w:wordWrap/>
              <w:overflowPunct/>
              <w:topLinePunct w:val="0"/>
              <w:autoSpaceDE/>
              <w:autoSpaceDN/>
              <w:bidi w:val="0"/>
              <w:spacing w:line="360" w:lineRule="auto"/>
              <w:jc w:val="center"/>
              <w:outlineLvl w:val="9"/>
              <w:rPr>
                <w:rFonts w:hint="eastAsia" w:ascii="黑体" w:hAnsi="黑体" w:eastAsia="黑体" w:cs="黑体"/>
                <w:b/>
                <w:bCs w:val="0"/>
                <w:color w:val="auto"/>
                <w:sz w:val="24"/>
                <w:szCs w:val="24"/>
              </w:rPr>
            </w:pPr>
            <w:r>
              <w:rPr>
                <w:rFonts w:hint="eastAsia" w:ascii="黑体" w:hAnsi="黑体" w:eastAsia="黑体" w:cs="黑体"/>
                <w:b/>
                <w:bCs w:val="0"/>
                <w:color w:val="auto"/>
                <w:sz w:val="24"/>
                <w:szCs w:val="22"/>
                <w:lang w:val="en-US" w:eastAsia="zh-CN"/>
              </w:rPr>
              <w:t>2分</w:t>
            </w:r>
          </w:p>
        </w:tc>
        <w:tc>
          <w:tcPr>
            <w:tcW w:w="6373" w:type="dxa"/>
            <w:tcBorders>
              <w:left w:val="single" w:color="auto" w:sz="4" w:space="0"/>
              <w:right w:val="single" w:color="auto" w:sz="4" w:space="0"/>
            </w:tcBorders>
            <w:noWrap w:val="0"/>
            <w:tcMar>
              <w:top w:w="15" w:type="dxa"/>
              <w:left w:w="15" w:type="dxa"/>
              <w:bottom w:w="0" w:type="dxa"/>
              <w:right w:w="15" w:type="dxa"/>
            </w:tcMar>
            <w:vAlign w:val="center"/>
          </w:tcPr>
          <w:p w14:paraId="136266C4">
            <w:pPr>
              <w:pStyle w:val="33"/>
              <w:keepNext w:val="0"/>
              <w:keepLines w:val="0"/>
              <w:kinsoku/>
              <w:wordWrap/>
              <w:overflowPunct/>
              <w:topLinePunct w:val="0"/>
              <w:autoSpaceDE/>
              <w:autoSpaceDN/>
              <w:bidi w:val="0"/>
              <w:spacing w:line="360" w:lineRule="auto"/>
              <w:jc w:val="left"/>
              <w:outlineLvl w:val="9"/>
              <w:rPr>
                <w:rFonts w:hint="eastAsia" w:ascii="黑体" w:hAnsi="黑体" w:eastAsia="黑体" w:cs="黑体"/>
                <w:bCs/>
                <w:color w:val="auto"/>
                <w:sz w:val="24"/>
                <w:szCs w:val="24"/>
              </w:rPr>
            </w:pPr>
            <w:r>
              <w:rPr>
                <w:rFonts w:hint="eastAsia" w:ascii="黑体" w:hAnsi="黑体" w:eastAsia="黑体" w:cs="黑体"/>
                <w:color w:val="auto"/>
                <w:sz w:val="24"/>
                <w:szCs w:val="22"/>
                <w:lang w:val="en-US" w:eastAsia="zh-CN"/>
              </w:rPr>
              <w:t>计划内容全面，符合工程实际情况的得2分，内容较全面，符合工程实际的得1分，无计划的得0分。</w:t>
            </w:r>
          </w:p>
        </w:tc>
      </w:tr>
    </w:tbl>
    <w:p w14:paraId="028525DB">
      <w:pPr>
        <w:spacing w:line="360" w:lineRule="auto"/>
        <w:jc w:val="both"/>
        <w:rPr>
          <w:rFonts w:hint="eastAsia" w:ascii="黑体" w:hAnsi="黑体" w:eastAsia="黑体" w:cs="黑体"/>
          <w:vanish/>
          <w:color w:val="auto"/>
          <w:sz w:val="21"/>
          <w:szCs w:val="24"/>
        </w:rPr>
      </w:pPr>
      <w:r>
        <w:rPr>
          <w:rFonts w:hint="eastAsia" w:ascii="黑体" w:hAnsi="黑体" w:eastAsia="黑体" w:cs="黑体"/>
          <w:b/>
          <w:bCs/>
          <w:color w:val="auto"/>
          <w:kern w:val="0"/>
          <w:sz w:val="24"/>
          <w:szCs w:val="24"/>
          <w:lang w:bidi="ar"/>
        </w:rPr>
        <w:t>详细评分表（满分100分</w:t>
      </w:r>
      <w:r>
        <w:rPr>
          <w:rFonts w:hint="eastAsia" w:ascii="黑体" w:hAnsi="黑体" w:eastAsia="黑体" w:cs="黑体"/>
          <w:color w:val="auto"/>
          <w:kern w:val="0"/>
          <w:sz w:val="22"/>
          <w:szCs w:val="22"/>
          <w:lang w:bidi="ar"/>
        </w:rPr>
        <w:t>）</w:t>
      </w:r>
    </w:p>
    <w:p w14:paraId="3BBF0213">
      <w:pPr>
        <w:spacing w:line="360" w:lineRule="auto"/>
        <w:jc w:val="center"/>
        <w:rPr>
          <w:rFonts w:hint="eastAsia" w:ascii="黑体" w:hAnsi="黑体" w:eastAsia="黑体" w:cs="黑体"/>
          <w:vanish/>
          <w:color w:val="auto"/>
          <w:sz w:val="21"/>
          <w:szCs w:val="24"/>
        </w:rPr>
      </w:pPr>
    </w:p>
    <w:p w14:paraId="42C146DD">
      <w:pPr>
        <w:autoSpaceDE w:val="0"/>
        <w:autoSpaceDN w:val="0"/>
        <w:spacing w:line="360" w:lineRule="auto"/>
        <w:ind w:right="-1039" w:rightChars="-495"/>
        <w:jc w:val="left"/>
        <w:rPr>
          <w:rFonts w:hint="eastAsia" w:ascii="黑体" w:hAnsi="黑体" w:eastAsia="黑体" w:cs="黑体"/>
          <w:b/>
          <w:bCs/>
          <w:color w:val="auto"/>
          <w:sz w:val="24"/>
          <w:szCs w:val="24"/>
          <w:lang w:eastAsia="zh-CN"/>
        </w:rPr>
      </w:pPr>
      <w:r>
        <w:rPr>
          <w:rFonts w:hint="eastAsia" w:ascii="黑体" w:hAnsi="黑体" w:eastAsia="黑体" w:cs="黑体"/>
          <w:b/>
          <w:bCs/>
          <w:color w:val="auto"/>
          <w:sz w:val="24"/>
          <w:szCs w:val="24"/>
        </w:rPr>
        <w:t>注</w:t>
      </w:r>
      <w:r>
        <w:rPr>
          <w:rFonts w:hint="eastAsia" w:ascii="黑体" w:hAnsi="黑体" w:eastAsia="黑体" w:cs="黑体"/>
          <w:b/>
          <w:bCs/>
          <w:color w:val="auto"/>
          <w:sz w:val="24"/>
          <w:szCs w:val="24"/>
          <w:lang w:eastAsia="zh-CN"/>
        </w:rPr>
        <w:t>：</w:t>
      </w:r>
      <w:r>
        <w:rPr>
          <w:rFonts w:hint="eastAsia" w:ascii="黑体" w:hAnsi="黑体" w:eastAsia="黑体" w:cs="黑体"/>
          <w:b/>
          <w:bCs/>
          <w:color w:val="auto"/>
          <w:sz w:val="24"/>
          <w:szCs w:val="24"/>
        </w:rPr>
        <w:t>评审完毕，评标委员会根据汇总各投标企业的综合得分，按照得分高低序，取前三名作为中标候选人推荐给招标人。如果投标人的得分相同，投标价格低者排在前。</w:t>
      </w:r>
      <w:r>
        <w:rPr>
          <w:rFonts w:hint="eastAsia" w:ascii="黑体" w:hAnsi="黑体" w:eastAsia="黑体" w:cs="黑体"/>
          <w:b/>
          <w:bCs/>
          <w:color w:val="auto"/>
          <w:sz w:val="24"/>
          <w:szCs w:val="24"/>
          <w:lang w:val="en-US" w:eastAsia="zh-CN"/>
        </w:rPr>
        <w:t>计算公式的计算结果值在小数点后均保留两位小数，后余位数四舍五入计。</w:t>
      </w:r>
    </w:p>
    <w:p w14:paraId="6B4AF706">
      <w:pPr>
        <w:autoSpaceDE w:val="0"/>
        <w:autoSpaceDN w:val="0"/>
        <w:spacing w:line="240" w:lineRule="auto"/>
        <w:ind w:right="-1039" w:rightChars="-495"/>
        <w:jc w:val="left"/>
        <w:rPr>
          <w:rFonts w:hint="eastAsia" w:ascii="黑体" w:hAnsi="黑体" w:eastAsia="黑体" w:cs="黑体"/>
          <w:b/>
          <w:bCs/>
          <w:color w:val="auto"/>
          <w:sz w:val="24"/>
          <w:szCs w:val="24"/>
        </w:rPr>
      </w:pPr>
    </w:p>
    <w:bookmarkEnd w:id="372"/>
    <w:p w14:paraId="698165B3">
      <w:pPr>
        <w:pStyle w:val="5"/>
        <w:pageBreakBefore w:val="0"/>
        <w:widowControl w:val="0"/>
        <w:kinsoku/>
        <w:wordWrap w:val="0"/>
        <w:overflowPunct/>
        <w:topLinePunct w:val="0"/>
        <w:autoSpaceDE/>
        <w:autoSpaceDN/>
        <w:bidi w:val="0"/>
        <w:adjustRightInd/>
        <w:snapToGrid/>
        <w:spacing w:before="0" w:beforeLines="0" w:after="0" w:afterLines="0" w:line="360" w:lineRule="auto"/>
        <w:ind w:left="0" w:leftChars="0" w:right="0"/>
        <w:jc w:val="center"/>
        <w:textAlignment w:val="auto"/>
        <w:outlineLvl w:val="9"/>
        <w:rPr>
          <w:rFonts w:hint="eastAsia" w:ascii="黑体" w:hAnsi="黑体" w:eastAsia="黑体" w:cs="黑体"/>
          <w:color w:val="auto"/>
        </w:rPr>
      </w:pPr>
      <w:bookmarkStart w:id="485" w:name="_Toc229305361"/>
      <w:bookmarkStart w:id="486" w:name="_Toc222033852"/>
      <w:bookmarkStart w:id="487" w:name="_Toc221950661"/>
      <w:bookmarkStart w:id="488" w:name="_Toc222029501"/>
      <w:bookmarkStart w:id="489" w:name="_Toc222032670"/>
      <w:bookmarkStart w:id="490" w:name="_Toc222031003"/>
      <w:bookmarkStart w:id="491" w:name="_Toc221948339"/>
      <w:bookmarkStart w:id="492" w:name="_Toc229408496"/>
      <w:r>
        <w:rPr>
          <w:rFonts w:hint="eastAsia" w:ascii="黑体" w:hAnsi="黑体" w:eastAsia="黑体" w:cs="黑体"/>
          <w:color w:val="auto"/>
        </w:rPr>
        <w:br w:type="page"/>
      </w:r>
    </w:p>
    <w:p w14:paraId="2CC31830">
      <w:pPr>
        <w:jc w:val="center"/>
        <w:outlineLvl w:val="0"/>
        <w:rPr>
          <w:rFonts w:hint="eastAsia" w:ascii="黑体" w:hAnsi="黑体" w:eastAsia="黑体" w:cs="黑体"/>
          <w:b/>
          <w:bCs/>
          <w:color w:val="auto"/>
          <w:sz w:val="28"/>
          <w:szCs w:val="28"/>
        </w:rPr>
      </w:pPr>
      <w:bookmarkStart w:id="493" w:name="_Toc9958"/>
      <w:r>
        <w:rPr>
          <w:rFonts w:hint="eastAsia" w:ascii="黑体" w:hAnsi="黑体" w:eastAsia="黑体" w:cs="黑体"/>
          <w:b/>
          <w:bCs/>
          <w:color w:val="auto"/>
          <w:sz w:val="28"/>
          <w:szCs w:val="28"/>
        </w:rPr>
        <w:t>第</w:t>
      </w:r>
      <w:r>
        <w:rPr>
          <w:rFonts w:hint="eastAsia" w:ascii="黑体" w:hAnsi="黑体" w:eastAsia="黑体" w:cs="黑体"/>
          <w:b/>
          <w:bCs/>
          <w:color w:val="auto"/>
          <w:sz w:val="28"/>
          <w:szCs w:val="28"/>
          <w:lang w:val="en-US" w:eastAsia="zh-CN"/>
        </w:rPr>
        <w:t>七</w:t>
      </w:r>
      <w:r>
        <w:rPr>
          <w:rFonts w:hint="eastAsia" w:ascii="黑体" w:hAnsi="黑体" w:eastAsia="黑体" w:cs="黑体"/>
          <w:b/>
          <w:bCs/>
          <w:color w:val="auto"/>
          <w:sz w:val="28"/>
          <w:szCs w:val="28"/>
        </w:rPr>
        <w:t>章 合同条款及格式</w:t>
      </w:r>
      <w:bookmarkEnd w:id="493"/>
    </w:p>
    <w:p w14:paraId="7EE161F1">
      <w:pPr>
        <w:rPr>
          <w:rFonts w:hint="eastAsia" w:ascii="黑体" w:hAnsi="黑体" w:eastAsia="黑体" w:cs="黑体"/>
          <w:color w:val="auto"/>
          <w:sz w:val="24"/>
          <w:szCs w:val="24"/>
        </w:rPr>
      </w:pPr>
      <w:r>
        <w:rPr>
          <w:rFonts w:hint="eastAsia" w:ascii="黑体" w:hAnsi="黑体" w:eastAsia="黑体" w:cs="黑体"/>
          <w:color w:val="auto"/>
          <w:sz w:val="24"/>
          <w:szCs w:val="24"/>
        </w:rPr>
        <w:br w:type="page"/>
      </w:r>
    </w:p>
    <w:bookmarkEnd w:id="485"/>
    <w:bookmarkEnd w:id="486"/>
    <w:bookmarkEnd w:id="487"/>
    <w:bookmarkEnd w:id="488"/>
    <w:bookmarkEnd w:id="489"/>
    <w:bookmarkEnd w:id="490"/>
    <w:bookmarkEnd w:id="491"/>
    <w:bookmarkEnd w:id="492"/>
    <w:p w14:paraId="05C2CC47">
      <w:pPr>
        <w:spacing w:line="360" w:lineRule="auto"/>
        <w:jc w:val="center"/>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rPr>
        <w:t>第</w:t>
      </w:r>
      <w:r>
        <w:rPr>
          <w:rFonts w:hint="eastAsia" w:ascii="黑体" w:hAnsi="黑体" w:eastAsia="黑体" w:cs="黑体"/>
          <w:color w:val="auto"/>
          <w:sz w:val="22"/>
          <w:szCs w:val="28"/>
          <w:highlight w:val="none"/>
          <w:lang w:val="en-US" w:eastAsia="zh-CN"/>
        </w:rPr>
        <w:t>一</w:t>
      </w:r>
      <w:r>
        <w:rPr>
          <w:rFonts w:hint="eastAsia" w:ascii="黑体" w:hAnsi="黑体" w:eastAsia="黑体" w:cs="黑体"/>
          <w:color w:val="auto"/>
          <w:sz w:val="22"/>
          <w:szCs w:val="28"/>
          <w:highlight w:val="none"/>
        </w:rPr>
        <w:t>部分 合同</w:t>
      </w:r>
      <w:r>
        <w:rPr>
          <w:rFonts w:hint="eastAsia" w:ascii="黑体" w:hAnsi="黑体" w:eastAsia="黑体" w:cs="黑体"/>
          <w:color w:val="auto"/>
          <w:sz w:val="22"/>
          <w:szCs w:val="28"/>
          <w:highlight w:val="none"/>
          <w:lang w:eastAsia="zh-CN"/>
        </w:rPr>
        <w:t>通用条款</w:t>
      </w:r>
    </w:p>
    <w:p w14:paraId="1C6B9FB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1、一般约定</w:t>
      </w:r>
    </w:p>
    <w:p w14:paraId="4E69FB4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 词语定义 通用合同条款、专用合同条款中的下列词语应具有本款所赋予的含义。</w:t>
      </w:r>
    </w:p>
    <w:p w14:paraId="2146DD8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1.1.1 合同</w:t>
      </w:r>
    </w:p>
    <w:p w14:paraId="33FCC32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1.1.1.1 合同文件（或称合同）：指合同协议书、中标通知书、投标函及投标函附录、专用合同条款、通用合同条款、技术标准和要求、图纸、已标价工程量清单，以及其他合同文件。</w:t>
      </w:r>
    </w:p>
    <w:p w14:paraId="729A229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1.1.1.2 合同协议书：指第 1.5 款所指的合同协议书。</w:t>
      </w:r>
    </w:p>
    <w:p w14:paraId="7178196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1.1.1.3 中标通知书：指发包人通知承包人中标的函件。</w:t>
      </w:r>
    </w:p>
    <w:p w14:paraId="1898F5C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1.1.1.4 投标函：指构成合同文件组成部分的由承包人填写并签署的投标函。</w:t>
      </w:r>
    </w:p>
    <w:p w14:paraId="20D7BBE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1.1.1.5 投标函附录：指附在投标函后构成合同文件的投标函附录。</w:t>
      </w:r>
    </w:p>
    <w:p w14:paraId="542D286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1.1.1.6 技术标准和要求：指构成合同文件组成部分的名为技术标准和要求（合同技术条款）的文 件，包括合同双方当事人约定对其所作的修改或补充。</w:t>
      </w:r>
    </w:p>
    <w:p w14:paraId="5E99A54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1.1.1.7 图纸：指列入合同的招标图纸、投标图纸和发包人按合同约定向承包人提供的施工图纸和其它图纸（包括配套说明和有关资料）。列入合同的招标图纸已成为合同文件的一部分，具有合同效力，主要用于在履行合同中作为衡量变更的依据，但不能直接用于施工。经发包人确认进入合同的投标图纸 亦成为合同文件的一部分，用于在履行合同中检验承包人是否按其投标时承诺的条件进行施工的依据，亦不能直接用于施工。</w:t>
      </w:r>
    </w:p>
    <w:p w14:paraId="70C5613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1.1.1.8 已标价工程量清单：指构成合同文件组成部分的由承包人按照规定的格式和要求填写并标明价格的工程量清单。</w:t>
      </w:r>
    </w:p>
    <w:p w14:paraId="6618030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1.1.1.9 其他合同文件：指经合同双方当事人确认构成合同文件的其他文件。</w:t>
      </w:r>
    </w:p>
    <w:p w14:paraId="4653F7B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1.1.2 合同当事人和人员</w:t>
      </w:r>
    </w:p>
    <w:p w14:paraId="2C46810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1.1.2.1 合同当事人：指发包人和（或）承包人。</w:t>
      </w:r>
    </w:p>
    <w:p w14:paraId="4B18EA2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1.1.2.2 发包人：指专用合同条款中指明并与承包人在合同协议书中签字的当事人。</w:t>
      </w:r>
    </w:p>
    <w:p w14:paraId="51D196C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1.1.2.3 承包人：指专用合同条款中指明并与发包人在合同协议书中签字的当事人。</w:t>
      </w:r>
    </w:p>
    <w:p w14:paraId="6E83744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1.1.2.4 承包人项目经理：指承包人派驻施工场地的全权负责人。</w:t>
      </w:r>
    </w:p>
    <w:p w14:paraId="5073613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1.1.2.5 分包人：指专用合同条款中指明的，从承包人处分包合同中某一部分工程，并与其签订分包合同的分包人。</w:t>
      </w:r>
    </w:p>
    <w:p w14:paraId="54B78BB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1.1.2.6 监理人：指在专用合同条款中指明的，受发包人委托对合同履行实施管理的法人或其他组织。</w:t>
      </w:r>
    </w:p>
    <w:p w14:paraId="49A0258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1.1.2.7 总监理工程师（总监）：指由监理人委派常驻施工场地对合同履行实施管理的全权负责人。</w:t>
      </w:r>
    </w:p>
    <w:p w14:paraId="58DB1A8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1.1.3 工程和设备</w:t>
      </w:r>
    </w:p>
    <w:p w14:paraId="73CE033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1.1.3.1 工程：指永久工程和（或）临时工程。</w:t>
      </w:r>
    </w:p>
    <w:p w14:paraId="7B1E6C7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1.1.3.2 永久工程：指按合同约定建造并移交给发包人的工程，包括工程设备。</w:t>
      </w:r>
    </w:p>
    <w:p w14:paraId="2E45683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1.1.3.3 临时工程：指为完成合同约定的永久工程所修建的各类临时性工程，不包括施工设备。</w:t>
      </w:r>
    </w:p>
    <w:p w14:paraId="12C00F2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1.1.3.4 单位工程：指专用合同条款中指明特定范围的永久工程。</w:t>
      </w:r>
    </w:p>
    <w:p w14:paraId="0F54F58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1.1.3.5 工程设备：指构成或计划构成永久工程一部分的机电设备、金属结构设备、仪器装置及其</w:t>
      </w:r>
    </w:p>
    <w:p w14:paraId="527BC25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他类似的设备和装置。</w:t>
      </w:r>
    </w:p>
    <w:p w14:paraId="16A13C2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1.1.3.6 施工设备：指为完成合同约定的各项工作所需的设备、器具和其他物品，不包括临时工程</w:t>
      </w:r>
    </w:p>
    <w:p w14:paraId="2A0E0F1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和材料。</w:t>
      </w:r>
    </w:p>
    <w:p w14:paraId="46C0A90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1.1.3.7 临时设施：指为完成合同约定的各项工作所服务的临时性生产和生活设施。</w:t>
      </w:r>
    </w:p>
    <w:p w14:paraId="456EC96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1.1.3.8 承包人设备：指承包人自带的施工设备。</w:t>
      </w:r>
    </w:p>
    <w:p w14:paraId="0051D2B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1.1.3.9 施工场地（或称工地、现场）：指用于合同工程施工的场所，以及在合同中指定作为施工 场地组成部分的其他场所，包括永久占地和临时占地。</w:t>
      </w:r>
    </w:p>
    <w:p w14:paraId="073B33A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1.1.3.10 永久占地：指发包人为建设本合同工程永久征用的土地。</w:t>
      </w:r>
    </w:p>
    <w:p w14:paraId="297CBE6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1.1.3.11 临时占地：指发包人为建设本合同工程需临时征用，承包人在完工后须按合同要求退还 的场地。</w:t>
      </w:r>
    </w:p>
    <w:p w14:paraId="5DC1937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1.1.4 日期</w:t>
      </w:r>
    </w:p>
    <w:p w14:paraId="2A83837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1.1.4.1 开工通知：指监理人按第 11.1 款通知承包人开工的函件。</w:t>
      </w:r>
    </w:p>
    <w:p w14:paraId="179D0DB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1.1.4.2 开工日期：指监理人按第 11.1 款发出的开工通知中写明的开工日期。</w:t>
      </w:r>
    </w:p>
    <w:p w14:paraId="1596FD7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1.1.4.3 工期：指承包人在投标函中承诺的完成合同工程所需的期限，包括按第 11.3 款、第 11.4款和第 11.6 款约定所作的变更。</w:t>
      </w:r>
    </w:p>
    <w:p w14:paraId="75A4897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1.1.4.4 竣工日期：即合同工程完工日期，指第 1.1.4.3 目约定工期届满时的日期。实际完工日 期以合同工程完工证书中写明的日期为准。</w:t>
      </w:r>
    </w:p>
    <w:p w14:paraId="09D63F3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1.1.4.5 缺陷责任期：即工程质量保修期，指履行第 19.2 款约定的缺陷责任的期限，包括根据第19.3 款约定所作的延长，具体期限由专用合同条款约定。</w:t>
      </w:r>
    </w:p>
    <w:p w14:paraId="6300557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1.1.4.6 基准日期：</w:t>
      </w:r>
    </w:p>
    <w:p w14:paraId="38FFDB9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1.1.4.7 天：除特别指明外，指日历天。合同中按天计算时间的，开始当天不计入，从次日开始计算。期限最后一天的截止时间为当天 24:00。</w:t>
      </w:r>
    </w:p>
    <w:p w14:paraId="6971C4C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1.1.5 合同价格和费用</w:t>
      </w:r>
    </w:p>
    <w:p w14:paraId="5A5DF3D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1.1.5.1 签约合同价：指签定合同时合同协议书中写明的，包括了暂列金额、暂估价的合同总金额。</w:t>
      </w:r>
    </w:p>
    <w:p w14:paraId="0BA17F2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1.1.5.2 合同价格：指承包人按合同约定完成了包括缺陷责任期内的全部承包工作后，发包人应付 给承包人的金额，包括在履行合同过程中按合同约定进行的变更和调整。</w:t>
      </w:r>
    </w:p>
    <w:p w14:paraId="00DDB4B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1.1.5.3 费用：指为履行合同所发生的或将要发生的所有合理开支，包括管理费和应分摊的其他费 用，但不包括利润。</w:t>
      </w:r>
    </w:p>
    <w:p w14:paraId="4600C4E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1.1.5.4 暂列金额：指已标价工程量清单中所列的暂列金额，用于在签订协议书时尚未确定或不可 预见变更的施工及其所需材料、工程设备、服务等的金额，包括以计日工方式支付的金额。</w:t>
      </w:r>
    </w:p>
    <w:p w14:paraId="27A1DD1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1.1.5.5 暂估价：指发包人在工程量清单中给定的用于支付必然发生但暂时不能确定价格的材料、设备以及专业工程的金额。</w:t>
      </w:r>
    </w:p>
    <w:p w14:paraId="7D1730E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1.1.5.6 计日工：指对零星工作采取的一种计价方式，按合同中的计日工子目及其单价计价付款。</w:t>
      </w:r>
    </w:p>
    <w:p w14:paraId="6029C10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1.1.5.7 质量保证金（或称保留金）：指按第 17.4 项约定用于保证在缺陷责任期内履行缺陷修复义务的金额。</w:t>
      </w:r>
    </w:p>
    <w:p w14:paraId="4598000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1.1.6 其他</w:t>
      </w:r>
    </w:p>
    <w:p w14:paraId="3DF6A74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1.1.6.1 书面形式：指合同文件、信函、电报、传真等可以有形地表现所载内容的形式。</w:t>
      </w:r>
    </w:p>
    <w:p w14:paraId="373E5FB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1.2 语言文字 除专用术语外，合同使用的语言文字为中文。必要时专用术语应附有中文注释。</w:t>
      </w:r>
    </w:p>
    <w:p w14:paraId="39A3F5C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1.3 法律</w:t>
      </w:r>
    </w:p>
    <w:p w14:paraId="7578E62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适用于合同的法律包括中华人民共和国法律、行政法规、部门规章，以及工程所在地的地方法规、自治条例、单行条例和地方政府规章。</w:t>
      </w:r>
    </w:p>
    <w:p w14:paraId="7F37A40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1.4 合同文件的优先顺序 组成合同的各项文件应互相解释，互为说明。除专用合同条款另有约定外，解释合同文件的优先顺</w:t>
      </w:r>
    </w:p>
    <w:p w14:paraId="5DEC064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序如下：</w:t>
      </w:r>
    </w:p>
    <w:p w14:paraId="6A87268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（l）合同协议书；</w:t>
      </w:r>
    </w:p>
    <w:p w14:paraId="7289B7A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（2）中标通知书；</w:t>
      </w:r>
    </w:p>
    <w:p w14:paraId="4DBFAC3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（3）投标函及投标函附录；</w:t>
      </w:r>
    </w:p>
    <w:p w14:paraId="37B4E70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（4）专用合同条款；</w:t>
      </w:r>
    </w:p>
    <w:p w14:paraId="094E541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（5）通用合同条款；</w:t>
      </w:r>
    </w:p>
    <w:p w14:paraId="13B228B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（6）技术标准和要求；</w:t>
      </w:r>
    </w:p>
    <w:p w14:paraId="49D32B6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（7）图纸；</w:t>
      </w:r>
    </w:p>
    <w:p w14:paraId="5A19618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（8）已标价工程量清单；</w:t>
      </w:r>
    </w:p>
    <w:p w14:paraId="28E53CF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（9）其他合同文件。</w:t>
      </w:r>
    </w:p>
    <w:p w14:paraId="7B5812D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 xml:space="preserve"> 1.5 合同协议书</w:t>
      </w:r>
    </w:p>
    <w:p w14:paraId="6B6FD49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承包人按中标通知书规定的时间与发包人签订合同协议书。除法律另有规定或合同另有约定外，发包人和承包人的法定代表人或其委托代理人在合同协议书上签字并盖单位章后，合同生效。</w:t>
      </w:r>
    </w:p>
    <w:p w14:paraId="7C7C0E6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1.6 图纸和承包人文件</w:t>
      </w:r>
    </w:p>
    <w:p w14:paraId="59AB5A9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1.6.1 图纸的提供 发包人应按技术标准和要求（合同技术条款）约定的期限和数量将施工图纸以及其它图纸（包括配套说明和有关资料）提供给承包人。由于发包人未按时提供图纸造成工期延误的，按第 11.3款的约定办理。</w:t>
      </w:r>
    </w:p>
    <w:p w14:paraId="43D7779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 xml:space="preserve">1.6.2 承包人提供的文件 承包人提供的文件应按技术标准和要求（合同技术条款）约定的期限和数量提供给监理人。监理人应按技术标准和要求（合同技术条款）约定的期限批复承包人。 </w:t>
      </w:r>
    </w:p>
    <w:p w14:paraId="6B3E70A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1.6.3 图纸的修改</w:t>
      </w:r>
    </w:p>
    <w:p w14:paraId="7331F77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4303CF4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 xml:space="preserve">1.6.4 图纸的错误 承包人发现发包人提供的图纸存在明显错误或疏忽，应及时通知监理人。 </w:t>
      </w:r>
    </w:p>
    <w:p w14:paraId="3096B8C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1.6.5 图纸和承包人文件的保管</w:t>
      </w:r>
    </w:p>
    <w:p w14:paraId="4097933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监理人和承包人均应在施工场地各保存一套完整的包含第 1.6.1 项、第 1.6.2 项、第 1.6.3 项约定内容的图纸和承包人文件。</w:t>
      </w:r>
    </w:p>
    <w:p w14:paraId="6272C3D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1.7 联络</w:t>
      </w:r>
    </w:p>
    <w:p w14:paraId="4A9A1BF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1.7.1 与合同有关的通知、批准、证明、证书、指示、要求、请求、同意、意见、确定和决定等，均应采用书面形式。</w:t>
      </w:r>
    </w:p>
    <w:p w14:paraId="4995CCD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1.7.2 第 1.7.1 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14:paraId="37AFABD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1.7.3 来往函件均应按合同约定的期限及时发出和答复，不得无故扣压和拖延，亦不得拒收。否则，由此造成的后果由责任方负责。</w:t>
      </w:r>
    </w:p>
    <w:p w14:paraId="070D67D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 xml:space="preserve">1.8 转让 除合同另有约定外，未经对方当事人同意，一方当事人不得将合同权利全部或部分转让给第三人，也不得全部或部分转移合同义务。 </w:t>
      </w:r>
    </w:p>
    <w:p w14:paraId="60CCDDD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1.9 严禁贿赂</w:t>
      </w:r>
    </w:p>
    <w:p w14:paraId="3363348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合同双方当事人不得以贿赂或变相贿赂的方式，谋取不当利益或损害对方权益。因贿赂造成对方损 失的行为人应赔偿损失，并承担相应的法律责任。</w:t>
      </w:r>
    </w:p>
    <w:p w14:paraId="5B4A064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1.10 化石、文物</w:t>
      </w:r>
    </w:p>
    <w:p w14:paraId="7A55110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5B194D7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1.10.2 承包人发现文物后不及时报告或隐瞒不报，致使文物丢失或损坏的，应赔偿损失，并承担相应的法律责任。</w:t>
      </w:r>
    </w:p>
    <w:p w14:paraId="50AF6CF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1.11 专利技术</w:t>
      </w:r>
    </w:p>
    <w:p w14:paraId="560A9E7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1.11.1 承包人在使用任何材料、承包人设备、工程设备或采用施工工艺时，因侵犯专利权或其他知识产权所引起的责任，由承包人承担，但由于遵照发包人提供的设计或技术标准和要求引起的除外。</w:t>
      </w:r>
    </w:p>
    <w:p w14:paraId="027FA7B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1.11.2 承包人在投标文件中采用专利技术的，专利技术的使用费包含在投标报价内。</w:t>
      </w:r>
    </w:p>
    <w:p w14:paraId="2DE2752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1.11.3 承包人的技术秘密和声明需要保密的资料和信息，发包人和监理人不得为合同以外的目的泄露给他人。</w:t>
      </w:r>
    </w:p>
    <w:p w14:paraId="41EE409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1.11.4 合同实施过程中，发包人要求承包人采用专利技术的，发包人应办理相应的使用手续，承包人应按发包人约定的条件使用，并承担使用专利技术的相关试验工作，所需费用由发包人承担。</w:t>
      </w:r>
    </w:p>
    <w:p w14:paraId="46F95E0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1.12 图纸和文件的保密</w:t>
      </w:r>
    </w:p>
    <w:p w14:paraId="1FC16D9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1.12.1 发包人提供的图纸和文件，未经发包人同意，承包人不得为合同以外的目的泄露给他人或公开发表与引用。</w:t>
      </w:r>
    </w:p>
    <w:p w14:paraId="380064F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1.12.2 承包人提供的文件，未经承包人同意，发包人和监理人不得为合同以外的目的泄露给他人或公开发表与引用。</w:t>
      </w:r>
    </w:p>
    <w:p w14:paraId="1F184DA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2．发包人义务</w:t>
      </w:r>
    </w:p>
    <w:p w14:paraId="615D46E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2.1 遵守法律 发包人在履行合同过程中应遵守法律，并保证承包人免于承担因发包人违反法律而引起的任何责任。</w:t>
      </w:r>
    </w:p>
    <w:p w14:paraId="3400CFA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2.2 发出开工通知</w:t>
      </w:r>
    </w:p>
    <w:p w14:paraId="2502506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发包人应公开招标人按第 11.1 款的约定向承包人发出开工通知。</w:t>
      </w:r>
    </w:p>
    <w:p w14:paraId="47FADEB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2.3 提供施工场地</w:t>
      </w:r>
    </w:p>
    <w:p w14:paraId="67FE8D7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2.3.1 发包人应在合同双方签订合同协议书后的 14 天内，将本合同工程的施工场地范围图提交给承包人。发包人提供的施工场地范围图应标明场地范围内永久占地与临时占地的范围和界限，以及指明提供给承包人用于施工场地布置的范围和界限及其有关资料。</w:t>
      </w:r>
    </w:p>
    <w:p w14:paraId="07572EF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2.3.2 发包人提供的施工用地范围在专用合同条款中约定。</w:t>
      </w:r>
    </w:p>
    <w:p w14:paraId="19BA7CF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2.3.3 除专用合同条款另有约定外，发包人应按技术标准和要求（合同技术条款）的约定，向承包人提供施工场地内的工程地质图纸和报告，以及地下障碍物等施工场地有关资料，并保证资料的真实、准确、完整。</w:t>
      </w:r>
    </w:p>
    <w:p w14:paraId="73C17C1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 xml:space="preserve">2.4 协助承包人办理证件和批件 发包人应协助承包人办理法律规定的有关施工证件和批件。 </w:t>
      </w:r>
    </w:p>
    <w:p w14:paraId="3829E0C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2.5 组织设计交底</w:t>
      </w:r>
    </w:p>
    <w:p w14:paraId="52DF5BB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 xml:space="preserve">发包人应根据合同进度计划，组织设计单位向承包人进行设计交底。 </w:t>
      </w:r>
    </w:p>
    <w:p w14:paraId="5679FF6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2.6 支付合同价款 发包人应按合同约定向承包人及时支付合同价款。</w:t>
      </w:r>
    </w:p>
    <w:p w14:paraId="6CF0070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 xml:space="preserve">2.7 组织竣工验收（组织法人验收） 发包人应按合同约定及时组织法人验收。 </w:t>
      </w:r>
    </w:p>
    <w:p w14:paraId="01D7126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 xml:space="preserve">2.8 其他义务 其他义务在专用合同条款中补充约定。 </w:t>
      </w:r>
    </w:p>
    <w:p w14:paraId="5DE2A25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3、监理人</w:t>
      </w:r>
    </w:p>
    <w:p w14:paraId="3E73C94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3.1 监理人的职责和权力</w:t>
      </w:r>
    </w:p>
    <w:p w14:paraId="6B3A3E3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3.1.1 监理人受发包人的委托，享有合同约定的权力。监理人的权力范围在专用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遵照执行。监理人应按第 15 条的约定增加相应的费用，并通知承包人。</w:t>
      </w:r>
    </w:p>
    <w:p w14:paraId="1B56FB6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3.1.2 监理人发出的任何指示应视为已得到发包人的批准，但监理人无权免除或变更合同约定的发包人和承包人的权利、义务和责任。</w:t>
      </w:r>
    </w:p>
    <w:p w14:paraId="0004EC2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3.1.3 合同约定应由承包人承担的义务和责任，不因监理人对承包人提交文件的审查或批准，对工程、材料和设备的检查和检验，以及为实施监理作出的指示等职务行为而减轻或解除。</w:t>
      </w:r>
    </w:p>
    <w:p w14:paraId="4F19ED5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3.2 总监理工程师 发包人应在发出开工通知前将总监理工程师的任命通知承包人。总监理工程师更换时，应在调离14天前通知承包人。总监理工程师短期离开施工场地的，应委派代表代行其职责，并通知承包人。</w:t>
      </w:r>
    </w:p>
    <w:p w14:paraId="331A613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3.3 监理人员</w:t>
      </w:r>
    </w:p>
    <w:p w14:paraId="3867DBC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253BC14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3.3.2 监理人员对承包人的任何工作、工程或其采用的材料和工程设备未在约定的或合理的期限内提出否定意见的，视为已获批准，但不影响监理人在以后拒绝该项工作、工程、材料或工程设备的权利。</w:t>
      </w:r>
    </w:p>
    <w:p w14:paraId="05EAC86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3.3.3 承包人对总监理工程师授权的监理人员发出的指示有疑问的，可向总监理工程师提出书面异议，总监理工程师应在 48 小时内对该指示予以确认、更改或撤销。</w:t>
      </w:r>
    </w:p>
    <w:p w14:paraId="4173AD3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3.3.4 除专用合同条款另有约定外，总监理工程师不应将第 3.5 款约定应由总监理工程师作出确定的权力授权或委托给其他监理人员。</w:t>
      </w:r>
    </w:p>
    <w:p w14:paraId="619E18C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3.4 监理人的指示</w:t>
      </w:r>
    </w:p>
    <w:p w14:paraId="412715D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3.4.1 监理人应按第 3.1 款的约定向承包人发出指示，监理人的指示应盖有监理人授权的施工场地机构章，并由总监理工程师或总监理工程师按第 3.3.1 项约定授权的监理人员签字。</w:t>
      </w:r>
    </w:p>
    <w:p w14:paraId="5A32E84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3.4.2 承包人收到监理人按第 3.4.1 项作出的指示后应遵照执行。指示构成变更的，应按第 15 条处理。</w:t>
      </w:r>
    </w:p>
    <w:p w14:paraId="30186E4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3.4.3 在紧急情况下，总监理工程师或被授权的监理人员可以当场签发临时书面指示，承包人应遵照执行。承包人应在收到上述临时书面指示后 24 小时内，向监理人发出书面确认函。监理人在收到书面确认函后 24 小时内未予答复的，该书面确认函应被视为监理人的正式指示。</w:t>
      </w:r>
    </w:p>
    <w:p w14:paraId="7030B7F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3.4.4 除合同另有约定外，承包人只从总监理工程师或按第 3.3.1 项被授权的监理人员处取得指示。</w:t>
      </w:r>
    </w:p>
    <w:p w14:paraId="60803C6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3.4.5 由于监理人未能按合同约定发出指示、指示延误或指示错误而导致承包人费用增加和（或）工期延误的，由发包人承担赔偿责任。</w:t>
      </w:r>
    </w:p>
    <w:p w14:paraId="2257F40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3.5 商定或确定</w:t>
      </w:r>
    </w:p>
    <w:p w14:paraId="632C2EA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3.5.1 合同约定总监理工程师应按照本款对任何事项进行商定或确定时，总监理工程师应与合同当事人协商，尽量达成一致。不能达成一致的，总监理工程师应认真研究后审慎确定。</w:t>
      </w:r>
    </w:p>
    <w:p w14:paraId="54A075B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3.5.2 总监理工程师应将商定或确定的事项通知合同当事人，并附详细依据。对总监理工程师的确定有异议的，构成争议，按照第 24 条的约定处理。在争议解决前，双方应暂按总监理工程师的确定执行，按照第 24 条的约定对总监理工程师的确定作出修改的，按修改后的结果执行。</w:t>
      </w:r>
    </w:p>
    <w:p w14:paraId="7731840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4、承包人</w:t>
      </w:r>
    </w:p>
    <w:p w14:paraId="09CBB52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4.1 承包人的一般义务</w:t>
      </w:r>
    </w:p>
    <w:p w14:paraId="0306490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4.1.1 遵守法律 承包人在履行合同过程中应遵守法律，并保证发包人免于承担因承包人违反法律而引起的任何责任。</w:t>
      </w:r>
    </w:p>
    <w:p w14:paraId="7EC3524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4.1.2 依法纳税 承包人应按有关法律规定纳税，应缴纳的税金包括在合同价格内。</w:t>
      </w:r>
    </w:p>
    <w:p w14:paraId="2422800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4.1.3 完成各项承包工作</w:t>
      </w:r>
    </w:p>
    <w:p w14:paraId="3F57E0C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承包人应按合同约定以及监理人根据第 3.4 款作出的指示，实施、完成全部工程，并修补工程中的任何缺陷。除第 5.2 款、第 6.2 款另有约定外，承包人应提供为完成合同工作所需的劳务、材料、施工设备、工程设备和其他物品，并按合同约定负责临时设施的设计、建造、运行、维护、管理和拆除。</w:t>
      </w:r>
    </w:p>
    <w:p w14:paraId="63808E9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 xml:space="preserve">4.1.4 对施工作业和施工方法的完备性负责 承包人应按合同约定的工作内容和施工进度要求，编制施工组织设计和施工措施计划，并对所有施工作业和施工方法的完备性和安全可靠性负责。 </w:t>
      </w:r>
    </w:p>
    <w:p w14:paraId="20AA7C9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4.1.5 保证工程施工和人员的安全承包人应按第 9.2 款约定采取施工安全措施，确保工程及其人员、材料、设备和设施的安全，防止因工程施工造成的人身伤害和财产损失。</w:t>
      </w:r>
    </w:p>
    <w:p w14:paraId="1159DEE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4.1.6 负责施工场地及其周边环境与生态的保护工作</w:t>
      </w:r>
    </w:p>
    <w:p w14:paraId="12A404D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承包人应按照第 9.4 款约定负责施工场地及其周边环境与生态的保护工作。</w:t>
      </w:r>
    </w:p>
    <w:p w14:paraId="78F9140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4.1.7 避免施工对公众与他人的利益造成损害 承包人在进行合同约定的各项工作时，不得侵害发包人与他人使用公用道路、水源、市政管网等公共设施的权利，避免对邻近的公共设施产生干扰。承包人占用或使用他人的施工场地，影响他人作业或 生活的，应承担相应责任。</w:t>
      </w:r>
    </w:p>
    <w:p w14:paraId="6E43EE0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4.1.8 为他人提供方便承包人应按监理人的指示为他人在施工场地或附近实施与工程有关的其他各项工作提供可能的条件。除合同另有约定外，提供有关条件的内容和可能发生的费用，由监理人按第 3.5款商定或确定。</w:t>
      </w:r>
    </w:p>
    <w:p w14:paraId="6DBE024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4.1.9 工程的维护和照管除合同另有约定外，合同工程完工证书颁发前，承包人应负责照管和维护工程。合同工程完工证书颁发时尚有部分未完工程的，承包人还应负责该未完工程的照管和维护工作，直至完工后移交给发包人为止。</w:t>
      </w:r>
    </w:p>
    <w:p w14:paraId="5CF6BAF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4.1.10 其他义务其他义务在专用合同条款中补充约定。</w:t>
      </w:r>
    </w:p>
    <w:p w14:paraId="6280BA3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4.2 履约担保</w:t>
      </w:r>
    </w:p>
    <w:p w14:paraId="71890F7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承包人应保证其履约担保在发包人颁发合同工程完工证书前一直有效。发包人应在合同工程完工证书颁发后 28天内把履约担保退还给承包人。</w:t>
      </w:r>
    </w:p>
    <w:p w14:paraId="7346890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4.3 分包</w:t>
      </w:r>
    </w:p>
    <w:p w14:paraId="6B753E8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4.3.1 承包人不得将其承包的全部工程转包给第三人，或将其承包的全部工程肢解后以分包的名义转包给第三人。</w:t>
      </w:r>
    </w:p>
    <w:p w14:paraId="7761D02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4.3.2 承包人不得将工程主体、关键性工作分包给第三人。除专用合同条款另有约定外，未经发包人同意，承包人不得将工程的其他部分或工作分包给第三人。</w:t>
      </w:r>
    </w:p>
    <w:p w14:paraId="3D9F3F2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4.3.3 分包人的资格能力应与其分包工程的标准和规模相适应。</w:t>
      </w:r>
    </w:p>
    <w:p w14:paraId="779638E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4.3.4 按投标函附录约定分包工程的，承包人应向发包人和监理人提交分包合同副本。</w:t>
      </w:r>
    </w:p>
    <w:p w14:paraId="0091D89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4.3.5 承包人应与分包人就分包工程向发包人承担连带责任。</w:t>
      </w:r>
    </w:p>
    <w:p w14:paraId="5BA5534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4.3.6 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14:paraId="0A48ACF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4.3.7 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w:t>
      </w:r>
    </w:p>
    <w:p w14:paraId="0E157AD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由指定分包人造成的与其分包工作有关的一切索赔、诉讼和损失赔偿由指定分包人直接对发包人负责，承包人不对此承担责任。</w:t>
      </w:r>
    </w:p>
    <w:p w14:paraId="5540DA1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4.3.8 承包人和分包人应当签订分包合同，并履行合同约定的义务。分包合同必须遵循承包合同的各项原则，满足承包合同中相应条款的要求。发包人可以对分包合同实施情况进行监督检查。承包人应将分包合同副本提交发包人和监理人。</w:t>
      </w:r>
    </w:p>
    <w:p w14:paraId="05F4254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4.3.9 除第 4.3.7 项规定的指定分包外，承包人对其分包项目的实施以及分包人的行为向发包人负全部责任。承包人应对分包项目的工程进度、质量、安全、计量和验收等实施监督和管理。</w:t>
      </w:r>
    </w:p>
    <w:p w14:paraId="7657752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4.3.10 分包人应按专用合同条款的约定设立项目管理机构组织管理分包工程的施工活动。</w:t>
      </w:r>
    </w:p>
    <w:p w14:paraId="51B8335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4.4 联合体</w:t>
      </w:r>
    </w:p>
    <w:p w14:paraId="1F9D206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4.4.1 联合体各方应共同与发包人签订合同协议书。联合体各方应为履行合同承担连带责任。</w:t>
      </w:r>
    </w:p>
    <w:p w14:paraId="41476C9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4.4.2 联合体协议经发包人确认后作为合同附件。在履行合同过程中，未经发包人同意，不得修改联合体协议。</w:t>
      </w:r>
    </w:p>
    <w:p w14:paraId="5F05538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4.4.3 联合体牵头人负责与发包人和监理人联系，并接受指示，负责组织联合体各成员全面履行合同。</w:t>
      </w:r>
    </w:p>
    <w:p w14:paraId="4B6C841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4.5 承包人项目经理</w:t>
      </w:r>
    </w:p>
    <w:p w14:paraId="5DA667E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4.5.1 承包人应按合同约定指派项目经理，并在约定的期限内到职。承包人更换项目经理应事先征得发包人同意，并应在更换 14 天前通知发包人和监理人。承包人项目经理短期离开施工场地，应事先征得监理人同意，并委派代表代行其职责。</w:t>
      </w:r>
    </w:p>
    <w:p w14:paraId="3691D2B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4.5.2 承包人项目经理应按合同约定以及监理人按第 3.4款作出的指示，负责组织合同工程的实 施。在情况紧急且无法与监理人取得联系时，可采取保证工程和人员生命财产安全的紧急措施，并在采取措施后 24 小时内向监理人提交书面报告。</w:t>
      </w:r>
    </w:p>
    <w:p w14:paraId="1831A8B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4.5.3 承包人为履行合同发出的一切函件均应盖有承包人授权的施工场地管理机构章，并由承包人项目经理或其授权代表签字。</w:t>
      </w:r>
    </w:p>
    <w:p w14:paraId="28D640B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4.5.4 承包人项目经理可以授权其下属人员履行其某项职责，但事先应将这些人员的姓名和授权范围通知监理人。</w:t>
      </w:r>
    </w:p>
    <w:p w14:paraId="4240501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4.6 承包人人员的管理</w:t>
      </w:r>
    </w:p>
    <w:p w14:paraId="3C98B76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4.6.1 承包人应在接到开工通知后 28 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236AD6D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4.6.2 为完成合同约定的各项工作，承包人应向施工场地派遣或雇佣足够数量的下列人员：</w:t>
      </w:r>
    </w:p>
    <w:p w14:paraId="4FA4983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（1）具有相应资格的专业技工和合格的普工；</w:t>
      </w:r>
    </w:p>
    <w:p w14:paraId="3609A78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（2）具有相应施工经验的技术人员；</w:t>
      </w:r>
    </w:p>
    <w:p w14:paraId="1C1C77A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（3）具有相应岗位资格的各级管理人员。</w:t>
      </w:r>
    </w:p>
    <w:p w14:paraId="12779A5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4.6.3 承包人安排在施工场地的主要管理人员和技术骨干应相对稳定。承包人更换主要管理人员和技术骨干时，应取得监理人的同意。</w:t>
      </w:r>
    </w:p>
    <w:p w14:paraId="4372C11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4.6.4 特殊岗位的工作人员均应持有相应的资格证明，监理人有权随时检查。监理人认为有必要时，可进行现场考核。</w:t>
      </w:r>
    </w:p>
    <w:p w14:paraId="2A94E80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4.7 撤换承包人项目经理和其他人员 承包人应对其项目经理和其他人员进行有效管理。监理人要求撤换不能胜任本职工作、行为不端或玩忽职守的承包人项目经理和其他人员的，承包人应予以撤换。</w:t>
      </w:r>
    </w:p>
    <w:p w14:paraId="6886922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4.8 保障承包人人员的合法权益</w:t>
      </w:r>
    </w:p>
    <w:p w14:paraId="25627EB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4.8.1 承包人应与其雇佣的人员签订劳动合同，并按时发放工资。</w:t>
      </w:r>
    </w:p>
    <w:p w14:paraId="69E6359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4.8.2 承包人应按劳动法的规定安排工作时间，保证其雇佣人员享有休息和休假的权利。因工程施工的特殊需要占用休假日或延长工作时间的，应不超过法律规定的限度，并按法律规定给予补休或付酬。</w:t>
      </w:r>
    </w:p>
    <w:p w14:paraId="1E8B150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4.8.3 承包人应为其雇佣人员提供必要的食宿条件，以及符合环境保护和卫生要求的生活环境，在远离城镇的施工场地，还应配备必要的伤病防治和急救的医务人员与医疗设施。</w:t>
      </w:r>
    </w:p>
    <w:p w14:paraId="7740153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55EF66D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4.8.5 承包人应按有关法律规定和合同约定，为其雇佣人员办理保险。</w:t>
      </w:r>
    </w:p>
    <w:p w14:paraId="535EC6A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4.8.6 承包人应负责处理其雇佣人员因工伤亡事故的善后事宜。</w:t>
      </w:r>
    </w:p>
    <w:p w14:paraId="37B0E5F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4.9 工程价款应专款专用 发包人按合同约定支付给承包人的各项价款应专用于合同工程。</w:t>
      </w:r>
    </w:p>
    <w:p w14:paraId="220A9CB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4.10 承包人现场查勘</w:t>
      </w:r>
    </w:p>
    <w:p w14:paraId="0D5B250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4.10.1 发包人应将其持有的现场地质勘探资料、水文气象资料提供给承包人，并对其准确性负责。但承包人应对其阅读上述有关资料后所作出的解释和推断负责。</w:t>
      </w:r>
    </w:p>
    <w:p w14:paraId="7C1DCFB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40146A7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4.11 不利物质条件</w:t>
      </w:r>
    </w:p>
    <w:p w14:paraId="2960D81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4.11.1 除专用合同条款另有约定外，不利物质条件是指在施工中遭遇不可预见的外界障碍或自然条件造成施工受阻。</w:t>
      </w:r>
    </w:p>
    <w:p w14:paraId="2F8FC7E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4.11.2 承包人遇到不利物质条件时，应采取适应不利物质条件的合理措施继续施工，并及时通知监理人。承包人有权根据第 23.1 款的约定，要求延长工期及增加费用。监理人收到此类要求后，应在分析上述外界障碍或自然条件是否不可预见及不可预见程度的基础上，按照通用合同条款第 15 条的约定办理。</w:t>
      </w:r>
    </w:p>
    <w:p w14:paraId="2965C7A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5．材料和工程设备</w:t>
      </w:r>
    </w:p>
    <w:p w14:paraId="12BB797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5.1 承包人提供的材料和工程设备</w:t>
      </w:r>
    </w:p>
    <w:p w14:paraId="6AD776A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5.1.1 除第 5.2 款约定由发包人提供的材料和工程设备外，承包人负责采购、运输和保管完成本合同工作所需的材料和工程设备。承包人应对其采购的材料和工程设备负责。</w:t>
      </w:r>
    </w:p>
    <w:p w14:paraId="2851376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023ECAF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5.1.3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47C3516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5.2 发包人提供的材料和工程设备</w:t>
      </w:r>
    </w:p>
    <w:p w14:paraId="7FA24E6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5.2.1 发包人提供的材料和工程设备，应在专用合同条款中写明材料和工程设备的名称、规格、数 量、价格、交货方式、交货地点和计划交货日期等。</w:t>
      </w:r>
    </w:p>
    <w:p w14:paraId="3A18366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5.2.2 承包人应根据合同进度计划的安排，向监理人报送要求发包人交货的日期计划。发包人应按照监理人与合同双方当事人商定的交货日期，向承包人提交材料和工程设备。</w:t>
      </w:r>
    </w:p>
    <w:p w14:paraId="7E010FF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5.2.3 发包人应在材料和工程设备到货 7 天前通知承包人，承包人应会同监理人在约定的时间内，赴交货地点共同进行验收。发包人提供的材料和工程设备运至交货地点验收后，由承包人负责接收、卸货、运输和保管。</w:t>
      </w:r>
    </w:p>
    <w:p w14:paraId="7215575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5.2.4 发包人要求向承包人提前交货的，承包人不得拒绝，但发包人应承担承包人由此增加的费用。</w:t>
      </w:r>
    </w:p>
    <w:p w14:paraId="16F0E33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5.2.5 承包人要求更改交货日期或地点的，应事先报请监理人批准。由于承包人要求更改交货时间或地点所增加的费用和（或）工期延误由承包人承担。</w:t>
      </w:r>
    </w:p>
    <w:p w14:paraId="65FF4AF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11731AF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5.3 材料和工程设备专用于合同工程</w:t>
      </w:r>
    </w:p>
    <w:p w14:paraId="7E32BD2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5.3.1 运入施工场地的材料、工程设备，包括备品备件、安装专用工器具与随机资料，必须专用于合同工程，未经监理人同意，承包人不得运出施工场地或挪作他用。</w:t>
      </w:r>
    </w:p>
    <w:p w14:paraId="2B1C56D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0F7EF11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5.4 禁止使用不合格的材料和工程设备</w:t>
      </w:r>
    </w:p>
    <w:p w14:paraId="7FC8D55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5.4.1 监理人有权拒绝承包人提供的不合格材料或工程设备，并要求承包人立即进行更换。监理人应在更换后再次进行检查和检验，由此增加的费用和（或）工期延误由承包人承担。</w:t>
      </w:r>
    </w:p>
    <w:p w14:paraId="0CF142C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5.4.2 监理人发现承包人使用了不合格的材料和工程设备，应即时发出指示要求承包人立即改正，并禁止在工程中继续使用不合格的材料和工程设备。</w:t>
      </w:r>
    </w:p>
    <w:p w14:paraId="5E242C6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5.4.3 发包人提供的材料或工程设备不符合合同要求的，承包人有权拒绝，并可要求发包人更换，由此增加的费用和（或）工期延误由发包人承担。</w:t>
      </w:r>
    </w:p>
    <w:p w14:paraId="7FC7AC4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6、施工设备和临时设施</w:t>
      </w:r>
    </w:p>
    <w:p w14:paraId="0753D2D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6.1 承包人提供的施工设备和临时设施</w:t>
      </w:r>
    </w:p>
    <w:p w14:paraId="047A742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6.1.1 承包人应按合同进度计划的要求，及时配置施工设备和修建临时设施。进入施工场地的承包人设备需经监理人核查后才能投入使用。承包人更换合同约定的承包人设备的，应报监理人批准。</w:t>
      </w:r>
    </w:p>
    <w:p w14:paraId="09399DB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6.1.2 除专用合同条款另有约定外，承包人应自行承担修建临时设施的费用，需要临时占地的，应由发包人办理申请手续并承担相应费用。</w:t>
      </w:r>
    </w:p>
    <w:p w14:paraId="79297BE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6.2 发包人提供的施工设备和临时设施 发包人提供的施工设备或临时设施在专用合同条款中约定。</w:t>
      </w:r>
    </w:p>
    <w:p w14:paraId="78DCF50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6.3 要求承包人增加或更换施工设备</w:t>
      </w:r>
    </w:p>
    <w:p w14:paraId="097A3BB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承包人使用的施工设备不能满足合同进度计划和（或）质量要求时，监理人有权要求承包人增加或更换施工设备，承包人应及时增加或更换，由此增加的费用和（或）工期延误由承包人承担。</w:t>
      </w:r>
    </w:p>
    <w:p w14:paraId="4252145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6.4 施工设备和临时设施专用于合同工程</w:t>
      </w:r>
    </w:p>
    <w:p w14:paraId="56227E8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6.4.1 除合同另有约定外运入施工场地的所有施工设备以及在施工场地建设的临时设施应专用于合同工程。未经监理人同意，不得将上述施工设备和临时设施中的任何部分运出施工场地或挪作他用。</w:t>
      </w:r>
    </w:p>
    <w:p w14:paraId="59FA0CC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6.4.2 经监理人同意，承包人可根据合同进度计划撤走闲置的施工设备。</w:t>
      </w:r>
    </w:p>
    <w:p w14:paraId="6A0F3D0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7．交通运输</w:t>
      </w:r>
    </w:p>
    <w:p w14:paraId="411FD46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7.1 道路通行权和场外设施 除专用合同条款另有约定外，承包人应根据合同工程的施工需要，负责办理取得出入施工场地的用和临时道路的通行权，以及取得为工程建设所需修建场外设施的权利，并承担相关费用。发包人应协助承包人办理上述手续。</w:t>
      </w:r>
    </w:p>
    <w:p w14:paraId="4D4D024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7.2 场内施工道路</w:t>
      </w:r>
    </w:p>
    <w:p w14:paraId="155A715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7.2.1 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p>
    <w:p w14:paraId="3B2711C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7.2.2 承包人修建的临时道路和交通设施，应免费提供发包人、监理人以及与本合同有关的其他承包人使用。</w:t>
      </w:r>
    </w:p>
    <w:p w14:paraId="4726474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7.3 场外交通</w:t>
      </w:r>
    </w:p>
    <w:p w14:paraId="60EC2C5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7.3.1 承包人车辆外出行驶所需的场外公共道路的通行费、养路费和税款等由承包人承担。</w:t>
      </w:r>
    </w:p>
    <w:p w14:paraId="558ACCC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7.3.2 承包人应遵守有关交通法规，严格按照道路和桥梁的限制荷重安全行驶，并服从交通管理部门的检查和监督。</w:t>
      </w:r>
    </w:p>
    <w:p w14:paraId="7799681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7.4 超大件和超重件的运输 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114738C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7.5 道路和桥梁的损坏责任</w:t>
      </w:r>
    </w:p>
    <w:p w14:paraId="3A97357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因承包人运输造成施工场地内外公共道路和桥梁损坏的，由承包人承担修复损坏的全部费用和可能引起的赔偿。</w:t>
      </w:r>
    </w:p>
    <w:p w14:paraId="2DEDA54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7.6 水路和航空运输 本条上述各款的内容适用于水路运输和航空运输，其中“道路”一词的涵义包括河道、航线、船闸、机场、码头、堤防以及水路或航空运输中其他相似结构物；“车辆”一词的涯义包括船舶和飞机等。</w:t>
      </w:r>
    </w:p>
    <w:p w14:paraId="56776B5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8．测量放线</w:t>
      </w:r>
    </w:p>
    <w:p w14:paraId="2A853B9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8.1 施工控制网</w:t>
      </w:r>
    </w:p>
    <w:p w14:paraId="48E0AA3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8.1.1 除专用合同条款另有约定外，施工控制网由承包人负责测设，发包人应在本合同协议书签订后的 14 天内，向承包人提供测量基准点、基准线和水准点及其相关资料。承包人应在收到上述资料后28 天内，将施测的施工控制网资料提交监理人审批。监理人应在收到报批件后的 14 天内批复承包人。</w:t>
      </w:r>
    </w:p>
    <w:p w14:paraId="091A961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8.1.2 承包人应负责管理施工控制网点。施工控制网点丢失或损坏的，承包人应及时修复。承包人应承担施工控制网点的管理与修复费用，并在工程竣工后将施工控制网点移交发包人。</w:t>
      </w:r>
    </w:p>
    <w:p w14:paraId="7148656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8.2 施工测量</w:t>
      </w:r>
    </w:p>
    <w:p w14:paraId="44B2F7B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8.2.1 承包人应负责施工过程中的全部施工测量放线工作，并配置合格的人员、仪器、设备和其他物品。</w:t>
      </w:r>
    </w:p>
    <w:p w14:paraId="24443B6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8.2.2 监理人可以指示承包人进行抽样复测，当复测中发现错误或出现超过合同约定的误差时，承包人应按监理人指示进行修正或补测，并承担相应的复测费用。</w:t>
      </w:r>
    </w:p>
    <w:p w14:paraId="6D15B8D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8.3 基准资料错误的责任 发包人应对其提供的测量基准点、基准线和水准点及其书面资料的真实性、准确性和完整性负责。</w:t>
      </w:r>
    </w:p>
    <w:p w14:paraId="6B13F29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188F38B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8.4 监理人使用施工控制网 监理人需要使用施工控制网的，承包人应提供必要的协助，发包人不再为此支付费用。</w:t>
      </w:r>
    </w:p>
    <w:p w14:paraId="76271CD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8.5 补充地质勘探</w:t>
      </w:r>
    </w:p>
    <w:p w14:paraId="1CBD810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在合同实施期间，监理人可以指示承包人进行必要的补充地质勘探并提供有关资料。承包人为本合同永久工程施工的需要进行补充地质勘探时，须经监理人批准，并应向监理人提交有关资料，上述补充勘探的费用由发包人承担。承包人为其临时工程设计及施工的需要进行的补充地质勘探，其费用由承包人承担。</w:t>
      </w:r>
    </w:p>
    <w:p w14:paraId="64302DE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9．施工安全、治安保卫和环境保护</w:t>
      </w:r>
    </w:p>
    <w:p w14:paraId="10157F5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9.1 发包人的施工安全责任</w:t>
      </w:r>
    </w:p>
    <w:p w14:paraId="24618CA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9.1.1 发包人应按合同约定履行安全职责。发包人公开招标人根据国家有关安全的法律、法规、强制性标准以及部门规章，对承包人的安全责任履行情况进行监督和检查。监理人的监督检查不减轻承包人应负的安全责任。</w:t>
      </w:r>
    </w:p>
    <w:p w14:paraId="261C93B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9.1.2 发包人应对其现场机构雇佣的全部人员的工伤事故承担责任，但由于承包人原因造成发包人人员工伤的，应由承包人承担责任。</w:t>
      </w:r>
    </w:p>
    <w:p w14:paraId="742F2A4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9.1.3 发包人应负责赔偿以下各种情况造成的第三者人身伤亡和财产损失：</w:t>
      </w:r>
    </w:p>
    <w:p w14:paraId="316F63B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（l）工程或工程的任何部分对土地的占用所造成的第三者财产损失；</w:t>
      </w:r>
    </w:p>
    <w:p w14:paraId="42AC8C2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（2）由于发包人原因在施工场地及其毗邻地带造成的第三者人身伤亡和财产损失。</w:t>
      </w:r>
    </w:p>
    <w:p w14:paraId="4C41F12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9.1.4 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14:paraId="2236E66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9.1.5 发包人按照已标价工程量清单所列金额和合同约定的计量支付规定，支付安全作业环境及安全施工措施所需费用。</w:t>
      </w:r>
    </w:p>
    <w:p w14:paraId="39DA1A8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9.1.6 发包人负责组织工程参建单位编制保证安全生产的措施方案。工程开工前，就落实保证安全生产的措施进行全面系统的布置，进一步明确承包人的安全生产责任。</w:t>
      </w:r>
    </w:p>
    <w:p w14:paraId="2030638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9.1.7 发包人负责在拆除工程和爆破工程施工 14 天前向有关部门或机构报送相关备案资料。</w:t>
      </w:r>
    </w:p>
    <w:p w14:paraId="1232175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9.2 承包人的施工安全责任</w:t>
      </w:r>
    </w:p>
    <w:p w14:paraId="73F0E60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9.2.1 承包人应按合同约定履行安全职责，执行监理人有关安全工作的指示。承包人应按技术标准和要求（合同技术条款）约定的内容和期限，以及监理人的指示，编制施工安全措施指示提交监理人审批。监理人应在技术标准和要求（合同技术条款）约定的期限内批复承包人。</w:t>
      </w:r>
    </w:p>
    <w:p w14:paraId="4B29A07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9.2.2 承包人应加强施工作业安全管理，特别应加强易燃、易爆材料、火工器材、有毒与腐蚀性材料和其他危险品的管理，以及对爆破作业和地下工程施工等危险作业的管理。</w:t>
      </w:r>
    </w:p>
    <w:p w14:paraId="48E3CEE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9.2.3 承包人应严格按照国家安全标准制定施工安全操作规程，配备必要的安全生产和劳动保护设施，加强对承包人人员的安全教育，并发放安全工作手册和劳动保护用具。</w:t>
      </w:r>
    </w:p>
    <w:p w14:paraId="0A815C2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9.2.4 承包人应按监理人的指示制定应对灾害的紧急预案，报送监理人审批。承包人还应按预案做好安全检查，配置必要的救助物资和器材，切实保护好有关人员的人身和财产安全。</w:t>
      </w:r>
    </w:p>
    <w:p w14:paraId="2224DC0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9.2.5 合同约定的安全作业环境及安全施工措施所需费用应遵守有关规定，并包括在相关工作的合同价格中。因采取合同未约定的安全作业环境及安全施工措施增加的费用，由监理人按第 3.5 款商定或确定。</w:t>
      </w:r>
    </w:p>
    <w:p w14:paraId="0A756DB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9.2.6 承包人应对其履行合同所雇佣的全部人员，包括分包人人员的工伤事故承担责任，但由于发包人原因造成承包人人员工伤事故的，应由发包人承担责任。</w:t>
      </w:r>
    </w:p>
    <w:p w14:paraId="6C47AB7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9.2.7 由于承包人原因在施工场地内及其毗邻地带造成的第三者人员伤亡和财产损失，由承包人负责赔偿。</w:t>
      </w:r>
    </w:p>
    <w:p w14:paraId="7AA4060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9.2.8 承包人已标价工程量清单应包含工程安全作业环境及安全施工措施所需费用。</w:t>
      </w:r>
    </w:p>
    <w:p w14:paraId="161A207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9.2.9 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14:paraId="6300681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9.2.10 承包人应设立安全生产管理机构，施工现场应有专职安全生产管理人员。</w:t>
      </w:r>
    </w:p>
    <w:p w14:paraId="75505BC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9.2.11 承包人应负责对特种作业人员进行专门的安全作业培训，并保证特种作业人员持证上岗。</w:t>
      </w:r>
    </w:p>
    <w:p w14:paraId="06DDFF5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9.2.12 承包人应在施工组织设计中编制安全技术措施和施工现场临时用电方案。对专用合同条款约定的工程，应编制专项施工方案报监理人批准。对专用合同条款约定的专项施工方案，还应组织专家进行论证、审查，其中专家 1/2 人员应经发包人同意。</w:t>
      </w:r>
    </w:p>
    <w:p w14:paraId="7CCB1AE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9.2.13 承包人在使用施工起重机械和整体提升脚手架、模板等自升式架设设施前，应组织有关单位进行验收。</w:t>
      </w:r>
    </w:p>
    <w:p w14:paraId="6B43F88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9.3 治安保卫</w:t>
      </w:r>
    </w:p>
    <w:p w14:paraId="7FC7CCC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9.3.1 除合同另有约定外，发包人应与当地公安部门协商，在现场建立治安管理机构或联防组织，统一管理施工场地的治安保卫事项，履行合同工程的治安保卫职责。</w:t>
      </w:r>
    </w:p>
    <w:p w14:paraId="5025FA4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9.3.2 发包人和承包人除应协助现场治安管理机构或联防组织维护施工场地的社会治安外，还应做好包括生活区在内的各自管辖区的治安保卫工作。</w:t>
      </w:r>
    </w:p>
    <w:p w14:paraId="076F4C2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2902F6F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9.4 环境保护</w:t>
      </w:r>
    </w:p>
    <w:p w14:paraId="7ED9962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9.4.1 承包人在施工过程中，应遵守有关环境保护的法律，履行合同约定的环境保护义务，并对违反法律和合同约定义务所造成的环境破坏、人身伤害和财产损失负责。</w:t>
      </w:r>
    </w:p>
    <w:p w14:paraId="7949AE9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9.4.2 承包人应按合同约定的环保工作内容，编制施工环保措施计划，报送监理人审批。</w:t>
      </w:r>
    </w:p>
    <w:p w14:paraId="6C05834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5BCDE7D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9.4.4 承包人应按合同约定采取有效措施，对施工开挖的边坡及时进行支护，维护排水设施，并进行水土保护，避免因施工造成的地质灾害。</w:t>
      </w:r>
    </w:p>
    <w:p w14:paraId="42D6FB0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9.4.5 承包人应按国家饮用水管理标准定期对饮用水源进行监测，防止施工活动污染饮用水源。</w:t>
      </w:r>
    </w:p>
    <w:p w14:paraId="5AF4F36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9.4.6 承包人应按合同约定，加强对噪声、粉尘、废气、废水和废油的控制，努力降低噪声，控制粉尘和废气浓度，做好废水和废油的治理和排放。</w:t>
      </w:r>
    </w:p>
    <w:p w14:paraId="5FCC42F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9.5 事故处理</w:t>
      </w:r>
    </w:p>
    <w:p w14:paraId="14EBACA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9.5.1 发包人负责组织参建单位制定本工程的质量与安全事故应急预案，建立质量与安全事故应急处置指挥部。</w:t>
      </w:r>
    </w:p>
    <w:p w14:paraId="5112323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9.5.2 承包人应对施工现场易发生重大事故的部位、环节进行监控，配备救援器材、设备，并定期组织演练。</w:t>
      </w:r>
    </w:p>
    <w:p w14:paraId="0088FAE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9.5.3 工程开工前，承包人应根据本工程的特点制定施工现场施工质量与安全事故应急预案，并报发包人备案。</w:t>
      </w:r>
    </w:p>
    <w:p w14:paraId="6CE9051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9.5.4 施工过程中发生事故时，发包人、承包人应立即启动应急预案。</w:t>
      </w:r>
    </w:p>
    <w:p w14:paraId="4978E29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9.5.5 事故调查处理由发包人按相关规定履行手续，承包人应配合。</w:t>
      </w:r>
    </w:p>
    <w:p w14:paraId="3FB4D44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9.6 水土保持</w:t>
      </w:r>
    </w:p>
    <w:p w14:paraId="4ED12FB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9.6.1 发包人应及时向承包人提供水土保持方案。</w:t>
      </w:r>
    </w:p>
    <w:p w14:paraId="6A53A5F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9.6.2 承包人在施工过程中，应遵守有关水土保持的法律法规和规章，履行合同约定的水土保持义务，并对其违反法律和合同约定义务所造成的水土流失灾害、人身伤害和财产损失负责。</w:t>
      </w:r>
    </w:p>
    <w:p w14:paraId="54D5C8A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9.6.3 承包人的水土保持措施计划，应满足技术标准和要求（合同技术条款）约定的要求。</w:t>
      </w:r>
    </w:p>
    <w:p w14:paraId="75F1361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9.7 文明工地</w:t>
      </w:r>
    </w:p>
    <w:p w14:paraId="0B3F2EE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 xml:space="preserve">9.7.1 发包人应按专用合同条款的约定，本合同文明工地的约定： 符合有关规定及标准 </w:t>
      </w:r>
    </w:p>
    <w:p w14:paraId="4E82C0B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本款增加：承包人应服从发包人关于工地现场安全防护的各项事宜，在现场建立治安管理机构或联防组织，统一管理施工场地的治安保卫事项，履行合同工程的治安保卫职责。</w:t>
      </w:r>
    </w:p>
    <w:p w14:paraId="0CFF88F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 xml:space="preserve"> 承包人按照“十必备”的要求，坚持做到“三个结合”，实现未雨绸缪。一是坚持以人防为基础。通过组建日常安全防范人员队伍、突发事件处置队伍，为施工现场安全防范提供人力保证； 二是坚持以物防为保障。配套完善施工现场安全防范设施、设备等。具体包括：警备室的设置，红缨枪、警棍、盾牌、防刺服强光灯、对讲机基本防护装备的配备，摩托车等交通工具的配套；三是坚持以技防为重点。通过安装监控设备，利用犬敏锐的嗅觉等对施工现场进行二十四小时不间断监控和监视。确保施工期项目区安全。承包人须确保施工期项目区安全，必须无条件响应当地政府对社会稳定做出的各类决定和要求，如出现维稳事件,由承包人负全责。</w:t>
      </w:r>
    </w:p>
    <w:p w14:paraId="027B9CF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除合同另有约定外，承包人应在工程开工后，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5E602F1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承包人需按业主要求进行集中居住，在开工前施工单位必须建好足够所有施工及管理人员居住的砖混结构房屋，并修建2米高围墙，按“十必备”要求设置各类防护措施，所需费用包含在措施费用中。</w:t>
      </w:r>
    </w:p>
    <w:p w14:paraId="2A08E04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9.7.2 承包人应按创建文明建设工地的规划和办法，履行职责，承担相应责任。所需费用应含在已标价工程量清单中。</w:t>
      </w:r>
    </w:p>
    <w:p w14:paraId="0230C23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9.8 防汛度汛</w:t>
      </w:r>
    </w:p>
    <w:p w14:paraId="5314194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9.8.1 发包人负责组织工程参建单位编制本工程的度汛方案和措施。</w:t>
      </w:r>
    </w:p>
    <w:p w14:paraId="115D812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9.8.2 承包人应根据发包人编制的本工程度汛方案和措施，制定相应的度汛方案，报发包人批准后实施。</w:t>
      </w:r>
    </w:p>
    <w:p w14:paraId="1A075C1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10．进度计划</w:t>
      </w:r>
    </w:p>
    <w:p w14:paraId="33DEEB5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10.1 合同进度计划 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14:paraId="4C301D1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10.2 合同进度计划的修订</w:t>
      </w:r>
    </w:p>
    <w:p w14:paraId="3DE1B28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不论何种原因造成工程的实际进度与第 10.1款的合同进度计划不符时，承包人均应在 14 天内向监理人提交修订合同进度计划的申请报告，并附有关措施和相关资料，报监理人审批，监理人应在收到申请报告后的 14 天内批复。当监理人认为需要修订合同进度计划时，承包人应按监理人的指示，在 14天内向监理人提交修订的合同进度计划，并附调整计划的相关资料，提交监理人审批。监理人应在收到进度计划后的 14 天内批复。</w:t>
      </w:r>
    </w:p>
    <w:p w14:paraId="7DF02F5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 11.3 款的约定办理；由于承包人原因造成施工进度延迟，应按第 11.5 款的约 定办理。</w:t>
      </w:r>
    </w:p>
    <w:p w14:paraId="3E1DF4F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 xml:space="preserve">10.3 单位工程进度计划 监理人认为有必要时，承包人应按监理人指示的内容和期限，并根据合同进度计划的进度控制要求，编制单位工程进度计划，提交监理人审批。 </w:t>
      </w:r>
    </w:p>
    <w:p w14:paraId="2A6680C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10.4 提交资金流估算表</w:t>
      </w:r>
    </w:p>
    <w:p w14:paraId="3B9BC61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承包人应在按第 10.1 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1993B44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资金流估算表（参考格式）</w:t>
      </w:r>
    </w:p>
    <w:p w14:paraId="567D6688">
      <w:pPr>
        <w:spacing w:line="360" w:lineRule="auto"/>
        <w:rPr>
          <w:rFonts w:hint="eastAsia" w:ascii="黑体" w:hAnsi="黑体" w:eastAsia="黑体" w:cs="黑体"/>
          <w:color w:val="auto"/>
          <w:sz w:val="22"/>
          <w:szCs w:val="28"/>
          <w:highlight w:val="none"/>
        </w:rPr>
      </w:pPr>
      <w:r>
        <w:rPr>
          <w:rFonts w:hint="eastAsia" w:ascii="黑体" w:hAnsi="黑体" w:eastAsia="黑体" w:cs="黑体"/>
          <w:color w:val="auto"/>
          <w:sz w:val="22"/>
          <w:szCs w:val="28"/>
          <w:highlight w:val="none"/>
          <w:lang w:val="en-US" w:eastAsia="zh-CN"/>
        </w:rPr>
        <w:t xml:space="preserve">                                                                         </w:t>
      </w:r>
      <w:r>
        <w:rPr>
          <w:rFonts w:hint="eastAsia" w:ascii="黑体" w:hAnsi="黑体" w:eastAsia="黑体" w:cs="黑体"/>
          <w:color w:val="auto"/>
          <w:sz w:val="22"/>
          <w:szCs w:val="28"/>
          <w:highlight w:val="none"/>
        </w:rPr>
        <w:t>金额单位</w:t>
      </w:r>
    </w:p>
    <w:tbl>
      <w:tblPr>
        <w:tblStyle w:val="38"/>
        <w:tblW w:w="9094" w:type="dxa"/>
        <w:tblInd w:w="108" w:type="dxa"/>
        <w:tblLayout w:type="fixed"/>
        <w:tblCellMar>
          <w:top w:w="0" w:type="dxa"/>
          <w:left w:w="0" w:type="dxa"/>
          <w:bottom w:w="0" w:type="dxa"/>
          <w:right w:w="0" w:type="dxa"/>
        </w:tblCellMar>
      </w:tblPr>
      <w:tblGrid>
        <w:gridCol w:w="540"/>
        <w:gridCol w:w="540"/>
        <w:gridCol w:w="950"/>
        <w:gridCol w:w="1329"/>
        <w:gridCol w:w="975"/>
        <w:gridCol w:w="1153"/>
        <w:gridCol w:w="1220"/>
        <w:gridCol w:w="525"/>
        <w:gridCol w:w="737"/>
        <w:gridCol w:w="1125"/>
      </w:tblGrid>
      <w:tr w14:paraId="26C352A0">
        <w:tblPrEx>
          <w:tblCellMar>
            <w:top w:w="0" w:type="dxa"/>
            <w:left w:w="0" w:type="dxa"/>
            <w:bottom w:w="0" w:type="dxa"/>
            <w:right w:w="0" w:type="dxa"/>
          </w:tblCellMar>
        </w:tblPrEx>
        <w:trPr>
          <w:trHeight w:val="670" w:hRule="exact"/>
        </w:trPr>
        <w:tc>
          <w:tcPr>
            <w:tcW w:w="540" w:type="dxa"/>
            <w:tcBorders>
              <w:top w:val="single" w:color="000000" w:sz="4" w:space="0"/>
              <w:left w:val="single" w:color="000000" w:sz="4" w:space="0"/>
              <w:bottom w:val="single" w:color="000000" w:sz="4" w:space="0"/>
              <w:right w:val="single" w:color="000000" w:sz="4" w:space="0"/>
            </w:tcBorders>
            <w:vAlign w:val="top"/>
          </w:tcPr>
          <w:p w14:paraId="00B3A3AB">
            <w:pPr>
              <w:spacing w:line="360" w:lineRule="auto"/>
              <w:rPr>
                <w:rFonts w:hint="eastAsia" w:ascii="黑体" w:hAnsi="黑体" w:eastAsia="黑体" w:cs="黑体"/>
                <w:color w:val="auto"/>
                <w:sz w:val="22"/>
                <w:szCs w:val="28"/>
                <w:highlight w:val="none"/>
              </w:rPr>
            </w:pPr>
            <w:r>
              <w:rPr>
                <w:rFonts w:hint="eastAsia" w:ascii="黑体" w:hAnsi="黑体" w:eastAsia="黑体" w:cs="黑体"/>
                <w:color w:val="auto"/>
                <w:sz w:val="22"/>
                <w:szCs w:val="28"/>
                <w:highlight w:val="none"/>
              </w:rPr>
              <w:t>年</w:t>
            </w:r>
          </w:p>
        </w:tc>
        <w:tc>
          <w:tcPr>
            <w:tcW w:w="540" w:type="dxa"/>
            <w:tcBorders>
              <w:top w:val="single" w:color="000000" w:sz="4" w:space="0"/>
              <w:left w:val="single" w:color="000000" w:sz="4" w:space="0"/>
              <w:bottom w:val="single" w:color="000000" w:sz="4" w:space="0"/>
              <w:right w:val="single" w:color="000000" w:sz="4" w:space="0"/>
            </w:tcBorders>
            <w:vAlign w:val="top"/>
          </w:tcPr>
          <w:p w14:paraId="4DA7F385">
            <w:pPr>
              <w:spacing w:line="360" w:lineRule="auto"/>
              <w:rPr>
                <w:rFonts w:hint="eastAsia" w:ascii="黑体" w:hAnsi="黑体" w:eastAsia="黑体" w:cs="黑体"/>
                <w:color w:val="auto"/>
                <w:sz w:val="22"/>
                <w:szCs w:val="28"/>
                <w:highlight w:val="none"/>
              </w:rPr>
            </w:pPr>
            <w:r>
              <w:rPr>
                <w:rFonts w:hint="eastAsia" w:ascii="黑体" w:hAnsi="黑体" w:eastAsia="黑体" w:cs="黑体"/>
                <w:color w:val="auto"/>
                <w:sz w:val="22"/>
                <w:szCs w:val="28"/>
                <w:highlight w:val="none"/>
              </w:rPr>
              <w:t>月</w:t>
            </w:r>
          </w:p>
        </w:tc>
        <w:tc>
          <w:tcPr>
            <w:tcW w:w="950" w:type="dxa"/>
            <w:tcBorders>
              <w:top w:val="single" w:color="000000" w:sz="4" w:space="0"/>
              <w:left w:val="single" w:color="000000" w:sz="4" w:space="0"/>
              <w:bottom w:val="single" w:color="000000" w:sz="4" w:space="0"/>
              <w:right w:val="single" w:color="000000" w:sz="4" w:space="0"/>
            </w:tcBorders>
            <w:vAlign w:val="top"/>
          </w:tcPr>
          <w:p w14:paraId="3E79BF00">
            <w:pPr>
              <w:spacing w:line="360" w:lineRule="auto"/>
              <w:rPr>
                <w:rFonts w:hint="eastAsia" w:ascii="黑体" w:hAnsi="黑体" w:eastAsia="黑体" w:cs="黑体"/>
                <w:color w:val="auto"/>
                <w:sz w:val="22"/>
                <w:szCs w:val="28"/>
                <w:highlight w:val="none"/>
              </w:rPr>
            </w:pPr>
            <w:r>
              <w:rPr>
                <w:rFonts w:hint="eastAsia" w:ascii="黑体" w:hAnsi="黑体" w:eastAsia="黑体" w:cs="黑体"/>
                <w:color w:val="auto"/>
                <w:sz w:val="22"/>
                <w:szCs w:val="28"/>
                <w:highlight w:val="none"/>
              </w:rPr>
              <w:t>工程预付款</w:t>
            </w:r>
          </w:p>
        </w:tc>
        <w:tc>
          <w:tcPr>
            <w:tcW w:w="1329" w:type="dxa"/>
            <w:tcBorders>
              <w:top w:val="single" w:color="000000" w:sz="4" w:space="0"/>
              <w:left w:val="single" w:color="000000" w:sz="4" w:space="0"/>
              <w:bottom w:val="single" w:color="000000" w:sz="4" w:space="0"/>
              <w:right w:val="single" w:color="000000" w:sz="4" w:space="0"/>
            </w:tcBorders>
            <w:vAlign w:val="top"/>
          </w:tcPr>
          <w:p w14:paraId="6AEF4DA3">
            <w:pPr>
              <w:spacing w:line="360" w:lineRule="auto"/>
              <w:rPr>
                <w:rFonts w:hint="eastAsia" w:ascii="黑体" w:hAnsi="黑体" w:eastAsia="黑体" w:cs="黑体"/>
                <w:color w:val="auto"/>
                <w:sz w:val="22"/>
                <w:szCs w:val="28"/>
                <w:highlight w:val="none"/>
              </w:rPr>
            </w:pPr>
            <w:r>
              <w:rPr>
                <w:rFonts w:hint="eastAsia" w:ascii="黑体" w:hAnsi="黑体" w:eastAsia="黑体" w:cs="黑体"/>
                <w:color w:val="auto"/>
                <w:sz w:val="22"/>
                <w:szCs w:val="28"/>
                <w:highlight w:val="none"/>
              </w:rPr>
              <w:t>完成工作量付款</w:t>
            </w:r>
          </w:p>
        </w:tc>
        <w:tc>
          <w:tcPr>
            <w:tcW w:w="975" w:type="dxa"/>
            <w:tcBorders>
              <w:top w:val="single" w:color="000000" w:sz="4" w:space="0"/>
              <w:left w:val="single" w:color="000000" w:sz="4" w:space="0"/>
              <w:bottom w:val="single" w:color="000000" w:sz="4" w:space="0"/>
              <w:right w:val="single" w:color="000000" w:sz="4" w:space="0"/>
            </w:tcBorders>
            <w:vAlign w:val="top"/>
          </w:tcPr>
          <w:p w14:paraId="1F1173E5">
            <w:pPr>
              <w:spacing w:line="360" w:lineRule="auto"/>
              <w:rPr>
                <w:rFonts w:hint="eastAsia" w:ascii="黑体" w:hAnsi="黑体" w:eastAsia="黑体" w:cs="黑体"/>
                <w:color w:val="auto"/>
                <w:sz w:val="22"/>
                <w:szCs w:val="28"/>
                <w:highlight w:val="none"/>
              </w:rPr>
            </w:pPr>
            <w:r>
              <w:rPr>
                <w:rFonts w:hint="eastAsia" w:ascii="黑体" w:hAnsi="黑体" w:eastAsia="黑体" w:cs="黑体"/>
                <w:color w:val="auto"/>
                <w:sz w:val="22"/>
                <w:szCs w:val="28"/>
                <w:highlight w:val="none"/>
              </w:rPr>
              <w:t>质量保证</w:t>
            </w:r>
          </w:p>
          <w:p w14:paraId="270BE370">
            <w:pPr>
              <w:spacing w:line="360" w:lineRule="auto"/>
              <w:rPr>
                <w:rFonts w:hint="eastAsia" w:ascii="黑体" w:hAnsi="黑体" w:eastAsia="黑体" w:cs="黑体"/>
                <w:color w:val="auto"/>
                <w:sz w:val="22"/>
                <w:szCs w:val="28"/>
                <w:highlight w:val="none"/>
              </w:rPr>
            </w:pPr>
            <w:r>
              <w:rPr>
                <w:rFonts w:hint="eastAsia" w:ascii="黑体" w:hAnsi="黑体" w:eastAsia="黑体" w:cs="黑体"/>
                <w:color w:val="auto"/>
                <w:sz w:val="22"/>
                <w:szCs w:val="28"/>
                <w:highlight w:val="none"/>
              </w:rPr>
              <w:t>金扣留</w:t>
            </w:r>
          </w:p>
        </w:tc>
        <w:tc>
          <w:tcPr>
            <w:tcW w:w="1153" w:type="dxa"/>
            <w:tcBorders>
              <w:top w:val="single" w:color="000000" w:sz="4" w:space="0"/>
              <w:left w:val="single" w:color="000000" w:sz="4" w:space="0"/>
              <w:bottom w:val="single" w:color="000000" w:sz="4" w:space="0"/>
              <w:right w:val="single" w:color="000000" w:sz="4" w:space="0"/>
            </w:tcBorders>
            <w:vAlign w:val="top"/>
          </w:tcPr>
          <w:p w14:paraId="2F813033">
            <w:pPr>
              <w:spacing w:line="360" w:lineRule="auto"/>
              <w:rPr>
                <w:rFonts w:hint="eastAsia" w:ascii="黑体" w:hAnsi="黑体" w:eastAsia="黑体" w:cs="黑体"/>
                <w:color w:val="auto"/>
                <w:sz w:val="22"/>
                <w:szCs w:val="28"/>
                <w:highlight w:val="none"/>
              </w:rPr>
            </w:pPr>
            <w:r>
              <w:rPr>
                <w:rFonts w:hint="eastAsia" w:ascii="黑体" w:hAnsi="黑体" w:eastAsia="黑体" w:cs="黑体"/>
                <w:color w:val="auto"/>
                <w:sz w:val="22"/>
                <w:szCs w:val="28"/>
                <w:highlight w:val="none"/>
              </w:rPr>
              <w:t>材料款扣除</w:t>
            </w:r>
          </w:p>
        </w:tc>
        <w:tc>
          <w:tcPr>
            <w:tcW w:w="1220" w:type="dxa"/>
            <w:tcBorders>
              <w:top w:val="single" w:color="000000" w:sz="4" w:space="0"/>
              <w:left w:val="single" w:color="000000" w:sz="4" w:space="0"/>
              <w:bottom w:val="single" w:color="000000" w:sz="4" w:space="0"/>
              <w:right w:val="single" w:color="000000" w:sz="4" w:space="0"/>
            </w:tcBorders>
            <w:vAlign w:val="top"/>
          </w:tcPr>
          <w:p w14:paraId="23A52F34">
            <w:pPr>
              <w:spacing w:line="360" w:lineRule="auto"/>
              <w:rPr>
                <w:rFonts w:hint="eastAsia" w:ascii="黑体" w:hAnsi="黑体" w:eastAsia="黑体" w:cs="黑体"/>
                <w:color w:val="auto"/>
                <w:sz w:val="22"/>
                <w:szCs w:val="28"/>
                <w:highlight w:val="none"/>
              </w:rPr>
            </w:pPr>
            <w:r>
              <w:rPr>
                <w:rFonts w:hint="eastAsia" w:ascii="黑体" w:hAnsi="黑体" w:eastAsia="黑体" w:cs="黑体"/>
                <w:color w:val="auto"/>
                <w:sz w:val="22"/>
                <w:szCs w:val="28"/>
                <w:highlight w:val="none"/>
              </w:rPr>
              <w:t>预付款扣还</w:t>
            </w:r>
          </w:p>
        </w:tc>
        <w:tc>
          <w:tcPr>
            <w:tcW w:w="525" w:type="dxa"/>
            <w:tcBorders>
              <w:top w:val="single" w:color="000000" w:sz="4" w:space="0"/>
              <w:left w:val="single" w:color="000000" w:sz="4" w:space="0"/>
              <w:bottom w:val="single" w:color="000000" w:sz="4" w:space="0"/>
              <w:right w:val="single" w:color="000000" w:sz="4" w:space="0"/>
            </w:tcBorders>
            <w:vAlign w:val="top"/>
          </w:tcPr>
          <w:p w14:paraId="098F387C">
            <w:pPr>
              <w:spacing w:line="360" w:lineRule="auto"/>
              <w:rPr>
                <w:rFonts w:hint="eastAsia" w:ascii="黑体" w:hAnsi="黑体" w:eastAsia="黑体" w:cs="黑体"/>
                <w:color w:val="auto"/>
                <w:sz w:val="22"/>
                <w:szCs w:val="28"/>
                <w:highlight w:val="none"/>
              </w:rPr>
            </w:pPr>
            <w:r>
              <w:rPr>
                <w:rFonts w:hint="eastAsia" w:ascii="黑体" w:hAnsi="黑体" w:eastAsia="黑体" w:cs="黑体"/>
                <w:color w:val="auto"/>
                <w:sz w:val="22"/>
                <w:szCs w:val="28"/>
                <w:highlight w:val="none"/>
              </w:rPr>
              <w:t>其它</w:t>
            </w:r>
          </w:p>
        </w:tc>
        <w:tc>
          <w:tcPr>
            <w:tcW w:w="737" w:type="dxa"/>
            <w:tcBorders>
              <w:top w:val="single" w:color="000000" w:sz="4" w:space="0"/>
              <w:left w:val="single" w:color="000000" w:sz="4" w:space="0"/>
              <w:bottom w:val="single" w:color="000000" w:sz="4" w:space="0"/>
              <w:right w:val="single" w:color="000000" w:sz="4" w:space="0"/>
            </w:tcBorders>
            <w:vAlign w:val="top"/>
          </w:tcPr>
          <w:p w14:paraId="351EDC76">
            <w:pPr>
              <w:spacing w:line="360" w:lineRule="auto"/>
              <w:rPr>
                <w:rFonts w:hint="eastAsia" w:ascii="黑体" w:hAnsi="黑体" w:eastAsia="黑体" w:cs="黑体"/>
                <w:color w:val="auto"/>
                <w:sz w:val="22"/>
                <w:szCs w:val="28"/>
                <w:highlight w:val="none"/>
              </w:rPr>
            </w:pPr>
            <w:r>
              <w:rPr>
                <w:rFonts w:hint="eastAsia" w:ascii="黑体" w:hAnsi="黑体" w:eastAsia="黑体" w:cs="黑体"/>
                <w:color w:val="auto"/>
                <w:sz w:val="22"/>
                <w:szCs w:val="28"/>
                <w:highlight w:val="none"/>
              </w:rPr>
              <w:t>应收款</w:t>
            </w:r>
          </w:p>
        </w:tc>
        <w:tc>
          <w:tcPr>
            <w:tcW w:w="1125" w:type="dxa"/>
            <w:tcBorders>
              <w:top w:val="single" w:color="000000" w:sz="4" w:space="0"/>
              <w:left w:val="single" w:color="000000" w:sz="4" w:space="0"/>
              <w:bottom w:val="single" w:color="000000" w:sz="4" w:space="0"/>
              <w:right w:val="single" w:color="000000" w:sz="4" w:space="0"/>
            </w:tcBorders>
            <w:vAlign w:val="top"/>
          </w:tcPr>
          <w:p w14:paraId="66C81757">
            <w:pPr>
              <w:spacing w:line="360" w:lineRule="auto"/>
              <w:rPr>
                <w:rFonts w:hint="eastAsia" w:ascii="黑体" w:hAnsi="黑体" w:eastAsia="黑体" w:cs="黑体"/>
                <w:color w:val="auto"/>
                <w:sz w:val="22"/>
                <w:szCs w:val="28"/>
                <w:highlight w:val="none"/>
              </w:rPr>
            </w:pPr>
            <w:r>
              <w:rPr>
                <w:rFonts w:hint="eastAsia" w:ascii="黑体" w:hAnsi="黑体" w:eastAsia="黑体" w:cs="黑体"/>
                <w:color w:val="auto"/>
                <w:sz w:val="22"/>
                <w:szCs w:val="28"/>
                <w:highlight w:val="none"/>
              </w:rPr>
              <w:t>累计应收款</w:t>
            </w:r>
          </w:p>
        </w:tc>
      </w:tr>
      <w:tr w14:paraId="7BB7AE18">
        <w:tblPrEx>
          <w:tblCellMar>
            <w:top w:w="0" w:type="dxa"/>
            <w:left w:w="0" w:type="dxa"/>
            <w:bottom w:w="0" w:type="dxa"/>
            <w:right w:w="0" w:type="dxa"/>
          </w:tblCellMar>
        </w:tblPrEx>
        <w:trPr>
          <w:trHeight w:val="554" w:hRule="exact"/>
        </w:trPr>
        <w:tc>
          <w:tcPr>
            <w:tcW w:w="540" w:type="dxa"/>
            <w:tcBorders>
              <w:top w:val="single" w:color="000000" w:sz="4" w:space="0"/>
              <w:left w:val="single" w:color="000000" w:sz="4" w:space="0"/>
              <w:bottom w:val="single" w:color="000000" w:sz="4" w:space="0"/>
              <w:right w:val="single" w:color="000000" w:sz="4" w:space="0"/>
            </w:tcBorders>
            <w:vAlign w:val="top"/>
          </w:tcPr>
          <w:p w14:paraId="25F2EE37">
            <w:pPr>
              <w:spacing w:line="360" w:lineRule="auto"/>
              <w:rPr>
                <w:rFonts w:hint="eastAsia" w:ascii="黑体" w:hAnsi="黑体" w:eastAsia="黑体" w:cs="黑体"/>
                <w:color w:val="auto"/>
                <w:sz w:val="22"/>
                <w:szCs w:val="28"/>
                <w:highlight w:val="none"/>
              </w:rPr>
            </w:pPr>
          </w:p>
        </w:tc>
        <w:tc>
          <w:tcPr>
            <w:tcW w:w="540" w:type="dxa"/>
            <w:tcBorders>
              <w:top w:val="single" w:color="000000" w:sz="4" w:space="0"/>
              <w:left w:val="single" w:color="000000" w:sz="4" w:space="0"/>
              <w:bottom w:val="single" w:color="000000" w:sz="4" w:space="0"/>
              <w:right w:val="single" w:color="000000" w:sz="4" w:space="0"/>
            </w:tcBorders>
            <w:vAlign w:val="top"/>
          </w:tcPr>
          <w:p w14:paraId="49D78F66">
            <w:pPr>
              <w:spacing w:line="360" w:lineRule="auto"/>
              <w:rPr>
                <w:rFonts w:hint="eastAsia" w:ascii="黑体" w:hAnsi="黑体" w:eastAsia="黑体" w:cs="黑体"/>
                <w:color w:val="auto"/>
                <w:sz w:val="22"/>
                <w:szCs w:val="28"/>
                <w:highlight w:val="none"/>
              </w:rPr>
            </w:pPr>
          </w:p>
        </w:tc>
        <w:tc>
          <w:tcPr>
            <w:tcW w:w="950" w:type="dxa"/>
            <w:tcBorders>
              <w:top w:val="single" w:color="000000" w:sz="4" w:space="0"/>
              <w:left w:val="single" w:color="000000" w:sz="4" w:space="0"/>
              <w:bottom w:val="single" w:color="000000" w:sz="4" w:space="0"/>
              <w:right w:val="single" w:color="000000" w:sz="4" w:space="0"/>
            </w:tcBorders>
            <w:vAlign w:val="top"/>
          </w:tcPr>
          <w:p w14:paraId="79B1FE7E">
            <w:pPr>
              <w:spacing w:line="360" w:lineRule="auto"/>
              <w:rPr>
                <w:rFonts w:hint="eastAsia" w:ascii="黑体" w:hAnsi="黑体" w:eastAsia="黑体" w:cs="黑体"/>
                <w:color w:val="auto"/>
                <w:sz w:val="22"/>
                <w:szCs w:val="28"/>
                <w:highlight w:val="none"/>
              </w:rPr>
            </w:pPr>
          </w:p>
        </w:tc>
        <w:tc>
          <w:tcPr>
            <w:tcW w:w="1329" w:type="dxa"/>
            <w:tcBorders>
              <w:top w:val="single" w:color="000000" w:sz="4" w:space="0"/>
              <w:left w:val="single" w:color="000000" w:sz="4" w:space="0"/>
              <w:bottom w:val="single" w:color="000000" w:sz="4" w:space="0"/>
              <w:right w:val="single" w:color="000000" w:sz="4" w:space="0"/>
            </w:tcBorders>
            <w:vAlign w:val="top"/>
          </w:tcPr>
          <w:p w14:paraId="4D30882A">
            <w:pPr>
              <w:spacing w:line="360" w:lineRule="auto"/>
              <w:rPr>
                <w:rFonts w:hint="eastAsia" w:ascii="黑体" w:hAnsi="黑体" w:eastAsia="黑体" w:cs="黑体"/>
                <w:color w:val="auto"/>
                <w:sz w:val="22"/>
                <w:szCs w:val="28"/>
                <w:highlight w:val="none"/>
              </w:rPr>
            </w:pPr>
          </w:p>
        </w:tc>
        <w:tc>
          <w:tcPr>
            <w:tcW w:w="975" w:type="dxa"/>
            <w:tcBorders>
              <w:top w:val="single" w:color="000000" w:sz="4" w:space="0"/>
              <w:left w:val="single" w:color="000000" w:sz="4" w:space="0"/>
              <w:bottom w:val="single" w:color="000000" w:sz="4" w:space="0"/>
              <w:right w:val="single" w:color="000000" w:sz="4" w:space="0"/>
            </w:tcBorders>
            <w:vAlign w:val="top"/>
          </w:tcPr>
          <w:p w14:paraId="022904F5">
            <w:pPr>
              <w:spacing w:line="360" w:lineRule="auto"/>
              <w:rPr>
                <w:rFonts w:hint="eastAsia" w:ascii="黑体" w:hAnsi="黑体" w:eastAsia="黑体" w:cs="黑体"/>
                <w:color w:val="auto"/>
                <w:sz w:val="22"/>
                <w:szCs w:val="28"/>
                <w:highlight w:val="none"/>
              </w:rPr>
            </w:pPr>
          </w:p>
        </w:tc>
        <w:tc>
          <w:tcPr>
            <w:tcW w:w="1153" w:type="dxa"/>
            <w:tcBorders>
              <w:top w:val="single" w:color="000000" w:sz="4" w:space="0"/>
              <w:left w:val="single" w:color="000000" w:sz="4" w:space="0"/>
              <w:bottom w:val="single" w:color="000000" w:sz="4" w:space="0"/>
              <w:right w:val="single" w:color="000000" w:sz="4" w:space="0"/>
            </w:tcBorders>
            <w:vAlign w:val="top"/>
          </w:tcPr>
          <w:p w14:paraId="3A698467">
            <w:pPr>
              <w:spacing w:line="360" w:lineRule="auto"/>
              <w:rPr>
                <w:rFonts w:hint="eastAsia" w:ascii="黑体" w:hAnsi="黑体" w:eastAsia="黑体" w:cs="黑体"/>
                <w:color w:val="auto"/>
                <w:sz w:val="22"/>
                <w:szCs w:val="28"/>
                <w:highlight w:val="none"/>
              </w:rPr>
            </w:pPr>
          </w:p>
        </w:tc>
        <w:tc>
          <w:tcPr>
            <w:tcW w:w="1220" w:type="dxa"/>
            <w:tcBorders>
              <w:top w:val="single" w:color="000000" w:sz="4" w:space="0"/>
              <w:left w:val="single" w:color="000000" w:sz="4" w:space="0"/>
              <w:bottom w:val="single" w:color="000000" w:sz="4" w:space="0"/>
              <w:right w:val="single" w:color="000000" w:sz="4" w:space="0"/>
            </w:tcBorders>
            <w:vAlign w:val="top"/>
          </w:tcPr>
          <w:p w14:paraId="6DDBA8E4">
            <w:pPr>
              <w:spacing w:line="360" w:lineRule="auto"/>
              <w:rPr>
                <w:rFonts w:hint="eastAsia" w:ascii="黑体" w:hAnsi="黑体" w:eastAsia="黑体" w:cs="黑体"/>
                <w:color w:val="auto"/>
                <w:sz w:val="22"/>
                <w:szCs w:val="28"/>
                <w:highlight w:val="none"/>
              </w:rPr>
            </w:pPr>
          </w:p>
        </w:tc>
        <w:tc>
          <w:tcPr>
            <w:tcW w:w="525" w:type="dxa"/>
            <w:tcBorders>
              <w:top w:val="single" w:color="000000" w:sz="4" w:space="0"/>
              <w:left w:val="single" w:color="000000" w:sz="4" w:space="0"/>
              <w:bottom w:val="single" w:color="000000" w:sz="4" w:space="0"/>
              <w:right w:val="single" w:color="000000" w:sz="4" w:space="0"/>
            </w:tcBorders>
            <w:vAlign w:val="top"/>
          </w:tcPr>
          <w:p w14:paraId="1F4ADFE1">
            <w:pPr>
              <w:spacing w:line="360" w:lineRule="auto"/>
              <w:rPr>
                <w:rFonts w:hint="eastAsia" w:ascii="黑体" w:hAnsi="黑体" w:eastAsia="黑体" w:cs="黑体"/>
                <w:color w:val="auto"/>
                <w:sz w:val="22"/>
                <w:szCs w:val="28"/>
                <w:highlight w:val="none"/>
              </w:rPr>
            </w:pPr>
          </w:p>
        </w:tc>
        <w:tc>
          <w:tcPr>
            <w:tcW w:w="737" w:type="dxa"/>
            <w:tcBorders>
              <w:top w:val="single" w:color="000000" w:sz="4" w:space="0"/>
              <w:left w:val="single" w:color="000000" w:sz="4" w:space="0"/>
              <w:bottom w:val="single" w:color="000000" w:sz="4" w:space="0"/>
              <w:right w:val="single" w:color="000000" w:sz="4" w:space="0"/>
            </w:tcBorders>
            <w:vAlign w:val="top"/>
          </w:tcPr>
          <w:p w14:paraId="2CB3D461">
            <w:pPr>
              <w:spacing w:line="360" w:lineRule="auto"/>
              <w:rPr>
                <w:rFonts w:hint="eastAsia" w:ascii="黑体" w:hAnsi="黑体" w:eastAsia="黑体" w:cs="黑体"/>
                <w:color w:val="auto"/>
                <w:sz w:val="22"/>
                <w:szCs w:val="28"/>
                <w:highlight w:val="none"/>
              </w:rPr>
            </w:pPr>
          </w:p>
        </w:tc>
        <w:tc>
          <w:tcPr>
            <w:tcW w:w="1125" w:type="dxa"/>
            <w:tcBorders>
              <w:top w:val="single" w:color="000000" w:sz="4" w:space="0"/>
              <w:left w:val="single" w:color="000000" w:sz="4" w:space="0"/>
              <w:bottom w:val="single" w:color="000000" w:sz="4" w:space="0"/>
              <w:right w:val="single" w:color="000000" w:sz="4" w:space="0"/>
            </w:tcBorders>
            <w:vAlign w:val="top"/>
          </w:tcPr>
          <w:p w14:paraId="502D0D20">
            <w:pPr>
              <w:spacing w:line="360" w:lineRule="auto"/>
              <w:rPr>
                <w:rFonts w:hint="eastAsia" w:ascii="黑体" w:hAnsi="黑体" w:eastAsia="黑体" w:cs="黑体"/>
                <w:color w:val="auto"/>
                <w:sz w:val="22"/>
                <w:szCs w:val="28"/>
                <w:highlight w:val="none"/>
              </w:rPr>
            </w:pPr>
          </w:p>
        </w:tc>
      </w:tr>
      <w:tr w14:paraId="4F902734">
        <w:tblPrEx>
          <w:tblCellMar>
            <w:top w:w="0" w:type="dxa"/>
            <w:left w:w="0" w:type="dxa"/>
            <w:bottom w:w="0" w:type="dxa"/>
            <w:right w:w="0" w:type="dxa"/>
          </w:tblCellMar>
        </w:tblPrEx>
        <w:trPr>
          <w:trHeight w:val="555" w:hRule="exact"/>
        </w:trPr>
        <w:tc>
          <w:tcPr>
            <w:tcW w:w="540" w:type="dxa"/>
            <w:tcBorders>
              <w:top w:val="single" w:color="000000" w:sz="4" w:space="0"/>
              <w:left w:val="single" w:color="000000" w:sz="4" w:space="0"/>
              <w:bottom w:val="single" w:color="000000" w:sz="4" w:space="0"/>
              <w:right w:val="single" w:color="000000" w:sz="4" w:space="0"/>
            </w:tcBorders>
            <w:vAlign w:val="top"/>
          </w:tcPr>
          <w:p w14:paraId="3858CFEA">
            <w:pPr>
              <w:spacing w:line="360" w:lineRule="auto"/>
              <w:rPr>
                <w:rFonts w:hint="eastAsia" w:ascii="黑体" w:hAnsi="黑体" w:eastAsia="黑体" w:cs="黑体"/>
                <w:color w:val="auto"/>
                <w:sz w:val="22"/>
                <w:szCs w:val="28"/>
                <w:highlight w:val="none"/>
              </w:rPr>
            </w:pPr>
          </w:p>
        </w:tc>
        <w:tc>
          <w:tcPr>
            <w:tcW w:w="540" w:type="dxa"/>
            <w:tcBorders>
              <w:top w:val="single" w:color="000000" w:sz="4" w:space="0"/>
              <w:left w:val="single" w:color="000000" w:sz="4" w:space="0"/>
              <w:bottom w:val="single" w:color="000000" w:sz="4" w:space="0"/>
              <w:right w:val="single" w:color="000000" w:sz="4" w:space="0"/>
            </w:tcBorders>
            <w:vAlign w:val="top"/>
          </w:tcPr>
          <w:p w14:paraId="75E2FF8F">
            <w:pPr>
              <w:spacing w:line="360" w:lineRule="auto"/>
              <w:rPr>
                <w:rFonts w:hint="eastAsia" w:ascii="黑体" w:hAnsi="黑体" w:eastAsia="黑体" w:cs="黑体"/>
                <w:color w:val="auto"/>
                <w:sz w:val="22"/>
                <w:szCs w:val="28"/>
                <w:highlight w:val="none"/>
              </w:rPr>
            </w:pPr>
          </w:p>
        </w:tc>
        <w:tc>
          <w:tcPr>
            <w:tcW w:w="950" w:type="dxa"/>
            <w:tcBorders>
              <w:top w:val="single" w:color="000000" w:sz="4" w:space="0"/>
              <w:left w:val="single" w:color="000000" w:sz="4" w:space="0"/>
              <w:bottom w:val="single" w:color="000000" w:sz="4" w:space="0"/>
              <w:right w:val="single" w:color="000000" w:sz="4" w:space="0"/>
            </w:tcBorders>
            <w:vAlign w:val="top"/>
          </w:tcPr>
          <w:p w14:paraId="4324B800">
            <w:pPr>
              <w:spacing w:line="360" w:lineRule="auto"/>
              <w:rPr>
                <w:rFonts w:hint="eastAsia" w:ascii="黑体" w:hAnsi="黑体" w:eastAsia="黑体" w:cs="黑体"/>
                <w:color w:val="auto"/>
                <w:sz w:val="22"/>
                <w:szCs w:val="28"/>
                <w:highlight w:val="none"/>
              </w:rPr>
            </w:pPr>
          </w:p>
        </w:tc>
        <w:tc>
          <w:tcPr>
            <w:tcW w:w="1329" w:type="dxa"/>
            <w:tcBorders>
              <w:top w:val="single" w:color="000000" w:sz="4" w:space="0"/>
              <w:left w:val="single" w:color="000000" w:sz="4" w:space="0"/>
              <w:bottom w:val="single" w:color="000000" w:sz="4" w:space="0"/>
              <w:right w:val="single" w:color="000000" w:sz="4" w:space="0"/>
            </w:tcBorders>
            <w:vAlign w:val="top"/>
          </w:tcPr>
          <w:p w14:paraId="66F62DAD">
            <w:pPr>
              <w:spacing w:line="360" w:lineRule="auto"/>
              <w:rPr>
                <w:rFonts w:hint="eastAsia" w:ascii="黑体" w:hAnsi="黑体" w:eastAsia="黑体" w:cs="黑体"/>
                <w:color w:val="auto"/>
                <w:sz w:val="22"/>
                <w:szCs w:val="28"/>
                <w:highlight w:val="none"/>
              </w:rPr>
            </w:pPr>
          </w:p>
        </w:tc>
        <w:tc>
          <w:tcPr>
            <w:tcW w:w="975" w:type="dxa"/>
            <w:tcBorders>
              <w:top w:val="single" w:color="000000" w:sz="4" w:space="0"/>
              <w:left w:val="single" w:color="000000" w:sz="4" w:space="0"/>
              <w:bottom w:val="single" w:color="000000" w:sz="4" w:space="0"/>
              <w:right w:val="single" w:color="000000" w:sz="4" w:space="0"/>
            </w:tcBorders>
            <w:vAlign w:val="top"/>
          </w:tcPr>
          <w:p w14:paraId="7E2EEA6C">
            <w:pPr>
              <w:spacing w:line="360" w:lineRule="auto"/>
              <w:rPr>
                <w:rFonts w:hint="eastAsia" w:ascii="黑体" w:hAnsi="黑体" w:eastAsia="黑体" w:cs="黑体"/>
                <w:color w:val="auto"/>
                <w:sz w:val="22"/>
                <w:szCs w:val="28"/>
                <w:highlight w:val="none"/>
              </w:rPr>
            </w:pPr>
          </w:p>
        </w:tc>
        <w:tc>
          <w:tcPr>
            <w:tcW w:w="1153" w:type="dxa"/>
            <w:tcBorders>
              <w:top w:val="single" w:color="000000" w:sz="4" w:space="0"/>
              <w:left w:val="single" w:color="000000" w:sz="4" w:space="0"/>
              <w:bottom w:val="single" w:color="000000" w:sz="4" w:space="0"/>
              <w:right w:val="single" w:color="000000" w:sz="4" w:space="0"/>
            </w:tcBorders>
            <w:vAlign w:val="top"/>
          </w:tcPr>
          <w:p w14:paraId="498B8291">
            <w:pPr>
              <w:spacing w:line="360" w:lineRule="auto"/>
              <w:rPr>
                <w:rFonts w:hint="eastAsia" w:ascii="黑体" w:hAnsi="黑体" w:eastAsia="黑体" w:cs="黑体"/>
                <w:color w:val="auto"/>
                <w:sz w:val="22"/>
                <w:szCs w:val="28"/>
                <w:highlight w:val="none"/>
              </w:rPr>
            </w:pPr>
          </w:p>
        </w:tc>
        <w:tc>
          <w:tcPr>
            <w:tcW w:w="1220" w:type="dxa"/>
            <w:tcBorders>
              <w:top w:val="single" w:color="000000" w:sz="4" w:space="0"/>
              <w:left w:val="single" w:color="000000" w:sz="4" w:space="0"/>
              <w:bottom w:val="single" w:color="000000" w:sz="4" w:space="0"/>
              <w:right w:val="single" w:color="000000" w:sz="4" w:space="0"/>
            </w:tcBorders>
            <w:vAlign w:val="top"/>
          </w:tcPr>
          <w:p w14:paraId="6943EDA9">
            <w:pPr>
              <w:spacing w:line="360" w:lineRule="auto"/>
              <w:rPr>
                <w:rFonts w:hint="eastAsia" w:ascii="黑体" w:hAnsi="黑体" w:eastAsia="黑体" w:cs="黑体"/>
                <w:color w:val="auto"/>
                <w:sz w:val="22"/>
                <w:szCs w:val="28"/>
                <w:highlight w:val="none"/>
              </w:rPr>
            </w:pPr>
          </w:p>
        </w:tc>
        <w:tc>
          <w:tcPr>
            <w:tcW w:w="525" w:type="dxa"/>
            <w:tcBorders>
              <w:top w:val="single" w:color="000000" w:sz="4" w:space="0"/>
              <w:left w:val="single" w:color="000000" w:sz="4" w:space="0"/>
              <w:bottom w:val="single" w:color="000000" w:sz="4" w:space="0"/>
              <w:right w:val="single" w:color="000000" w:sz="4" w:space="0"/>
            </w:tcBorders>
            <w:vAlign w:val="top"/>
          </w:tcPr>
          <w:p w14:paraId="22FFA79F">
            <w:pPr>
              <w:spacing w:line="360" w:lineRule="auto"/>
              <w:rPr>
                <w:rFonts w:hint="eastAsia" w:ascii="黑体" w:hAnsi="黑体" w:eastAsia="黑体" w:cs="黑体"/>
                <w:color w:val="auto"/>
                <w:sz w:val="22"/>
                <w:szCs w:val="28"/>
                <w:highlight w:val="none"/>
              </w:rPr>
            </w:pPr>
          </w:p>
        </w:tc>
        <w:tc>
          <w:tcPr>
            <w:tcW w:w="737" w:type="dxa"/>
            <w:tcBorders>
              <w:top w:val="single" w:color="000000" w:sz="4" w:space="0"/>
              <w:left w:val="single" w:color="000000" w:sz="4" w:space="0"/>
              <w:bottom w:val="single" w:color="000000" w:sz="4" w:space="0"/>
              <w:right w:val="single" w:color="000000" w:sz="4" w:space="0"/>
            </w:tcBorders>
            <w:vAlign w:val="top"/>
          </w:tcPr>
          <w:p w14:paraId="3B5B6F6C">
            <w:pPr>
              <w:spacing w:line="360" w:lineRule="auto"/>
              <w:rPr>
                <w:rFonts w:hint="eastAsia" w:ascii="黑体" w:hAnsi="黑体" w:eastAsia="黑体" w:cs="黑体"/>
                <w:color w:val="auto"/>
                <w:sz w:val="22"/>
                <w:szCs w:val="28"/>
                <w:highlight w:val="none"/>
              </w:rPr>
            </w:pPr>
          </w:p>
        </w:tc>
        <w:tc>
          <w:tcPr>
            <w:tcW w:w="1125" w:type="dxa"/>
            <w:tcBorders>
              <w:top w:val="single" w:color="000000" w:sz="4" w:space="0"/>
              <w:left w:val="single" w:color="000000" w:sz="4" w:space="0"/>
              <w:bottom w:val="single" w:color="000000" w:sz="4" w:space="0"/>
              <w:right w:val="single" w:color="000000" w:sz="4" w:space="0"/>
            </w:tcBorders>
            <w:vAlign w:val="top"/>
          </w:tcPr>
          <w:p w14:paraId="5EB712F1">
            <w:pPr>
              <w:spacing w:line="360" w:lineRule="auto"/>
              <w:rPr>
                <w:rFonts w:hint="eastAsia" w:ascii="黑体" w:hAnsi="黑体" w:eastAsia="黑体" w:cs="黑体"/>
                <w:color w:val="auto"/>
                <w:sz w:val="22"/>
                <w:szCs w:val="28"/>
                <w:highlight w:val="none"/>
              </w:rPr>
            </w:pPr>
          </w:p>
        </w:tc>
      </w:tr>
      <w:tr w14:paraId="258AAB01">
        <w:tblPrEx>
          <w:tblCellMar>
            <w:top w:w="0" w:type="dxa"/>
            <w:left w:w="0" w:type="dxa"/>
            <w:bottom w:w="0" w:type="dxa"/>
            <w:right w:w="0" w:type="dxa"/>
          </w:tblCellMar>
        </w:tblPrEx>
        <w:trPr>
          <w:trHeight w:val="555" w:hRule="exact"/>
        </w:trPr>
        <w:tc>
          <w:tcPr>
            <w:tcW w:w="540" w:type="dxa"/>
            <w:tcBorders>
              <w:top w:val="single" w:color="000000" w:sz="4" w:space="0"/>
              <w:left w:val="single" w:color="000000" w:sz="4" w:space="0"/>
              <w:bottom w:val="single" w:color="000000" w:sz="4" w:space="0"/>
              <w:right w:val="single" w:color="000000" w:sz="4" w:space="0"/>
            </w:tcBorders>
            <w:vAlign w:val="top"/>
          </w:tcPr>
          <w:p w14:paraId="24041B08">
            <w:pPr>
              <w:spacing w:line="360" w:lineRule="auto"/>
              <w:rPr>
                <w:rFonts w:hint="eastAsia" w:ascii="黑体" w:hAnsi="黑体" w:eastAsia="黑体" w:cs="黑体"/>
                <w:color w:val="auto"/>
                <w:sz w:val="22"/>
                <w:szCs w:val="28"/>
                <w:highlight w:val="none"/>
              </w:rPr>
            </w:pPr>
          </w:p>
        </w:tc>
        <w:tc>
          <w:tcPr>
            <w:tcW w:w="540" w:type="dxa"/>
            <w:tcBorders>
              <w:top w:val="single" w:color="000000" w:sz="4" w:space="0"/>
              <w:left w:val="single" w:color="000000" w:sz="4" w:space="0"/>
              <w:bottom w:val="single" w:color="000000" w:sz="4" w:space="0"/>
              <w:right w:val="single" w:color="000000" w:sz="4" w:space="0"/>
            </w:tcBorders>
            <w:vAlign w:val="top"/>
          </w:tcPr>
          <w:p w14:paraId="72B5EEA6">
            <w:pPr>
              <w:spacing w:line="360" w:lineRule="auto"/>
              <w:rPr>
                <w:rFonts w:hint="eastAsia" w:ascii="黑体" w:hAnsi="黑体" w:eastAsia="黑体" w:cs="黑体"/>
                <w:color w:val="auto"/>
                <w:sz w:val="22"/>
                <w:szCs w:val="28"/>
                <w:highlight w:val="none"/>
              </w:rPr>
            </w:pPr>
          </w:p>
        </w:tc>
        <w:tc>
          <w:tcPr>
            <w:tcW w:w="950" w:type="dxa"/>
            <w:tcBorders>
              <w:top w:val="single" w:color="000000" w:sz="4" w:space="0"/>
              <w:left w:val="single" w:color="000000" w:sz="4" w:space="0"/>
              <w:bottom w:val="single" w:color="000000" w:sz="4" w:space="0"/>
              <w:right w:val="single" w:color="000000" w:sz="4" w:space="0"/>
            </w:tcBorders>
            <w:vAlign w:val="top"/>
          </w:tcPr>
          <w:p w14:paraId="122D575E">
            <w:pPr>
              <w:spacing w:line="360" w:lineRule="auto"/>
              <w:rPr>
                <w:rFonts w:hint="eastAsia" w:ascii="黑体" w:hAnsi="黑体" w:eastAsia="黑体" w:cs="黑体"/>
                <w:color w:val="auto"/>
                <w:sz w:val="22"/>
                <w:szCs w:val="28"/>
                <w:highlight w:val="none"/>
              </w:rPr>
            </w:pPr>
          </w:p>
        </w:tc>
        <w:tc>
          <w:tcPr>
            <w:tcW w:w="1329" w:type="dxa"/>
            <w:tcBorders>
              <w:top w:val="single" w:color="000000" w:sz="4" w:space="0"/>
              <w:left w:val="single" w:color="000000" w:sz="4" w:space="0"/>
              <w:bottom w:val="single" w:color="000000" w:sz="4" w:space="0"/>
              <w:right w:val="single" w:color="000000" w:sz="4" w:space="0"/>
            </w:tcBorders>
            <w:vAlign w:val="top"/>
          </w:tcPr>
          <w:p w14:paraId="1DFA577D">
            <w:pPr>
              <w:spacing w:line="360" w:lineRule="auto"/>
              <w:rPr>
                <w:rFonts w:hint="eastAsia" w:ascii="黑体" w:hAnsi="黑体" w:eastAsia="黑体" w:cs="黑体"/>
                <w:color w:val="auto"/>
                <w:sz w:val="22"/>
                <w:szCs w:val="28"/>
                <w:highlight w:val="none"/>
              </w:rPr>
            </w:pPr>
          </w:p>
        </w:tc>
        <w:tc>
          <w:tcPr>
            <w:tcW w:w="975" w:type="dxa"/>
            <w:tcBorders>
              <w:top w:val="single" w:color="000000" w:sz="4" w:space="0"/>
              <w:left w:val="single" w:color="000000" w:sz="4" w:space="0"/>
              <w:bottom w:val="single" w:color="000000" w:sz="4" w:space="0"/>
              <w:right w:val="single" w:color="000000" w:sz="4" w:space="0"/>
            </w:tcBorders>
            <w:vAlign w:val="top"/>
          </w:tcPr>
          <w:p w14:paraId="705CE7FB">
            <w:pPr>
              <w:spacing w:line="360" w:lineRule="auto"/>
              <w:rPr>
                <w:rFonts w:hint="eastAsia" w:ascii="黑体" w:hAnsi="黑体" w:eastAsia="黑体" w:cs="黑体"/>
                <w:color w:val="auto"/>
                <w:sz w:val="22"/>
                <w:szCs w:val="28"/>
                <w:highlight w:val="none"/>
              </w:rPr>
            </w:pPr>
          </w:p>
        </w:tc>
        <w:tc>
          <w:tcPr>
            <w:tcW w:w="1153" w:type="dxa"/>
            <w:tcBorders>
              <w:top w:val="single" w:color="000000" w:sz="4" w:space="0"/>
              <w:left w:val="single" w:color="000000" w:sz="4" w:space="0"/>
              <w:bottom w:val="single" w:color="000000" w:sz="4" w:space="0"/>
              <w:right w:val="single" w:color="000000" w:sz="4" w:space="0"/>
            </w:tcBorders>
            <w:vAlign w:val="top"/>
          </w:tcPr>
          <w:p w14:paraId="6D47A276">
            <w:pPr>
              <w:spacing w:line="360" w:lineRule="auto"/>
              <w:rPr>
                <w:rFonts w:hint="eastAsia" w:ascii="黑体" w:hAnsi="黑体" w:eastAsia="黑体" w:cs="黑体"/>
                <w:color w:val="auto"/>
                <w:sz w:val="22"/>
                <w:szCs w:val="28"/>
                <w:highlight w:val="none"/>
              </w:rPr>
            </w:pPr>
          </w:p>
        </w:tc>
        <w:tc>
          <w:tcPr>
            <w:tcW w:w="1220" w:type="dxa"/>
            <w:tcBorders>
              <w:top w:val="single" w:color="000000" w:sz="4" w:space="0"/>
              <w:left w:val="single" w:color="000000" w:sz="4" w:space="0"/>
              <w:bottom w:val="single" w:color="000000" w:sz="4" w:space="0"/>
              <w:right w:val="single" w:color="000000" w:sz="4" w:space="0"/>
            </w:tcBorders>
            <w:vAlign w:val="top"/>
          </w:tcPr>
          <w:p w14:paraId="751AB56B">
            <w:pPr>
              <w:spacing w:line="360" w:lineRule="auto"/>
              <w:rPr>
                <w:rFonts w:hint="eastAsia" w:ascii="黑体" w:hAnsi="黑体" w:eastAsia="黑体" w:cs="黑体"/>
                <w:color w:val="auto"/>
                <w:sz w:val="22"/>
                <w:szCs w:val="28"/>
                <w:highlight w:val="none"/>
              </w:rPr>
            </w:pPr>
          </w:p>
        </w:tc>
        <w:tc>
          <w:tcPr>
            <w:tcW w:w="525" w:type="dxa"/>
            <w:tcBorders>
              <w:top w:val="single" w:color="000000" w:sz="4" w:space="0"/>
              <w:left w:val="single" w:color="000000" w:sz="4" w:space="0"/>
              <w:bottom w:val="single" w:color="000000" w:sz="4" w:space="0"/>
              <w:right w:val="single" w:color="000000" w:sz="4" w:space="0"/>
            </w:tcBorders>
            <w:vAlign w:val="top"/>
          </w:tcPr>
          <w:p w14:paraId="484B5CD8">
            <w:pPr>
              <w:spacing w:line="360" w:lineRule="auto"/>
              <w:rPr>
                <w:rFonts w:hint="eastAsia" w:ascii="黑体" w:hAnsi="黑体" w:eastAsia="黑体" w:cs="黑体"/>
                <w:color w:val="auto"/>
                <w:sz w:val="22"/>
                <w:szCs w:val="28"/>
                <w:highlight w:val="none"/>
              </w:rPr>
            </w:pPr>
          </w:p>
        </w:tc>
        <w:tc>
          <w:tcPr>
            <w:tcW w:w="737" w:type="dxa"/>
            <w:tcBorders>
              <w:top w:val="single" w:color="000000" w:sz="4" w:space="0"/>
              <w:left w:val="single" w:color="000000" w:sz="4" w:space="0"/>
              <w:bottom w:val="single" w:color="000000" w:sz="4" w:space="0"/>
              <w:right w:val="single" w:color="000000" w:sz="4" w:space="0"/>
            </w:tcBorders>
            <w:vAlign w:val="top"/>
          </w:tcPr>
          <w:p w14:paraId="63E2E4D4">
            <w:pPr>
              <w:spacing w:line="360" w:lineRule="auto"/>
              <w:rPr>
                <w:rFonts w:hint="eastAsia" w:ascii="黑体" w:hAnsi="黑体" w:eastAsia="黑体" w:cs="黑体"/>
                <w:color w:val="auto"/>
                <w:sz w:val="22"/>
                <w:szCs w:val="28"/>
                <w:highlight w:val="none"/>
              </w:rPr>
            </w:pPr>
          </w:p>
        </w:tc>
        <w:tc>
          <w:tcPr>
            <w:tcW w:w="1125" w:type="dxa"/>
            <w:tcBorders>
              <w:top w:val="single" w:color="000000" w:sz="4" w:space="0"/>
              <w:left w:val="single" w:color="000000" w:sz="4" w:space="0"/>
              <w:bottom w:val="single" w:color="000000" w:sz="4" w:space="0"/>
              <w:right w:val="single" w:color="000000" w:sz="4" w:space="0"/>
            </w:tcBorders>
            <w:vAlign w:val="top"/>
          </w:tcPr>
          <w:p w14:paraId="741BB7FE">
            <w:pPr>
              <w:spacing w:line="360" w:lineRule="auto"/>
              <w:rPr>
                <w:rFonts w:hint="eastAsia" w:ascii="黑体" w:hAnsi="黑体" w:eastAsia="黑体" w:cs="黑体"/>
                <w:color w:val="auto"/>
                <w:sz w:val="22"/>
                <w:szCs w:val="28"/>
                <w:highlight w:val="none"/>
              </w:rPr>
            </w:pPr>
          </w:p>
        </w:tc>
      </w:tr>
    </w:tbl>
    <w:p w14:paraId="38374B4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w:t>
      </w:r>
      <w:r>
        <w:rPr>
          <w:rFonts w:hint="eastAsia" w:ascii="黑体" w:hAnsi="黑体" w:eastAsia="黑体" w:cs="黑体"/>
          <w:color w:val="auto"/>
          <w:sz w:val="22"/>
          <w:szCs w:val="28"/>
          <w:highlight w:val="none"/>
          <w:lang w:val="en-US" w:eastAsia="zh-CN"/>
        </w:rPr>
        <w:t>.</w:t>
      </w:r>
      <w:r>
        <w:rPr>
          <w:rFonts w:hint="eastAsia" w:ascii="黑体" w:hAnsi="黑体" w:eastAsia="黑体" w:cs="黑体"/>
          <w:color w:val="auto"/>
          <w:sz w:val="22"/>
          <w:szCs w:val="28"/>
          <w:highlight w:val="none"/>
          <w:lang w:eastAsia="zh-CN"/>
        </w:rPr>
        <w:t>开工和竣工（完工）</w:t>
      </w:r>
    </w:p>
    <w:p w14:paraId="3B81F6B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11.1 开工</w:t>
      </w:r>
    </w:p>
    <w:p w14:paraId="46A6AF9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11.1.1 监理人应在开工日期 7天前向承包人发出开工通知。监理人在发出开工通知前应获得发包人同意。工期自监理人发出的开工通知中载明的开工日期起计算。承包人应在开工日期后尽快施工。</w:t>
      </w:r>
    </w:p>
    <w:p w14:paraId="41DB854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11.1.2 承包人应按第 10.1 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6A65743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11.1.3 若发包人未能按合同约定向承包人提供开工的必要条件，承包人有权要求延长工期。监理人应在收到承包人的书面要求后，按第 3.5 款的约定，与合同双方商定或确定增加的费用和延长的工期。</w:t>
      </w:r>
    </w:p>
    <w:p w14:paraId="21E4D0A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11.1.4 承包人在接到开工通知后 14 天内未按进度计划要求及时进场组织施工，监理人可通知承包人在接到通知后 7 天内提交一份说明其进场延误的书面报告，报送监理人。书面报告应说明不能及时进场的原因和补救措施，由此增加的费用和工期延误责任由承包人承担。</w:t>
      </w:r>
    </w:p>
    <w:p w14:paraId="7B2124D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11.2 竣工（完工）</w:t>
      </w:r>
    </w:p>
    <w:p w14:paraId="228C481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承包人应在第 1.1.4.3 目约定的期限内完成合同工程。合同工程实际完工日期在合同工程完工证书中明确。</w:t>
      </w:r>
    </w:p>
    <w:p w14:paraId="243989E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11.3 发包人的工期延误 在履行合同过程中，由于发包人的下列原因造成工期延误的，承包人有权要求发包人延长工期和（或）增加费用，并支付合理利润。需要修订合同进度计划的，按照第 10.2 款的约定办理。</w:t>
      </w:r>
    </w:p>
    <w:p w14:paraId="72A5C1E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（l）增加合同工作内容；</w:t>
      </w:r>
    </w:p>
    <w:p w14:paraId="0654BB1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（2）改变合同中任何一项工作的质量要求或其他特性；</w:t>
      </w:r>
    </w:p>
    <w:p w14:paraId="0FCE6CE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（3）发包人迟延提供材料、工程设备或变更交货地点的；</w:t>
      </w:r>
    </w:p>
    <w:p w14:paraId="61B668E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（4）因发包人原因导致的暂停施工；</w:t>
      </w:r>
    </w:p>
    <w:p w14:paraId="18071E7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（5）提供图纸延误；</w:t>
      </w:r>
    </w:p>
    <w:p w14:paraId="292F091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（6）未按合同约定及时支付预付款、进度款；</w:t>
      </w:r>
    </w:p>
    <w:p w14:paraId="5F2F5E5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（7）发包人造成工期延误的其他原因。</w:t>
      </w:r>
    </w:p>
    <w:p w14:paraId="2280C73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11.4 异常恶劣的气候条件</w:t>
      </w:r>
    </w:p>
    <w:p w14:paraId="2F52824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11.4.1 当工程所在地发生危及施工安全的异常恶劣气候时，发包人和承包人应按本合同通用条款第 12 条的约定，及时采取暂停施工或部分暂停施工措施。异常恶劣气候条件解除后，承包人应及时安 排复工。</w:t>
      </w:r>
    </w:p>
    <w:p w14:paraId="3ECA9F7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11.4.2 异常恶劣气候条件造成的工期延误和工程损坏，应由发包人与承包人参照本合同通用条款第 21.3 款的约定协商处理。</w:t>
      </w:r>
    </w:p>
    <w:p w14:paraId="1547330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11.4.3 本合同工程界定异常恶劣气候条件的范围在专用合同条款中约定。</w:t>
      </w:r>
    </w:p>
    <w:p w14:paraId="0176494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11.5 承包人的工期延误 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 工违约金，不免除承包人完成工程及修补缺陷的义务。</w:t>
      </w:r>
    </w:p>
    <w:p w14:paraId="6375D41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11.6 工期提前 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14:paraId="6B72A95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发包人要求提前完工的，双方协商一致后应签订提交完工协议，协议内容包括：</w:t>
      </w:r>
    </w:p>
    <w:p w14:paraId="75C2CD6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（1）提前的时间和修订后的进度计划；</w:t>
      </w:r>
    </w:p>
    <w:p w14:paraId="5A35B42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（2）承包人的赶工措施；</w:t>
      </w:r>
    </w:p>
    <w:p w14:paraId="45A198E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（3）发包人为赶工提供的条件；</w:t>
      </w:r>
    </w:p>
    <w:p w14:paraId="3123DFD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（4）赶工费用（包括利润和奖金）。</w:t>
      </w:r>
    </w:p>
    <w:p w14:paraId="67F1733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12．暂停施工</w:t>
      </w:r>
    </w:p>
    <w:p w14:paraId="514563E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12.1 承包人暂停施工的责任</w:t>
      </w:r>
    </w:p>
    <w:p w14:paraId="3CC17C2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因下列暂停施工增加的费用和（或）工期延误由承包人承担：</w:t>
      </w:r>
    </w:p>
    <w:p w14:paraId="421179B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（1）承包人违约引起的暂停施工；</w:t>
      </w:r>
    </w:p>
    <w:p w14:paraId="2280DB8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（2）由于承包人原因为工程合理施工和安全保障所必需的暂停施工；</w:t>
      </w:r>
    </w:p>
    <w:p w14:paraId="65570E6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（3）承包人擅自暂停施工；</w:t>
      </w:r>
    </w:p>
    <w:p w14:paraId="4C7E2A5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（4）承包人其他原因引起的暂停施工；</w:t>
      </w:r>
    </w:p>
    <w:p w14:paraId="1903B8A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（5）专用合同条款约定由承包人承担的其他暂停施工。</w:t>
      </w:r>
    </w:p>
    <w:p w14:paraId="71F6534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12.2 发包人暂停施工的责任</w:t>
      </w:r>
    </w:p>
    <w:p w14:paraId="42950CB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由于发包人原因引起的暂停施工造成工期延误的，承包人有权要求发包人延长工期和（或）增加费用，并支付合理利润。</w:t>
      </w:r>
    </w:p>
    <w:p w14:paraId="188CDE1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属于下列任何一种情况引起的暂停施工，均为发包人的责任：</w:t>
      </w:r>
    </w:p>
    <w:p w14:paraId="25FA12F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（1）由于发包人违约引起的暂停施工；</w:t>
      </w:r>
    </w:p>
    <w:p w14:paraId="6498C20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（2）由于不可抗力的自然或社会因素引起的暂停施工；</w:t>
      </w:r>
    </w:p>
    <w:p w14:paraId="6A0BF64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（3）专用合同条款中约定的其它由于发包人原因引起的暂停施工。</w:t>
      </w:r>
    </w:p>
    <w:p w14:paraId="72BF958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12.3 监理人暂停施工指示</w:t>
      </w:r>
    </w:p>
    <w:p w14:paraId="5096D1A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12.3.1 监理人认为有必要时，可向承包人作出暂停施工的指示，承包人应按监理人指示暂停施工。不论由于何种原因引起的暂停施工，暂停施工期间承包人应负责妥善保护工程并提供安全保障。</w:t>
      </w:r>
    </w:p>
    <w:p w14:paraId="54A0E8D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12.3.2 由于发包人的原因发生暂停施工的紧急情况，且监理人未及时下达暂停施工指示的，承包人可先暂停施工，并及时向监理人提出暂停施工的书面请求。监理人应在接到书面请求后的 24 小时内予以答复，逾期未答复的，视为同意承包人的暂停施工请求。</w:t>
      </w:r>
    </w:p>
    <w:p w14:paraId="0AD84D6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12.4 暂停施工后的复工</w:t>
      </w:r>
    </w:p>
    <w:p w14:paraId="0B13F76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5D879E1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12.4.2 承包人无故拖延和拒绝复工的，由此增加的费用和工期延误由承包人承担；因发包人原因无法按时复工的，承包人有权要求发包人延长工期和（或）增加费用，并支付合理利润。</w:t>
      </w:r>
    </w:p>
    <w:p w14:paraId="6BA7313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12.5 暂停施工持续 56 天以上</w:t>
      </w:r>
    </w:p>
    <w:p w14:paraId="54EA89C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12.5.1 监理人发出暂停施工指示后 56天内未向承包人发出复工通知，除了该项停工属于第 12.1款的情况外，承包人可向监理人提交书面通知，要求监理人在收到书面通知后 28 天内准许已暂停施工的工程或其中一部分工程继续施工。如监理人逾期不予批准，则承包人可以通知监理人，将工程受影响 的部分视为按第 15.1（l）项的可取消工作。如暂停施工影响到整个工程，可视为发包人违约，应按第22.2款的规定办理。</w:t>
      </w:r>
    </w:p>
    <w:p w14:paraId="6E87D5A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12.5.2 由于承包人责任引起的暂停施工，如承包人在收到监理人暂停施工指示后 56 天内不认真采取有效的复工措施，造成工期延误，可视为承包人违约，应按第 22.1 款的规定办理。</w:t>
      </w:r>
    </w:p>
    <w:p w14:paraId="7F529C4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13．工程质量</w:t>
      </w:r>
    </w:p>
    <w:p w14:paraId="3575EAB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13.1 工程质量要求</w:t>
      </w:r>
    </w:p>
    <w:p w14:paraId="3BFBF39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13.1.1 工程质量验收按合同约定验收标准执行。</w:t>
      </w:r>
    </w:p>
    <w:p w14:paraId="3A3982D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13.1.2 因承包人原因造成工程质量达不到合同约定验收标准的，监理人有权要求承包人返工直至符合合同要求为止，由此造成的费用增加和（或）工期延误由承包人承担。</w:t>
      </w:r>
    </w:p>
    <w:p w14:paraId="2F4C6B3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13.1.3 因发包人原因造成工程质量达不到合同约定验收标准的，发包人应承担由于承包人返工造成的费用增加和（或）工期延误，并支付承包人合理利润。</w:t>
      </w:r>
    </w:p>
    <w:p w14:paraId="5DCA078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13.2 承包人的质量管理</w:t>
      </w:r>
    </w:p>
    <w:p w14:paraId="666362E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13.2.1 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14:paraId="5C58B20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13.2.2 承包人应加强对施工人员的质量教育和技术培训，定期考核施工人员的劳动技能，严格执行规范和操作规程。</w:t>
      </w:r>
    </w:p>
    <w:p w14:paraId="02A8CF1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13.3 承包人的质量检查 承包人应按合同约定对材料、工程设备以及工程的所有部位及其施工工艺进行全过程的质量检查和检验，并作详细记录，编制工程质量报表，报送监理人审查。</w:t>
      </w:r>
    </w:p>
    <w:p w14:paraId="4B55730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13.4 监理人的质量检查</w:t>
      </w:r>
    </w:p>
    <w:p w14:paraId="3C0183F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35F28C1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13.5 工程隐蔽部位覆盖前的检查</w:t>
      </w:r>
    </w:p>
    <w:p w14:paraId="587EAA5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13.5.1 通知监理人检查 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11F3D9C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13.5.2 监理人未到场检查</w:t>
      </w:r>
    </w:p>
    <w:p w14:paraId="7D2D2D8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监理人未按第 13.5.l 项约定的时间进行检查的，除监理人另有指示外，承包人可自行完成覆盖工作，并作相应记录报送监理人，监理人应签字确认。监理人事后对检查记录有疑问的，可按第 13.5.3 项 的约定重新检查。</w:t>
      </w:r>
    </w:p>
    <w:p w14:paraId="096307C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13.5.3 监理人重新检查</w:t>
      </w:r>
    </w:p>
    <w:p w14:paraId="1BD9C0F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承包人按第 13.5.1 项或第 13.5.2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67458EA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13.5.4 承包人私自覆盖承包人未通知监理人到场检查，私自将工程隐蔽部位覆盖的，监理人有权指示承包人钻孔探测或揭开检查，由此增加的费用和（或）工期延误由承包人承担。</w:t>
      </w:r>
    </w:p>
    <w:p w14:paraId="549C154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13.6 清除不合格工程</w:t>
      </w:r>
    </w:p>
    <w:p w14:paraId="783C541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1DF67E7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13.6.2 由于发包人提供的材料或工程设备不合格造成的工程不合格，需要承包人采取措施补救的，发包人应承担由此增加的费用和（或）工期延误，并支付承包人合理利润。</w:t>
      </w:r>
    </w:p>
    <w:p w14:paraId="0ECD285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13.7 质量评定</w:t>
      </w:r>
    </w:p>
    <w:p w14:paraId="3F7532F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13.7.1 发包人应组织承包人进行工程项目划分，并确定单位工程、主要分部工程、重要隐蔽单元工程和关键部位单元工程。</w:t>
      </w:r>
    </w:p>
    <w:p w14:paraId="3D00CF2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13.7.2 工程实施过程中，单位工程、主要分部工程、重要隐蔽单元工程和关键部位单元工程的项目划分需要调整时，承包人应报发包人确认。</w:t>
      </w:r>
    </w:p>
    <w:p w14:paraId="7FFEB42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13.7.3 承包人应在单元（工序）工程质量自评合格后，报监理人核定质量等级并签证认可。</w:t>
      </w:r>
    </w:p>
    <w:p w14:paraId="7D4DD3F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13.7.4 除专用合同条款另有约定外，承包人应在重要隐蔽单元工程和关键部位单元工程质量自评合格以及监理人抽检后，由监理人组织承包人等单位组成的联合小组，共同检查核定其质量等级并填写签证表。发包人按有关规定完成质量结论报工程质量监督机构核备手续。</w:t>
      </w:r>
    </w:p>
    <w:p w14:paraId="1546518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13.7.5 承包人应在分部工程质量自评合格后，报监理人复核和发包人认定。发包人负责按有关规定完成分部工程质量结论报工程质量监督机构核备（核定）手续。</w:t>
      </w:r>
    </w:p>
    <w:p w14:paraId="1145672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13.7.6 承包人应在单位工程质量自评合格后，报监理人复核和发包人认定。发包人负责按有关规定完成单位工程质量结论报工程质量监督机构核定手续。</w:t>
      </w:r>
    </w:p>
    <w:p w14:paraId="246FE08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13.7.7 除专用合同条款另有约定外，工程质量等级分为合格和优良，应分别达到约定的标准。</w:t>
      </w:r>
    </w:p>
    <w:p w14:paraId="4008300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13.8 质量事故处理</w:t>
      </w:r>
    </w:p>
    <w:p w14:paraId="2C55B96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13.8.1 发生质量事故时，承包人应及时向发包人和监理人报告。</w:t>
      </w:r>
    </w:p>
    <w:p w14:paraId="5115773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13.8.2 质量事故调查处理由发包人按相关规定履行手续，承包人应配合。</w:t>
      </w:r>
    </w:p>
    <w:p w14:paraId="28069C6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13.8.3 承包人应对质量缺陷进行备案。发包人公开招标人对质量缺陷备案情况进行监督检查并履行相关手续。</w:t>
      </w:r>
    </w:p>
    <w:p w14:paraId="7127FDA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13.8.4 除专用合同条款另有约定外，工程竣工验收时，发包人负责向竣工验收委员会汇报并提交历次质量缺陷处理的备案资料。</w:t>
      </w:r>
    </w:p>
    <w:p w14:paraId="2D5367B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14．试验和检验</w:t>
      </w:r>
    </w:p>
    <w:p w14:paraId="07F2312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14.1 材料、工程设备和工程的试验和检验</w:t>
      </w:r>
    </w:p>
    <w:p w14:paraId="009AA6D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69429B7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14.1.2 监理人未按合同约定派员参加试验和检验的，除监理人另有指示外，承包人可自行试验和检验，并应立即将试验和检验结果报送监理人，监理人应签字确认。</w:t>
      </w:r>
    </w:p>
    <w:p w14:paraId="4EBD0B8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2F9D532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14.1.4 承包人应按相关规定和标准对水泥、钢材等原材料与中间产品质量进行检验，并报监理人复核。</w:t>
      </w:r>
    </w:p>
    <w:p w14:paraId="4D16E03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14.1.5 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676D140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14.1.6 对专用合同条款约定的试块、试件及有关材料，监理人实行见证取样。见证取样资料由承包人制备，记录应真实齐全，监理人、承包人等参与见证取样人员均应在相关文件上签字。</w:t>
      </w:r>
    </w:p>
    <w:p w14:paraId="2482531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14.2 现场材料试验</w:t>
      </w:r>
    </w:p>
    <w:p w14:paraId="24983A1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14.2.1 承包人根据合同约定或监理人指示进行的现场材料试验，应由承包人提供试验场所、试验人员、试验设备器材以及其他必要的试验条件。</w:t>
      </w:r>
    </w:p>
    <w:p w14:paraId="38E8699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14.2.2 监理人在必要时可以使用承包人的试验场所、试验设备器材以及其他试验条件，进行以工程质量检查为目的的复核性材料试验，承包人应予以协助。</w:t>
      </w:r>
    </w:p>
    <w:p w14:paraId="4B14A0D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14.3 现场工艺试验 承包人应按合同约定或监理人指示进行现场工艺试验。对大型的现场工艺试验，监理人认为必要时，应由承包人根据监理人提出的工艺试验要求，编制工艺试验措施计划，报送监理人审批。</w:t>
      </w:r>
    </w:p>
    <w:p w14:paraId="541D87A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15．变更</w:t>
      </w:r>
    </w:p>
    <w:p w14:paraId="5E4E662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15.1 变更的范围和内容 在履行合同中发生以下情形之一，应按照本款规定进行变更。</w:t>
      </w:r>
    </w:p>
    <w:p w14:paraId="6A044D9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（1）取消合同中任何一项工作，但被取消的工作不能转由发包人或其他人实施；</w:t>
      </w:r>
    </w:p>
    <w:p w14:paraId="76AD8C6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（2）改变合同中任何一项工作的质量或其他特性；</w:t>
      </w:r>
    </w:p>
    <w:p w14:paraId="6690EEE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（3）改变合同工程的基线、标高、位置或尺寸；</w:t>
      </w:r>
    </w:p>
    <w:p w14:paraId="6A3A309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（4）改变合同中任何一项工作的施工时间或改变已批准的施工工艺或顺序；</w:t>
      </w:r>
    </w:p>
    <w:p w14:paraId="74BBE35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（5）为完成工程需要追加的额外工作；</w:t>
      </w:r>
    </w:p>
    <w:p w14:paraId="45FB981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（6）增加或减少专用合同条款中约定的关键项目工程量超过其工程总量的一定数量百分比。</w:t>
      </w:r>
    </w:p>
    <w:p w14:paraId="606C377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上述第（1）～（6）目的变更内容引起工程施工组织和进度计划发生实质性变动和影响其原定的价格时，才予调整该项目的单价。第（6）目情形下单价调整方式在专用合同条款中约定。</w:t>
      </w:r>
    </w:p>
    <w:p w14:paraId="09E1C49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15.2 变更权</w:t>
      </w:r>
    </w:p>
    <w:p w14:paraId="0E090B6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在履行合同过程中，经发包人同意，监理人可按第 15.3 款约定的变更程序向承包人作出变更指示，承包人应遵照执行。没有监理人的变更指示，承包人不得擅自变更。</w:t>
      </w:r>
    </w:p>
    <w:p w14:paraId="407406C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15.3 变更程序</w:t>
      </w:r>
    </w:p>
    <w:p w14:paraId="5734DEE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15.3.1 变更的提出</w:t>
      </w:r>
    </w:p>
    <w:p w14:paraId="659F882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（1）在合同履行过程中，可能发生第 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 15.3.3 项约定发出变更指示。</w:t>
      </w:r>
    </w:p>
    <w:p w14:paraId="7D8809A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（2）在合同履行过程中，发生第 15.1 款约定情形的，监理人应按照第 15.3.3 项约定向承包人发出变更指示。</w:t>
      </w:r>
    </w:p>
    <w:p w14:paraId="700F384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（3）承包人收到监理人按合同约定发出的图纸和文件，经检查认为其中存在第 15.1 款约定情形 的，可向监理人提出书面变更建议。变更建议应阐明要求变更的依据，并附必要的图纸和说明。监理人收到承包人书面建议后，应与发包人共同研究，确认存在变更的，应在收到承包人书面建议后的 14 天内作出变更指示。经研究后不同意作为变更的，应由监理人书面答复承包人。</w:t>
      </w:r>
    </w:p>
    <w:p w14:paraId="27D650B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（4）若承包人收到监理人的变更意向书后认为难以实施此项变更，应立即通知监理人，说明原因并附详细依据。监理人与承包人和发包人协商后确定撤销、改变或不改变原变更意向书。</w:t>
      </w:r>
    </w:p>
    <w:p w14:paraId="36577F9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15.3.2 变更估价</w:t>
      </w:r>
    </w:p>
    <w:p w14:paraId="5CD0D01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（l）除专用合同条款对期限另有约定外，承包人应在收到变更指示或变更意向书后的 14 天内，向监理人提交变更报价书，报价内容应根据第 15.4 款约定的估价原则，详细开列变更工作的价格组成 及其依据，并附必要的施工方法说明和有关图纸。</w:t>
      </w:r>
    </w:p>
    <w:p w14:paraId="7D8A86D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（2）变更工作影响工期的，承包人应提出调整工期的具体细节。监理人认为有必要时，可要求承包人提交要求提前或延长工期的施工进度计划及相应施工措施等详细资料。</w:t>
      </w:r>
    </w:p>
    <w:p w14:paraId="1DAEFC9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（3）除专用合同条款对期限另有约定外，监理人收到承包人变更报价书后的 14 天内，根据第 15.4款约定的估价原则，按照第 3.5 款商定或确定变更价格。</w:t>
      </w:r>
    </w:p>
    <w:p w14:paraId="4B087F8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15.3.3 变更指示</w:t>
      </w:r>
    </w:p>
    <w:p w14:paraId="57C2CE9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（l）变更指示只能由监理人发出。</w:t>
      </w:r>
    </w:p>
    <w:p w14:paraId="556AABA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（2）变更指示应说明变更的目的、范围、变更内容以及变更的工程量及其进度和技术要求，并附有关图纸和文件。承包人收到变更指示后，应按变更指示进行变更工作。</w:t>
      </w:r>
    </w:p>
    <w:p w14:paraId="2E78F9E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 xml:space="preserve">15.4 变更的估价原则 除专用合同条款另有约定外，因变更引起的价格调整按照本款约定处理。 </w:t>
      </w:r>
    </w:p>
    <w:p w14:paraId="78C955A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15.4.1 已标价工程量清单中有适用于变更工作的子目的，采用该子目的单价。</w:t>
      </w:r>
    </w:p>
    <w:p w14:paraId="6F1D9E1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15.4.2 已标价工程量清单中无适用于变更工作的子目，但有类似子目的，可在合理范围内参照类似子目的单价，由监理人按第 3.5 款商定或确定变更工作的单价。</w:t>
      </w:r>
    </w:p>
    <w:p w14:paraId="0E49686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15.4.3 已标价工程量清单中无适用或类似子目的单价，可按照成本加利润的原则，由监理人按第3.5 款商定或确定变更工作的单价。</w:t>
      </w:r>
    </w:p>
    <w:p w14:paraId="681833B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15.5 承包人的合理化建议</w:t>
      </w:r>
    </w:p>
    <w:p w14:paraId="3BAEAB7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15.5.1 在履行合同过程中，承包人对发包人提供的图纸、技术要求以及其他方面提出的合理化建 议，均应以书面形式提交监理人。合理化建议书的内容应包括建议工作的详细说明、进度计划和效益以及与其他工作的协调等，并附必要的设计文件。监理人应与发包人协商是否采纳建议。建议被采纳并构成变更的，应按第 15.3.3 项约定向承包人发出变更指示。</w:t>
      </w:r>
    </w:p>
    <w:p w14:paraId="51C5385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15.5.2 承包人提出的合理化建议降低了合同价格、缩短了工期或者提高了工程经济效益的，发包人可按国家有关规定在专用合同条款中约定给予奖励。</w:t>
      </w:r>
    </w:p>
    <w:p w14:paraId="1DACDFA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15.6 暂列金额 暂列金额只能按照监理人的指示使用，并对合同价格进行相应调整。</w:t>
      </w:r>
    </w:p>
    <w:p w14:paraId="5DC2C98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15.7 计日工</w:t>
      </w:r>
    </w:p>
    <w:p w14:paraId="0847B56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15.7.1 发包人认为有必要时，由监理人通知承包人以计日工方式实施变更的零星工作。其价款按列入已标价工程量清单中的计日工计价子目及其单价进行计算。</w:t>
      </w:r>
    </w:p>
    <w:p w14:paraId="6600810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15.7.2 采用计日工计价的任何一项变更工作，应从暂列金额中支付，承包人应在该项变更的实施过程中，每天提交以下报表和有关凭证报送监理人审批：</w:t>
      </w:r>
    </w:p>
    <w:p w14:paraId="78EEDAC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（l）工作名称、内容和数量；</w:t>
      </w:r>
    </w:p>
    <w:p w14:paraId="7B95A3A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（2）投入该工作所有人员的姓名、工种、级别和耗用工时；</w:t>
      </w:r>
    </w:p>
    <w:p w14:paraId="203F8CB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（3）投入该工作的材料类别和数量；</w:t>
      </w:r>
    </w:p>
    <w:p w14:paraId="39CECC3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（4）投入该工作的施工设备型号、台数和耗用台时；</w:t>
      </w:r>
    </w:p>
    <w:p w14:paraId="50AB5DF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（5）监理人要求提交的其他资料和凭证。</w:t>
      </w:r>
    </w:p>
    <w:p w14:paraId="45EE846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15.7.3 计日工由承包人汇总后，按第 17.3.2 项的约定列入进度付款申请单，由监理人复核并经发包人同意后列入进度付款。</w:t>
      </w:r>
    </w:p>
    <w:p w14:paraId="5AF4002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15.8 暂估价</w:t>
      </w:r>
    </w:p>
    <w:p w14:paraId="455D905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15.8.1 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它费用列入合同价格。必须招标的暂估价项目招标组织形式、发包人和承包人组织招标时双方的权利义务关系在专用 合同条款中约定。</w:t>
      </w:r>
    </w:p>
    <w:p w14:paraId="2507BD7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15.8.2 发包人在工程量清单中给定暂估价的材料和工程设备不属于依法必须招标的范围或未达到规定的规模标准的，应由承包人按第 5.1 款的约定提供。经监理人确认的材料、工程设备的价格与工程量清单中所列的暂估价的金额差以及相应的税金等其他费用列入合同价格。</w:t>
      </w:r>
    </w:p>
    <w:p w14:paraId="5988E28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15.8.3 发包人在工程量清单中给定暂估价的专业工程不属于依法必须招标的范围或未达到规定的规模标准的，由监理人按照第 15.4 款进行估价，但专用合同条款另有约定的除外。经估价的专业工程与工程量清单中所列的暂估价的金额差以及相应的税金等其他费用列入合同价格。</w:t>
      </w:r>
    </w:p>
    <w:p w14:paraId="7760F4B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16．价格调整</w:t>
      </w:r>
    </w:p>
    <w:p w14:paraId="2A0D6ED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 xml:space="preserve">16.1 物价波动引起的价格调整 由于物价波动引起合同价格需要调整的，其价格调整方式在专用合同条款中约定。 </w:t>
      </w:r>
    </w:p>
    <w:p w14:paraId="0275DA2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16.1.1 采用价格指数调整价格差额</w:t>
      </w:r>
    </w:p>
    <w:p w14:paraId="4005C16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16.1.1.1 价格调整公式 因人工、材料和设备等价格波动影响合同价格时，根据投标函附录中的价格指数和权重表约定的数据，按以下公式计算差额并调整合同价格。</w:t>
      </w:r>
    </w:p>
    <w:p w14:paraId="233D8151">
      <w:pPr>
        <w:spacing w:line="360" w:lineRule="auto"/>
        <w:rPr>
          <w:rFonts w:hint="eastAsia" w:ascii="黑体" w:hAnsi="黑体" w:eastAsia="黑体" w:cs="黑体"/>
          <w:color w:val="auto"/>
          <w:sz w:val="22"/>
          <w:szCs w:val="28"/>
          <w:highlight w:val="none"/>
        </w:rPr>
      </w:pPr>
      <w:r>
        <w:rPr>
          <w:rFonts w:hint="eastAsia" w:ascii="黑体" w:hAnsi="黑体" w:eastAsia="黑体" w:cs="黑体"/>
          <w:color w:val="auto"/>
          <w:sz w:val="22"/>
          <w:szCs w:val="28"/>
          <w:highlight w:val="none"/>
        </w:rPr>
        <w:t>Ft1</w:t>
      </w:r>
      <w:r>
        <w:rPr>
          <w:rFonts w:hint="eastAsia" w:ascii="黑体" w:hAnsi="黑体" w:eastAsia="黑体" w:cs="黑体"/>
          <w:color w:val="auto"/>
          <w:sz w:val="22"/>
          <w:szCs w:val="28"/>
          <w:highlight w:val="none"/>
        </w:rPr>
        <w:tab/>
      </w:r>
      <w:r>
        <w:rPr>
          <w:rFonts w:hint="eastAsia" w:ascii="黑体" w:hAnsi="黑体" w:eastAsia="黑体" w:cs="黑体"/>
          <w:color w:val="auto"/>
          <w:sz w:val="22"/>
          <w:szCs w:val="28"/>
          <w:highlight w:val="none"/>
        </w:rPr>
        <w:t>Ft2</w:t>
      </w:r>
      <w:r>
        <w:rPr>
          <w:rFonts w:hint="eastAsia" w:ascii="黑体" w:hAnsi="黑体" w:eastAsia="黑体" w:cs="黑体"/>
          <w:color w:val="auto"/>
          <w:sz w:val="22"/>
          <w:szCs w:val="28"/>
          <w:highlight w:val="none"/>
        </w:rPr>
        <w:tab/>
      </w:r>
      <w:r>
        <w:rPr>
          <w:rFonts w:hint="eastAsia" w:ascii="黑体" w:hAnsi="黑体" w:eastAsia="黑体" w:cs="黑体"/>
          <w:color w:val="auto"/>
          <w:sz w:val="22"/>
          <w:szCs w:val="28"/>
          <w:highlight w:val="none"/>
        </w:rPr>
        <w:t>Ft3</w:t>
      </w:r>
      <w:r>
        <w:rPr>
          <w:rFonts w:hint="eastAsia" w:ascii="黑体" w:hAnsi="黑体" w:eastAsia="黑体" w:cs="黑体"/>
          <w:color w:val="auto"/>
          <w:sz w:val="22"/>
          <w:szCs w:val="28"/>
          <w:highlight w:val="none"/>
        </w:rPr>
        <w:tab/>
      </w:r>
      <w:r>
        <w:rPr>
          <w:rFonts w:hint="eastAsia" w:ascii="黑体" w:hAnsi="黑体" w:eastAsia="黑体" w:cs="黑体"/>
          <w:color w:val="auto"/>
          <w:sz w:val="22"/>
          <w:szCs w:val="28"/>
          <w:highlight w:val="none"/>
        </w:rPr>
        <w:t>Ftn</w:t>
      </w:r>
    </w:p>
    <w:p w14:paraId="46E587A7">
      <w:pPr>
        <w:spacing w:line="360" w:lineRule="auto"/>
        <w:rPr>
          <w:rFonts w:hint="eastAsia" w:ascii="黑体" w:hAnsi="黑体" w:eastAsia="黑体" w:cs="黑体"/>
          <w:color w:val="auto"/>
          <w:sz w:val="22"/>
          <w:szCs w:val="28"/>
          <w:highlight w:val="none"/>
        </w:rPr>
      </w:pPr>
      <w:r>
        <w:rPr>
          <w:rFonts w:hint="eastAsia" w:ascii="黑体" w:hAnsi="黑体" w:eastAsia="黑体" w:cs="黑体"/>
          <w:color w:val="auto"/>
          <w:sz w:val="22"/>
          <w:szCs w:val="28"/>
          <w:highlight w:val="none"/>
        </w:rPr>
        <w:t>△ P=PO［A+｛B1×—＋B2×—＋B3×—＋…＋Bn×—｝－1］</w:t>
      </w:r>
    </w:p>
    <w:p w14:paraId="2138EEA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F01</w:t>
      </w:r>
      <w:r>
        <w:rPr>
          <w:rFonts w:hint="eastAsia" w:ascii="黑体" w:hAnsi="黑体" w:eastAsia="黑体" w:cs="黑体"/>
          <w:color w:val="auto"/>
          <w:sz w:val="22"/>
          <w:szCs w:val="28"/>
          <w:highlight w:val="none"/>
          <w:lang w:eastAsia="zh-CN"/>
        </w:rPr>
        <w:tab/>
      </w:r>
      <w:r>
        <w:rPr>
          <w:rFonts w:hint="eastAsia" w:ascii="黑体" w:hAnsi="黑体" w:eastAsia="黑体" w:cs="黑体"/>
          <w:color w:val="auto"/>
          <w:sz w:val="22"/>
          <w:szCs w:val="28"/>
          <w:highlight w:val="none"/>
          <w:lang w:eastAsia="zh-CN"/>
        </w:rPr>
        <w:t>F02</w:t>
      </w:r>
      <w:r>
        <w:rPr>
          <w:rFonts w:hint="eastAsia" w:ascii="黑体" w:hAnsi="黑体" w:eastAsia="黑体" w:cs="黑体"/>
          <w:color w:val="auto"/>
          <w:sz w:val="22"/>
          <w:szCs w:val="28"/>
          <w:highlight w:val="none"/>
          <w:lang w:eastAsia="zh-CN"/>
        </w:rPr>
        <w:tab/>
      </w:r>
      <w:r>
        <w:rPr>
          <w:rFonts w:hint="eastAsia" w:ascii="黑体" w:hAnsi="黑体" w:eastAsia="黑体" w:cs="黑体"/>
          <w:color w:val="auto"/>
          <w:sz w:val="22"/>
          <w:szCs w:val="28"/>
          <w:highlight w:val="none"/>
          <w:lang w:eastAsia="zh-CN"/>
        </w:rPr>
        <w:t>F03</w:t>
      </w:r>
      <w:r>
        <w:rPr>
          <w:rFonts w:hint="eastAsia" w:ascii="黑体" w:hAnsi="黑体" w:eastAsia="黑体" w:cs="黑体"/>
          <w:color w:val="auto"/>
          <w:sz w:val="22"/>
          <w:szCs w:val="28"/>
          <w:highlight w:val="none"/>
          <w:lang w:eastAsia="zh-CN"/>
        </w:rPr>
        <w:tab/>
      </w:r>
      <w:r>
        <w:rPr>
          <w:rFonts w:hint="eastAsia" w:ascii="黑体" w:hAnsi="黑体" w:eastAsia="黑体" w:cs="黑体"/>
          <w:color w:val="auto"/>
          <w:sz w:val="22"/>
          <w:szCs w:val="28"/>
          <w:highlight w:val="none"/>
          <w:lang w:eastAsia="zh-CN"/>
        </w:rPr>
        <w:t>F04</w:t>
      </w:r>
    </w:p>
    <w:p w14:paraId="766B46D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式中：△ P 一需调整的价格差额；</w:t>
      </w:r>
    </w:p>
    <w:p w14:paraId="0A2569D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PO 一第 17.3.3 项、第 17.5 .2 项和第 17.6.2 项约定的付款证书中承包人应得到的已完成工程量</w:t>
      </w:r>
    </w:p>
    <w:p w14:paraId="74BE047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的金额。此项金额应不包括价格调整、不计质量保证金的扣留和支付、预付款的支付和扣回。第 15 条 约定的变更及其他金额已按现行价格计价的，也不计在内；</w:t>
      </w:r>
    </w:p>
    <w:p w14:paraId="3C643D2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A ---定值权重（即不调部分的权重）；</w:t>
      </w:r>
    </w:p>
    <w:p w14:paraId="4E7A3D5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B1；B2；B3；……Bn---各可调因子的变值权重（即可调部分的权重）为各可调因子在投标函投标总报价中所占的比例；</w:t>
      </w:r>
    </w:p>
    <w:p w14:paraId="0A3FEEE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Ft1；Ft2；Ft3；……Ftn---各可调因子的现行价格指数，指第 17.3.3 项、第 17.5.2 项和第 17.6.2</w:t>
      </w:r>
    </w:p>
    <w:p w14:paraId="39663B9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项约定的付款证书相关周期最后一天的前 42 天的各可调因子的价格指数；</w:t>
      </w:r>
    </w:p>
    <w:p w14:paraId="571181F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F01；F02；F03；……F0n---各可调因子的基本价格指数，指基准日期的各可调因子的价格指数。以上价格调整公式中的各可调因子、定值和变值权重，以及基本价格指数及其来源在投标函附录价</w:t>
      </w:r>
    </w:p>
    <w:p w14:paraId="6E63B50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格指数和权重表中约定。价格指数应首先采用有关部门提供的价格指数，缺乏上述价格指数时，可采用 有关部门提供的价格代替。</w:t>
      </w:r>
    </w:p>
    <w:p w14:paraId="709CE1F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16.1.1.2 暂时确定调整差额 在计算调整差额时得不到现行价格指数的，可暂用上一次价格指数计算，并在以后的付款中再按实际价格指数进行调整。</w:t>
      </w:r>
    </w:p>
    <w:p w14:paraId="100ACB6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16.1.1.3 权重的调整</w:t>
      </w:r>
    </w:p>
    <w:p w14:paraId="69F4580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按第 15.1 款约定的变更导致原定合同中的权重不合理时，由监理人与承包人和发包人协商后进行调整。</w:t>
      </w:r>
    </w:p>
    <w:p w14:paraId="44BE238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16.1.1.4 承包人工期延误后的价格调整 由于承包人原因未在约定的工期内竣工的，则对原约定竣工日期后继续施工的工程，在使用第16.1.1.1 目价格调整公式时，应采用原约定竣工日期与实际竣工日期的两个价格指数中较低的一个作 为现行价格指数。</w:t>
      </w:r>
    </w:p>
    <w:p w14:paraId="693D402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16.1.2 采用造价信息调整价格差额 施工期内，因人工、材料、设备和机械台班价格波动影响合同价格时，人工、机械使用费按照国家或省（自治区、直辖市）建设行政管理部门、行业建设管理部门或其授权的工程造价管理机构发布的人 工成本信息、机械台班单价或机械使用费系数进行调整；需要进行价格调整的材料，其单价和采购数应 由监理人复核，监理人确认需调整的材料单价及数量，作为调整工程合同价格差额的依据。</w:t>
      </w:r>
    </w:p>
    <w:p w14:paraId="33771A0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工程造价信息的来源以及价格调整的项目和系数在专用合同条款中约定。</w:t>
      </w:r>
    </w:p>
    <w:p w14:paraId="517D931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16.2 法律变化引起的价格调整</w:t>
      </w:r>
    </w:p>
    <w:p w14:paraId="769AAE5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在基准日后，因法律变化导致承包人在合同履行中所需要的工程费用发生除第 16.1 款约定以外的增减时，监理人应根据法律、国家或省、自治区、直辖市有关部门的规定，按第 3.5 款商定或确定需调整的合同价款。</w:t>
      </w:r>
    </w:p>
    <w:p w14:paraId="3959CAE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17．计量与支付</w:t>
      </w:r>
    </w:p>
    <w:p w14:paraId="72C0633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17.1 计量</w:t>
      </w:r>
    </w:p>
    <w:p w14:paraId="5F7DB4D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17.1.1 计量单位 计量采用国家法定的计量单位。</w:t>
      </w:r>
    </w:p>
    <w:p w14:paraId="59AF8BD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17.1.2 计量方法 结算工程量应按工程量清单中约定的方法计量。</w:t>
      </w:r>
    </w:p>
    <w:p w14:paraId="72B324B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17.1.3 计量周期 除专用合同条款另有约定外，单价子目已完成工程量按月计量，总价子目的计量周期按批准的支付分解报告确定。</w:t>
      </w:r>
    </w:p>
    <w:p w14:paraId="12FBA73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17.1.4 单价子目的计量</w:t>
      </w:r>
    </w:p>
    <w:p w14:paraId="027111A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（l）已标价工程量清单中的单价子目工程量为估算工程量。结算工程量是承包人实际完成的，并按合同约定的计量方法进行计量的工程量。</w:t>
      </w:r>
    </w:p>
    <w:p w14:paraId="7C2DEBB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（2）承包人对已完成的工程进行计量，向监理人提交进度付款申请单、已完成工程量报表和有关计量资料。</w:t>
      </w:r>
    </w:p>
    <w:p w14:paraId="34E6E3E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（3）监理人对承包人提交的工程量报表进行复核，以确定实际完成的工程量。对数量有异议的，可要求承包人按第 8.2 款约定进行共同复核和抽样复测。承包人应协助监理人进行复核并按监理人要求提供补充计量资料。承包人未按监理人要求参加复核，监理人复核或修正的工程量视为承包人实际完成的工程量。</w:t>
      </w:r>
    </w:p>
    <w:p w14:paraId="120834E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（4）监理人认为有必要时，可通知承包人共同进行联合测量、计量，承包人应遵照执行。</w:t>
      </w:r>
    </w:p>
    <w:p w14:paraId="2C545FE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4428778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（6）监理人应在收到承包人提交的工程量报表后的 7 天内进行复核，监理人未在约定时间内复核 的，承包人提交的工程量报表中的工程量视为承包人实际完成的工程量，据此计算工程价款。</w:t>
      </w:r>
    </w:p>
    <w:p w14:paraId="0348D3C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17.1.5 总价子目的计量</w:t>
      </w:r>
    </w:p>
    <w:p w14:paraId="3A01F61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总价子目的分解和计量按照下述约定进行。</w:t>
      </w:r>
    </w:p>
    <w:p w14:paraId="18783F7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（1）总价子目的计量和支付应以总价为基础，不因第 16.1 款中的因素而进行调整。承包人实际完成的工程量，是进行工程目标管理和控制进度支付的依据。</w:t>
      </w:r>
    </w:p>
    <w:p w14:paraId="647334A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（2）承包人应按工程量清单的要求对总价子目进行分解，并在签订合同协议书后的 28 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40E76A4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（3）监理人对承包人提交的上述资料进行复核，以确定分阶段实际完成的工程量和工程形象目标。对其有异议的，可要求承包人按第 8.2 款约定进行共同复核和抽样复测。</w:t>
      </w:r>
    </w:p>
    <w:p w14:paraId="7D63AF9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（4）除按照第 15 条约定的变更外，总价子目的工程量是承包人用于结算的最终工程量。</w:t>
      </w:r>
    </w:p>
    <w:p w14:paraId="231775C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17.2 预付款</w:t>
      </w:r>
    </w:p>
    <w:p w14:paraId="2136EEC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 xml:space="preserve">17.2.1 预付款 </w:t>
      </w:r>
    </w:p>
    <w:p w14:paraId="0C9419D7">
      <w:pPr>
        <w:spacing w:line="360" w:lineRule="auto"/>
        <w:rPr>
          <w:rFonts w:hint="eastAsia" w:ascii="黑体" w:hAnsi="黑体" w:eastAsia="黑体" w:cs="黑体"/>
          <w:color w:val="auto"/>
          <w:sz w:val="22"/>
          <w:szCs w:val="28"/>
          <w:highlight w:val="none"/>
          <w:lang w:val="en-US" w:eastAsia="zh-CN"/>
        </w:rPr>
      </w:pPr>
      <w:r>
        <w:rPr>
          <w:rFonts w:hint="eastAsia" w:ascii="黑体" w:hAnsi="黑体" w:eastAsia="黑体" w:cs="黑体"/>
          <w:color w:val="auto"/>
          <w:sz w:val="22"/>
          <w:szCs w:val="28"/>
          <w:highlight w:val="none"/>
          <w:lang w:val="en-US" w:eastAsia="zh-CN"/>
        </w:rPr>
        <w:t xml:space="preserve">本工程预付款为合同签订及人、材、机进场后，支付合同价的（具体以签订合同为准）作 </w:t>
      </w:r>
    </w:p>
    <w:p w14:paraId="4E1F2C4E">
      <w:pPr>
        <w:spacing w:line="360" w:lineRule="auto"/>
        <w:rPr>
          <w:rFonts w:hint="eastAsia" w:ascii="黑体" w:hAnsi="黑体" w:eastAsia="黑体" w:cs="黑体"/>
          <w:color w:val="auto"/>
          <w:sz w:val="22"/>
          <w:szCs w:val="28"/>
          <w:highlight w:val="none"/>
          <w:lang w:val="en-US" w:eastAsia="zh-CN"/>
        </w:rPr>
      </w:pPr>
      <w:r>
        <w:rPr>
          <w:rFonts w:hint="eastAsia" w:ascii="黑体" w:hAnsi="黑体" w:eastAsia="黑体" w:cs="黑体"/>
          <w:color w:val="auto"/>
          <w:sz w:val="22"/>
          <w:szCs w:val="28"/>
          <w:highlight w:val="none"/>
          <w:lang w:val="en-US" w:eastAsia="zh-CN"/>
        </w:rPr>
        <w:t>为预付款。</w:t>
      </w:r>
    </w:p>
    <w:p w14:paraId="0AF99F9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17.2.2 预付款保函（担保）</w:t>
      </w:r>
    </w:p>
    <w:p w14:paraId="17319AB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（1）承包人应在收到第一次工程预付款的同时向发包人提交工程预付款担保，担保金额应与第一次工程预付款金额相同，工程预付款担保在第一次工程预付款被发包人扣回前一直有效。</w:t>
      </w:r>
    </w:p>
    <w:p w14:paraId="078734D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（2）工程材料预付款的担保在专用合同条款中约定。</w:t>
      </w:r>
    </w:p>
    <w:p w14:paraId="78274CC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（3）预付款担保的担保金额可根据预付款扣回的金额相应递减。</w:t>
      </w:r>
    </w:p>
    <w:p w14:paraId="0CC909A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17.2.3 预付款的扣回与还清预付款在进度付款中扣回，扣回与还清办法在专用合同条款中约定。在颁发合同工程完工证书前，由于不可抗力或其他原因解除合同时，预付款尚未扣清的，尚未扣清的预付款余额应作为承包人的到期应付款。</w:t>
      </w:r>
    </w:p>
    <w:p w14:paraId="6584EB9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17.3 工程进度付款</w:t>
      </w:r>
    </w:p>
    <w:p w14:paraId="3C3D774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17.3.1 付款周期</w:t>
      </w:r>
    </w:p>
    <w:p w14:paraId="6C663C2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 xml:space="preserve">付款周期同计量周期。 </w:t>
      </w:r>
    </w:p>
    <w:p w14:paraId="47D0857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17.3.2 进度付款申请单</w:t>
      </w:r>
    </w:p>
    <w:p w14:paraId="74DD4F1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2CCE687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进度付款申请单应包括下列内容：</w:t>
      </w:r>
    </w:p>
    <w:p w14:paraId="00692B4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（l）截至本次付款周期末已实施工程的价款；</w:t>
      </w:r>
    </w:p>
    <w:p w14:paraId="5FA102A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（2）根据第 15 条应增加和扣减的变更金额；</w:t>
      </w:r>
    </w:p>
    <w:p w14:paraId="5463D85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（3）根据第 2</w:t>
      </w:r>
      <w:r>
        <w:rPr>
          <w:rFonts w:hint="eastAsia" w:ascii="黑体" w:hAnsi="黑体" w:eastAsia="黑体" w:cs="黑体"/>
          <w:color w:val="auto"/>
          <w:sz w:val="22"/>
          <w:szCs w:val="28"/>
          <w:highlight w:val="none"/>
          <w:lang w:val="en-US" w:eastAsia="zh-CN"/>
        </w:rPr>
        <w:t>3</w:t>
      </w:r>
      <w:r>
        <w:rPr>
          <w:rFonts w:hint="eastAsia" w:ascii="黑体" w:hAnsi="黑体" w:eastAsia="黑体" w:cs="黑体"/>
          <w:color w:val="auto"/>
          <w:sz w:val="22"/>
          <w:szCs w:val="28"/>
          <w:highlight w:val="none"/>
          <w:lang w:eastAsia="zh-CN"/>
        </w:rPr>
        <w:t>条应增加和扣减的索赔金额；</w:t>
      </w:r>
    </w:p>
    <w:p w14:paraId="2A89DF5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（4）根据第 17.2款约定应支付的预付款和扣减的返还预付款；</w:t>
      </w:r>
    </w:p>
    <w:p w14:paraId="43A8B87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（5）根据第 17.4.1 项约定应扣减的质量保证金；</w:t>
      </w:r>
    </w:p>
    <w:p w14:paraId="16736AA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 xml:space="preserve">（6）根据合同应增加和扣减的其他金额。 </w:t>
      </w:r>
    </w:p>
    <w:p w14:paraId="76E1BA4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17.3.3 进度付款证书和支付时间</w:t>
      </w:r>
    </w:p>
    <w:p w14:paraId="77A3B86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（1）监理人在收到承包人进度付款申请单以及相应的支持性证明文件后的 14 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7205CEC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（2）发包人应在监理人收到进度付款中请单后的 28 天内，将进度应付款支付给承包人。发包人不按期支付的，按专用合同条款的约定支付逾期付款违约金。</w:t>
      </w:r>
    </w:p>
    <w:p w14:paraId="15D3100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（3）监理人出具进度付款证书，不应视为监理人已同意、批准或接受了承包人完成的该部分工作。</w:t>
      </w:r>
    </w:p>
    <w:p w14:paraId="3719C2C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（4）进度付款涉及政府投资资金的，按照国库集中支付等国家相关规定和专用合同条款的约定办理。</w:t>
      </w:r>
    </w:p>
    <w:p w14:paraId="46FEAC3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 xml:space="preserve">17.3.4 工程进度付款的修正 在对以往历次已签发的进度付款证书进行汇总和复核中发现错、漏或重复的，监理人有权予以修正，承包人也有权提出修正申请。经双方复核同意的修正，应在本次进度付款中支付或扣除。 </w:t>
      </w:r>
    </w:p>
    <w:p w14:paraId="2CE6AEF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17.4 质量保证金</w:t>
      </w:r>
    </w:p>
    <w:p w14:paraId="259693D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17.4.1 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14:paraId="283E191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17.4.2 合同工程完工证书颁发后 14 天内，发包人将质量保证金总额的一半支付给承包人。在第1.1.4.5 目约定的缺陷责任期（工程质量保修期）满时，发包人将在 30 个工作日内会同承包人按照合同约定的内容核实承包人是否完成保修责任。如无异议，发包人应当在核实后将剩余保证金返还承包人。</w:t>
      </w:r>
    </w:p>
    <w:p w14:paraId="6D93B59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17.4.3 在第 1.1.4.5 目约定的缺陷责任期满时，承包人没有完成缺陷责任的，发包人有权扣留与未履行责任剩余工作所需金额相应的质量保证金余额，并有权根据第 19.3 款约定要求延长缺陷责任期，直至完成剩余工作为止。</w:t>
      </w:r>
    </w:p>
    <w:p w14:paraId="31FA04C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17.5 竣工结算（完工结算）</w:t>
      </w:r>
    </w:p>
    <w:p w14:paraId="744BFAE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17.5.1 竣工（完工）付款申请单</w:t>
      </w:r>
    </w:p>
    <w:p w14:paraId="7D213EF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（l）承包人应在合同工程完工证书颁发后 28 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30F0761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（2）监理人对完工付款申请单有异议的，有权要求承包人进行修正和提供补充资料。经监理人和承包人协商后，由承包人向监理人提交修正后的完工付款申请单。</w:t>
      </w:r>
    </w:p>
    <w:p w14:paraId="5674AB8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17.5.2 竣工（完工）付款证书及支付时间</w:t>
      </w:r>
    </w:p>
    <w:p w14:paraId="3F5E76E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（l）监理人在收到承包人提交的完工付款申请单后的 14 天内完成核查，提出发包人到期应支付给承包人的价款送发包人审核并抄送承包人。发包人应在收到后 14 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14:paraId="660FA26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（2）发包人应在监理人出具完工付款证书后的 14 天内，将应支付款支付给承包人。发包人不按期支付的，按第 17.3.3（2）目的约定，将逾期付款违约金支付给承包人。</w:t>
      </w:r>
    </w:p>
    <w:p w14:paraId="33DEB46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（3）承包人对发包人签认的完工付款证书有异议的，发包人可出具完工付款申请单中承包人已同意部分的临时付款证书。存在争议的部分，按第 24 条的约定办理。</w:t>
      </w:r>
    </w:p>
    <w:p w14:paraId="5B70D8B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（4）完工付款涉及政府投资资金的，按第 17.3.3（4）目的约定办理。</w:t>
      </w:r>
    </w:p>
    <w:p w14:paraId="225E5CF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17.6 最终结清</w:t>
      </w:r>
    </w:p>
    <w:p w14:paraId="71DFD1E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17.6.1 最终结清申请单</w:t>
      </w:r>
    </w:p>
    <w:p w14:paraId="52055BA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（1）工程质量保修责任终止证书签发后，承包人应按监理人批准的格式提交最终结清申请单。最终结清申请单的份数在专用合同条款中约定。</w:t>
      </w:r>
    </w:p>
    <w:p w14:paraId="14F7495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（2）发包人对最终结清申请单内容有异议的，有权要求承包人进行修正和提供补充资料，由承包人向监理人提交修正后的最终结清申请单。</w:t>
      </w:r>
    </w:p>
    <w:p w14:paraId="4459CE4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17.6.2 最终结清证书和支付时间</w:t>
      </w:r>
    </w:p>
    <w:p w14:paraId="3297FB1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（l）监理人收到承包人提交的最终结清申请单后的 14 天内，提出发包人应支付给承包人的价款送发包人审核并抄送承包人。发包人应在收到后 14 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7BC5C5B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（2）发包人应在监理人出具最终结清证书后的 14 天内，将应支付款支付给承包人。发包人不按期支付的，按第 17.3.3（2）目的约定，将逾期付款违约金支付给承包人。</w:t>
      </w:r>
    </w:p>
    <w:p w14:paraId="3008BED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（3）承包人对发包人签认的最终结清证书有异议的，按第 24 条的约定办理。</w:t>
      </w:r>
    </w:p>
    <w:p w14:paraId="3CBDA51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（4）最终结清付款涉及政府投资资金的，按第 17.3.3（4）目的约定办理。</w:t>
      </w:r>
    </w:p>
    <w:p w14:paraId="13BB02A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17.7 竣工财务决算</w:t>
      </w:r>
    </w:p>
    <w:p w14:paraId="2F459E0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发包人负责编制本工程项目竣工财务决算，承包人应按专用合同条款的约定提供竣工财务决算编制所需的相关材料。</w:t>
      </w:r>
    </w:p>
    <w:p w14:paraId="1A6DAE1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 xml:space="preserve">17.8 竣工审计 发包人负责完成本工程竣工审计手续，承包人应完成相关配合工作。 </w:t>
      </w:r>
    </w:p>
    <w:p w14:paraId="5F59167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18．竣工验收（验收）</w:t>
      </w:r>
    </w:p>
    <w:p w14:paraId="13F44A8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18.1 验收工作分类 本工程验收工作按主持单位分为法人验收和政府验收。法人验收和政府验收的类别在专用合同条款中约定。除专用合同条款另有约定外，法人验收由发包人主持。承包人应完成法人验收和政府验收的配 合工作，所需费用应含在已标价工程量清单中。</w:t>
      </w:r>
    </w:p>
    <w:p w14:paraId="377366E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18.2 分部工程验收</w:t>
      </w:r>
    </w:p>
    <w:p w14:paraId="2607025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18.2.1 分部工程具备验收条件时，承包人应向发包人提交验收申请报告，发包人应在收到验收申请报告之日起 10 个工作日内决定是否同意进行验收。</w:t>
      </w:r>
    </w:p>
    <w:p w14:paraId="7FE33C5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18.2.2 除专用合同条款另有约定外，监理人主持分部工程验收，承包人应派符合条件的代表参加验收工作组。</w:t>
      </w:r>
    </w:p>
    <w:p w14:paraId="0E7CC97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18.2.3 分部工程验收通过后，发包人向承包人发送分部工程验收鉴定书。承包人应及时完成分部工程验收鉴定书载明应由承包人处理的遗留问题。</w:t>
      </w:r>
    </w:p>
    <w:p w14:paraId="028F180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18.3 单位工程验收</w:t>
      </w:r>
    </w:p>
    <w:p w14:paraId="10F369A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18.3.1 单位工程具备验收条件时，承包人应向发包人提交验收申请报告，发包人应在收到验收申请报告之日起 10 个工作日内决定是否同意进行验收。</w:t>
      </w:r>
    </w:p>
    <w:p w14:paraId="5BE6FAF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18.3.2 发包人主持单位工程验收，承包人应派符合条件的代表参加验收工作组。</w:t>
      </w:r>
    </w:p>
    <w:p w14:paraId="0FA69A2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18.3.3 单位工程验收通过后，发包人向承包人发送单位工程验收鉴定书。承包人应及时完成单位工程验收鉴定书载明应由承包人处理的遗留问题。</w:t>
      </w:r>
    </w:p>
    <w:p w14:paraId="4BF3F0F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18.3.4 需提前投入使用的单位工程在专用合同条款中明确。</w:t>
      </w:r>
    </w:p>
    <w:p w14:paraId="1E7D414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18.4 合同工程完工验收</w:t>
      </w:r>
    </w:p>
    <w:p w14:paraId="71C5DFE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18.4.1 合同工程具备验收条件时，承包人应向发包人提交验收申请报告，发包人应在收到验收申请报告之日起 20 个工作日内决定是否同意进行验收。</w:t>
      </w:r>
    </w:p>
    <w:p w14:paraId="73D19EE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18.4.2 发包人主持合同工程完工验收，承包人应派代表参加验收工作组。</w:t>
      </w:r>
    </w:p>
    <w:p w14:paraId="0D41AF8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18.4.3 合同工程完工验收通过后，发包人向承包人发送合同工程完工验收鉴定书。承包人应及时完成合同工程完工验收鉴定书载明应由承包人处理的遗留问题。</w:t>
      </w:r>
    </w:p>
    <w:p w14:paraId="6A8A4A3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18.4.4 合同工程完工验收通过后，发包人与承包人应在 30 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 30 个工作日内向承包人颁发合同工程完工证书。</w:t>
      </w:r>
    </w:p>
    <w:p w14:paraId="21C6CB6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18.5 阶段验收</w:t>
      </w:r>
    </w:p>
    <w:p w14:paraId="42FDF07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18.5.1 工程建设具备阶段验收条件时，发包人负责提出阶段验收申请报告。承包人应派代表参加阶段验收，并作为被验收单位在验收鉴定书上签字。阶段验收的具体类别在专用合同条款中约定。</w:t>
      </w:r>
    </w:p>
    <w:p w14:paraId="3A4AB6A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18.5.2 承包人应及时完成阶段验收鉴定书载明应由承包人处理的遗留问题。</w:t>
      </w:r>
    </w:p>
    <w:p w14:paraId="3BAEE04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18.6 专项验收</w:t>
      </w:r>
    </w:p>
    <w:p w14:paraId="236B2AD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18.6.1 发包人负责提出专项验收申请报告。承包人应按专项验收的相关规定参加专项验收。专项验收的具体类别在专用合同条款中约定。</w:t>
      </w:r>
    </w:p>
    <w:p w14:paraId="07592B1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18.6.2 承包人应及时完成专项验收成果性文件载明应由承包人处理的遗留问题。</w:t>
      </w:r>
    </w:p>
    <w:p w14:paraId="1E38A21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18.7 竣工验收</w:t>
      </w:r>
    </w:p>
    <w:p w14:paraId="3EE552F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18.7.1 申请竣工验收前，发包人组织竣工验收自查，承包人应派代表参加。</w:t>
      </w:r>
    </w:p>
    <w:p w14:paraId="1A1EEDC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18.7.2 竣工验收分为竣工技术预验收和竣工验收两个阶段。发包人应通知承包人派代表参加技术预验收和竣工验收。</w:t>
      </w:r>
    </w:p>
    <w:p w14:paraId="790540C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18.7.3 专用合同条款约定工程需要进行技术鉴定的，承包人应提交有关资料并完成配合工作。</w:t>
      </w:r>
    </w:p>
    <w:p w14:paraId="25D63B3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18.7.4 竣工验收需要进行质量检测的，所需费用由发包人承担，但因承包人原因造成质量不合格的除外。</w:t>
      </w:r>
    </w:p>
    <w:p w14:paraId="44D0B03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18.7.5 工程质量保修期满以及竣工验收遗留问题和尾工处理完成并通过验收后，发包人负责将处理情况和验收成果报送竣工验收主持单位，申请领取工程竣工证书，并发送承包人。</w:t>
      </w:r>
    </w:p>
    <w:p w14:paraId="6E28CAA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18.8 施工期运行</w:t>
      </w:r>
    </w:p>
    <w:p w14:paraId="471CA8E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18.8.1 施工期运行是指合同工程尚未全部完工，其中某单位工程或部分工程已完工，需要投入施工期运行的，经发包人按第 18.2 款或第 18.3 款的约定验收合格，证明能确保安全后，才能在施工期投入运行。需要在施工期运行的单位工程或部分工程在专用合同条款中约定。</w:t>
      </w:r>
    </w:p>
    <w:p w14:paraId="1E1F06F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18.8.2 在施工期运行中发现工程或工程设备损坏或存在缺陷的，由承包人按第 19.2 款约定进行修复。</w:t>
      </w:r>
    </w:p>
    <w:p w14:paraId="4D0757E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18.9 试运行</w:t>
      </w:r>
    </w:p>
    <w:p w14:paraId="441CF14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18.9.1 除专用合同条款另有约定外，承包人应按规定进行工程及工程设备试运行，负责提供试运行所需的人员、器材和必要的条件，并承担全部试运行费用。</w:t>
      </w:r>
    </w:p>
    <w:p w14:paraId="4702C60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18.9.2 由于承包人的原因导致试运行失败的，承包人应采取措施保证试运行合格，并承担相应费 用。由于发包人的原因导致试运行失败的，承包人应当采取措施保证试运行合格，发包人应承担由此产生的费用，并支付承包人合理利润。</w:t>
      </w:r>
    </w:p>
    <w:p w14:paraId="475A7B5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18.10 竣工（完工）清场</w:t>
      </w:r>
    </w:p>
    <w:p w14:paraId="23FF634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18.10.1 工程项目竣工（完工）清场的工作范围和内容在技术标准和要求（合同技术条款）中约定。</w:t>
      </w:r>
    </w:p>
    <w:p w14:paraId="5500692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18.10.2 承包人未按监理人的要求恢复临时占地，或者场地清理未达到合同约定的，发包人有权委托其他人恢复或清理，所发生的金额从拟支付给承包人的款项中扣除。</w:t>
      </w:r>
    </w:p>
    <w:p w14:paraId="34B1233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18.11 施工队伍的撤离</w:t>
      </w:r>
    </w:p>
    <w:p w14:paraId="7C7727A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合同工程完工证书颁发后的 56 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14:paraId="04CCA3B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19、缺陷责任与保修责任</w:t>
      </w:r>
    </w:p>
    <w:p w14:paraId="064B2A0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19.1 缺陷责任期（工程质量保修期）的起算时间 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14:paraId="58A06E3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19.2 缺陷责任</w:t>
      </w:r>
    </w:p>
    <w:p w14:paraId="5C10860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19.2.1 承包人应在缺陷责任期内对已交付使用的工程承担缺陷责任。</w:t>
      </w:r>
    </w:p>
    <w:p w14:paraId="4A94925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22B2D2E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69C77A7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19.2.4 承包人不能在合理时间内修复缺陷的，发包人可自行修复或委托其他人修复，所需费用和利润的承担，按第 19.2.3 项约定办理。</w:t>
      </w:r>
    </w:p>
    <w:p w14:paraId="79EE0D9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 xml:space="preserve">19.3 缺陷责任期的延长 </w:t>
      </w:r>
    </w:p>
    <w:p w14:paraId="4891543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由于承包人原因造成某项缺陷或损坏使某项工程或工程设备不能按原定目标使用而需要再次检查、检验和修复的，发包人有权要求承包人相应延长缺陷责任期，但缺陷责任期最长不超过 2 年。</w:t>
      </w:r>
    </w:p>
    <w:p w14:paraId="3965BEA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19.4 进一步试验和试运行 任何一项缺陷或损坏修复后，经检查证明其影响了工程或工程设备的使用性能，承包人应重新进行合同约定的试验和试运行，试验和试运行的全部费用应由责任方承担。</w:t>
      </w:r>
    </w:p>
    <w:p w14:paraId="26A276C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19.5 承包人的进入权</w:t>
      </w:r>
    </w:p>
    <w:p w14:paraId="54D6E52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缺陷责任期内承包人为缺陷修复工作需要，有权进入工程现场，但应遵守发包人的保安和保密规定。</w:t>
      </w:r>
    </w:p>
    <w:p w14:paraId="6E6260D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 xml:space="preserve">19.6 缺陷责任期终止证书（工程质量保修责任终止证书） </w:t>
      </w:r>
    </w:p>
    <w:p w14:paraId="11EA17B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合同工程完工验收或投入使用验收后，发包人与承包人应办理工程交接手续，承包人应向发包人递交工程质量保修书。</w:t>
      </w:r>
    </w:p>
    <w:p w14:paraId="748E42C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缺陷责任期（工程质量保修期）满后 30 个工作日内，发包人应向承包人颁发工程质量保修责任终止证书，并退还剩余的质量保证金，但保修责任范围内的质量缺陷未处理完成的应除外。</w:t>
      </w:r>
    </w:p>
    <w:p w14:paraId="31293EB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 xml:space="preserve">19.7 保修责任 </w:t>
      </w:r>
    </w:p>
    <w:p w14:paraId="16D865C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合同当事人根据有关法律规定，在专用合同条款中约定工程质量保修范围、期限和责任。保修期自实际竣工日期起计算。在全部工程竣工验收前，已经发包人提前验收的单位工程，其保修期的起算日期 相应提前。</w:t>
      </w:r>
    </w:p>
    <w:p w14:paraId="3C4CE6E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20、保险</w:t>
      </w:r>
    </w:p>
    <w:p w14:paraId="24CC959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20.1 工程保险 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68964CB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20.2 人员工伤事故的保险</w:t>
      </w:r>
    </w:p>
    <w:p w14:paraId="4BE0F70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20.2.1 承包人员工伤事故的保险承包人应依照有关法律规定参加工伤保险，为其履行合同所雇佣的全部人员，缴纳工伤保险费，并要求其分包人也进行此项保险。</w:t>
      </w:r>
    </w:p>
    <w:p w14:paraId="17BC182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20.2.2 发包人员工伤事故的保险</w:t>
      </w:r>
    </w:p>
    <w:p w14:paraId="3BAEC4B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发包人应依照有关法律规定参加工伤保险，为其现场机构雇佣的全部人员，缴纳工伤保险费，并要求其监理人也进行此项保险。</w:t>
      </w:r>
    </w:p>
    <w:p w14:paraId="4C2887D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20.3 人身意外伤害险</w:t>
      </w:r>
    </w:p>
    <w:p w14:paraId="6BEFB5B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20.3.1 发包人应在整个施工期间为其现场机构雇用的全部人员，投保人身意外伤害险，缴纳保险费，并要求其监理人也进行此项保险。</w:t>
      </w:r>
    </w:p>
    <w:p w14:paraId="701AD81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20.3.2 承包人应在整个施工期间为其现场机构雇用的全部人员，投保人身意外伤害险，缴纳保险费，并要求其分包人也进行此项保险。</w:t>
      </w:r>
    </w:p>
    <w:p w14:paraId="10DDE38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20.4 第三者责任险</w:t>
      </w:r>
    </w:p>
    <w:p w14:paraId="4C7266B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17C63AA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20.4.2 在缺陷责任期终止证书颁发前，承包人应以承包人和发包人的共同名义，投保第 20.4.1 项约定的第三者责任险，其保险费率、保险金额等有关内容在专用合同条款中约定。</w:t>
      </w:r>
    </w:p>
    <w:p w14:paraId="115DBF8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20.5 其他保险 除专用合同条款另有约定外，承包人应为其施工设备、进场的材料和工程设备等办理保险。</w:t>
      </w:r>
    </w:p>
    <w:p w14:paraId="202697D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20.6 对各项保险的一般要求</w:t>
      </w:r>
    </w:p>
    <w:p w14:paraId="0E29915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 xml:space="preserve">20.6.1 保险凭证 承包人应在专用合同条款约定的期限内向发包人提交各项保险生效的证据和保险单副本，保险单必须与专用合同条款约定的条件保持一致。 </w:t>
      </w:r>
    </w:p>
    <w:p w14:paraId="4706DA4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20.6.2 保险合同条款的变动承包人需要变动保险合同条款时，应事先征得发包人同意，并通知监理人。保险人作出变动的，承包人应在收到保险人通知后立即通知发包人和监理人。</w:t>
      </w:r>
    </w:p>
    <w:p w14:paraId="415C49B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20.6.3 持续保险 承包人应与保险人保持联系，使保险人能够随时了解工程实施中的变动，并确保按保险合同条款要求持续保险。</w:t>
      </w:r>
    </w:p>
    <w:p w14:paraId="1F72252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20.6.4 保险金不足的补偿 保险金不足以补偿损失时，应由承包人和发包人各自负责补偿的范围和金额在专用合同条款中约定。</w:t>
      </w:r>
    </w:p>
    <w:p w14:paraId="24F5B85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20.6.5 未按约定投保的补救</w:t>
      </w:r>
    </w:p>
    <w:p w14:paraId="644C4A6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（l）由于负有投保义务的一方当事人未按合同约定办理保险，或未能使保险持续有效的，另一方当事人可代为办理，所需费用由对方当事人承担。</w:t>
      </w:r>
    </w:p>
    <w:p w14:paraId="5B8DF73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（2）由于负有投保义务的一方当事人未按合同约定办理某项保险，导致受益人未能得到保险人的赔偿，原应从该项保险得到的保险金应由负有投保义务的一方当事人支付。</w:t>
      </w:r>
    </w:p>
    <w:p w14:paraId="3884133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 xml:space="preserve">20.6.6 报告义务 当保险事故发生时，投保人应按照保险单规定的条件和期限及时向保险人报告。 </w:t>
      </w:r>
    </w:p>
    <w:p w14:paraId="5BAB0BE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20.7 风险责任的转移</w:t>
      </w:r>
    </w:p>
    <w:p w14:paraId="4B520E9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工程通过合同工程完工验收并移交给发包人后，原由承包人应承担的风险责任，以及保险的责任、权利和义务同时转移给发包人，但承包人在缺陷责任期（工程质量保修期）前造成损失和损坏情形除外。</w:t>
      </w:r>
    </w:p>
    <w:p w14:paraId="010D827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21</w:t>
      </w:r>
      <w:r>
        <w:rPr>
          <w:rFonts w:hint="eastAsia" w:ascii="黑体" w:hAnsi="黑体" w:eastAsia="黑体" w:cs="黑体"/>
          <w:color w:val="auto"/>
          <w:sz w:val="22"/>
          <w:szCs w:val="28"/>
          <w:highlight w:val="none"/>
          <w:lang w:val="en-US" w:eastAsia="zh-CN"/>
        </w:rPr>
        <w:t>.</w:t>
      </w:r>
      <w:r>
        <w:rPr>
          <w:rFonts w:hint="eastAsia" w:ascii="黑体" w:hAnsi="黑体" w:eastAsia="黑体" w:cs="黑体"/>
          <w:color w:val="auto"/>
          <w:sz w:val="22"/>
          <w:szCs w:val="28"/>
          <w:highlight w:val="none"/>
          <w:lang w:eastAsia="zh-CN"/>
        </w:rPr>
        <w:t>不可抗力</w:t>
      </w:r>
    </w:p>
    <w:p w14:paraId="0B151CE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21.1 不可抗力的确认</w:t>
      </w:r>
    </w:p>
    <w:p w14:paraId="71880CC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0E5BD92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21.1.2 不可抗力发生后，发包人和承包人应及时认真统计所造成的损失，收集不可抗力造成损失的证据。合同双方对是否属于不可抗力或其损失的意见不一致的，由监理人按第 3.5 款商定或确定。发生争议时，按第 24 条的约定办理。</w:t>
      </w:r>
    </w:p>
    <w:p w14:paraId="4A8500D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21.2 不可抗力的通知</w:t>
      </w:r>
    </w:p>
    <w:p w14:paraId="5D4631A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21.2.1 合同一方当事人遇到不可抗力事件，使其履行合同义务受到阻碍时，应立即通知合同另一方当事人和监理人，书面说明不可抗力和受阻碍的详细情况，并提供必要的证明。</w:t>
      </w:r>
    </w:p>
    <w:p w14:paraId="5CA83A2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21.2.2 如不可抗力持续发生，合同一方当事人应及时向合同另一方当事人和监理人提交中间报告，说明不可抗力和履行合同受阻的情况，并于不可抗力事件结束后 28 天内提交最终报告及有关资料。</w:t>
      </w:r>
    </w:p>
    <w:p w14:paraId="26F7FCC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21.3 不可抗力后果及其处理</w:t>
      </w:r>
    </w:p>
    <w:p w14:paraId="7346520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21.3.1 不可抗力造成损害的责任 除专用合同条款另有约定外，不可抗力导致的人员伤亡、财产损失、费用增加和（或）工期延误等后果，由合同双方按以下原则承担：</w:t>
      </w:r>
    </w:p>
    <w:p w14:paraId="0A7B69A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（1）永久工程，包括已运至施工场地的材料和工程设备的损害，以及因工程损害造成的第三者人员伤亡和财产损失由发包人承担；</w:t>
      </w:r>
    </w:p>
    <w:p w14:paraId="5375627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（2）承包人设备的损坏由承包人承担；</w:t>
      </w:r>
    </w:p>
    <w:p w14:paraId="46C82DB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（3）发包人和承包人各自承担其人员伤亡和其他财产损失及其相关费用；</w:t>
      </w:r>
    </w:p>
    <w:p w14:paraId="27BC9C2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（4）承包人的停工损失由承包人承担，但停工期间应监理人要求照管工程和清理、修复工程的金额由发包人承担；</w:t>
      </w:r>
    </w:p>
    <w:p w14:paraId="5D4663B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（5）不能按期竣工的，应合理延长工期，承包人不需支付逾期竣工违约金。发包人要求赶工的，承包人应采取赶工措施，赶工费用由发包人承担。</w:t>
      </w:r>
    </w:p>
    <w:p w14:paraId="0EE3207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 xml:space="preserve">21.3.2 延迟履行期间发生的不可抗力 合同一方当事人延迟履行，在延迟履行期间发生不可抗力的，不免除其责任。 </w:t>
      </w:r>
    </w:p>
    <w:p w14:paraId="3C528C4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21.3.3 避免和减少不可抗力损失</w:t>
      </w:r>
    </w:p>
    <w:p w14:paraId="30CFB74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不可抗力发生后，发包人和承包人均应采取措施尽量避免和减少损失的扩大，任何一方没有采取有效措施导致损失扩大的，应对扩大的损失承担责任。</w:t>
      </w:r>
    </w:p>
    <w:p w14:paraId="4476C8D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21.3.4 因不可抗力解除合同 合同一方当事人因不可抗力不能履行合同的，应当及时通知对方解除合同。合同解除后，承包人应按照第 22.2.5 项约定撤离施工场地。已经订货的材料、设备由订货方负责退货或解除订货合同，不能退还的货款和因退货、解除订货合同发生的费用，由发包人承担，因未及时退货造成的损失由责任方承担。合同解除后的付款，参照第 22.2.4 项约定，由监理人按第 3.5 款商定或确定。</w:t>
      </w:r>
    </w:p>
    <w:p w14:paraId="0F59EAD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22</w:t>
      </w:r>
      <w:r>
        <w:rPr>
          <w:rFonts w:hint="eastAsia" w:ascii="黑体" w:hAnsi="黑体" w:eastAsia="黑体" w:cs="黑体"/>
          <w:color w:val="auto"/>
          <w:sz w:val="22"/>
          <w:szCs w:val="28"/>
          <w:highlight w:val="none"/>
          <w:lang w:val="en-US" w:eastAsia="zh-CN"/>
        </w:rPr>
        <w:t>.</w:t>
      </w:r>
      <w:r>
        <w:rPr>
          <w:rFonts w:hint="eastAsia" w:ascii="黑体" w:hAnsi="黑体" w:eastAsia="黑体" w:cs="黑体"/>
          <w:color w:val="auto"/>
          <w:sz w:val="22"/>
          <w:szCs w:val="28"/>
          <w:highlight w:val="none"/>
          <w:lang w:eastAsia="zh-CN"/>
        </w:rPr>
        <w:t>违约</w:t>
      </w:r>
    </w:p>
    <w:p w14:paraId="3AEF589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22.1 承包人违约</w:t>
      </w:r>
    </w:p>
    <w:p w14:paraId="4E69215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22.1.1 承包人违约的情形 在履行合同过程中发生的下列情况属承包人违约：</w:t>
      </w:r>
    </w:p>
    <w:p w14:paraId="057DF4C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（1）承包人违反第 1.8 款或第 4.3 款的约定，私自将合同的全部或部分权利转让给其他人，或私自将合同的全部或部分义务转移给其他人；</w:t>
      </w:r>
    </w:p>
    <w:p w14:paraId="304FA96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（2）承包人违反第 5.3 款或第 6.4 款的约定，未经监理人批准，私自将已按合同约定进入施工场地的施工设备、临时设施或材料撤离施工场地；</w:t>
      </w:r>
    </w:p>
    <w:p w14:paraId="404C1CE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（3）承包人违反第 5.4 款的约定使用了不合格材料或工程设备，工程质量达不到标准要求，又拒绝清除不合格工程；</w:t>
      </w:r>
    </w:p>
    <w:p w14:paraId="71A1FE6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（4）承包人未能按合同进度计划及时完成合同约定的工作，已造成或预期造成工期延误；</w:t>
      </w:r>
    </w:p>
    <w:p w14:paraId="6A22B2E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（5）承包人在缺陷责任期（工程质量保修期）内，未能对合同工程完工验收鉴定书所列的缺陷清单的内容或缺陷责任期（工程质量保修期）内发生的缺陷进行修复，而又拒绝按监理人指示再进行修补；</w:t>
      </w:r>
    </w:p>
    <w:p w14:paraId="1B1FB02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（6）承包人无法继续履行或明确表示不履行或实质上已停止履行合同；</w:t>
      </w:r>
    </w:p>
    <w:p w14:paraId="72C728B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（7）承包人不按合同约定履行义务的其他情况。</w:t>
      </w:r>
    </w:p>
    <w:p w14:paraId="6E238BC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22.1.2 对承包人违约的处理</w:t>
      </w:r>
    </w:p>
    <w:p w14:paraId="09A898C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（l）承包人发生第 22.1.1（6）目约定的违约情况时，发包人可通知承包人立即解除合同，并按有关法律处理。</w:t>
      </w:r>
    </w:p>
    <w:p w14:paraId="4CA3590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（2）承包人发生除第 22.1.1（6）目约定以外的其他违约情况时，监理人可向承包人发出整改通 知，要求其在指定的期限内改正。承包人应承担其违约所引起的费用增加和（或）工期延误。</w:t>
      </w:r>
    </w:p>
    <w:p w14:paraId="17E134A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（3）经检查证明承包人已采取了有效措施纠正违约行为，具备复工条件的，可由监理人签发复工通知复工。</w:t>
      </w:r>
    </w:p>
    <w:p w14:paraId="5592BFC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22.1.3 承包人违约解除合同</w:t>
      </w:r>
    </w:p>
    <w:p w14:paraId="6F380D3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监理人发出整改通知 28 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35721D5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22.1.4 合同解除后的估价、付款和结清</w:t>
      </w:r>
    </w:p>
    <w:p w14:paraId="28AC7C7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（1）合同解除后，监理人按第 3.5 款商定或确定承包人实际完成工作的价值，以及承包人已提供的材料、施工设备、工程设备和临时工程等的价值。</w:t>
      </w:r>
    </w:p>
    <w:p w14:paraId="3549084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（2）合同解除后，发包人应暂停对承包人的一切付款，查清各项付款和已扣款金额，包括承包人应支付的违约金。</w:t>
      </w:r>
    </w:p>
    <w:p w14:paraId="5844424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（3）合同解除后，发包人应按第 23.4 款的约定向承包人索赔由于解除合同给发包人造成的损失。</w:t>
      </w:r>
    </w:p>
    <w:p w14:paraId="7C2C404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（4）合同双方确认上述往来款项后，出具最终结清付款证书，结清全部合同款项。</w:t>
      </w:r>
    </w:p>
    <w:p w14:paraId="2C36AF7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（5）发包人和承包人未能就解除合同后的结清达成一致而形成争议的，按第 24 条的约定办理。</w:t>
      </w:r>
    </w:p>
    <w:p w14:paraId="0029C23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22.1.5 协议利益的转让 因承包人违约解除合同的，发包人有权要求承包人将其为实施合同而签订的材料和设备的订货协议或任何服务协议利益转让给发包人，并在解除合同后的 14 天内，依法办理转让手续。</w:t>
      </w:r>
    </w:p>
    <w:p w14:paraId="6B345F1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22.1.6 紧急情况下无能力或不愿进行抢救 在工程实施期间或缺陷责任期内发生危及工程安全的事件，监理人通知承包人进行抢救，承包人声明无能力或不愿立即执行的，发包人有权雇佣其他人员进行抢救。此类抢救按合同约定属于承包人义务 的，由此发生的金额和（或）工期延误由承包人承担。</w:t>
      </w:r>
    </w:p>
    <w:p w14:paraId="609E410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22.2 发包人违约</w:t>
      </w:r>
    </w:p>
    <w:p w14:paraId="5D2EC04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22.2.1 发包人违约的情形 在履行合同过程中发生的下列情形，属发包人违约：</w:t>
      </w:r>
    </w:p>
    <w:p w14:paraId="1DD5752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（l）发包人未能按合同约定支付预付款或合同价款，或拖延、拒绝批准付款申请和支付凭证，导致付款延误的；</w:t>
      </w:r>
    </w:p>
    <w:p w14:paraId="56DA3E4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（2）发包人原因造成停工的；</w:t>
      </w:r>
    </w:p>
    <w:p w14:paraId="5AD0C5E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（3）监理人无正当理由没有在约定期限内发出复工指示，导致承包人无法复工的；</w:t>
      </w:r>
    </w:p>
    <w:p w14:paraId="4857BF0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（4）发包人无法继续履行或明确表示不履行或实质上已停止履行合同的；</w:t>
      </w:r>
    </w:p>
    <w:p w14:paraId="2619F36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 xml:space="preserve">（5）发包人不履行合同约定其他义务的。 </w:t>
      </w:r>
    </w:p>
    <w:p w14:paraId="277ECF5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22.2.2 承包人有权暂停施工</w:t>
      </w:r>
    </w:p>
    <w:p w14:paraId="60DB565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发包人发生除第 22.2.1（4）目以外的违约情况时，承包人可向发包人发出通知，要求发包人采取有效措施纠正违约行为。发包人收到承包人通知后的 28 天内仍不履行合同义务，承包人有权暂停施工，并通知监理人，发包人应承担由此增加的费用和（或）工期延误，并支付承包人合理利润。</w:t>
      </w:r>
    </w:p>
    <w:p w14:paraId="495F00B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22.2.3 发包人违约解除合同</w:t>
      </w:r>
    </w:p>
    <w:p w14:paraId="252E258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（1）发生第 22.2.1（4）目的违约情况时，承包人可书面通知发包人解除合同。</w:t>
      </w:r>
    </w:p>
    <w:p w14:paraId="7B3E2BD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（2）承包人按 22.2.2 项暂停施工 28 天后，发包人仍不纠正违约行为的，承包人可向发包人发出解除合同通知。但承包人的这一行动不免除发包人承担的违约责任，也不影响承包人根据合同约定享有的索赔权利。</w:t>
      </w:r>
    </w:p>
    <w:p w14:paraId="2D429FC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22.2.4 解除合同后的付款</w:t>
      </w:r>
    </w:p>
    <w:p w14:paraId="32AF277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因发包人违约解除合同的，发包人应在解除合同后 28 天内向承包人支付下列金额，承包人应在此期限内及时向发包人提交要求支付下列金额的有关资料和凭证：</w:t>
      </w:r>
    </w:p>
    <w:p w14:paraId="37A2BFF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（l）合同解除日以前所完成工作的价款；</w:t>
      </w:r>
    </w:p>
    <w:p w14:paraId="397D7CA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（2）承包人为该工程施工订购并已付款的材料、工程设备和其他物品的金额。发包人付还后，该材料、工程设备和其他物品归发包人所有；</w:t>
      </w:r>
    </w:p>
    <w:p w14:paraId="56BFC3E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（3）承包人为完成工程所发生的，而发包人未支付的金额；</w:t>
      </w:r>
    </w:p>
    <w:p w14:paraId="54758ED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（4）承包人撤离施工场地以及遣散承包人人员的金额；</w:t>
      </w:r>
    </w:p>
    <w:p w14:paraId="58DF13E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（5）由于解除合同应赔偿的承包人损失；</w:t>
      </w:r>
    </w:p>
    <w:p w14:paraId="53BDD0C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（6）按合同约定在合同解除日前应支付给承包人的其他金额。发包人应按本项约定支付上述金额并退还质量保证金和履约担保，但有权要求承包人支付应偿还给发包人的各项金额。</w:t>
      </w:r>
    </w:p>
    <w:p w14:paraId="3074B02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22.2.5 解除合同后的承包人撤离 因发包人违约而解除合同后，承包人应妥善做好已竣工工程和已购材料、设备的保护和移交工作，按发包人要求将承包人设备和人员撤出施工场地。承包人撤出施工场地应遵守第 18.7.1 项的约定，发包人应为承包人撤出提供必要条件。</w:t>
      </w:r>
    </w:p>
    <w:p w14:paraId="005E93D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 xml:space="preserve">22.3 第三人造成的违约 在履行合同过程中，一方当事人因第三人的原因造成违约的，应当向对方当事人承担违约责任。一方当事人和第三人之间的纠纷，依照法律规定或者按照约定解决。 </w:t>
      </w:r>
    </w:p>
    <w:p w14:paraId="1987F31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23</w:t>
      </w:r>
      <w:r>
        <w:rPr>
          <w:rFonts w:hint="eastAsia" w:ascii="黑体" w:hAnsi="黑体" w:eastAsia="黑体" w:cs="黑体"/>
          <w:color w:val="auto"/>
          <w:sz w:val="22"/>
          <w:szCs w:val="28"/>
          <w:highlight w:val="none"/>
          <w:lang w:val="en-US" w:eastAsia="zh-CN"/>
        </w:rPr>
        <w:t>.</w:t>
      </w:r>
      <w:r>
        <w:rPr>
          <w:rFonts w:hint="eastAsia" w:ascii="黑体" w:hAnsi="黑体" w:eastAsia="黑体" w:cs="黑体"/>
          <w:color w:val="auto"/>
          <w:sz w:val="22"/>
          <w:szCs w:val="28"/>
          <w:highlight w:val="none"/>
          <w:lang w:eastAsia="zh-CN"/>
        </w:rPr>
        <w:t>索赔</w:t>
      </w:r>
    </w:p>
    <w:p w14:paraId="6838D7D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23.1 承包人索赔的提出 根据合同约定，承包人认为有权得到追加付款和（或）延长工期的，应按以下程序向发包人提出索赔：</w:t>
      </w:r>
    </w:p>
    <w:p w14:paraId="3447ED1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（l）承包人应在知道或应当知道索赔事件发生后 28天内，向监理人递交索赔意向通知书，并说明发生索赔事件的事由。承包人未在前述 28 天内发出索赔意向通知书的，丧失要求追加付款和（或）延长工期的权利；</w:t>
      </w:r>
    </w:p>
    <w:p w14:paraId="68E9446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（2）承包人应在发出索赔意向通知书后 28 天内，向监理人正式递交索赔通知书。索赔通知书应详细说明索赔理由以及要求追加的付款金额和（或）延长的工期，并附必要的记录和证明材料；</w:t>
      </w:r>
    </w:p>
    <w:p w14:paraId="3371404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（3）索赔事件具有连续影响的，承包人应按合理时间间隔继续递交延续索赔通知，说明连续影响的实际情况和记录，列出累计的追加付款金额和（或）工期延长天数；</w:t>
      </w:r>
    </w:p>
    <w:p w14:paraId="6D78F20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（4）在索赔事件影响结束后的 28天内，承包人应向监理人递交最终索赔通知书，说明最终要求索赔的追加付款金额和延长的工期，并附必要的记录和证明材料。</w:t>
      </w:r>
    </w:p>
    <w:p w14:paraId="5BCCF42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23.2 承包人索赔处理程序</w:t>
      </w:r>
    </w:p>
    <w:p w14:paraId="0298AF1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（1）监理人收到承包人提交的索赔通知书后，应及时审查索赔通知书的内容、查验承包人的记录和证明材料，必要时监理人可要求承包人提交全部原始记录副本。</w:t>
      </w:r>
    </w:p>
    <w:p w14:paraId="5C56E70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（2）监理人应按第 3.5 款商定或确定追加的付款和（或）延长的工期，并在收到上述索赔通知书或有关索赔的进一步证明材料后的 42 天内，将索赔处理结果答复承包人。</w:t>
      </w:r>
    </w:p>
    <w:p w14:paraId="4C8ECD6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（3）承包人接受索赔处理结果的，发包人应在作出索赔处理结果答复后 28 天内完成赔付。承包人不接受索赔处理结果的，按第 24 条的约定办理。</w:t>
      </w:r>
    </w:p>
    <w:p w14:paraId="605E75F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23.3 承包人提出索赔的期限</w:t>
      </w:r>
    </w:p>
    <w:p w14:paraId="5A15223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23.3.1 承包人按第 17.5 款的约定接受了完工付款证书后，应被认为已无权再提出在合同工程完工证书颁发前所发生的任何索赔。</w:t>
      </w:r>
    </w:p>
    <w:p w14:paraId="1C2E940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23.3.2 承包人按第 17.6 款的约定提交的最终结清申请单中，只限于提出合同工程完工证书颁发后发生的索赔。提出索赔的期限自接受最终结清证书时终止。</w:t>
      </w:r>
    </w:p>
    <w:p w14:paraId="73410C1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23.4 发包人的索赔</w:t>
      </w:r>
    </w:p>
    <w:p w14:paraId="6F32EB5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23.4.1 发生索赔事件后，监理人应及时书面通知承包人，详细说明发包人有权得到的索赔金额和（或）延长缺陷责任期的细节和依据。发包人提出索赔的期限和要求与第 23.3款的约定相同，延长缺陷责任期的通知应在缺陷责任期届满前发出。</w:t>
      </w:r>
    </w:p>
    <w:p w14:paraId="1889B09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23.4.2 监理人按第 3.5 款商定或确定发包人从承包人处得到赔付的金额和（或）缺陷责任期的延长期。承包人应付给发包人的金额可从拟支付给承包人的合同价款中扣除，或由承包人以其他方式支付给发包人。</w:t>
      </w:r>
    </w:p>
    <w:p w14:paraId="2D070F2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 xml:space="preserve">23.4.3 承包人对监理人按第 23.4.1 项发出的索赔书面通知内容持异议时，应在收到书面通知后的14 天内，将持有异议的书面报告及其证明材料提交监理人。监理人应在收到承包人书面报告后的 14 天内，将异议的处理意见通知承包人，并按第 23.4.2 项的约定执行赔付。若承包人不接受监理人的索赔处理意见，可按本合同第 24 条的规定办理。 </w:t>
      </w:r>
    </w:p>
    <w:p w14:paraId="2AF8B96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24</w:t>
      </w:r>
      <w:r>
        <w:rPr>
          <w:rFonts w:hint="eastAsia" w:ascii="黑体" w:hAnsi="黑体" w:eastAsia="黑体" w:cs="黑体"/>
          <w:color w:val="auto"/>
          <w:sz w:val="22"/>
          <w:szCs w:val="28"/>
          <w:highlight w:val="none"/>
          <w:lang w:val="en-US" w:eastAsia="zh-CN"/>
        </w:rPr>
        <w:t>.</w:t>
      </w:r>
      <w:r>
        <w:rPr>
          <w:rFonts w:hint="eastAsia" w:ascii="黑体" w:hAnsi="黑体" w:eastAsia="黑体" w:cs="黑体"/>
          <w:color w:val="auto"/>
          <w:sz w:val="22"/>
          <w:szCs w:val="28"/>
          <w:highlight w:val="none"/>
          <w:lang w:eastAsia="zh-CN"/>
        </w:rPr>
        <w:t>争议的解决</w:t>
      </w:r>
    </w:p>
    <w:p w14:paraId="0019B30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24.1 争议的解决方式 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3C9F468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（l）向约定的仲裁委员会申请仲裁；</w:t>
      </w:r>
    </w:p>
    <w:p w14:paraId="21A5534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（2）向有管辖权的人民法院提起诉讼。</w:t>
      </w:r>
    </w:p>
    <w:p w14:paraId="4B0F001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24.2 友好解决</w:t>
      </w:r>
    </w:p>
    <w:p w14:paraId="0D1489D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在提请争议评审、仲裁或者诉讼前，以及在争议评审、仲裁或诉讼过程中，发包人和承包人均可共同努力友好协商解决争议。</w:t>
      </w:r>
    </w:p>
    <w:p w14:paraId="331E94B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24.3 争议评审</w:t>
      </w:r>
    </w:p>
    <w:p w14:paraId="123291F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24.3.1 采用争议评审的，发包人和承包人应在开工日后的 28 天内或在争议发生后，协商成立争议评审组。争议评审组由有合同管理和工程实践经验的专家组成。</w:t>
      </w:r>
    </w:p>
    <w:p w14:paraId="290DD1F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24.3.2 合同双方的争议，应首先由申请人向争议评审组提交一份详细的评审申请报告，并附必要的文件、图纸和证明材料，申请人还应将上述报告的副本同时提交给被申请人和监理人。</w:t>
      </w:r>
    </w:p>
    <w:p w14:paraId="10760E5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24.3.3 被申请人在收到申请人评审申请报告副本后的 28 天内，向争议评审组提交一份答辩报告，并附证明材料。被申请人应将答辩报告的副本同时提交给申请人和监理人。</w:t>
      </w:r>
    </w:p>
    <w:p w14:paraId="1A17E21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24.3.4 除专用合同条款另有约定外，争议评审组在收到合同双方报告后的 14 天内，邀请双方代表和有关人员举行调查会，向双方调查争议细节；必要时争议评审组可要求双方进一步提供补充材料。</w:t>
      </w:r>
    </w:p>
    <w:p w14:paraId="0FE12E7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24.3.5 除专用合同条款另有约定外，在调查会结束后的 14 天内，争议评审组应在不受任何干扰的情况下进行独立、公正的评审，作出书面评审意见，并说明理由。在争议评审期间，争议双方暂按总监理工程师的确定执行。</w:t>
      </w:r>
    </w:p>
    <w:p w14:paraId="1CB62C4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24.3.6 发包人和承包人接受评审意见的，由监理人根据评审意见拟定执行协议，经争议双方签字后作为合同的补充文件，并遵照执行。</w:t>
      </w:r>
    </w:p>
    <w:p w14:paraId="03BD05C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24.3.7 发包人或承包人不接受评审意见，并要求提交仲裁或提起诉讼的，应在收到评审意见后的14 天内将仲裁或起诉意向书面通知另一方，并抄送监理人，但在仲裁或诉讼结束前应暂按总监理工程师的确定执行。</w:t>
      </w:r>
    </w:p>
    <w:p w14:paraId="78950C9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24.4 仲裁</w:t>
      </w:r>
    </w:p>
    <w:p w14:paraId="347918A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24.4.1 若合同双方商定直接向仲裁机构申请仲裁，应签订仲裁协议并约定仲裁机构。</w:t>
      </w:r>
    </w:p>
    <w:p w14:paraId="7F5DB6C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24.4.2 若合同双方未能达成仲裁协议，则本合同的仲裁条款无效，任一方均有权向人民法院提起诉讼。</w:t>
      </w:r>
    </w:p>
    <w:p w14:paraId="11271A32">
      <w:pPr>
        <w:spacing w:line="360" w:lineRule="auto"/>
        <w:rPr>
          <w:rFonts w:hint="eastAsia" w:ascii="黑体" w:hAnsi="黑体" w:eastAsia="黑体" w:cs="黑体"/>
          <w:color w:val="auto"/>
          <w:sz w:val="22"/>
          <w:szCs w:val="28"/>
          <w:highlight w:val="none"/>
          <w:lang w:eastAsia="zh-CN"/>
        </w:rPr>
        <w:sectPr>
          <w:footerReference r:id="rId15" w:type="default"/>
          <w:pgSz w:w="11906" w:h="16840"/>
          <w:pgMar w:top="1000" w:right="900" w:bottom="1020" w:left="1240" w:header="800" w:footer="835" w:gutter="0"/>
          <w:pgNumType w:fmt="decimal"/>
          <w:cols w:space="720" w:num="1"/>
        </w:sectPr>
      </w:pPr>
    </w:p>
    <w:p w14:paraId="67B1A072">
      <w:pPr>
        <w:spacing w:line="360" w:lineRule="auto"/>
        <w:jc w:val="center"/>
        <w:rPr>
          <w:rFonts w:hint="eastAsia" w:ascii="黑体" w:hAnsi="黑体" w:eastAsia="黑体" w:cs="黑体"/>
          <w:b/>
          <w:bCs/>
          <w:color w:val="auto"/>
          <w:sz w:val="22"/>
          <w:szCs w:val="28"/>
          <w:highlight w:val="none"/>
          <w:lang w:eastAsia="zh-CN"/>
        </w:rPr>
      </w:pPr>
      <w:r>
        <w:rPr>
          <w:rFonts w:hint="eastAsia" w:ascii="黑体" w:hAnsi="黑体" w:eastAsia="黑体" w:cs="黑体"/>
          <w:b/>
          <w:bCs/>
          <w:color w:val="auto"/>
          <w:sz w:val="22"/>
          <w:szCs w:val="28"/>
          <w:highlight w:val="none"/>
        </w:rPr>
        <w:t>第</w:t>
      </w:r>
      <w:r>
        <w:rPr>
          <w:rFonts w:hint="eastAsia" w:ascii="黑体" w:hAnsi="黑体" w:eastAsia="黑体" w:cs="黑体"/>
          <w:b/>
          <w:bCs/>
          <w:color w:val="auto"/>
          <w:sz w:val="22"/>
          <w:szCs w:val="28"/>
          <w:highlight w:val="none"/>
          <w:lang w:eastAsia="zh-CN"/>
        </w:rPr>
        <w:t>二</w:t>
      </w:r>
      <w:r>
        <w:rPr>
          <w:rFonts w:hint="eastAsia" w:ascii="黑体" w:hAnsi="黑体" w:eastAsia="黑体" w:cs="黑体"/>
          <w:b/>
          <w:bCs/>
          <w:color w:val="auto"/>
          <w:sz w:val="22"/>
          <w:szCs w:val="28"/>
          <w:highlight w:val="none"/>
        </w:rPr>
        <w:t>部分 合同</w:t>
      </w:r>
      <w:r>
        <w:rPr>
          <w:rFonts w:hint="eastAsia" w:ascii="黑体" w:hAnsi="黑体" w:eastAsia="黑体" w:cs="黑体"/>
          <w:b/>
          <w:bCs/>
          <w:color w:val="auto"/>
          <w:sz w:val="22"/>
          <w:szCs w:val="28"/>
          <w:highlight w:val="none"/>
          <w:lang w:eastAsia="zh-CN"/>
        </w:rPr>
        <w:t>专用条款</w:t>
      </w:r>
    </w:p>
    <w:p w14:paraId="0E647017">
      <w:pPr>
        <w:spacing w:line="360" w:lineRule="auto"/>
        <w:rPr>
          <w:rFonts w:hint="eastAsia" w:ascii="黑体" w:hAnsi="黑体" w:eastAsia="黑体" w:cs="黑体"/>
          <w:color w:val="auto"/>
          <w:sz w:val="22"/>
          <w:szCs w:val="28"/>
          <w:highlight w:val="none"/>
          <w:lang w:eastAsia="zh-CN"/>
        </w:rPr>
      </w:pPr>
      <w:bookmarkStart w:id="494" w:name="_Toc12365"/>
      <w:r>
        <w:rPr>
          <w:rFonts w:hint="eastAsia" w:ascii="黑体" w:hAnsi="黑体" w:eastAsia="黑体" w:cs="黑体"/>
          <w:color w:val="auto"/>
          <w:sz w:val="22"/>
          <w:szCs w:val="28"/>
          <w:highlight w:val="none"/>
          <w:lang w:eastAsia="zh-CN"/>
        </w:rPr>
        <w:t>1 一般约定</w:t>
      </w:r>
      <w:bookmarkEnd w:id="494"/>
    </w:p>
    <w:p w14:paraId="3361F7EA">
      <w:pPr>
        <w:spacing w:line="360" w:lineRule="auto"/>
        <w:rPr>
          <w:rFonts w:hint="eastAsia" w:ascii="黑体" w:hAnsi="黑体" w:eastAsia="黑体" w:cs="黑体"/>
          <w:color w:val="auto"/>
          <w:sz w:val="22"/>
          <w:szCs w:val="28"/>
          <w:highlight w:val="none"/>
          <w:lang w:eastAsia="zh-CN"/>
        </w:rPr>
      </w:pPr>
      <w:bookmarkStart w:id="495" w:name="_Toc14930"/>
      <w:r>
        <w:rPr>
          <w:rFonts w:hint="eastAsia" w:ascii="黑体" w:hAnsi="黑体" w:eastAsia="黑体" w:cs="黑体"/>
          <w:color w:val="auto"/>
          <w:sz w:val="22"/>
          <w:szCs w:val="28"/>
          <w:highlight w:val="none"/>
          <w:lang w:eastAsia="zh-CN"/>
        </w:rPr>
        <w:t>1.1 词语定义</w:t>
      </w:r>
      <w:bookmarkEnd w:id="495"/>
    </w:p>
    <w:p w14:paraId="2F8D8FC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1.1.2 合同当事人和人员</w:t>
      </w:r>
    </w:p>
    <w:p w14:paraId="7D0A751A">
      <w:pPr>
        <w:spacing w:line="360" w:lineRule="auto"/>
        <w:rPr>
          <w:rFonts w:hint="eastAsia" w:ascii="黑体" w:hAnsi="黑体" w:eastAsia="黑体" w:cs="黑体"/>
          <w:color w:val="auto"/>
          <w:sz w:val="22"/>
          <w:szCs w:val="28"/>
          <w:highlight w:val="none"/>
          <w:lang w:eastAsia="zh-Hans"/>
        </w:rPr>
      </w:pPr>
      <w:r>
        <w:rPr>
          <w:rFonts w:hint="eastAsia" w:ascii="黑体" w:hAnsi="黑体" w:eastAsia="黑体" w:cs="黑体"/>
          <w:color w:val="auto"/>
          <w:sz w:val="22"/>
          <w:szCs w:val="28"/>
          <w:highlight w:val="none"/>
          <w:lang w:eastAsia="zh-CN"/>
        </w:rPr>
        <w:t>1.1.2.2 发包人：</w:t>
      </w:r>
      <w:r>
        <w:rPr>
          <w:rFonts w:hint="eastAsia" w:ascii="黑体" w:hAnsi="黑体" w:eastAsia="黑体" w:cs="黑体"/>
          <w:color w:val="auto"/>
          <w:sz w:val="22"/>
          <w:szCs w:val="28"/>
          <w:highlight w:val="none"/>
          <w:lang w:eastAsia="zh-Hans"/>
        </w:rPr>
        <w:t>伽师县水管总站</w:t>
      </w:r>
    </w:p>
    <w:p w14:paraId="3D3E9BB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 xml:space="preserve">1.1.2.3 承包人： </w:t>
      </w:r>
      <w:r>
        <w:rPr>
          <w:rFonts w:hint="eastAsia" w:ascii="黑体" w:hAnsi="黑体" w:eastAsia="黑体" w:cs="黑体"/>
          <w:color w:val="auto"/>
          <w:sz w:val="22"/>
          <w:szCs w:val="28"/>
          <w:highlight w:val="none"/>
          <w:lang w:val="en-US" w:eastAsia="zh-CN"/>
        </w:rPr>
        <w:t xml:space="preserve">              </w:t>
      </w:r>
      <w:r>
        <w:rPr>
          <w:rFonts w:hint="eastAsia" w:ascii="黑体" w:hAnsi="黑体" w:eastAsia="黑体" w:cs="黑体"/>
          <w:color w:val="auto"/>
          <w:sz w:val="22"/>
          <w:szCs w:val="28"/>
          <w:highlight w:val="none"/>
          <w:lang w:eastAsia="zh-CN"/>
        </w:rPr>
        <w:t xml:space="preserve">  </w:t>
      </w:r>
    </w:p>
    <w:p w14:paraId="4F1411A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 xml:space="preserve">1.1.2.4 监理人： </w:t>
      </w:r>
      <w:r>
        <w:rPr>
          <w:rFonts w:hint="eastAsia" w:ascii="黑体" w:hAnsi="黑体" w:eastAsia="黑体" w:cs="黑体"/>
          <w:color w:val="auto"/>
          <w:sz w:val="22"/>
          <w:szCs w:val="28"/>
          <w:highlight w:val="none"/>
          <w:lang w:val="en-US" w:eastAsia="zh-CN"/>
        </w:rPr>
        <w:t xml:space="preserve">                 </w:t>
      </w:r>
    </w:p>
    <w:p w14:paraId="62011FD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1.1.3 工程和设备</w:t>
      </w:r>
    </w:p>
    <w:p w14:paraId="545E8BC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1.1.3.3 临时工程：包括施工道路、施工供电、施工供水、施工导流及附属、施工围堰、施工照明、施工通信、临时仓库、临时房屋建筑、办公设施和其他。</w:t>
      </w:r>
    </w:p>
    <w:p w14:paraId="6A584C1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1.1.3.4 单位工程：</w:t>
      </w:r>
    </w:p>
    <w:p w14:paraId="227CC04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 xml:space="preserve">（1）                                          </w:t>
      </w:r>
    </w:p>
    <w:p w14:paraId="7161F027">
      <w:pPr>
        <w:spacing w:line="360" w:lineRule="auto"/>
        <w:rPr>
          <w:rFonts w:hint="eastAsia" w:ascii="黑体" w:hAnsi="黑体" w:eastAsia="黑体" w:cs="黑体"/>
          <w:color w:val="auto"/>
          <w:sz w:val="22"/>
          <w:szCs w:val="28"/>
          <w:highlight w:val="none"/>
          <w:lang w:eastAsia="zh-Hans"/>
        </w:rPr>
      </w:pPr>
      <w:r>
        <w:rPr>
          <w:rFonts w:hint="eastAsia" w:ascii="黑体" w:hAnsi="黑体" w:eastAsia="黑体" w:cs="黑体"/>
          <w:color w:val="auto"/>
          <w:sz w:val="22"/>
          <w:szCs w:val="28"/>
          <w:highlight w:val="none"/>
          <w:lang w:eastAsia="zh-CN"/>
        </w:rPr>
        <w:t>（2）</w:t>
      </w:r>
      <w:r>
        <w:rPr>
          <w:rFonts w:hint="eastAsia" w:ascii="黑体" w:hAnsi="黑体" w:eastAsia="黑体" w:cs="黑体"/>
          <w:color w:val="auto"/>
          <w:sz w:val="22"/>
          <w:szCs w:val="28"/>
          <w:highlight w:val="none"/>
          <w:lang w:eastAsia="zh-Hans"/>
        </w:rPr>
        <w:t>其他：本合同为其他相关标段施工提供必要的条件与配合；临时工程及辅助工程等，同时被发包人的指示接收并完成由其他承包人施工且与本合同工程密切相关的其他合同工程遗留工作（若有）；本合同范围内所有工程项目验收移交前的运行和维护等。</w:t>
      </w:r>
    </w:p>
    <w:p w14:paraId="5D88B2BF">
      <w:pPr>
        <w:spacing w:line="360" w:lineRule="auto"/>
        <w:rPr>
          <w:rFonts w:hint="eastAsia" w:ascii="黑体" w:hAnsi="黑体" w:eastAsia="黑体" w:cs="黑体"/>
          <w:color w:val="auto"/>
          <w:sz w:val="22"/>
          <w:szCs w:val="28"/>
          <w:highlight w:val="none"/>
          <w:lang w:eastAsia="zh-Hans"/>
        </w:rPr>
      </w:pPr>
      <w:r>
        <w:rPr>
          <w:rFonts w:hint="eastAsia" w:ascii="黑体" w:hAnsi="黑体" w:eastAsia="黑体" w:cs="黑体"/>
          <w:color w:val="auto"/>
          <w:sz w:val="22"/>
          <w:szCs w:val="28"/>
          <w:highlight w:val="none"/>
          <w:lang w:eastAsia="zh-Hans"/>
        </w:rPr>
        <w:t>1.1.3.10 永久用地：指实施合同工程需永久占用的土地。</w:t>
      </w:r>
    </w:p>
    <w:p w14:paraId="5AEAE819">
      <w:pPr>
        <w:spacing w:line="360" w:lineRule="auto"/>
        <w:rPr>
          <w:rFonts w:hint="eastAsia" w:ascii="黑体" w:hAnsi="黑体" w:eastAsia="黑体" w:cs="黑体"/>
          <w:color w:val="auto"/>
          <w:sz w:val="22"/>
          <w:szCs w:val="28"/>
          <w:highlight w:val="none"/>
          <w:lang w:eastAsia="zh-Hans"/>
        </w:rPr>
      </w:pPr>
      <w:r>
        <w:rPr>
          <w:rFonts w:hint="eastAsia" w:ascii="黑体" w:hAnsi="黑体" w:eastAsia="黑体" w:cs="黑体"/>
          <w:color w:val="auto"/>
          <w:sz w:val="22"/>
          <w:szCs w:val="28"/>
          <w:highlight w:val="none"/>
          <w:lang w:eastAsia="zh-Hans"/>
        </w:rPr>
        <w:t>1.1.3.11 临时用地：指实施合同工程需临时占用的土地。</w:t>
      </w:r>
    </w:p>
    <w:p w14:paraId="41E833B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1.1.4 日期</w:t>
      </w:r>
    </w:p>
    <w:p w14:paraId="0538B34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1.1.4.5 缺陷责任期（工程质量保修期）：本</w:t>
      </w:r>
      <w:r>
        <w:rPr>
          <w:rFonts w:hint="eastAsia" w:ascii="黑体" w:hAnsi="黑体" w:eastAsia="黑体" w:cs="黑体"/>
          <w:color w:val="auto"/>
          <w:sz w:val="22"/>
          <w:szCs w:val="28"/>
          <w:highlight w:val="none"/>
          <w:lang w:eastAsia="zh-Hans"/>
        </w:rPr>
        <w:t>合同</w:t>
      </w:r>
      <w:r>
        <w:rPr>
          <w:rFonts w:hint="eastAsia" w:ascii="黑体" w:hAnsi="黑体" w:eastAsia="黑体" w:cs="黑体"/>
          <w:color w:val="auto"/>
          <w:sz w:val="22"/>
          <w:szCs w:val="28"/>
          <w:highlight w:val="none"/>
          <w:lang w:eastAsia="zh-CN"/>
        </w:rPr>
        <w:t>工程</w:t>
      </w:r>
      <w:r>
        <w:rPr>
          <w:rFonts w:hint="eastAsia" w:ascii="黑体" w:hAnsi="黑体" w:eastAsia="黑体" w:cs="黑体"/>
          <w:color w:val="auto"/>
          <w:sz w:val="22"/>
          <w:szCs w:val="28"/>
          <w:highlight w:val="none"/>
          <w:lang w:eastAsia="zh-Hans"/>
        </w:rPr>
        <w:t>完工验收合格并移交之日起满</w:t>
      </w:r>
      <w:r>
        <w:rPr>
          <w:rFonts w:hint="eastAsia" w:ascii="黑体" w:hAnsi="黑体" w:eastAsia="黑体" w:cs="黑体"/>
          <w:color w:val="auto"/>
          <w:sz w:val="22"/>
          <w:szCs w:val="28"/>
          <w:highlight w:val="none"/>
          <w:lang w:eastAsia="zh-CN"/>
        </w:rPr>
        <w:t>一年，</w:t>
      </w:r>
      <w:r>
        <w:rPr>
          <w:rFonts w:hint="eastAsia" w:ascii="黑体" w:hAnsi="黑体" w:eastAsia="黑体" w:cs="黑体"/>
          <w:color w:val="auto"/>
          <w:sz w:val="22"/>
          <w:szCs w:val="28"/>
          <w:highlight w:val="none"/>
          <w:lang w:eastAsia="zh-Hans"/>
        </w:rPr>
        <w:t>包括根据第19.3款约定所作的延长</w:t>
      </w:r>
      <w:r>
        <w:rPr>
          <w:rFonts w:hint="eastAsia" w:ascii="黑体" w:hAnsi="黑体" w:eastAsia="黑体" w:cs="黑体"/>
          <w:color w:val="auto"/>
          <w:sz w:val="22"/>
          <w:szCs w:val="28"/>
          <w:highlight w:val="none"/>
          <w:lang w:eastAsia="zh-CN"/>
        </w:rPr>
        <w:t>。</w:t>
      </w:r>
    </w:p>
    <w:p w14:paraId="0497C8F9">
      <w:pPr>
        <w:spacing w:line="360" w:lineRule="auto"/>
        <w:rPr>
          <w:rFonts w:hint="eastAsia" w:ascii="黑体" w:hAnsi="黑体" w:eastAsia="黑体" w:cs="黑体"/>
          <w:color w:val="auto"/>
          <w:sz w:val="22"/>
          <w:szCs w:val="28"/>
          <w:highlight w:val="none"/>
          <w:lang w:eastAsia="zh-CN"/>
        </w:rPr>
      </w:pPr>
      <w:bookmarkStart w:id="496" w:name="_Toc7434"/>
      <w:r>
        <w:rPr>
          <w:rFonts w:hint="eastAsia" w:ascii="黑体" w:hAnsi="黑体" w:eastAsia="黑体" w:cs="黑体"/>
          <w:color w:val="auto"/>
          <w:sz w:val="22"/>
          <w:szCs w:val="28"/>
          <w:highlight w:val="none"/>
          <w:lang w:eastAsia="zh-CN"/>
        </w:rPr>
        <w:t>1.4 合同文件的优先顺序</w:t>
      </w:r>
      <w:bookmarkEnd w:id="496"/>
      <w:r>
        <w:rPr>
          <w:rFonts w:hint="eastAsia" w:ascii="黑体" w:hAnsi="黑体" w:eastAsia="黑体" w:cs="黑体"/>
          <w:color w:val="auto"/>
          <w:sz w:val="22"/>
          <w:szCs w:val="28"/>
          <w:highlight w:val="none"/>
          <w:lang w:eastAsia="zh-CN"/>
        </w:rPr>
        <w:t xml:space="preserve"> </w:t>
      </w:r>
    </w:p>
    <w:p w14:paraId="2B03010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进入合同文件的各项文件及其优先顺序是：</w:t>
      </w:r>
    </w:p>
    <w:p w14:paraId="2CFDB28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（1）协议书（包括补充协议）；</w:t>
      </w:r>
    </w:p>
    <w:p w14:paraId="7D24DBD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（2）中标通知书；</w:t>
      </w:r>
    </w:p>
    <w:p w14:paraId="1B557AC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（3）投标函及投标函附录（决算时，投标文件中工程量的计量与支付和招标文件中工程量的计量与支付不一致时以对发包人有利的解释优先）；</w:t>
      </w:r>
    </w:p>
    <w:p w14:paraId="3EA9E1E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（4）专用合同条款；</w:t>
      </w:r>
    </w:p>
    <w:p w14:paraId="230E22F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（5）通用合同条款；</w:t>
      </w:r>
    </w:p>
    <w:p w14:paraId="41DF95E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（6）技术标准和要求；</w:t>
      </w:r>
    </w:p>
    <w:p w14:paraId="40798E5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（7）图纸；</w:t>
      </w:r>
    </w:p>
    <w:p w14:paraId="1FFD5F2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（8）已标价的工程量清单；</w:t>
      </w:r>
    </w:p>
    <w:p w14:paraId="1FC1DC2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（9）经双方确认进入合同的其它文件。</w:t>
      </w:r>
    </w:p>
    <w:p w14:paraId="4AC224CA">
      <w:pPr>
        <w:spacing w:line="360" w:lineRule="auto"/>
        <w:rPr>
          <w:rFonts w:hint="eastAsia" w:ascii="黑体" w:hAnsi="黑体" w:eastAsia="黑体" w:cs="黑体"/>
          <w:color w:val="auto"/>
          <w:sz w:val="22"/>
          <w:szCs w:val="28"/>
          <w:highlight w:val="none"/>
          <w:lang w:eastAsia="zh-CN"/>
        </w:rPr>
      </w:pPr>
      <w:bookmarkStart w:id="497" w:name="_Toc8761"/>
      <w:r>
        <w:rPr>
          <w:rFonts w:hint="eastAsia" w:ascii="黑体" w:hAnsi="黑体" w:eastAsia="黑体" w:cs="黑体"/>
          <w:color w:val="auto"/>
          <w:sz w:val="22"/>
          <w:szCs w:val="28"/>
          <w:highlight w:val="none"/>
          <w:lang w:eastAsia="zh-CN"/>
        </w:rPr>
        <w:t>1.6承包人文件</w:t>
      </w:r>
      <w:bookmarkEnd w:id="497"/>
    </w:p>
    <w:p w14:paraId="277C65F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1.6.1 图纸的提供</w:t>
      </w:r>
    </w:p>
    <w:p w14:paraId="5F46632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承包人发现图纸存在明显错误或疏忽，应及时通知监理人。</w:t>
      </w:r>
    </w:p>
    <w:p w14:paraId="1D67714B">
      <w:pPr>
        <w:spacing w:line="360" w:lineRule="auto"/>
        <w:rPr>
          <w:rFonts w:hint="eastAsia" w:ascii="黑体" w:hAnsi="黑体" w:eastAsia="黑体" w:cs="黑体"/>
          <w:color w:val="auto"/>
          <w:sz w:val="22"/>
          <w:szCs w:val="28"/>
          <w:highlight w:val="none"/>
          <w:lang w:eastAsia="zh-CN"/>
        </w:rPr>
      </w:pPr>
      <w:bookmarkStart w:id="498" w:name="_Toc15253"/>
      <w:r>
        <w:rPr>
          <w:rFonts w:hint="eastAsia" w:ascii="黑体" w:hAnsi="黑体" w:eastAsia="黑体" w:cs="黑体"/>
          <w:color w:val="auto"/>
          <w:sz w:val="22"/>
          <w:szCs w:val="28"/>
          <w:highlight w:val="none"/>
          <w:lang w:eastAsia="zh-CN"/>
        </w:rPr>
        <w:t>1.7联络</w:t>
      </w:r>
      <w:bookmarkEnd w:id="498"/>
    </w:p>
    <w:p w14:paraId="5EBDCA2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1.7.2 来往函件均应按技术标准和要求(合同技术条款) 约定的期限送达工地监理人处。</w:t>
      </w:r>
    </w:p>
    <w:p w14:paraId="11B59846">
      <w:pPr>
        <w:spacing w:line="360" w:lineRule="auto"/>
        <w:rPr>
          <w:rFonts w:hint="eastAsia" w:ascii="黑体" w:hAnsi="黑体" w:eastAsia="黑体" w:cs="黑体"/>
          <w:color w:val="auto"/>
          <w:sz w:val="22"/>
          <w:szCs w:val="28"/>
          <w:highlight w:val="none"/>
          <w:lang w:eastAsia="zh-CN"/>
        </w:rPr>
      </w:pPr>
      <w:bookmarkStart w:id="499" w:name="_Toc8693"/>
      <w:r>
        <w:rPr>
          <w:rFonts w:hint="eastAsia" w:ascii="黑体" w:hAnsi="黑体" w:eastAsia="黑体" w:cs="黑体"/>
          <w:color w:val="auto"/>
          <w:sz w:val="22"/>
          <w:szCs w:val="28"/>
          <w:highlight w:val="none"/>
          <w:lang w:eastAsia="zh-CN"/>
        </w:rPr>
        <w:t>2 发包人义务</w:t>
      </w:r>
      <w:bookmarkEnd w:id="499"/>
    </w:p>
    <w:p w14:paraId="4A32BB3B">
      <w:pPr>
        <w:spacing w:line="360" w:lineRule="auto"/>
        <w:rPr>
          <w:rFonts w:hint="eastAsia" w:ascii="黑体" w:hAnsi="黑体" w:eastAsia="黑体" w:cs="黑体"/>
          <w:color w:val="auto"/>
          <w:sz w:val="22"/>
          <w:szCs w:val="28"/>
          <w:highlight w:val="none"/>
          <w:lang w:eastAsia="zh-CN"/>
        </w:rPr>
      </w:pPr>
      <w:bookmarkStart w:id="500" w:name="_Toc4076"/>
      <w:r>
        <w:rPr>
          <w:rFonts w:hint="eastAsia" w:ascii="黑体" w:hAnsi="黑体" w:eastAsia="黑体" w:cs="黑体"/>
          <w:color w:val="auto"/>
          <w:sz w:val="22"/>
          <w:szCs w:val="28"/>
          <w:highlight w:val="none"/>
          <w:lang w:eastAsia="zh-CN"/>
        </w:rPr>
        <w:t>2.3 提供施工场地</w:t>
      </w:r>
      <w:bookmarkEnd w:id="500"/>
    </w:p>
    <w:p w14:paraId="5B634EB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2.3.2 发包人提供的施工用地范围按监理人批准的施工组织设计中的施工用地范围和时限及其他有关要求执行。发包人有权根据工地现场实际情况调整营地分配（包括提供的位置、面积的调整和提供时间的调整等），承包人必须服从调整和安排，且不能要求额外增加费用。</w:t>
      </w:r>
    </w:p>
    <w:p w14:paraId="5735724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发包人负责办理工地范围内的征地和移民等，向承包人提供施工用地，提供的用地范围和期限在签订协议书时商定。</w:t>
      </w:r>
    </w:p>
    <w:p w14:paraId="00B15640">
      <w:pPr>
        <w:spacing w:line="360" w:lineRule="auto"/>
        <w:rPr>
          <w:rFonts w:hint="eastAsia" w:ascii="黑体" w:hAnsi="黑体" w:eastAsia="黑体" w:cs="黑体"/>
          <w:color w:val="auto"/>
          <w:sz w:val="22"/>
          <w:szCs w:val="28"/>
          <w:highlight w:val="none"/>
          <w:lang w:eastAsia="zh-CN"/>
        </w:rPr>
      </w:pPr>
      <w:bookmarkStart w:id="501" w:name="_Toc31093"/>
      <w:r>
        <w:rPr>
          <w:rFonts w:hint="eastAsia" w:ascii="黑体" w:hAnsi="黑体" w:eastAsia="黑体" w:cs="黑体"/>
          <w:color w:val="auto"/>
          <w:sz w:val="22"/>
          <w:szCs w:val="28"/>
          <w:highlight w:val="none"/>
          <w:lang w:eastAsia="zh-CN"/>
        </w:rPr>
        <w:t>3 监理人</w:t>
      </w:r>
      <w:bookmarkEnd w:id="501"/>
    </w:p>
    <w:p w14:paraId="64D5AB09">
      <w:pPr>
        <w:spacing w:line="360" w:lineRule="auto"/>
        <w:rPr>
          <w:rFonts w:hint="eastAsia" w:ascii="黑体" w:hAnsi="黑体" w:eastAsia="黑体" w:cs="黑体"/>
          <w:color w:val="auto"/>
          <w:sz w:val="22"/>
          <w:szCs w:val="28"/>
          <w:highlight w:val="none"/>
          <w:lang w:eastAsia="zh-CN"/>
        </w:rPr>
      </w:pPr>
      <w:bookmarkStart w:id="502" w:name="_Toc7808"/>
      <w:r>
        <w:rPr>
          <w:rFonts w:hint="eastAsia" w:ascii="黑体" w:hAnsi="黑体" w:eastAsia="黑体" w:cs="黑体"/>
          <w:color w:val="auto"/>
          <w:sz w:val="22"/>
          <w:szCs w:val="28"/>
          <w:highlight w:val="none"/>
          <w:lang w:eastAsia="zh-CN"/>
        </w:rPr>
        <w:t>3.1 监理人的职责和权力</w:t>
      </w:r>
      <w:bookmarkEnd w:id="502"/>
    </w:p>
    <w:p w14:paraId="1811B4E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3.1.1 监理人的权力范围：</w:t>
      </w:r>
    </w:p>
    <w:p w14:paraId="4D929C5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（1）管理施工承包合同。</w:t>
      </w:r>
    </w:p>
    <w:p w14:paraId="4EBDCFF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（2）审核承包人对设计的意见或建议，需设计单位答复的上报发包人，由发包人通知设计单位进行研究并给于答复。</w:t>
      </w:r>
    </w:p>
    <w:p w14:paraId="36F0C77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（3）拥有对本工程的质量否决权，发布开工、停工、返工和复工令权。</w:t>
      </w:r>
    </w:p>
    <w:p w14:paraId="6F96F48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（4）经发包人同意，审批承包人提交的施工组织设计、施工技术措施、临时工程设计、工艺试验成果、使用的原材料及试验成果。</w:t>
      </w:r>
    </w:p>
    <w:p w14:paraId="5D31FB3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（5）审查承包人的质量控制体系和措施，现场动态跟踪监督施工质量，并进行检查和认可，对施工全过程的质量进行监督。</w:t>
      </w:r>
    </w:p>
    <w:p w14:paraId="5044180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（6）受理索赔申请，进行索赔调查和谈判，提出处理意见。</w:t>
      </w:r>
    </w:p>
    <w:p w14:paraId="32EEE4A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（7）督促、检查施工现场的安全生产措施和防护措施及汛前防洪设施等，参与重大安全事故的调查处理。</w:t>
      </w:r>
    </w:p>
    <w:p w14:paraId="0A5BFFD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（8）所有往来函件，须及时报发包人备案。</w:t>
      </w:r>
    </w:p>
    <w:p w14:paraId="59287E4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（9）工程量认定由承包人申请经发包人批准为有效。监理人须根据发包人事先批准的权力范围行使权力，发包人批准的权力范围：</w:t>
      </w:r>
    </w:p>
    <w:p w14:paraId="75D93B7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（1）按第 11.3 款约定，确定延长完工期限；</w:t>
      </w:r>
    </w:p>
    <w:p w14:paraId="6960AC6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（2）按第 15.6 款约定，批准暂列金额的使用。</w:t>
      </w:r>
    </w:p>
    <w:p w14:paraId="5B0DE66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尽管有以上约定，但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约定增加相应的费用，并通知发包人。</w:t>
      </w:r>
    </w:p>
    <w:p w14:paraId="518D40E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本款增加 3.1.4:</w:t>
      </w:r>
    </w:p>
    <w:p w14:paraId="41AE34C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3.1.4 承包人违反质量、安全管理法规、规程、规定和发包人及其质量、安全主管部门颁发的与本合同有关的质量、安全管理文件、规定和标准，监理人有权对其采取立即制止、书面警告、经济处罚、返工返修和停工整顿等措施。</w:t>
      </w:r>
    </w:p>
    <w:p w14:paraId="65FB03A3">
      <w:pPr>
        <w:spacing w:line="360" w:lineRule="auto"/>
        <w:rPr>
          <w:rFonts w:hint="eastAsia" w:ascii="黑体" w:hAnsi="黑体" w:eastAsia="黑体" w:cs="黑体"/>
          <w:color w:val="auto"/>
          <w:sz w:val="22"/>
          <w:szCs w:val="28"/>
          <w:highlight w:val="none"/>
          <w:lang w:eastAsia="zh-CN"/>
        </w:rPr>
      </w:pPr>
      <w:bookmarkStart w:id="503" w:name="_Toc22174"/>
      <w:r>
        <w:rPr>
          <w:rFonts w:hint="eastAsia" w:ascii="黑体" w:hAnsi="黑体" w:eastAsia="黑体" w:cs="黑体"/>
          <w:color w:val="auto"/>
          <w:sz w:val="22"/>
          <w:szCs w:val="28"/>
          <w:highlight w:val="none"/>
          <w:lang w:eastAsia="zh-CN"/>
        </w:rPr>
        <w:t>4 承包人</w:t>
      </w:r>
      <w:bookmarkEnd w:id="503"/>
    </w:p>
    <w:p w14:paraId="6E9DB298">
      <w:pPr>
        <w:spacing w:line="360" w:lineRule="auto"/>
        <w:rPr>
          <w:rFonts w:hint="eastAsia" w:ascii="黑体" w:hAnsi="黑体" w:eastAsia="黑体" w:cs="黑体"/>
          <w:color w:val="auto"/>
          <w:sz w:val="22"/>
          <w:szCs w:val="28"/>
          <w:highlight w:val="none"/>
          <w:lang w:eastAsia="zh-CN"/>
        </w:rPr>
      </w:pPr>
      <w:bookmarkStart w:id="504" w:name="_Toc5107"/>
      <w:r>
        <w:rPr>
          <w:rFonts w:hint="eastAsia" w:ascii="黑体" w:hAnsi="黑体" w:eastAsia="黑体" w:cs="黑体"/>
          <w:color w:val="auto"/>
          <w:sz w:val="22"/>
          <w:szCs w:val="28"/>
          <w:highlight w:val="none"/>
          <w:lang w:eastAsia="zh-CN"/>
        </w:rPr>
        <w:t>4.1 承包人的一般义务</w:t>
      </w:r>
      <w:bookmarkEnd w:id="504"/>
    </w:p>
    <w:p w14:paraId="7D235259">
      <w:pPr>
        <w:spacing w:line="360" w:lineRule="auto"/>
        <w:rPr>
          <w:rFonts w:hint="eastAsia" w:ascii="黑体" w:hAnsi="黑体" w:eastAsia="黑体" w:cs="黑体"/>
          <w:color w:val="auto"/>
          <w:sz w:val="22"/>
          <w:szCs w:val="28"/>
          <w:highlight w:val="none"/>
          <w:lang w:eastAsia="zh-Hans"/>
        </w:rPr>
      </w:pPr>
      <w:r>
        <w:rPr>
          <w:rFonts w:hint="eastAsia" w:ascii="黑体" w:hAnsi="黑体" w:eastAsia="黑体" w:cs="黑体"/>
          <w:color w:val="auto"/>
          <w:sz w:val="22"/>
          <w:szCs w:val="28"/>
          <w:highlight w:val="none"/>
          <w:lang w:eastAsia="zh-Hans"/>
        </w:rPr>
        <w:t>本款补充一下内容：</w:t>
      </w:r>
    </w:p>
    <w:p w14:paraId="1EE97F5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施工单位应在所承包的水利工程建设现场成立施工项目部，按合同约定配备项目主要管理人员并设立合理的项目管理组织机构，明确现场主要管理人员岗位职责。项目主要管理人员应持证上岗，并按照合同约定进驻现场履职，不得擅自更换。</w:t>
      </w:r>
    </w:p>
    <w:p w14:paraId="3DA24483">
      <w:pPr>
        <w:spacing w:line="360" w:lineRule="auto"/>
        <w:rPr>
          <w:rFonts w:hint="eastAsia" w:ascii="黑体" w:hAnsi="黑体" w:eastAsia="黑体" w:cs="黑体"/>
          <w:color w:val="auto"/>
          <w:sz w:val="22"/>
          <w:szCs w:val="28"/>
          <w:highlight w:val="none"/>
          <w:lang w:eastAsia="zh-Hans"/>
        </w:rPr>
      </w:pPr>
      <w:r>
        <w:rPr>
          <w:rFonts w:hint="eastAsia" w:ascii="黑体" w:hAnsi="黑体" w:eastAsia="黑体" w:cs="黑体"/>
          <w:color w:val="auto"/>
          <w:sz w:val="22"/>
          <w:szCs w:val="28"/>
          <w:highlight w:val="none"/>
          <w:lang w:eastAsia="zh-Hans"/>
        </w:rPr>
        <w:t>（</w:t>
      </w:r>
      <w:r>
        <w:rPr>
          <w:rFonts w:hint="eastAsia" w:ascii="黑体" w:hAnsi="黑体" w:eastAsia="黑体" w:cs="黑体"/>
          <w:color w:val="auto"/>
          <w:sz w:val="22"/>
          <w:szCs w:val="28"/>
          <w:highlight w:val="none"/>
          <w:lang w:eastAsia="zh-CN"/>
        </w:rPr>
        <w:t>2</w:t>
      </w:r>
      <w:r>
        <w:rPr>
          <w:rFonts w:hint="eastAsia" w:ascii="黑体" w:hAnsi="黑体" w:eastAsia="黑体" w:cs="黑体"/>
          <w:color w:val="auto"/>
          <w:sz w:val="22"/>
          <w:szCs w:val="28"/>
          <w:highlight w:val="none"/>
          <w:lang w:eastAsia="zh-Hans"/>
        </w:rPr>
        <w:t>）承包人应按发包人提供的施工用地的范围和期限使用土地，若承包人需超出上述范围和期限使用时，事前应同发包人协商，并承担由此而发生的费用。</w:t>
      </w:r>
    </w:p>
    <w:p w14:paraId="4D3CFBCB">
      <w:pPr>
        <w:spacing w:line="360" w:lineRule="auto"/>
        <w:rPr>
          <w:rFonts w:hint="eastAsia" w:ascii="黑体" w:hAnsi="黑体" w:eastAsia="黑体" w:cs="黑体"/>
          <w:color w:val="auto"/>
          <w:sz w:val="22"/>
          <w:szCs w:val="28"/>
          <w:highlight w:val="none"/>
          <w:lang w:eastAsia="zh-Hans"/>
        </w:rPr>
      </w:pPr>
      <w:r>
        <w:rPr>
          <w:rFonts w:hint="eastAsia" w:ascii="黑体" w:hAnsi="黑体" w:eastAsia="黑体" w:cs="黑体"/>
          <w:color w:val="auto"/>
          <w:sz w:val="22"/>
          <w:szCs w:val="28"/>
          <w:highlight w:val="none"/>
          <w:lang w:eastAsia="zh-Hans"/>
        </w:rPr>
        <w:t>（</w:t>
      </w:r>
      <w:r>
        <w:rPr>
          <w:rFonts w:hint="eastAsia" w:ascii="黑体" w:hAnsi="黑体" w:eastAsia="黑体" w:cs="黑体"/>
          <w:color w:val="auto"/>
          <w:sz w:val="22"/>
          <w:szCs w:val="28"/>
          <w:highlight w:val="none"/>
          <w:lang w:eastAsia="zh-CN"/>
        </w:rPr>
        <w:t>3</w:t>
      </w:r>
      <w:r>
        <w:rPr>
          <w:rFonts w:hint="eastAsia" w:ascii="黑体" w:hAnsi="黑体" w:eastAsia="黑体" w:cs="黑体"/>
          <w:color w:val="auto"/>
          <w:sz w:val="22"/>
          <w:szCs w:val="28"/>
          <w:highlight w:val="none"/>
          <w:lang w:eastAsia="zh-Hans"/>
        </w:rPr>
        <w:t>）由发包人提供的和由承包人修建的临时设施，在工程完工后，承包人应按监理人的指示拆除及清理或无偿移交给发包人。拆除、清理费用发包人不另行支付。</w:t>
      </w:r>
    </w:p>
    <w:p w14:paraId="50B291A1">
      <w:pPr>
        <w:spacing w:line="360" w:lineRule="auto"/>
        <w:rPr>
          <w:rFonts w:hint="eastAsia" w:ascii="黑体" w:hAnsi="黑体" w:eastAsia="黑体" w:cs="黑体"/>
          <w:color w:val="auto"/>
          <w:sz w:val="22"/>
          <w:szCs w:val="28"/>
          <w:highlight w:val="none"/>
          <w:lang w:eastAsia="zh-Hans"/>
        </w:rPr>
      </w:pPr>
      <w:r>
        <w:rPr>
          <w:rFonts w:hint="eastAsia" w:ascii="黑体" w:hAnsi="黑体" w:eastAsia="黑体" w:cs="黑体"/>
          <w:color w:val="auto"/>
          <w:sz w:val="22"/>
          <w:szCs w:val="28"/>
          <w:highlight w:val="none"/>
          <w:lang w:eastAsia="zh-Hans"/>
        </w:rPr>
        <w:t>（</w:t>
      </w:r>
      <w:r>
        <w:rPr>
          <w:rFonts w:hint="eastAsia" w:ascii="黑体" w:hAnsi="黑体" w:eastAsia="黑体" w:cs="黑体"/>
          <w:color w:val="auto"/>
          <w:sz w:val="22"/>
          <w:szCs w:val="28"/>
          <w:highlight w:val="none"/>
          <w:lang w:eastAsia="zh-CN"/>
        </w:rPr>
        <w:t>4</w:t>
      </w:r>
      <w:r>
        <w:rPr>
          <w:rFonts w:hint="eastAsia" w:ascii="黑体" w:hAnsi="黑体" w:eastAsia="黑体" w:cs="黑体"/>
          <w:color w:val="auto"/>
          <w:sz w:val="22"/>
          <w:szCs w:val="28"/>
          <w:highlight w:val="none"/>
          <w:lang w:eastAsia="zh-Hans"/>
        </w:rPr>
        <w:t>）承包人应在工地配备一定容量的自备电源，作为施工供电中断时应急电源。</w:t>
      </w:r>
    </w:p>
    <w:p w14:paraId="3FC8A520">
      <w:pPr>
        <w:spacing w:line="360" w:lineRule="auto"/>
        <w:rPr>
          <w:rFonts w:hint="eastAsia" w:ascii="黑体" w:hAnsi="黑体" w:eastAsia="黑体" w:cs="黑体"/>
          <w:color w:val="auto"/>
          <w:sz w:val="22"/>
          <w:szCs w:val="28"/>
          <w:highlight w:val="none"/>
          <w:lang w:eastAsia="zh-Hans"/>
        </w:rPr>
      </w:pPr>
      <w:r>
        <w:rPr>
          <w:rFonts w:hint="eastAsia" w:ascii="黑体" w:hAnsi="黑体" w:eastAsia="黑体" w:cs="黑体"/>
          <w:color w:val="auto"/>
          <w:sz w:val="22"/>
          <w:szCs w:val="28"/>
          <w:highlight w:val="none"/>
          <w:lang w:eastAsia="zh-Hans"/>
        </w:rPr>
        <w:t>（</w:t>
      </w:r>
      <w:r>
        <w:rPr>
          <w:rFonts w:hint="eastAsia" w:ascii="黑体" w:hAnsi="黑体" w:eastAsia="黑体" w:cs="黑体"/>
          <w:color w:val="auto"/>
          <w:sz w:val="22"/>
          <w:szCs w:val="28"/>
          <w:highlight w:val="none"/>
          <w:lang w:eastAsia="zh-CN"/>
        </w:rPr>
        <w:t>5</w:t>
      </w:r>
      <w:r>
        <w:rPr>
          <w:rFonts w:hint="eastAsia" w:ascii="黑体" w:hAnsi="黑体" w:eastAsia="黑体" w:cs="黑体"/>
          <w:color w:val="auto"/>
          <w:sz w:val="22"/>
          <w:szCs w:val="28"/>
          <w:highlight w:val="none"/>
          <w:lang w:eastAsia="zh-Hans"/>
        </w:rPr>
        <w:t>）承包人应按监督人的指示为其他承包人（除本标段以外的其他标段的承包人）工作提供必要的配合。包括清理、移交工作面等，并对设备进行保护。因本标承包人原因导致其他承包人的设备损坏，由本标承包人负责赔偿。对布置有其他承包人设备的工作面的验收应通知相关监理人到场参加。经监理人会签后方可进行下一道工序的施工。承包人应充分考虑这种配合对施工进度的影响，发包人不另行支付这种配合和保护所发生的费用。</w:t>
      </w:r>
    </w:p>
    <w:p w14:paraId="268E5AA0">
      <w:pPr>
        <w:spacing w:line="360" w:lineRule="auto"/>
        <w:rPr>
          <w:rFonts w:hint="eastAsia" w:ascii="黑体" w:hAnsi="黑体" w:eastAsia="黑体" w:cs="黑体"/>
          <w:color w:val="auto"/>
          <w:sz w:val="22"/>
          <w:szCs w:val="28"/>
          <w:highlight w:val="none"/>
          <w:lang w:eastAsia="zh-Hans"/>
        </w:rPr>
      </w:pPr>
      <w:r>
        <w:rPr>
          <w:rFonts w:hint="eastAsia" w:ascii="黑体" w:hAnsi="黑体" w:eastAsia="黑体" w:cs="黑体"/>
          <w:color w:val="auto"/>
          <w:sz w:val="22"/>
          <w:szCs w:val="28"/>
          <w:highlight w:val="none"/>
          <w:lang w:eastAsia="zh-Hans"/>
        </w:rPr>
        <w:t>（</w:t>
      </w:r>
      <w:r>
        <w:rPr>
          <w:rFonts w:hint="eastAsia" w:ascii="黑体" w:hAnsi="黑体" w:eastAsia="黑体" w:cs="黑体"/>
          <w:color w:val="auto"/>
          <w:sz w:val="22"/>
          <w:szCs w:val="28"/>
          <w:highlight w:val="none"/>
          <w:lang w:eastAsia="zh-CN"/>
        </w:rPr>
        <w:t>6</w:t>
      </w:r>
      <w:r>
        <w:rPr>
          <w:rFonts w:hint="eastAsia" w:ascii="黑体" w:hAnsi="黑体" w:eastAsia="黑体" w:cs="黑体"/>
          <w:color w:val="auto"/>
          <w:sz w:val="22"/>
          <w:szCs w:val="28"/>
          <w:highlight w:val="none"/>
          <w:lang w:eastAsia="zh-Hans"/>
        </w:rPr>
        <w:t>）承包人应与其他承包人和供货厂（商）就图纸、样板、尺寸及其他资料互通信息，以保证施工和安装的顺利进行。</w:t>
      </w:r>
    </w:p>
    <w:p w14:paraId="148F64FA">
      <w:pPr>
        <w:spacing w:line="360" w:lineRule="auto"/>
        <w:rPr>
          <w:rFonts w:hint="eastAsia" w:ascii="黑体" w:hAnsi="黑体" w:eastAsia="黑体" w:cs="黑体"/>
          <w:color w:val="auto"/>
          <w:sz w:val="22"/>
          <w:szCs w:val="28"/>
          <w:highlight w:val="none"/>
          <w:lang w:eastAsia="zh-Hans"/>
        </w:rPr>
      </w:pPr>
      <w:r>
        <w:rPr>
          <w:rFonts w:hint="eastAsia" w:ascii="黑体" w:hAnsi="黑体" w:eastAsia="黑体" w:cs="黑体"/>
          <w:color w:val="auto"/>
          <w:sz w:val="22"/>
          <w:szCs w:val="28"/>
          <w:highlight w:val="none"/>
          <w:lang w:eastAsia="zh-Hans"/>
        </w:rPr>
        <w:t>（</w:t>
      </w:r>
      <w:r>
        <w:rPr>
          <w:rFonts w:hint="eastAsia" w:ascii="黑体" w:hAnsi="黑体" w:eastAsia="黑体" w:cs="黑体"/>
          <w:color w:val="auto"/>
          <w:sz w:val="22"/>
          <w:szCs w:val="28"/>
          <w:highlight w:val="none"/>
          <w:lang w:eastAsia="zh-CN"/>
        </w:rPr>
        <w:t>7</w:t>
      </w:r>
      <w:r>
        <w:rPr>
          <w:rFonts w:hint="eastAsia" w:ascii="黑体" w:hAnsi="黑体" w:eastAsia="黑体" w:cs="黑体"/>
          <w:color w:val="auto"/>
          <w:sz w:val="22"/>
          <w:szCs w:val="28"/>
          <w:highlight w:val="none"/>
          <w:lang w:eastAsia="zh-Hans"/>
        </w:rPr>
        <w:t>）承包人应主动接受公安、安监、环保、水保、地方劳动、技术监督、计量管理等相关部门的监督管理，依照有关政策</w:t>
      </w:r>
      <w:r>
        <w:rPr>
          <w:rFonts w:hint="eastAsia" w:ascii="黑体" w:hAnsi="黑体" w:eastAsia="黑体" w:cs="黑体"/>
          <w:color w:val="auto"/>
          <w:sz w:val="22"/>
          <w:szCs w:val="28"/>
          <w:highlight w:val="none"/>
          <w:lang w:eastAsia="zh-CN"/>
        </w:rPr>
        <w:t>法律</w:t>
      </w:r>
      <w:r>
        <w:rPr>
          <w:rFonts w:hint="eastAsia" w:ascii="黑体" w:hAnsi="黑体" w:eastAsia="黑体" w:cs="黑体"/>
          <w:color w:val="auto"/>
          <w:sz w:val="22"/>
          <w:szCs w:val="28"/>
          <w:highlight w:val="none"/>
          <w:lang w:eastAsia="zh-Hans"/>
        </w:rPr>
        <w:t>法规对其使用的各项仪器设备检验、检查、登记和发证工作。如压力容器和特种设备的安装检验与定期检验等，费用由承包人承担。</w:t>
      </w:r>
    </w:p>
    <w:p w14:paraId="3097064D">
      <w:pPr>
        <w:spacing w:line="360" w:lineRule="auto"/>
        <w:rPr>
          <w:rFonts w:hint="eastAsia" w:ascii="黑体" w:hAnsi="黑体" w:eastAsia="黑体" w:cs="黑体"/>
          <w:color w:val="auto"/>
          <w:sz w:val="22"/>
          <w:szCs w:val="28"/>
          <w:highlight w:val="none"/>
          <w:lang w:eastAsia="zh-Hans"/>
        </w:rPr>
      </w:pPr>
      <w:r>
        <w:rPr>
          <w:rFonts w:hint="eastAsia" w:ascii="黑体" w:hAnsi="黑体" w:eastAsia="黑体" w:cs="黑体"/>
          <w:color w:val="auto"/>
          <w:sz w:val="22"/>
          <w:szCs w:val="28"/>
          <w:highlight w:val="none"/>
          <w:lang w:eastAsia="zh-Hans"/>
        </w:rPr>
        <w:t>（</w:t>
      </w:r>
      <w:r>
        <w:rPr>
          <w:rFonts w:hint="eastAsia" w:ascii="黑体" w:hAnsi="黑体" w:eastAsia="黑体" w:cs="黑体"/>
          <w:color w:val="auto"/>
          <w:sz w:val="22"/>
          <w:szCs w:val="28"/>
          <w:highlight w:val="none"/>
          <w:lang w:eastAsia="zh-CN"/>
        </w:rPr>
        <w:t>8</w:t>
      </w:r>
      <w:r>
        <w:rPr>
          <w:rFonts w:hint="eastAsia" w:ascii="黑体" w:hAnsi="黑体" w:eastAsia="黑体" w:cs="黑体"/>
          <w:color w:val="auto"/>
          <w:sz w:val="22"/>
          <w:szCs w:val="28"/>
          <w:highlight w:val="none"/>
          <w:lang w:eastAsia="zh-Hans"/>
        </w:rPr>
        <w:t>）承包人应遵守发包人发布的有关工程建设管理制度。承包人还应服从发包人和发包人组织成立的工程安全生产及文明施工管理委员会、应急抢险指挥部等管理机构的统一指挥。</w:t>
      </w:r>
    </w:p>
    <w:p w14:paraId="42C4BC63">
      <w:pPr>
        <w:spacing w:line="360" w:lineRule="auto"/>
        <w:rPr>
          <w:rFonts w:hint="eastAsia" w:ascii="黑体" w:hAnsi="黑体" w:eastAsia="黑体" w:cs="黑体"/>
          <w:color w:val="auto"/>
          <w:sz w:val="22"/>
          <w:szCs w:val="28"/>
          <w:highlight w:val="none"/>
          <w:lang w:eastAsia="zh-Hans"/>
        </w:rPr>
      </w:pPr>
      <w:r>
        <w:rPr>
          <w:rFonts w:hint="eastAsia" w:ascii="黑体" w:hAnsi="黑体" w:eastAsia="黑体" w:cs="黑体"/>
          <w:color w:val="auto"/>
          <w:sz w:val="22"/>
          <w:szCs w:val="28"/>
          <w:highlight w:val="none"/>
          <w:lang w:eastAsia="zh-Hans"/>
        </w:rPr>
        <w:t>（</w:t>
      </w:r>
      <w:r>
        <w:rPr>
          <w:rFonts w:hint="eastAsia" w:ascii="黑体" w:hAnsi="黑体" w:eastAsia="黑体" w:cs="黑体"/>
          <w:color w:val="auto"/>
          <w:sz w:val="22"/>
          <w:szCs w:val="28"/>
          <w:highlight w:val="none"/>
          <w:lang w:eastAsia="zh-CN"/>
        </w:rPr>
        <w:t>9</w:t>
      </w:r>
      <w:r>
        <w:rPr>
          <w:rFonts w:hint="eastAsia" w:ascii="黑体" w:hAnsi="黑体" w:eastAsia="黑体" w:cs="黑体"/>
          <w:color w:val="auto"/>
          <w:sz w:val="22"/>
          <w:szCs w:val="28"/>
          <w:highlight w:val="none"/>
          <w:lang w:eastAsia="zh-Hans"/>
        </w:rPr>
        <w:t>）承包人在实施和完成承建合同工程及修复缺陷过程中的一切作业，应保证发包人免于承担因承包人借用、占用或进出其他标段工区或影响作业等所引起的索赔、诉讼费、损害赔偿及其它开支，有义务提供与相邻标段工程施工的配合与协调，包括:</w:t>
      </w:r>
    </w:p>
    <w:p w14:paraId="58FAB2A0">
      <w:pPr>
        <w:spacing w:line="360" w:lineRule="auto"/>
        <w:rPr>
          <w:rFonts w:hint="eastAsia" w:ascii="黑体" w:hAnsi="黑体" w:eastAsia="黑体" w:cs="黑体"/>
          <w:color w:val="auto"/>
          <w:sz w:val="22"/>
          <w:szCs w:val="28"/>
          <w:highlight w:val="none"/>
          <w:lang w:eastAsia="zh-Hans"/>
        </w:rPr>
      </w:pPr>
      <w:r>
        <w:rPr>
          <w:rFonts w:hint="eastAsia" w:ascii="黑体" w:hAnsi="黑体" w:eastAsia="黑体" w:cs="黑体"/>
          <w:color w:val="auto"/>
          <w:sz w:val="22"/>
          <w:szCs w:val="28"/>
          <w:highlight w:val="none"/>
          <w:lang w:eastAsia="zh-Hans"/>
        </w:rPr>
        <w:t>1)工作面的安全和施工质量影响；</w:t>
      </w:r>
    </w:p>
    <w:p w14:paraId="7D131C4C">
      <w:pPr>
        <w:spacing w:line="360" w:lineRule="auto"/>
        <w:rPr>
          <w:rFonts w:hint="eastAsia" w:ascii="黑体" w:hAnsi="黑体" w:eastAsia="黑体" w:cs="黑体"/>
          <w:color w:val="auto"/>
          <w:sz w:val="22"/>
          <w:szCs w:val="28"/>
          <w:highlight w:val="none"/>
          <w:lang w:eastAsia="zh-Hans"/>
        </w:rPr>
      </w:pPr>
      <w:r>
        <w:rPr>
          <w:rFonts w:hint="eastAsia" w:ascii="黑体" w:hAnsi="黑体" w:eastAsia="黑体" w:cs="黑体"/>
          <w:color w:val="auto"/>
          <w:sz w:val="22"/>
          <w:szCs w:val="28"/>
          <w:highlight w:val="none"/>
          <w:lang w:eastAsia="zh-Hans"/>
        </w:rPr>
        <w:t>2)施工进度的影响；</w:t>
      </w:r>
    </w:p>
    <w:p w14:paraId="7A06FE23">
      <w:pPr>
        <w:spacing w:line="360" w:lineRule="auto"/>
        <w:rPr>
          <w:rFonts w:hint="eastAsia" w:ascii="黑体" w:hAnsi="黑体" w:eastAsia="黑体" w:cs="黑体"/>
          <w:color w:val="auto"/>
          <w:sz w:val="22"/>
          <w:szCs w:val="28"/>
          <w:highlight w:val="none"/>
          <w:lang w:eastAsia="zh-Hans"/>
        </w:rPr>
      </w:pPr>
      <w:r>
        <w:rPr>
          <w:rFonts w:hint="eastAsia" w:ascii="黑体" w:hAnsi="黑体" w:eastAsia="黑体" w:cs="黑体"/>
          <w:color w:val="auto"/>
          <w:sz w:val="22"/>
          <w:szCs w:val="28"/>
          <w:highlight w:val="none"/>
          <w:lang w:eastAsia="zh-Hans"/>
        </w:rPr>
        <w:t>3)为其他标段承包人提供交通通道(道路、桥梁)、交叉工作面的作业场地；</w:t>
      </w:r>
    </w:p>
    <w:p w14:paraId="3DBBCD61">
      <w:pPr>
        <w:spacing w:line="360" w:lineRule="auto"/>
        <w:rPr>
          <w:rFonts w:hint="eastAsia" w:ascii="黑体" w:hAnsi="黑体" w:eastAsia="黑体" w:cs="黑体"/>
          <w:color w:val="auto"/>
          <w:sz w:val="22"/>
          <w:szCs w:val="28"/>
          <w:highlight w:val="none"/>
          <w:lang w:eastAsia="zh-Hans"/>
        </w:rPr>
      </w:pPr>
      <w:r>
        <w:rPr>
          <w:rFonts w:hint="eastAsia" w:ascii="黑体" w:hAnsi="黑体" w:eastAsia="黑体" w:cs="黑体"/>
          <w:color w:val="auto"/>
          <w:sz w:val="22"/>
          <w:szCs w:val="28"/>
          <w:highlight w:val="none"/>
          <w:lang w:eastAsia="zh-Hans"/>
        </w:rPr>
        <w:t>4)本合同工程施工时，还有其它承包人承担其它项目工程的施工。承包人应本着协作的精神在监理人的协调下共同协商解决施工中出现的矛盾或争议。未达成协议时，承包人应按监理人的指令无条件执行。</w:t>
      </w:r>
    </w:p>
    <w:p w14:paraId="47D845F5">
      <w:pPr>
        <w:spacing w:line="360" w:lineRule="auto"/>
        <w:rPr>
          <w:rFonts w:hint="eastAsia" w:ascii="黑体" w:hAnsi="黑体" w:eastAsia="黑体" w:cs="黑体"/>
          <w:color w:val="auto"/>
          <w:sz w:val="22"/>
          <w:szCs w:val="28"/>
          <w:highlight w:val="none"/>
          <w:lang w:eastAsia="zh-Hans"/>
        </w:rPr>
      </w:pPr>
      <w:r>
        <w:rPr>
          <w:rFonts w:hint="eastAsia" w:ascii="黑体" w:hAnsi="黑体" w:eastAsia="黑体" w:cs="黑体"/>
          <w:color w:val="auto"/>
          <w:sz w:val="22"/>
          <w:szCs w:val="28"/>
          <w:highlight w:val="none"/>
          <w:lang w:eastAsia="zh-Hans"/>
        </w:rPr>
        <w:t>（</w:t>
      </w:r>
      <w:r>
        <w:rPr>
          <w:rFonts w:hint="eastAsia" w:ascii="黑体" w:hAnsi="黑体" w:eastAsia="黑体" w:cs="黑体"/>
          <w:color w:val="auto"/>
          <w:sz w:val="22"/>
          <w:szCs w:val="28"/>
          <w:highlight w:val="none"/>
          <w:lang w:eastAsia="zh-CN"/>
        </w:rPr>
        <w:t>10</w:t>
      </w:r>
      <w:r>
        <w:rPr>
          <w:rFonts w:hint="eastAsia" w:ascii="黑体" w:hAnsi="黑体" w:eastAsia="黑体" w:cs="黑体"/>
          <w:color w:val="auto"/>
          <w:sz w:val="22"/>
          <w:szCs w:val="28"/>
          <w:highlight w:val="none"/>
          <w:lang w:eastAsia="zh-Hans"/>
        </w:rPr>
        <w:t>）承包人应遵守发包人制定的相关的安全生产及文明施工管理规定，并将其作为本合同的组成部分。</w:t>
      </w:r>
    </w:p>
    <w:p w14:paraId="3D3A261B">
      <w:pPr>
        <w:spacing w:line="360" w:lineRule="auto"/>
        <w:rPr>
          <w:rFonts w:hint="eastAsia" w:ascii="黑体" w:hAnsi="黑体" w:eastAsia="黑体" w:cs="黑体"/>
          <w:color w:val="auto"/>
          <w:sz w:val="22"/>
          <w:szCs w:val="28"/>
          <w:highlight w:val="none"/>
          <w:lang w:eastAsia="zh-Hans"/>
        </w:rPr>
      </w:pPr>
      <w:r>
        <w:rPr>
          <w:rFonts w:hint="eastAsia" w:ascii="黑体" w:hAnsi="黑体" w:eastAsia="黑体" w:cs="黑体"/>
          <w:color w:val="auto"/>
          <w:sz w:val="22"/>
          <w:szCs w:val="28"/>
          <w:highlight w:val="none"/>
          <w:lang w:eastAsia="zh-Hans"/>
        </w:rPr>
        <w:t>（1</w:t>
      </w:r>
      <w:r>
        <w:rPr>
          <w:rFonts w:hint="eastAsia" w:ascii="黑体" w:hAnsi="黑体" w:eastAsia="黑体" w:cs="黑体"/>
          <w:color w:val="auto"/>
          <w:sz w:val="22"/>
          <w:szCs w:val="28"/>
          <w:highlight w:val="none"/>
          <w:lang w:eastAsia="zh-CN"/>
        </w:rPr>
        <w:t>1</w:t>
      </w:r>
      <w:r>
        <w:rPr>
          <w:rFonts w:hint="eastAsia" w:ascii="黑体" w:hAnsi="黑体" w:eastAsia="黑体" w:cs="黑体"/>
          <w:color w:val="auto"/>
          <w:sz w:val="22"/>
          <w:szCs w:val="28"/>
          <w:highlight w:val="none"/>
          <w:lang w:eastAsia="zh-Hans"/>
        </w:rPr>
        <w:t>）承担相关设备埋设相关的配合工作。</w:t>
      </w:r>
    </w:p>
    <w:p w14:paraId="166E5324">
      <w:pPr>
        <w:spacing w:line="360" w:lineRule="auto"/>
        <w:rPr>
          <w:rFonts w:hint="eastAsia" w:ascii="黑体" w:hAnsi="黑体" w:eastAsia="黑体" w:cs="黑体"/>
          <w:color w:val="auto"/>
          <w:sz w:val="22"/>
          <w:szCs w:val="28"/>
          <w:highlight w:val="none"/>
          <w:lang w:eastAsia="zh-Hans"/>
        </w:rPr>
      </w:pPr>
      <w:r>
        <w:rPr>
          <w:rFonts w:hint="eastAsia" w:ascii="黑体" w:hAnsi="黑体" w:eastAsia="黑体" w:cs="黑体"/>
          <w:color w:val="auto"/>
          <w:sz w:val="22"/>
          <w:szCs w:val="28"/>
          <w:highlight w:val="none"/>
          <w:lang w:eastAsia="zh-Hans"/>
        </w:rPr>
        <w:t>（1</w:t>
      </w:r>
      <w:r>
        <w:rPr>
          <w:rFonts w:hint="eastAsia" w:ascii="黑体" w:hAnsi="黑体" w:eastAsia="黑体" w:cs="黑体"/>
          <w:color w:val="auto"/>
          <w:sz w:val="22"/>
          <w:szCs w:val="28"/>
          <w:highlight w:val="none"/>
          <w:lang w:eastAsia="zh-CN"/>
        </w:rPr>
        <w:t>2</w:t>
      </w:r>
      <w:r>
        <w:rPr>
          <w:rFonts w:hint="eastAsia" w:ascii="黑体" w:hAnsi="黑体" w:eastAsia="黑体" w:cs="黑体"/>
          <w:color w:val="auto"/>
          <w:sz w:val="22"/>
          <w:szCs w:val="28"/>
          <w:highlight w:val="none"/>
          <w:lang w:eastAsia="zh-Hans"/>
        </w:rPr>
        <w:t>）承包人必须按发包人档案管理规定提交工作记录、影像等，形成完整、真实、可追溯的工程管理文件资料</w:t>
      </w:r>
      <w:r>
        <w:rPr>
          <w:rFonts w:hint="eastAsia" w:ascii="黑体" w:hAnsi="黑体" w:eastAsia="黑体" w:cs="黑体"/>
          <w:color w:val="auto"/>
          <w:sz w:val="22"/>
          <w:szCs w:val="28"/>
          <w:highlight w:val="none"/>
          <w:lang w:eastAsia="zh-CN"/>
        </w:rPr>
        <w:t>，以及配合各阶段验收工作及资料的提交。</w:t>
      </w:r>
    </w:p>
    <w:p w14:paraId="7F5175C9">
      <w:pPr>
        <w:spacing w:line="360" w:lineRule="auto"/>
        <w:rPr>
          <w:rFonts w:hint="eastAsia" w:ascii="黑体" w:hAnsi="黑体" w:eastAsia="黑体" w:cs="黑体"/>
          <w:color w:val="auto"/>
          <w:sz w:val="22"/>
          <w:szCs w:val="28"/>
          <w:highlight w:val="none"/>
          <w:lang w:eastAsia="zh-Hans"/>
        </w:rPr>
      </w:pPr>
      <w:r>
        <w:rPr>
          <w:rFonts w:hint="eastAsia" w:ascii="黑体" w:hAnsi="黑体" w:eastAsia="黑体" w:cs="黑体"/>
          <w:color w:val="auto"/>
          <w:sz w:val="22"/>
          <w:szCs w:val="28"/>
          <w:highlight w:val="none"/>
          <w:lang w:eastAsia="zh-Hans"/>
        </w:rPr>
        <w:t>（1</w:t>
      </w:r>
      <w:r>
        <w:rPr>
          <w:rFonts w:hint="eastAsia" w:ascii="黑体" w:hAnsi="黑体" w:eastAsia="黑体" w:cs="黑体"/>
          <w:color w:val="auto"/>
          <w:sz w:val="22"/>
          <w:szCs w:val="28"/>
          <w:highlight w:val="none"/>
          <w:lang w:eastAsia="zh-CN"/>
        </w:rPr>
        <w:t>3</w:t>
      </w:r>
      <w:r>
        <w:rPr>
          <w:rFonts w:hint="eastAsia" w:ascii="黑体" w:hAnsi="黑体" w:eastAsia="黑体" w:cs="黑体"/>
          <w:color w:val="auto"/>
          <w:sz w:val="22"/>
          <w:szCs w:val="28"/>
          <w:highlight w:val="none"/>
          <w:lang w:eastAsia="zh-Hans"/>
        </w:rPr>
        <w:t>）按设计要求、施工组织设计、度汛方案、施工导流方案做好现场导流工作，所产生的相关费用由承包人承担。</w:t>
      </w:r>
    </w:p>
    <w:p w14:paraId="32E1A44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（14）施工标段须配备</w:t>
      </w:r>
      <w:r>
        <w:rPr>
          <w:rFonts w:hint="eastAsia" w:ascii="黑体" w:hAnsi="黑体" w:eastAsia="黑体" w:cs="黑体"/>
          <w:color w:val="auto"/>
          <w:sz w:val="22"/>
          <w:szCs w:val="28"/>
          <w:highlight w:val="none"/>
          <w:lang w:val="en-US" w:eastAsia="zh-CN"/>
        </w:rPr>
        <w:t>3</w:t>
      </w:r>
      <w:r>
        <w:rPr>
          <w:rFonts w:hint="eastAsia" w:ascii="黑体" w:hAnsi="黑体" w:eastAsia="黑体" w:cs="黑体"/>
          <w:color w:val="auto"/>
          <w:sz w:val="22"/>
          <w:szCs w:val="28"/>
          <w:highlight w:val="none"/>
          <w:lang w:eastAsia="zh-CN"/>
        </w:rPr>
        <w:t>名劳资专员，使用农民工必须实名制。</w:t>
      </w:r>
    </w:p>
    <w:p w14:paraId="7305982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（15）中标企业进场使用机械设备必须与租赁公司或合作社签订合同。</w:t>
      </w:r>
    </w:p>
    <w:p w14:paraId="17A8FA5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（16）根据水利部办公厅关于印发《水利工程建设项目法人工作手册 （2023 版）》的通知规定:施工单位在施工现场应设置维权信息公 示牌。具体要求：2000米一个，公示牌内容包含：项目名称、项目负责人信息、维权注意事项、举报电话（实际规格要求以现场实际情况要求为准）。</w:t>
      </w:r>
    </w:p>
    <w:p w14:paraId="4AB4AB6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（17）施工单位在施工现场需设置质量检测控制指标公示牌。具体要求：2000米一个，公示牌内容包含：项目名称、所有项目原材料、中间产品、检测数据控制指标。（实际规格要求以现场实际情况要求为准）。</w:t>
      </w:r>
    </w:p>
    <w:p w14:paraId="36C6CEE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w:t>
      </w:r>
      <w:r>
        <w:rPr>
          <w:rFonts w:hint="eastAsia" w:ascii="黑体" w:hAnsi="黑体" w:eastAsia="黑体" w:cs="黑体"/>
          <w:color w:val="auto"/>
          <w:sz w:val="22"/>
          <w:szCs w:val="28"/>
          <w:highlight w:val="none"/>
          <w:lang w:val="en-US" w:eastAsia="zh-CN"/>
        </w:rPr>
        <w:t>8</w:t>
      </w:r>
      <w:r>
        <w:rPr>
          <w:rFonts w:hint="eastAsia" w:ascii="黑体" w:hAnsi="黑体" w:eastAsia="黑体" w:cs="黑体"/>
          <w:color w:val="auto"/>
          <w:sz w:val="22"/>
          <w:szCs w:val="28"/>
          <w:highlight w:val="none"/>
          <w:lang w:eastAsia="zh-CN"/>
        </w:rPr>
        <w:t>）</w:t>
      </w:r>
      <w:r>
        <w:rPr>
          <w:rFonts w:hint="eastAsia" w:ascii="黑体" w:hAnsi="黑体" w:eastAsia="黑体" w:cs="黑体"/>
          <w:color w:val="auto"/>
          <w:sz w:val="22"/>
          <w:szCs w:val="28"/>
          <w:highlight w:val="none"/>
          <w:lang w:val="en-US" w:eastAsia="zh-CN"/>
        </w:rPr>
        <w:t>原材料拉运及施工当中破坏乡村道路、公共设施及其他由承包人及时修复，其费用由中标单位自行承担。因项目施工临时占地产生的各项费用及复垦相关措施及费用由承包人自行承担。</w:t>
      </w:r>
    </w:p>
    <w:p w14:paraId="4BE72D7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4.1.10 其它义务 本款补充：</w:t>
      </w:r>
    </w:p>
    <w:p w14:paraId="1E766C2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采取工程技术措施，防止因施工引起的震动、噪声等影响当地环境及周边企事业单位和居民的正常生产、生活或造成财产损失。承包人应充分考虑上述潜在的风险因素，并承担为解决上述问题而发生的一切费用。</w:t>
      </w:r>
    </w:p>
    <w:p w14:paraId="043802B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(2)协调处理与地方各级组织(乡镇、村委会及村民小组)及个人因环境因素引起的各种纠纷，并承担相关费用。</w:t>
      </w:r>
    </w:p>
    <w:p w14:paraId="03CEE91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(3)承包人应自行勘察施工场地，包括施工场地的地下障碍物的探测和调查。承包人应保证施工场地的地下障碍物探测和调查资料真实、准确、完整，并在工程验收时按档案管理规定一并移交给发包人存档。</w:t>
      </w:r>
    </w:p>
    <w:p w14:paraId="59DA623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(4)承包人应根据合同工程的施工需要，自行办理施工场地内的穿越公路、管线(包括但不限于地上或地下的供水、排水、供气、供热、通讯、广播电视等管路和线路)等交叉施工许可，并承担相关费用。</w:t>
      </w:r>
    </w:p>
    <w:p w14:paraId="2A02D18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(5)承包人应对发包人提供的已完成的工程负有管理和维护的义务，并承担因工程建设顺延临时用地时限的土地复垦工作和责任。</w:t>
      </w:r>
    </w:p>
    <w:p w14:paraId="4693F2A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(6)承包人应对发包人提供的已完成工程承担抽排积水、清理恢复等工作及相关费用。</w:t>
      </w:r>
    </w:p>
    <w:p w14:paraId="1CC2A63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(7)承包人应对发包人布设的管理设施负有管理和保护的义务，并提供施工方便。</w:t>
      </w:r>
    </w:p>
    <w:p w14:paraId="465055E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(8)承包人应加强工程建设资金管理，做到专款专用。实行施工现场项目部(伽师县)资金专户管理和(或)独立核算制度，财务管理人员(财务主管和出纳)须是本单位人员，项目资金的使用由项目经理亲手签字、审批。</w:t>
      </w:r>
    </w:p>
    <w:p w14:paraId="7FD04B8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承包人应依法保障农民工的合法权利，按照自治区和水利厅相关文件规定使用当地农民工以及建档立卡脱贫户，不得拖欠农民工工资。承包人每月应将农民工的人数、姓名、劳动合同、工资发放及领取等详细情况以书面形式报告发包人或现场管理机构，发包人有调查核实的权利。对拖欠农民工工资的，发包人有权代为支付，并从应付给承包人的工程款中扣除相应款项，同时，作为不良记录纳入水利行业市场信用信息管理系统。因承包人原因拖欠农民工工资的，承包人须向发包人支付违约金,违约金金额按照拖欠的民工工资的5倍及以上受到处罚。</w:t>
      </w:r>
    </w:p>
    <w:p w14:paraId="598670B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(10)农民工工资发放、机械使用费发放、材料采购进场情况及费用支付需在项目现场，每月进行一次公示，接受参建务工人员及发包人监督。具体公示表格样式要求以发包人要求为准。</w:t>
      </w:r>
    </w:p>
    <w:p w14:paraId="0EC46E6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(11)承包人应按投标文件中承诺的设备、人员、材料及时进场到位。</w:t>
      </w:r>
    </w:p>
    <w:p w14:paraId="0FB61D6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(12)在合同工程施工期和缺陷责任期(保修期)内，承包人有义务采取措施防御洪水，保证工程安全，无条件服从抗洪抢险的命令和统一指挥调度。</w:t>
      </w:r>
    </w:p>
    <w:p w14:paraId="7E03660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13）承包人应支付为获得本合同工程所需的石料、砂、砾石、粘土或其他当地材料等所需的料场使用费及其他开支费用。承包人在发包人指定的料场范围内开采本工程所需的材料，办理除临时用地手续以外的开采和运输等手续所需的一切费用均已包括在合同总价中，发包人不另行支付。</w:t>
      </w:r>
    </w:p>
    <w:p w14:paraId="61EFADA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(14)在本合同工程施工期间，承包人应充分认识到本工程的所有公用设施，如场外干线公路桥梁、电源总开关或场内施工道路等可能为其他人共同使用。如在使用过程中发生干扰时，应立即通知监理人并无条件服从监理人的统一协调指挥和有关指令。</w:t>
      </w:r>
    </w:p>
    <w:p w14:paraId="5528DA6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(15)承包人应根据工程施工情况及监理人的指令，按时向监理人提交技术标准和要求及法律法规要求的各种报告。承包人提交上述报告所需的一切费用均已包括在合同总价中，发包人不另行支付。</w:t>
      </w:r>
    </w:p>
    <w:p w14:paraId="310CBCF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(16)承包人为办理合同工程施工所需的人员、设备、材料等所需的各种证件、批件和其他审批手续所需的一切费用均已包括在合同总价中，发包人不另行支付。</w:t>
      </w:r>
    </w:p>
    <w:p w14:paraId="425E305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(17)办理保险:承包人的人员、设备等保险。</w:t>
      </w:r>
    </w:p>
    <w:p w14:paraId="6527668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(18)承包人应当为发包人及其他有关人员检查工作提供便利条件，并不得以此为由索取额外费用和拖延工期。</w:t>
      </w:r>
    </w:p>
    <w:p w14:paraId="00C758F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(19)新疆政府规定的暂停施工、为配合其他专业工程施工及各种检查造成的工期延误及费用应包含在投标总价中，发包人不另行支付，承包人也不得提出工期索赔。</w:t>
      </w:r>
    </w:p>
    <w:p w14:paraId="057A4A2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(20)承包人应在每个工区有护安人员2名并配备专用维稳设施等，服从自治区有关维稳的各项规定，费用计列到施工安全措施中，发包人不另行支付。</w:t>
      </w:r>
    </w:p>
    <w:p w14:paraId="7D29112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(21)承包人应当依法纳税。</w:t>
      </w:r>
    </w:p>
    <w:p w14:paraId="6684807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(22)承包人应按通用合同条款第20条的规定负责办理由承包人投保的保险。</w:t>
      </w:r>
      <w:r>
        <w:rPr>
          <w:rFonts w:hint="eastAsia" w:ascii="黑体" w:hAnsi="黑体" w:eastAsia="黑体" w:cs="黑体"/>
          <w:color w:val="auto"/>
          <w:sz w:val="22"/>
          <w:szCs w:val="28"/>
          <w:highlight w:val="none"/>
          <w:lang w:val="en-US" w:eastAsia="zh-CN"/>
        </w:rPr>
        <w:t>本工程需要购买的保险</w:t>
      </w:r>
      <w:r>
        <w:rPr>
          <w:rFonts w:hint="eastAsia" w:ascii="黑体" w:hAnsi="黑体" w:eastAsia="黑体" w:cs="黑体"/>
          <w:color w:val="auto"/>
          <w:sz w:val="22"/>
          <w:szCs w:val="28"/>
          <w:highlight w:val="none"/>
          <w:lang w:eastAsia="zh-CN"/>
        </w:rPr>
        <w:t>包括：安全生产责任保险、人身意外伤害险、工伤保险、工程一切保险、第三者责任保险等。</w:t>
      </w:r>
    </w:p>
    <w:p w14:paraId="4CCDB9B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(23)承包人未按监理人上述指示完成相互协助，连续迟延4小时以上构成违约，由承包人向发包人每一次支付违约金3000元。</w:t>
      </w:r>
    </w:p>
    <w:p w14:paraId="3C7AD7D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(24)完工清场和撤离承包人应在合同规定的期限内完成工地清理并按期撤退其人员、施工设备和剩余材料，做到工完场清。</w:t>
      </w:r>
    </w:p>
    <w:p w14:paraId="4A5AC225">
      <w:pPr>
        <w:spacing w:line="360" w:lineRule="auto"/>
        <w:rPr>
          <w:rFonts w:hint="eastAsia" w:ascii="黑体" w:hAnsi="黑体" w:eastAsia="黑体" w:cs="黑体"/>
          <w:color w:val="auto"/>
          <w:sz w:val="22"/>
          <w:szCs w:val="28"/>
          <w:highlight w:val="none"/>
          <w:lang w:eastAsia="zh-CN"/>
        </w:rPr>
      </w:pPr>
      <w:bookmarkStart w:id="505" w:name="_Toc22679"/>
      <w:r>
        <w:rPr>
          <w:rFonts w:hint="eastAsia" w:ascii="黑体" w:hAnsi="黑体" w:eastAsia="黑体" w:cs="黑体"/>
          <w:color w:val="auto"/>
          <w:sz w:val="22"/>
          <w:szCs w:val="28"/>
          <w:highlight w:val="none"/>
          <w:lang w:eastAsia="zh-CN"/>
        </w:rPr>
        <w:t>(25)拌合站组建管理要求：</w:t>
      </w:r>
    </w:p>
    <w:p w14:paraId="2900426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1、拌合设备实现全自动化(配料单可随时调取查询)，混凝土配合比及拌合站管理制度均需现场制作公示牌进行公示，料场的原材料、拌合产品实行出入登记管理，拌合站管理人员及操作人员分工明确，持证上岗。</w:t>
      </w:r>
    </w:p>
    <w:p w14:paraId="2317886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拌合设备数量配备需满足施工高峰期混凝土需求，对于当日施工不同强度及标号的混凝土，在施工前一日需提前告知监理及业主，做好不同强度及标号的混凝土拌合顺序计划及设备调试调整及记录，拌合设备的调整及标号的调整需报备监理及业主，方便监理及业主通知检测单位及时到位。</w:t>
      </w:r>
    </w:p>
    <w:p w14:paraId="624889A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拌合站场区需采取围挡措施，封闭管理，场区内各种材料、构件堆放应按品种、分规格整齐堆放，设置标识标牌，按要求做好必要的排水、防雨、防潮等保护措施。混凝土拌合材料堆放区需硬化，其余需硬化的部分需业主及监理现场确定。</w:t>
      </w:r>
    </w:p>
    <w:p w14:paraId="118D42A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4、拌合站需业主、监理、检测单位（二检、三检）现场验收同意后方可投入使用。</w:t>
      </w:r>
    </w:p>
    <w:p w14:paraId="06E8365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4.2 履约保证金 本款修改为：</w:t>
      </w:r>
      <w:bookmarkEnd w:id="505"/>
    </w:p>
    <w:p w14:paraId="4118902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履约担保的金额为：</w:t>
      </w:r>
      <w:r>
        <w:rPr>
          <w:rFonts w:hint="eastAsia" w:ascii="黑体" w:hAnsi="黑体" w:eastAsia="黑体" w:cs="黑体"/>
          <w:color w:val="auto"/>
          <w:sz w:val="22"/>
          <w:szCs w:val="28"/>
          <w:highlight w:val="none"/>
          <w:lang w:eastAsia="zh-Hans"/>
        </w:rPr>
        <w:t>签约</w:t>
      </w:r>
      <w:r>
        <w:rPr>
          <w:rFonts w:hint="eastAsia" w:ascii="黑体" w:hAnsi="黑体" w:eastAsia="黑体" w:cs="黑体"/>
          <w:color w:val="auto"/>
          <w:sz w:val="22"/>
          <w:szCs w:val="28"/>
          <w:highlight w:val="none"/>
          <w:lang w:eastAsia="zh-CN"/>
        </w:rPr>
        <w:t>合同价的10%（</w:t>
      </w:r>
      <w:r>
        <w:rPr>
          <w:rFonts w:hint="eastAsia" w:ascii="黑体" w:hAnsi="黑体" w:eastAsia="黑体" w:cs="黑体"/>
          <w:color w:val="auto"/>
          <w:sz w:val="22"/>
          <w:szCs w:val="28"/>
          <w:highlight w:val="none"/>
          <w:lang w:eastAsia="zh-Hans"/>
        </w:rPr>
        <w:t>不含暂列金）</w:t>
      </w:r>
      <w:r>
        <w:rPr>
          <w:rFonts w:hint="eastAsia" w:ascii="黑体" w:hAnsi="黑体" w:eastAsia="黑体" w:cs="黑体"/>
          <w:color w:val="auto"/>
          <w:sz w:val="22"/>
          <w:szCs w:val="28"/>
          <w:highlight w:val="none"/>
          <w:lang w:eastAsia="zh-CN"/>
        </w:rPr>
        <w:t>。履约担保的形式：银行转账或银行保函。银行转账形式须从中标人基本账户足额缴纳至招标人指定账户；银行保函形式须由企业基本户所在开户行出具。履约担保的退还：发包人应在通过完工验收合格后且工程档案资料达到竣工验收的标准后28天内把履约担保退还给承包人。</w:t>
      </w:r>
    </w:p>
    <w:p w14:paraId="52F10CFE">
      <w:pPr>
        <w:spacing w:line="360" w:lineRule="auto"/>
        <w:rPr>
          <w:rFonts w:hint="eastAsia" w:ascii="黑体" w:hAnsi="黑体" w:eastAsia="黑体" w:cs="黑体"/>
          <w:color w:val="auto"/>
          <w:sz w:val="22"/>
          <w:szCs w:val="28"/>
          <w:highlight w:val="none"/>
          <w:lang w:eastAsia="zh-CN"/>
        </w:rPr>
      </w:pPr>
      <w:bookmarkStart w:id="506" w:name="_Toc19384"/>
      <w:r>
        <w:rPr>
          <w:rFonts w:hint="eastAsia" w:ascii="黑体" w:hAnsi="黑体" w:eastAsia="黑体" w:cs="黑体"/>
          <w:color w:val="auto"/>
          <w:sz w:val="22"/>
          <w:szCs w:val="28"/>
          <w:highlight w:val="none"/>
          <w:lang w:eastAsia="zh-CN"/>
        </w:rPr>
        <w:t>4.3 分包</w:t>
      </w:r>
      <w:bookmarkEnd w:id="506"/>
    </w:p>
    <w:p w14:paraId="7FCA157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本合同工程不允许承包人分包。承包人擅自转包、分包，发包人有权解除合同，由承包人支付合同总价 10%的违约金，并按合同价的 10%赔偿发包人的其他经济损失。</w:t>
      </w:r>
    </w:p>
    <w:p w14:paraId="00A3657B">
      <w:pPr>
        <w:spacing w:line="360" w:lineRule="auto"/>
        <w:rPr>
          <w:rFonts w:hint="eastAsia" w:ascii="黑体" w:hAnsi="黑体" w:eastAsia="黑体" w:cs="黑体"/>
          <w:color w:val="auto"/>
          <w:sz w:val="22"/>
          <w:szCs w:val="28"/>
          <w:highlight w:val="none"/>
          <w:lang w:eastAsia="zh-CN"/>
        </w:rPr>
      </w:pPr>
      <w:bookmarkStart w:id="507" w:name="_Toc19037"/>
      <w:r>
        <w:rPr>
          <w:rFonts w:hint="eastAsia" w:ascii="黑体" w:hAnsi="黑体" w:eastAsia="黑体" w:cs="黑体"/>
          <w:color w:val="auto"/>
          <w:sz w:val="22"/>
          <w:szCs w:val="28"/>
          <w:highlight w:val="none"/>
          <w:lang w:eastAsia="zh-CN"/>
        </w:rPr>
        <w:t>4.5承包人项目经理</w:t>
      </w:r>
      <w:bookmarkEnd w:id="507"/>
    </w:p>
    <w:p w14:paraId="5FA7EEB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4.5.5 承包人应按合同文件派驻项目经理。项目经理易人，应事先征得发包人和监理人同意。未经发包人同意,在本合同施工期内擅自更换项目经理的，由承包人向发包人支付20万元的违约金。承包人指派的项目经理和项目技术负责人不得同时离开工地，并要求项目经理和技术负责人每月在工地时间均不得少于22天，每差一天，按日工资的5倍及以上受到处罚。项目经理和项目技术负责人离开工地需经监理人审核报发包人批准，未经批准离岗视为不在岗。</w:t>
      </w:r>
    </w:p>
    <w:p w14:paraId="11B041AD">
      <w:pPr>
        <w:spacing w:line="360" w:lineRule="auto"/>
        <w:rPr>
          <w:rFonts w:hint="eastAsia" w:ascii="黑体" w:hAnsi="黑体" w:eastAsia="黑体" w:cs="黑体"/>
          <w:color w:val="auto"/>
          <w:sz w:val="22"/>
          <w:szCs w:val="28"/>
          <w:highlight w:val="none"/>
          <w:lang w:eastAsia="zh-CN"/>
        </w:rPr>
      </w:pPr>
      <w:bookmarkStart w:id="508" w:name="_Toc13508"/>
      <w:r>
        <w:rPr>
          <w:rFonts w:hint="eastAsia" w:ascii="黑体" w:hAnsi="黑体" w:eastAsia="黑体" w:cs="黑体"/>
          <w:color w:val="auto"/>
          <w:sz w:val="22"/>
          <w:szCs w:val="28"/>
          <w:highlight w:val="none"/>
          <w:lang w:eastAsia="zh-CN"/>
        </w:rPr>
        <w:t>4.6承包人人员的管理</w:t>
      </w:r>
      <w:bookmarkEnd w:id="508"/>
    </w:p>
    <w:p w14:paraId="48C04DD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4.6.1 补充：承包人应按规定的格式，按月向监理人提交工地人员变动情况的报告</w:t>
      </w:r>
    </w:p>
    <w:p w14:paraId="30370FE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4.6.2 补充如下:</w:t>
      </w:r>
    </w:p>
    <w:p w14:paraId="044955B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承包人必须严格按照投标文件中所填报的“项目管理机构”执行。项目经理、技术负责人及“五大员”应与投标文件中的承诺一致，不随意更换，且各专业施工人员数量必须符合投标文件中的承诺。否则，视为承包人违约。并满足下列条件:</w:t>
      </w:r>
    </w:p>
    <w:p w14:paraId="1D6A01E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技术负责人原则上不得更换，如因不可抗的因素确需更换的，需经发包人同意，由同等资质和业绩能力水平的人员更换。未经发包人同意，在本合同施工工期内擅自更换技术负责人的，</w:t>
      </w:r>
      <w:r>
        <w:rPr>
          <w:rFonts w:hint="eastAsia" w:ascii="黑体" w:hAnsi="黑体" w:eastAsia="黑体" w:cs="黑体"/>
          <w:color w:val="auto"/>
          <w:sz w:val="22"/>
          <w:szCs w:val="28"/>
          <w:highlight w:val="none"/>
          <w:lang w:val="en-US" w:eastAsia="zh-CN"/>
        </w:rPr>
        <w:t>更换技术负责人的缴纳违约金10万元，未缴纳的</w:t>
      </w:r>
      <w:r>
        <w:rPr>
          <w:rFonts w:hint="eastAsia" w:ascii="黑体" w:hAnsi="黑体" w:eastAsia="黑体" w:cs="黑体"/>
          <w:color w:val="auto"/>
          <w:sz w:val="22"/>
          <w:szCs w:val="28"/>
          <w:highlight w:val="none"/>
          <w:lang w:eastAsia="zh-CN"/>
        </w:rPr>
        <w:t>视</w:t>
      </w:r>
      <w:r>
        <w:rPr>
          <w:rFonts w:hint="eastAsia" w:ascii="黑体" w:hAnsi="黑体" w:eastAsia="黑体" w:cs="黑体"/>
          <w:color w:val="auto"/>
          <w:sz w:val="22"/>
          <w:szCs w:val="28"/>
          <w:highlight w:val="none"/>
          <w:lang w:val="en-US" w:eastAsia="zh-CN"/>
        </w:rPr>
        <w:t>为</w:t>
      </w:r>
      <w:r>
        <w:rPr>
          <w:rFonts w:hint="eastAsia" w:ascii="黑体" w:hAnsi="黑体" w:eastAsia="黑体" w:cs="黑体"/>
          <w:color w:val="auto"/>
          <w:sz w:val="22"/>
          <w:szCs w:val="28"/>
          <w:highlight w:val="none"/>
          <w:lang w:eastAsia="zh-CN"/>
        </w:rPr>
        <w:t>承包人自动放弃履行合同，有权解除承包合同。</w:t>
      </w:r>
    </w:p>
    <w:p w14:paraId="2BA5421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承包人应指派具有较丰富经验、经行业安全考试合格的专职安全员负责承包人所辖工地的施工安全工作，检查安全措施的落实情况、安全措施是否得当及存在的安全隐患是否及时处理，杜绝重大安全事故的发生等。并在每月22日前向监理人提交本月安全检查报告。专职安全</w:t>
      </w:r>
      <w:r>
        <w:rPr>
          <w:rFonts w:hint="eastAsia" w:ascii="黑体" w:hAnsi="黑体" w:eastAsia="黑体" w:cs="黑体"/>
          <w:color w:val="auto"/>
          <w:sz w:val="22"/>
          <w:szCs w:val="28"/>
          <w:highlight w:val="none"/>
          <w:lang w:val="en-US" w:eastAsia="zh-CN"/>
        </w:rPr>
        <w:t>管理人</w:t>
      </w:r>
      <w:r>
        <w:rPr>
          <w:rFonts w:hint="eastAsia" w:ascii="黑体" w:hAnsi="黑体" w:eastAsia="黑体" w:cs="黑体"/>
          <w:color w:val="auto"/>
          <w:sz w:val="22"/>
          <w:szCs w:val="28"/>
          <w:highlight w:val="none"/>
          <w:lang w:eastAsia="zh-CN"/>
        </w:rPr>
        <w:t>员原则上不得更换，如因不可抗的因素确需更换的，需经发包人同意。</w:t>
      </w:r>
    </w:p>
    <w:p w14:paraId="3BA4091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w:t>
      </w:r>
      <w:r>
        <w:rPr>
          <w:rFonts w:hint="eastAsia" w:ascii="黑体" w:hAnsi="黑体" w:eastAsia="黑体" w:cs="黑体"/>
          <w:color w:val="auto"/>
          <w:sz w:val="22"/>
          <w:szCs w:val="28"/>
          <w:highlight w:val="none"/>
          <w:lang w:val="en-US" w:eastAsia="zh-CN"/>
        </w:rPr>
        <w:t>3</w:t>
      </w:r>
      <w:r>
        <w:rPr>
          <w:rFonts w:hint="eastAsia" w:ascii="黑体" w:hAnsi="黑体" w:eastAsia="黑体" w:cs="黑体"/>
          <w:color w:val="auto"/>
          <w:sz w:val="22"/>
          <w:szCs w:val="28"/>
          <w:highlight w:val="none"/>
          <w:lang w:eastAsia="zh-CN"/>
        </w:rPr>
        <w:t>）承包人在雇用民工时，按月向发包人报用工名单和工资单，必须与雇用民工签订用工合同，标明工种、工作范围、权力、义务、报酬（劳保、福利、养老统筹、保险等），标明结算方式、付款期限，最后标明发包人有权将工程进度款、农民工工资保证金优先付给雇佣民工。</w:t>
      </w:r>
    </w:p>
    <w:p w14:paraId="34EF0DC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w:t>
      </w:r>
      <w:r>
        <w:rPr>
          <w:rFonts w:hint="eastAsia" w:ascii="黑体" w:hAnsi="黑体" w:eastAsia="黑体" w:cs="黑体"/>
          <w:color w:val="auto"/>
          <w:sz w:val="22"/>
          <w:szCs w:val="28"/>
          <w:highlight w:val="none"/>
          <w:lang w:val="en-US" w:eastAsia="zh-CN"/>
        </w:rPr>
        <w:t>4</w:t>
      </w:r>
      <w:r>
        <w:rPr>
          <w:rFonts w:hint="eastAsia" w:ascii="黑体" w:hAnsi="黑体" w:eastAsia="黑体" w:cs="黑体"/>
          <w:color w:val="auto"/>
          <w:sz w:val="22"/>
          <w:szCs w:val="28"/>
          <w:highlight w:val="none"/>
          <w:lang w:eastAsia="zh-CN"/>
        </w:rPr>
        <w:t>）本工程发包人约定：在签订合同后，在工程所在地设立农民工工资专户，实行施工总承包单位代发工资制度。向指定的银行专户足额缴纳农民工工资保证金。</w:t>
      </w:r>
    </w:p>
    <w:p w14:paraId="48449A1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w:t>
      </w:r>
      <w:r>
        <w:rPr>
          <w:rFonts w:hint="eastAsia" w:ascii="黑体" w:hAnsi="黑体" w:eastAsia="黑体" w:cs="黑体"/>
          <w:color w:val="auto"/>
          <w:sz w:val="22"/>
          <w:szCs w:val="28"/>
          <w:highlight w:val="none"/>
          <w:lang w:val="en-US" w:eastAsia="zh-CN"/>
        </w:rPr>
        <w:t>5</w:t>
      </w:r>
      <w:r>
        <w:rPr>
          <w:rFonts w:hint="eastAsia" w:ascii="黑体" w:hAnsi="黑体" w:eastAsia="黑体" w:cs="黑体"/>
          <w:color w:val="auto"/>
          <w:sz w:val="22"/>
          <w:szCs w:val="28"/>
          <w:highlight w:val="none"/>
          <w:lang w:eastAsia="zh-CN"/>
        </w:rPr>
        <w:t>）如遇承包人恶意克扣、拖欠农民工工资、机械租赁费、材料费的行为，造成上访，每上访一次承包人应向发包人支付违约金2万元。如金额较大，群体上访（</w:t>
      </w:r>
      <w:r>
        <w:rPr>
          <w:rFonts w:hint="eastAsia" w:ascii="黑体" w:hAnsi="黑体" w:eastAsia="黑体" w:cs="黑体"/>
          <w:color w:val="auto"/>
          <w:sz w:val="22"/>
          <w:szCs w:val="28"/>
          <w:highlight w:val="none"/>
          <w:lang w:val="en-US" w:eastAsia="zh-CN"/>
        </w:rPr>
        <w:t>3人以上</w:t>
      </w:r>
      <w:r>
        <w:rPr>
          <w:rFonts w:hint="eastAsia" w:ascii="黑体" w:hAnsi="黑体" w:eastAsia="黑体" w:cs="黑体"/>
          <w:color w:val="auto"/>
          <w:sz w:val="22"/>
          <w:szCs w:val="28"/>
          <w:highlight w:val="none"/>
          <w:lang w:eastAsia="zh-CN"/>
        </w:rPr>
        <w:t>）并造成恶劣影响的，每一次承包人应向发包人支付违约金5万元。</w:t>
      </w:r>
    </w:p>
    <w:p w14:paraId="1D21096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4.6.3 补充如下:</w:t>
      </w:r>
    </w:p>
    <w:p w14:paraId="4AE2626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(1)承包人应按照投标文件履行人员到位，拟投入本工程的项目人员需与投标文件一致，其他管理人员（安全</w:t>
      </w:r>
      <w:r>
        <w:rPr>
          <w:rFonts w:hint="eastAsia" w:ascii="黑体" w:hAnsi="黑体" w:eastAsia="黑体" w:cs="黑体"/>
          <w:color w:val="auto"/>
          <w:sz w:val="22"/>
          <w:szCs w:val="28"/>
          <w:highlight w:val="none"/>
          <w:lang w:val="en-US" w:eastAsia="zh-CN"/>
        </w:rPr>
        <w:t>管理人</w:t>
      </w:r>
      <w:r>
        <w:rPr>
          <w:rFonts w:hint="eastAsia" w:ascii="黑体" w:hAnsi="黑体" w:eastAsia="黑体" w:cs="黑体"/>
          <w:color w:val="auto"/>
          <w:sz w:val="22"/>
          <w:szCs w:val="28"/>
          <w:highlight w:val="none"/>
          <w:lang w:eastAsia="zh-CN"/>
        </w:rPr>
        <w:t>员、质量管理人员、施工员、安全员、劳资员）应按投标文件及承诺书所列人员按期足额到场，如不能按照投标文件承诺到场（</w:t>
      </w:r>
      <w:r>
        <w:rPr>
          <w:rFonts w:hint="eastAsia" w:ascii="黑体" w:hAnsi="黑体" w:eastAsia="黑体" w:cs="黑体"/>
          <w:color w:val="auto"/>
          <w:sz w:val="22"/>
          <w:szCs w:val="28"/>
          <w:highlight w:val="none"/>
          <w:lang w:val="en-US" w:eastAsia="zh-CN"/>
        </w:rPr>
        <w:t>或更换人员</w:t>
      </w:r>
      <w:r>
        <w:rPr>
          <w:rFonts w:hint="eastAsia" w:ascii="黑体" w:hAnsi="黑体" w:eastAsia="黑体" w:cs="黑体"/>
          <w:color w:val="auto"/>
          <w:sz w:val="22"/>
          <w:szCs w:val="28"/>
          <w:highlight w:val="none"/>
          <w:lang w:eastAsia="zh-CN"/>
        </w:rPr>
        <w:t>），影响监理签发开工通知或影响项目正常施工作业，每差一名人员罚款2万元，其余承诺人员罚款</w:t>
      </w:r>
      <w:r>
        <w:rPr>
          <w:rFonts w:hint="eastAsia" w:ascii="黑体" w:hAnsi="黑体" w:eastAsia="黑体" w:cs="黑体"/>
          <w:color w:val="auto"/>
          <w:sz w:val="22"/>
          <w:szCs w:val="28"/>
          <w:highlight w:val="none"/>
          <w:lang w:val="en-US" w:eastAsia="zh-CN"/>
        </w:rPr>
        <w:t>1万元</w:t>
      </w:r>
      <w:r>
        <w:rPr>
          <w:rFonts w:hint="eastAsia" w:ascii="黑体" w:hAnsi="黑体" w:eastAsia="黑体" w:cs="黑体"/>
          <w:color w:val="auto"/>
          <w:sz w:val="22"/>
          <w:szCs w:val="28"/>
          <w:highlight w:val="none"/>
          <w:lang w:eastAsia="zh-CN"/>
        </w:rPr>
        <w:t>。</w:t>
      </w:r>
    </w:p>
    <w:p w14:paraId="1608885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安全</w:t>
      </w:r>
      <w:r>
        <w:rPr>
          <w:rFonts w:hint="eastAsia" w:ascii="黑体" w:hAnsi="黑体" w:eastAsia="黑体" w:cs="黑体"/>
          <w:color w:val="auto"/>
          <w:sz w:val="22"/>
          <w:szCs w:val="28"/>
          <w:highlight w:val="none"/>
          <w:lang w:val="en-US" w:eastAsia="zh-CN"/>
        </w:rPr>
        <w:t>管理人</w:t>
      </w:r>
      <w:r>
        <w:rPr>
          <w:rFonts w:hint="eastAsia" w:ascii="黑体" w:hAnsi="黑体" w:eastAsia="黑体" w:cs="黑体"/>
          <w:color w:val="auto"/>
          <w:sz w:val="22"/>
          <w:szCs w:val="28"/>
          <w:highlight w:val="none"/>
          <w:lang w:eastAsia="zh-CN"/>
        </w:rPr>
        <w:t>员、质量管理人员、施工员、安全员、劳资员每月在工地工作时间不得少于22天（以水印相机日期、坐标为印证，监理人须每天点名，每周一汇总向甲方汇报）或采用人脸识别考勤设备及监管系统，如有违约，按照每少1天,愿按照日工资的5倍及以上受到处罚。对于长期脱岗的主要管理人员和涉嫌转包、违法分包等问题线索，项目法人应及时报告同级水行政主管部门，并逐级上报处理。</w:t>
      </w:r>
    </w:p>
    <w:p w14:paraId="640B72D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增加如下条款及内容:</w:t>
      </w:r>
    </w:p>
    <w:p w14:paraId="179C24A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4.6.5 承包人应在签定合同后14天内，向发包人提供按投标文件承诺的项目管理机构及主要成员任命文件。</w:t>
      </w:r>
    </w:p>
    <w:p w14:paraId="6497B43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4.6.6 合同确定的项目部主要管理人员在主体工程施工期间原则上不得更换。如发生下列情形之一的，应当办理书面手续后方能变更人员:</w:t>
      </w:r>
    </w:p>
    <w:p w14:paraId="3A5C91F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(1)因管理人员重大疾病、死亡、调离所在单位、辞职、犯罪、移民等特殊原因确须变更,提供相关证明材料，且经发包方同意更换的;</w:t>
      </w:r>
    </w:p>
    <w:p w14:paraId="309609D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(2)因不可抗力等特殊情况必须更换的。</w:t>
      </w:r>
    </w:p>
    <w:p w14:paraId="1CAAFAF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4.6.7承包人在雇用民工时，按月向发包人报农民工名单和工资单，必须与雇用民工签订用工合同，标明工种、工作范围、权力、义务、报酬、保险等，标明结算方式、付款期限，最后标明发包人有权将工程进度款、农民工工资保证金优先付给雇佣民工。</w:t>
      </w:r>
    </w:p>
    <w:p w14:paraId="6E64A04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本工程发包人约定：中标单位在签订合同前，须预先向指定的银行专户预存工程农民工工资保证金。</w:t>
      </w:r>
    </w:p>
    <w:p w14:paraId="430B988A">
      <w:pPr>
        <w:spacing w:line="360" w:lineRule="auto"/>
        <w:rPr>
          <w:rFonts w:hint="eastAsia" w:ascii="黑体" w:hAnsi="黑体" w:eastAsia="黑体" w:cs="黑体"/>
          <w:color w:val="auto"/>
          <w:sz w:val="22"/>
          <w:szCs w:val="28"/>
          <w:highlight w:val="none"/>
          <w:lang w:eastAsia="zh-CN"/>
        </w:rPr>
      </w:pPr>
      <w:bookmarkStart w:id="509" w:name="_Toc14143"/>
      <w:r>
        <w:rPr>
          <w:rFonts w:hint="eastAsia" w:ascii="黑体" w:hAnsi="黑体" w:eastAsia="黑体" w:cs="黑体"/>
          <w:color w:val="auto"/>
          <w:sz w:val="22"/>
          <w:szCs w:val="28"/>
          <w:highlight w:val="none"/>
          <w:lang w:eastAsia="zh-CN"/>
        </w:rPr>
        <w:t>4.5 工程价款应专款专用</w:t>
      </w:r>
      <w:bookmarkEnd w:id="509"/>
    </w:p>
    <w:p w14:paraId="2FE43E1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发包人按合同约定支付给承包人的各项价款必须专用于本合同工程。</w:t>
      </w:r>
    </w:p>
    <w:p w14:paraId="5305CB92">
      <w:pPr>
        <w:spacing w:line="360" w:lineRule="auto"/>
        <w:rPr>
          <w:rFonts w:hint="eastAsia" w:ascii="黑体" w:hAnsi="黑体" w:eastAsia="黑体" w:cs="黑体"/>
          <w:color w:val="auto"/>
          <w:sz w:val="22"/>
          <w:szCs w:val="28"/>
          <w:highlight w:val="none"/>
          <w:lang w:eastAsia="zh-CN"/>
        </w:rPr>
      </w:pPr>
      <w:bookmarkStart w:id="510" w:name="_Toc19630"/>
      <w:r>
        <w:rPr>
          <w:rFonts w:hint="eastAsia" w:ascii="黑体" w:hAnsi="黑体" w:eastAsia="黑体" w:cs="黑体"/>
          <w:color w:val="auto"/>
          <w:sz w:val="22"/>
          <w:szCs w:val="28"/>
          <w:highlight w:val="none"/>
          <w:lang w:eastAsia="zh-CN"/>
        </w:rPr>
        <w:t>5 材料和工程设备</w:t>
      </w:r>
      <w:bookmarkEnd w:id="510"/>
    </w:p>
    <w:p w14:paraId="28129689">
      <w:pPr>
        <w:spacing w:line="360" w:lineRule="auto"/>
        <w:rPr>
          <w:rFonts w:hint="eastAsia" w:ascii="黑体" w:hAnsi="黑体" w:eastAsia="黑体" w:cs="黑体"/>
          <w:color w:val="auto"/>
          <w:sz w:val="22"/>
          <w:szCs w:val="28"/>
          <w:highlight w:val="none"/>
          <w:lang w:eastAsia="zh-CN"/>
        </w:rPr>
      </w:pPr>
      <w:bookmarkStart w:id="511" w:name="_Toc20463"/>
      <w:r>
        <w:rPr>
          <w:rFonts w:hint="eastAsia" w:ascii="黑体" w:hAnsi="黑体" w:eastAsia="黑体" w:cs="黑体"/>
          <w:color w:val="auto"/>
          <w:sz w:val="22"/>
          <w:szCs w:val="28"/>
          <w:highlight w:val="none"/>
          <w:lang w:eastAsia="zh-CN"/>
        </w:rPr>
        <w:t>5.1 承包人提供的材料和工程设备</w:t>
      </w:r>
      <w:bookmarkEnd w:id="511"/>
      <w:r>
        <w:rPr>
          <w:rFonts w:hint="eastAsia" w:ascii="黑体" w:hAnsi="黑体" w:eastAsia="黑体" w:cs="黑体"/>
          <w:color w:val="auto"/>
          <w:sz w:val="22"/>
          <w:szCs w:val="28"/>
          <w:highlight w:val="none"/>
          <w:lang w:eastAsia="zh-CN"/>
        </w:rPr>
        <w:t xml:space="preserve"> </w:t>
      </w:r>
    </w:p>
    <w:p w14:paraId="6EF3DE2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增加条款:</w:t>
      </w:r>
    </w:p>
    <w:p w14:paraId="2D9DFC9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1、承包人必须按照投标文件中承诺的“拟投入到本工程的主要施工设备表”足额按期进场，调出这些设备、仪器时必须征得监理人和发包人同意。</w:t>
      </w:r>
    </w:p>
    <w:p w14:paraId="1625B4F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2、承包人按照投标文件中承诺的“拟投入到本工程的主要施工设备表”的设备不能满足现场施工的设备要求时，必须按施工进度及质量要求足额到场。</w:t>
      </w:r>
    </w:p>
    <w:p w14:paraId="6CC2DEA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承包人违反上述约定的，按签约合同价的千分之一向发包人支付违约金。</w:t>
      </w:r>
    </w:p>
    <w:p w14:paraId="1904018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3、承包人违反上述约定严重影响工期时，按以下原则处理:</w:t>
      </w:r>
    </w:p>
    <w:p w14:paraId="35986EA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(1)耽误工期的应由承包人增补部分设备，为赶工期所增加的设备而发生的各项费用应由承包人自行负担。</w:t>
      </w:r>
    </w:p>
    <w:p w14:paraId="2CC5F0E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(2)如果承包人现场试验设备及人员不能满足质检要求，发包人有权将质检试样委托有资质的质检单位质检，费用从合同结算中扣除。</w:t>
      </w:r>
    </w:p>
    <w:p w14:paraId="008FD59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严禁不合格材料用于本工程，一经发现，承包人无条件更换，已用于工程的全部返工，由此造成的一切损失由承包人全部承担:发包人每发现一次材料质量问题事件，将处以10万元的罚款；连续发现两次材料质量事件的，发包人有权要求更换合格供货商，由此发生的一切费用由承包人自行承担。</w:t>
      </w:r>
    </w:p>
    <w:p w14:paraId="497D888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5、承包人应负责本工程所有材料的质量检测、验收、场内运输和保管。</w:t>
      </w:r>
    </w:p>
    <w:p w14:paraId="3916E2D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6、合同单价中的混凝土配合比，在施工期间材料用量调整的风险由承包人承担，发包人不予补差。</w:t>
      </w:r>
    </w:p>
    <w:p w14:paraId="7233A01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7、对于混凝土等检测周期满后发现检测结果不合格的成品，按发包人要求，承包人应无条件更换。</w:t>
      </w:r>
    </w:p>
    <w:p w14:paraId="7DB205B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8、施工现场的物料堆放应满足以下主要规定：</w:t>
      </w:r>
    </w:p>
    <w:p w14:paraId="5910FDE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（1）施工现场工具、构件、材料的堆放应按照总平面图规定的位置放置。各种材料、构件堆放应按品种、分规格整齐堆放，设置标识标牌，按要求做好必要的排水、防雨、防潮等保护措施。</w:t>
      </w:r>
    </w:p>
    <w:p w14:paraId="4A7715C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（2）易燃易爆等危险化学品，应设置专门的仓库堆放，远离施工区和人员住宿区，专人负责看守，按规定存放和使用。</w:t>
      </w:r>
    </w:p>
    <w:p w14:paraId="3A74516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（3）每个作业面要做到“工完料尽、场地清”，剩余材料要堆放整齐。</w:t>
      </w:r>
    </w:p>
    <w:p w14:paraId="34E027D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施工现场使用的机械设备应符合安全技术要求，作业时应严格按规定操作，停用时要按规定摆放整齐，机械外表清洁干净。特种设备工作时应由专职施工人员指挥作业，操作人员持证上岗。施工现场应做好供用电安全管理，并有临时用电方案，从事电气作业的人员应持证上岗。</w:t>
      </w:r>
    </w:p>
    <w:p w14:paraId="4905BBCF">
      <w:pPr>
        <w:spacing w:line="360" w:lineRule="auto"/>
        <w:rPr>
          <w:rFonts w:hint="eastAsia" w:ascii="黑体" w:hAnsi="黑体" w:eastAsia="黑体" w:cs="黑体"/>
          <w:color w:val="auto"/>
          <w:sz w:val="22"/>
          <w:szCs w:val="28"/>
          <w:highlight w:val="none"/>
          <w:lang w:eastAsia="zh-CN"/>
        </w:rPr>
      </w:pPr>
      <w:bookmarkStart w:id="512" w:name="_Toc27891"/>
      <w:r>
        <w:rPr>
          <w:rFonts w:hint="eastAsia" w:ascii="黑体" w:hAnsi="黑体" w:eastAsia="黑体" w:cs="黑体"/>
          <w:color w:val="auto"/>
          <w:sz w:val="22"/>
          <w:szCs w:val="28"/>
          <w:highlight w:val="none"/>
          <w:lang w:eastAsia="zh-CN"/>
        </w:rPr>
        <w:t>5.2 发包人提供的材料和工程设备</w:t>
      </w:r>
      <w:bookmarkEnd w:id="512"/>
      <w:r>
        <w:rPr>
          <w:rFonts w:hint="eastAsia" w:ascii="黑体" w:hAnsi="黑体" w:eastAsia="黑体" w:cs="黑体"/>
          <w:color w:val="auto"/>
          <w:sz w:val="22"/>
          <w:szCs w:val="28"/>
          <w:highlight w:val="none"/>
          <w:lang w:eastAsia="zh-CN"/>
        </w:rPr>
        <w:t xml:space="preserve"> </w:t>
      </w:r>
    </w:p>
    <w:p w14:paraId="7D16328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本工程发包人不提供工程设备，但承包人施工、生活用水需要抽取发包人管辖河流的水源时，发包人要收取相应的水资源费用。</w:t>
      </w:r>
    </w:p>
    <w:p w14:paraId="42EC749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6 施工设备和临时设施</w:t>
      </w:r>
    </w:p>
    <w:p w14:paraId="7412DEA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6.1 承包人提供的施工设备和临时设施 本款补充：</w:t>
      </w:r>
    </w:p>
    <w:p w14:paraId="04F6459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6.1.1 承包人提供的施工设备必须按照投标文件第五章“施工组织设计”中“附件一：拟投入本工程的主要施工设备表”以及“附件二：拟投入本工程的试验和检测仪器设备表”中列明满足本工程砼施工高峰期强度要求的砼拌合楼系统及砼水平运输设备；列明试验和检测仪器设备名称、数量。施工期施工设备按期足额完好到场。</w:t>
      </w:r>
    </w:p>
    <w:p w14:paraId="1DFC55A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6.1.2 承包人的各种机械设备不能按投标文件所列的时间按期足额完好到场并严重影响工期时，发包人将指示监理人进行标段切割，由于切割所造成的差价应由承包人承担；必要时，发包人还将清退承包人，并报请有关部门予以通报；由于清退而引起的一切经济损失均由承包人承担（其中含承包人的自身损失和发包人需重新寻选施工单位、进行工程维护，对施工场地进行植护、尾工价格差异等一系列工期与经济连带损失）。</w:t>
      </w:r>
    </w:p>
    <w:p w14:paraId="6DCA285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6.1.3 承包人的主要施工设备、试验检测仪器等专用于本合同工程，调出这些设备、仪器时必须征得发包人同意。</w:t>
      </w:r>
    </w:p>
    <w:p w14:paraId="6EBF2F25">
      <w:pPr>
        <w:spacing w:line="360" w:lineRule="auto"/>
        <w:rPr>
          <w:rFonts w:hint="eastAsia" w:ascii="黑体" w:hAnsi="黑体" w:eastAsia="黑体" w:cs="黑体"/>
          <w:color w:val="auto"/>
          <w:sz w:val="22"/>
          <w:szCs w:val="28"/>
          <w:highlight w:val="none"/>
          <w:lang w:eastAsia="zh-CN"/>
        </w:rPr>
      </w:pPr>
      <w:bookmarkStart w:id="513" w:name="_Toc17211"/>
      <w:r>
        <w:rPr>
          <w:rFonts w:hint="eastAsia" w:ascii="黑体" w:hAnsi="黑体" w:eastAsia="黑体" w:cs="黑体"/>
          <w:color w:val="auto"/>
          <w:sz w:val="22"/>
          <w:szCs w:val="28"/>
          <w:highlight w:val="none"/>
          <w:lang w:eastAsia="zh-CN"/>
        </w:rPr>
        <w:t>6.2 发包人不提供施工设备和临时设施。</w:t>
      </w:r>
      <w:bookmarkEnd w:id="513"/>
    </w:p>
    <w:p w14:paraId="45B8E1E3">
      <w:pPr>
        <w:spacing w:line="360" w:lineRule="auto"/>
        <w:rPr>
          <w:rFonts w:hint="eastAsia" w:ascii="黑体" w:hAnsi="黑体" w:eastAsia="黑体" w:cs="黑体"/>
          <w:color w:val="auto"/>
          <w:sz w:val="22"/>
          <w:szCs w:val="28"/>
          <w:highlight w:val="none"/>
          <w:lang w:eastAsia="zh-CN"/>
        </w:rPr>
      </w:pPr>
      <w:bookmarkStart w:id="514" w:name="_Toc9687"/>
      <w:r>
        <w:rPr>
          <w:rFonts w:hint="eastAsia" w:ascii="黑体" w:hAnsi="黑体" w:eastAsia="黑体" w:cs="黑体"/>
          <w:color w:val="auto"/>
          <w:sz w:val="22"/>
          <w:szCs w:val="28"/>
          <w:highlight w:val="none"/>
          <w:lang w:eastAsia="zh-CN"/>
        </w:rPr>
        <w:t>7 交通运输</w:t>
      </w:r>
      <w:bookmarkEnd w:id="514"/>
    </w:p>
    <w:p w14:paraId="41562370">
      <w:pPr>
        <w:spacing w:line="360" w:lineRule="auto"/>
        <w:rPr>
          <w:rFonts w:hint="eastAsia" w:ascii="黑体" w:hAnsi="黑体" w:eastAsia="黑体" w:cs="黑体"/>
          <w:color w:val="auto"/>
          <w:sz w:val="22"/>
          <w:szCs w:val="28"/>
          <w:highlight w:val="none"/>
          <w:lang w:eastAsia="zh-CN"/>
        </w:rPr>
      </w:pPr>
      <w:bookmarkStart w:id="515" w:name="_Toc21706"/>
      <w:r>
        <w:rPr>
          <w:rFonts w:hint="eastAsia" w:ascii="黑体" w:hAnsi="黑体" w:eastAsia="黑体" w:cs="黑体"/>
          <w:color w:val="auto"/>
          <w:sz w:val="22"/>
          <w:szCs w:val="28"/>
          <w:highlight w:val="none"/>
          <w:lang w:eastAsia="zh-CN"/>
        </w:rPr>
        <w:t>7.4 超大件和超重件的运输</w:t>
      </w:r>
      <w:bookmarkEnd w:id="515"/>
      <w:r>
        <w:rPr>
          <w:rFonts w:hint="eastAsia" w:ascii="黑体" w:hAnsi="黑体" w:eastAsia="黑体" w:cs="黑体"/>
          <w:color w:val="auto"/>
          <w:sz w:val="22"/>
          <w:szCs w:val="28"/>
          <w:highlight w:val="none"/>
          <w:lang w:eastAsia="zh-CN"/>
        </w:rPr>
        <w:t xml:space="preserve"> </w:t>
      </w:r>
    </w:p>
    <w:p w14:paraId="3776CBA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（1）若实际运输中的超大件或超重件超过合同规定的尺寸或重量时，由承包人承担其费用，发包人不予分担。</w:t>
      </w:r>
    </w:p>
    <w:p w14:paraId="6FB3148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（2）承包人须遵守当地道路通行法律法规，自行解决运输车辆、机械等进场。</w:t>
      </w:r>
    </w:p>
    <w:p w14:paraId="54692E9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（3）因工程运输造成道路损坏，由承包人承担修复。</w:t>
      </w:r>
    </w:p>
    <w:p w14:paraId="4A036D8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（4）承包人不得使用无证无照无保险机械及驾驶人员。</w:t>
      </w:r>
    </w:p>
    <w:p w14:paraId="3865574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（5）承包人在运输过程中须落实环境保护和水土保持相关措施。</w:t>
      </w:r>
    </w:p>
    <w:p w14:paraId="48652621">
      <w:pPr>
        <w:spacing w:line="360" w:lineRule="auto"/>
        <w:rPr>
          <w:rFonts w:hint="eastAsia" w:ascii="黑体" w:hAnsi="黑体" w:eastAsia="黑体" w:cs="黑体"/>
          <w:color w:val="auto"/>
          <w:sz w:val="22"/>
          <w:szCs w:val="28"/>
          <w:highlight w:val="none"/>
          <w:lang w:eastAsia="zh-CN"/>
        </w:rPr>
      </w:pPr>
      <w:bookmarkStart w:id="516" w:name="_Toc22097"/>
      <w:r>
        <w:rPr>
          <w:rFonts w:hint="eastAsia" w:ascii="黑体" w:hAnsi="黑体" w:eastAsia="黑体" w:cs="黑体"/>
          <w:color w:val="auto"/>
          <w:sz w:val="22"/>
          <w:szCs w:val="28"/>
          <w:highlight w:val="none"/>
          <w:lang w:eastAsia="zh-CN"/>
        </w:rPr>
        <w:t>8 测量放线</w:t>
      </w:r>
      <w:bookmarkEnd w:id="516"/>
    </w:p>
    <w:p w14:paraId="19519294">
      <w:pPr>
        <w:spacing w:line="360" w:lineRule="auto"/>
        <w:rPr>
          <w:rFonts w:hint="eastAsia" w:ascii="黑体" w:hAnsi="黑体" w:eastAsia="黑体" w:cs="黑体"/>
          <w:color w:val="auto"/>
          <w:sz w:val="22"/>
          <w:szCs w:val="28"/>
          <w:highlight w:val="none"/>
          <w:lang w:eastAsia="zh-CN"/>
        </w:rPr>
      </w:pPr>
      <w:bookmarkStart w:id="517" w:name="_Toc11912"/>
      <w:r>
        <w:rPr>
          <w:rFonts w:hint="eastAsia" w:ascii="黑体" w:hAnsi="黑体" w:eastAsia="黑体" w:cs="黑体"/>
          <w:color w:val="auto"/>
          <w:sz w:val="22"/>
          <w:szCs w:val="28"/>
          <w:highlight w:val="none"/>
          <w:lang w:eastAsia="zh-CN"/>
        </w:rPr>
        <w:t>8.1 施工控制网</w:t>
      </w:r>
      <w:bookmarkEnd w:id="517"/>
    </w:p>
    <w:p w14:paraId="4B281FD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8.1.1 施工控制网的约定：全部工程施工控制网由承包人进行测设，测设完成后同时移交发包人，并由承包人负责管理及维护、提交钢管安装承包人的使用。移交后施工控制网点丢失或损坏的，承包人应及时修复并免费承担施工控制网点的修复费用；丢失或损坏严重的承包人必须进行测设修复，发包人不为此支付任何费用。</w:t>
      </w:r>
    </w:p>
    <w:p w14:paraId="3AF1E997">
      <w:pPr>
        <w:spacing w:line="360" w:lineRule="auto"/>
        <w:rPr>
          <w:rFonts w:hint="eastAsia" w:ascii="黑体" w:hAnsi="黑体" w:eastAsia="黑体" w:cs="黑体"/>
          <w:color w:val="auto"/>
          <w:sz w:val="22"/>
          <w:szCs w:val="28"/>
          <w:highlight w:val="none"/>
          <w:lang w:eastAsia="zh-CN"/>
        </w:rPr>
      </w:pPr>
      <w:bookmarkStart w:id="518" w:name="_Toc14256"/>
      <w:r>
        <w:rPr>
          <w:rFonts w:hint="eastAsia" w:ascii="黑体" w:hAnsi="黑体" w:eastAsia="黑体" w:cs="黑体"/>
          <w:color w:val="auto"/>
          <w:sz w:val="22"/>
          <w:szCs w:val="28"/>
          <w:highlight w:val="none"/>
          <w:lang w:eastAsia="zh-CN"/>
        </w:rPr>
        <w:t>9 施工安全、治安保卫和环境保护</w:t>
      </w:r>
      <w:bookmarkEnd w:id="518"/>
    </w:p>
    <w:p w14:paraId="605F0129">
      <w:pPr>
        <w:spacing w:line="360" w:lineRule="auto"/>
        <w:rPr>
          <w:rFonts w:hint="eastAsia" w:ascii="黑体" w:hAnsi="黑体" w:eastAsia="黑体" w:cs="黑体"/>
          <w:color w:val="auto"/>
          <w:sz w:val="22"/>
          <w:szCs w:val="28"/>
          <w:highlight w:val="none"/>
          <w:lang w:eastAsia="zh-Hans"/>
        </w:rPr>
      </w:pPr>
      <w:bookmarkStart w:id="519" w:name="_Toc11846"/>
      <w:r>
        <w:rPr>
          <w:rFonts w:hint="eastAsia" w:ascii="黑体" w:hAnsi="黑体" w:eastAsia="黑体" w:cs="黑体"/>
          <w:color w:val="auto"/>
          <w:sz w:val="22"/>
          <w:szCs w:val="28"/>
          <w:highlight w:val="none"/>
          <w:lang w:eastAsia="zh-CN"/>
        </w:rPr>
        <w:t xml:space="preserve">9.1 </w:t>
      </w:r>
      <w:r>
        <w:rPr>
          <w:rFonts w:hint="eastAsia" w:ascii="黑体" w:hAnsi="黑体" w:eastAsia="黑体" w:cs="黑体"/>
          <w:color w:val="auto"/>
          <w:sz w:val="22"/>
          <w:szCs w:val="28"/>
          <w:highlight w:val="none"/>
          <w:lang w:eastAsia="zh-Hans"/>
        </w:rPr>
        <w:t>发包人的施工安全责任</w:t>
      </w:r>
      <w:bookmarkEnd w:id="519"/>
    </w:p>
    <w:p w14:paraId="181D87F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9.1.1 本条款修改为:</w:t>
      </w:r>
    </w:p>
    <w:p w14:paraId="62F13FE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发包人应按国家有关安全生产的法律、法规、强制性标准以及部门规章和合同约定履行安全生产职责。发包人委托监理人对承包人履行安全责任情况进行监督检查。监理人的监督检查不减轻承包人应负的安全责任。</w:t>
      </w:r>
    </w:p>
    <w:p w14:paraId="21893CE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9.1.4 发包人负责向承包人提供施工现场及施工可能影响的毗邻区域内供水、排水、供电、供供热、通信、广播电视等地下管线资料，其余资料由承包人负责收集。</w:t>
      </w:r>
    </w:p>
    <w:p w14:paraId="038263F4">
      <w:pPr>
        <w:spacing w:line="360" w:lineRule="auto"/>
        <w:rPr>
          <w:rFonts w:hint="eastAsia" w:ascii="黑体" w:hAnsi="黑体" w:eastAsia="黑体" w:cs="黑体"/>
          <w:color w:val="auto"/>
          <w:sz w:val="22"/>
          <w:szCs w:val="28"/>
          <w:highlight w:val="none"/>
          <w:lang w:eastAsia="zh-CN"/>
        </w:rPr>
      </w:pPr>
      <w:bookmarkStart w:id="520" w:name="_Toc32262"/>
      <w:r>
        <w:rPr>
          <w:rFonts w:hint="eastAsia" w:ascii="黑体" w:hAnsi="黑体" w:eastAsia="黑体" w:cs="黑体"/>
          <w:color w:val="auto"/>
          <w:sz w:val="22"/>
          <w:szCs w:val="28"/>
          <w:highlight w:val="none"/>
          <w:lang w:eastAsia="zh-CN"/>
        </w:rPr>
        <w:t>9.2 承包人的施工安全责任</w:t>
      </w:r>
      <w:bookmarkEnd w:id="520"/>
    </w:p>
    <w:p w14:paraId="6FCBB48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9.2.1增加内容：承包人为履行其在本合同中的责任，需要使用、运输并贮存炸药或其他类似物品时，应事先采取必要的安排或预防措施，并应遵守与上述物品有关的条例、法律的规定。对于其他易燃易爆品或其他在使用、运输或贮存中存在危险的物品，也应遵守有关的条例、法律和规定。</w:t>
      </w:r>
    </w:p>
    <w:p w14:paraId="168FAA4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增加以下条款：</w:t>
      </w:r>
    </w:p>
    <w:p w14:paraId="3C85879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9.2.2发包人在工地组建安全生产管理委员会。安全生产管理委员会负责统一协调管理本工程的消防、防汛和抗灾以及监督施工作业安全等工作，并有权按有关法律、法规和规章以及本合同的有关约定，检查、监督施工安全工作的实施。承包人应当认真执行安全生产管理委员会有关安全管理的规章及工作的指示。对安全生产管理委员会在检查中发现施工存在安全因素，承包人应及时采取有效的措施予以改正，若承包人延误或拒绝改正时，则安全管理委员会有权责令其停工整改。</w:t>
      </w:r>
    </w:p>
    <w:p w14:paraId="057409E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9.2.3 承包人必须遵守《安全生产法》和其他有关安全生产的法规和规章，加强安全生产管理。建立、健全安全生产责任制度，完善安全生产条件，确保安全生产。承包人应按《安全生产法》的规定履行其安全生产职责。承包人必须设置安全管理机构和配备专职的安全工程师，加强对施工作业安全的管理，特别应加强易燃、易爆材料、火工器材和爆破作业以及施工用电的管理，加强危险源的辨识和管理，指定安全操作规程，配备必要的安全生产设施和劳动保护用具，并经常对其职工进行施工安全教育。承包人应在接到开工通知 7 天内，向发包人和监理人各报送一份内容包括安全管理机构的组织和岗位职责及安全人员组成、安全工作程序和实施细则的施工安全保证措施报告，由监理人审查。</w:t>
      </w:r>
    </w:p>
    <w:p w14:paraId="160E603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9.2.4承包人应负责所辖工地的消防工作，并配备必要的人员、消防水源、消防设备和救助设施，所需费用由承包人承担。对消防的要求见《技术条款》。</w:t>
      </w:r>
    </w:p>
    <w:p w14:paraId="6FC8299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9.2.5 承包人必须编制详细的安全生产措施费清单，安全生产措施费总价应控制在建安工程造价的2.5%，做到专款专用。施工单位严格按照《水利水电工程施工安全管理导则》（SL 721—2015）规范中的表格上报安全生产费用使用计划，经项目法人同意。施工单位对安全生产措施费清单进行分解，每月建立使用台账。最终实际发生工作量由监理人审核、发包人核准后结算，若有漏项或工程量少计，亦视为承包人已计入其它项目内，不再另行结算。在承包人的施工责任区内因承包人责任发生安全事故，所发生的一切费用由承包人承担。</w:t>
      </w:r>
    </w:p>
    <w:p w14:paraId="3BE842F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9.2.6施工单位应在施工前，对达到一定规模的危险性较大的单项工程编制专项施工方案；对超过一定规模的危险性较大的单项工程，施工单位应组织专家对专项施工方案进行审查论证。</w:t>
      </w:r>
    </w:p>
    <w:p w14:paraId="64916FE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专项施工方案应包括下列内容：</w:t>
      </w:r>
    </w:p>
    <w:p w14:paraId="7E5F3CF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val="en-US" w:eastAsia="zh-CN"/>
        </w:rPr>
        <w:t>1</w:t>
      </w:r>
      <w:r>
        <w:rPr>
          <w:rFonts w:hint="eastAsia" w:ascii="黑体" w:hAnsi="黑体" w:eastAsia="黑体" w:cs="黑体"/>
          <w:color w:val="auto"/>
          <w:sz w:val="22"/>
          <w:szCs w:val="28"/>
          <w:highlight w:val="none"/>
          <w:lang w:eastAsia="zh-CN"/>
        </w:rPr>
        <w:t>工程概况：危险性较大的单项工程概况、施工平面布置、施工要求和技术保证条件</w:t>
      </w:r>
    </w:p>
    <w:p w14:paraId="1FB4420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val="en-US" w:eastAsia="zh-CN"/>
        </w:rPr>
        <w:t>2</w:t>
      </w:r>
      <w:r>
        <w:rPr>
          <w:rFonts w:hint="eastAsia" w:ascii="黑体" w:hAnsi="黑体" w:eastAsia="黑体" w:cs="黑体"/>
          <w:color w:val="auto"/>
          <w:sz w:val="22"/>
          <w:szCs w:val="28"/>
          <w:highlight w:val="none"/>
          <w:lang w:eastAsia="zh-CN"/>
        </w:rPr>
        <w:t>编制依据：相关法律、法规、规章、制度、标准及图纸（国标图集）、施工组织设计等；</w:t>
      </w:r>
    </w:p>
    <w:p w14:paraId="04AE9BE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val="en-US" w:eastAsia="zh-CN"/>
        </w:rPr>
        <w:t>3</w:t>
      </w:r>
      <w:r>
        <w:rPr>
          <w:rFonts w:hint="eastAsia" w:ascii="黑体" w:hAnsi="黑体" w:eastAsia="黑体" w:cs="黑体"/>
          <w:color w:val="auto"/>
          <w:sz w:val="22"/>
          <w:szCs w:val="28"/>
          <w:highlight w:val="none"/>
          <w:lang w:eastAsia="zh-CN"/>
        </w:rPr>
        <w:t>施工计划：包括施工进度计划、材料与设备计划等；</w:t>
      </w:r>
    </w:p>
    <w:p w14:paraId="4995BB0C">
      <w:pPr>
        <w:spacing w:line="360" w:lineRule="auto"/>
        <w:rPr>
          <w:rFonts w:hint="eastAsia" w:ascii="黑体" w:hAnsi="黑体" w:eastAsia="黑体" w:cs="黑体"/>
          <w:color w:val="auto"/>
          <w:sz w:val="22"/>
          <w:szCs w:val="28"/>
          <w:highlight w:val="none"/>
          <w:lang w:val="en-US" w:eastAsia="zh-CN"/>
        </w:rPr>
      </w:pPr>
      <w:r>
        <w:rPr>
          <w:rFonts w:hint="eastAsia" w:ascii="黑体" w:hAnsi="黑体" w:eastAsia="黑体" w:cs="黑体"/>
          <w:color w:val="auto"/>
          <w:sz w:val="22"/>
          <w:szCs w:val="28"/>
          <w:highlight w:val="none"/>
          <w:lang w:val="en-US" w:eastAsia="zh-CN"/>
        </w:rPr>
        <w:t>4</w:t>
      </w:r>
      <w:r>
        <w:rPr>
          <w:rFonts w:hint="eastAsia" w:ascii="黑体" w:hAnsi="黑体" w:eastAsia="黑体" w:cs="黑体"/>
          <w:color w:val="auto"/>
          <w:sz w:val="22"/>
          <w:szCs w:val="28"/>
          <w:highlight w:val="none"/>
          <w:lang w:eastAsia="zh-CN"/>
        </w:rPr>
        <w:t>施工工艺技术</w:t>
      </w:r>
      <w:r>
        <w:rPr>
          <w:rFonts w:hint="eastAsia" w:ascii="黑体" w:hAnsi="黑体" w:eastAsia="黑体" w:cs="黑体"/>
          <w:color w:val="auto"/>
          <w:sz w:val="22"/>
          <w:szCs w:val="28"/>
          <w:highlight w:val="none"/>
          <w:lang w:val="en-US" w:eastAsia="zh-CN"/>
        </w:rPr>
        <w:t>:技术参数、工艺流程、施工方法、质量标准、检查验收等；</w:t>
      </w:r>
    </w:p>
    <w:p w14:paraId="75368B37">
      <w:pPr>
        <w:spacing w:line="360" w:lineRule="auto"/>
        <w:rPr>
          <w:rFonts w:hint="eastAsia" w:ascii="黑体" w:hAnsi="黑体" w:eastAsia="黑体" w:cs="黑体"/>
          <w:color w:val="auto"/>
          <w:sz w:val="22"/>
          <w:szCs w:val="28"/>
          <w:highlight w:val="none"/>
          <w:lang w:val="en-US" w:eastAsia="zh-CN"/>
        </w:rPr>
      </w:pPr>
      <w:r>
        <w:rPr>
          <w:rFonts w:hint="eastAsia" w:ascii="黑体" w:hAnsi="黑体" w:eastAsia="黑体" w:cs="黑体"/>
          <w:color w:val="auto"/>
          <w:sz w:val="22"/>
          <w:szCs w:val="28"/>
          <w:highlight w:val="none"/>
          <w:lang w:val="en-US" w:eastAsia="zh-CN"/>
        </w:rPr>
        <w:t>5施工安全保障措施：组织保障、技术措施、应急预案、监测监控等；</w:t>
      </w:r>
    </w:p>
    <w:p w14:paraId="1B7ACD09">
      <w:pPr>
        <w:spacing w:line="360" w:lineRule="auto"/>
        <w:rPr>
          <w:rFonts w:hint="eastAsia" w:ascii="黑体" w:hAnsi="黑体" w:eastAsia="黑体" w:cs="黑体"/>
          <w:color w:val="auto"/>
          <w:sz w:val="22"/>
          <w:szCs w:val="28"/>
          <w:highlight w:val="none"/>
          <w:lang w:val="en-US" w:eastAsia="zh-CN"/>
        </w:rPr>
      </w:pPr>
      <w:r>
        <w:rPr>
          <w:rFonts w:hint="eastAsia" w:ascii="黑体" w:hAnsi="黑体" w:eastAsia="黑体" w:cs="黑体"/>
          <w:color w:val="auto"/>
          <w:sz w:val="22"/>
          <w:szCs w:val="28"/>
          <w:highlight w:val="none"/>
          <w:lang w:val="en-US" w:eastAsia="zh-CN"/>
        </w:rPr>
        <w:t>6劳动力计划：专职安全生产管理人员、特种专业人员等；</w:t>
      </w:r>
    </w:p>
    <w:p w14:paraId="2FFC24B2">
      <w:pPr>
        <w:spacing w:line="360" w:lineRule="auto"/>
        <w:rPr>
          <w:rFonts w:hint="eastAsia" w:ascii="黑体" w:hAnsi="黑体" w:eastAsia="黑体" w:cs="黑体"/>
          <w:color w:val="auto"/>
          <w:sz w:val="22"/>
          <w:szCs w:val="28"/>
          <w:highlight w:val="none"/>
          <w:lang w:val="en-US" w:eastAsia="zh-CN"/>
        </w:rPr>
      </w:pPr>
      <w:r>
        <w:rPr>
          <w:rFonts w:hint="eastAsia" w:ascii="黑体" w:hAnsi="黑体" w:eastAsia="黑体" w:cs="黑体"/>
          <w:color w:val="auto"/>
          <w:sz w:val="22"/>
          <w:szCs w:val="28"/>
          <w:highlight w:val="none"/>
          <w:lang w:val="en-US" w:eastAsia="zh-CN"/>
        </w:rPr>
        <w:t>7设计计算书及相关图纸等。</w:t>
      </w:r>
    </w:p>
    <w:p w14:paraId="50DB522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专项施工方案应由施工单位技术负责人组织施工技术、安全、质量等部门的专业技术人员进行审核。经审核合格的，应由施工单位技术负责人签字确认。实行分包的，应由总承包单位和分包单位技术负责人共同签字确认。</w:t>
      </w:r>
    </w:p>
    <w:p w14:paraId="7E1486D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不需要专家论证的专项施工方案，经施工单位审核合格后应报监理单位，由项目总监理工程师审核签字，并报项目法人备案。</w:t>
      </w:r>
    </w:p>
    <w:p w14:paraId="2F016EB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9.2.7发包人按合同约定履行安全职责，授权监理人按合同约定的安全工作内容检查承包人安全工作的实施，组织承包人和有关单位进行安全检查，因承包人原因造成的财产损失、人员伤亡有承包人自行承担。</w:t>
      </w:r>
    </w:p>
    <w:p w14:paraId="637E1CF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9.2.8承包人按照水利部监督司印发《水利工程建设安全生产管理违规行为清单》（2022年版）一一对照落实安全生产工作并及时准备相关安全生产资料。</w:t>
      </w:r>
    </w:p>
    <w:p w14:paraId="79945DB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9.2.9承包人按照水利部办公厅印发《水利工程运行管理质量管理违规行为分类标准》（2020年版）对照落实质量管理责任工作并及时准备质量管理相关资料。</w:t>
      </w:r>
    </w:p>
    <w:p w14:paraId="05A80440">
      <w:pPr>
        <w:spacing w:line="360" w:lineRule="auto"/>
        <w:rPr>
          <w:rFonts w:hint="eastAsia" w:ascii="黑体" w:hAnsi="黑体" w:eastAsia="黑体" w:cs="黑体"/>
          <w:color w:val="auto"/>
          <w:sz w:val="22"/>
          <w:szCs w:val="28"/>
          <w:highlight w:val="none"/>
          <w:lang w:eastAsia="zh-CN"/>
        </w:rPr>
      </w:pPr>
      <w:bookmarkStart w:id="521" w:name="_Toc30507"/>
      <w:r>
        <w:rPr>
          <w:rFonts w:hint="eastAsia" w:ascii="黑体" w:hAnsi="黑体" w:eastAsia="黑体" w:cs="黑体"/>
          <w:color w:val="auto"/>
          <w:sz w:val="22"/>
          <w:szCs w:val="28"/>
          <w:highlight w:val="none"/>
          <w:lang w:eastAsia="zh-CN"/>
        </w:rPr>
        <w:t>9.3 治安保卫</w:t>
      </w:r>
      <w:bookmarkEnd w:id="521"/>
    </w:p>
    <w:p w14:paraId="1FFF814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本款增加：</w:t>
      </w:r>
    </w:p>
    <w:p w14:paraId="49280BF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9.3.1承包人治安保卫、综治维稳责任</w:t>
      </w:r>
    </w:p>
    <w:p w14:paraId="349BC9F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承包人为履行其在本合同中的责任，应事先采取必要的安排或预防措施，做好本段内的治安保卫、综治维稳措施，应当服从当地政府、综治维稳办关于社会治安及安全保卫的相关规定并按要求做好安全保卫、综治维稳措施，确保施工场区的稳定和团结。</w:t>
      </w:r>
    </w:p>
    <w:p w14:paraId="4B61B946">
      <w:pPr>
        <w:spacing w:line="360" w:lineRule="auto"/>
        <w:rPr>
          <w:rFonts w:hint="eastAsia" w:ascii="黑体" w:hAnsi="黑体" w:eastAsia="黑体" w:cs="黑体"/>
          <w:color w:val="auto"/>
          <w:sz w:val="22"/>
          <w:szCs w:val="28"/>
          <w:highlight w:val="none"/>
          <w:lang w:eastAsia="zh-CN"/>
        </w:rPr>
      </w:pPr>
      <w:bookmarkStart w:id="522" w:name="_Toc2497"/>
      <w:r>
        <w:rPr>
          <w:rFonts w:hint="eastAsia" w:ascii="黑体" w:hAnsi="黑体" w:eastAsia="黑体" w:cs="黑体"/>
          <w:color w:val="auto"/>
          <w:sz w:val="22"/>
          <w:szCs w:val="28"/>
          <w:highlight w:val="none"/>
          <w:lang w:eastAsia="zh-CN"/>
        </w:rPr>
        <w:t>9.4 环境保护</w:t>
      </w:r>
      <w:bookmarkEnd w:id="522"/>
    </w:p>
    <w:p w14:paraId="17550D8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本款增加：</w:t>
      </w:r>
    </w:p>
    <w:p w14:paraId="1EAF011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9.4.1环境保护措施费已列入工程量清单中，费用结算已实际发生工程量三方签证结算，承包人应按要求采取相应措施，确保场区环境安全。</w:t>
      </w:r>
    </w:p>
    <w:p w14:paraId="51A902F3">
      <w:pPr>
        <w:spacing w:line="360" w:lineRule="auto"/>
        <w:rPr>
          <w:rFonts w:hint="eastAsia" w:ascii="黑体" w:hAnsi="黑体" w:eastAsia="黑体" w:cs="黑体"/>
          <w:color w:val="auto"/>
          <w:sz w:val="22"/>
          <w:szCs w:val="28"/>
          <w:highlight w:val="none"/>
          <w:lang w:eastAsia="zh-CN"/>
        </w:rPr>
      </w:pPr>
      <w:bookmarkStart w:id="523" w:name="_Toc29283"/>
      <w:r>
        <w:rPr>
          <w:rFonts w:hint="eastAsia" w:ascii="黑体" w:hAnsi="黑体" w:eastAsia="黑体" w:cs="黑体"/>
          <w:color w:val="auto"/>
          <w:sz w:val="22"/>
          <w:szCs w:val="28"/>
          <w:highlight w:val="none"/>
          <w:lang w:eastAsia="zh-CN"/>
        </w:rPr>
        <w:t>9.5事故处理</w:t>
      </w:r>
      <w:bookmarkEnd w:id="523"/>
    </w:p>
    <w:p w14:paraId="275E4CA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9.5.2 本条款修改为:</w:t>
      </w:r>
    </w:p>
    <w:p w14:paraId="4986D46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承包人应对施工现场易发生事故的部位、环节进行监控，配备救援器材、设备，并定期组织演练。</w:t>
      </w:r>
    </w:p>
    <w:p w14:paraId="4C58D27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9.5.4 本条款修改为:</w:t>
      </w:r>
    </w:p>
    <w:p w14:paraId="2813B45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施工过程中发生事故时，发包人、承包人应立即启动应急预案应急抢险。</w:t>
      </w:r>
    </w:p>
    <w:p w14:paraId="21C7F94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各参建单位应当按照有关规定制定本单位的安全生产应急救援方案（含地震应急），并定期开展演练，发生事故需要救援时做到反应迅速、行动准确、工作有序。安全事故发生后，应按照有关规定及时报告。</w:t>
      </w:r>
    </w:p>
    <w:p w14:paraId="6BC5D007">
      <w:pPr>
        <w:spacing w:line="360" w:lineRule="auto"/>
        <w:rPr>
          <w:rFonts w:hint="eastAsia" w:ascii="黑体" w:hAnsi="黑体" w:eastAsia="黑体" w:cs="黑体"/>
          <w:color w:val="auto"/>
          <w:sz w:val="22"/>
          <w:szCs w:val="28"/>
          <w:highlight w:val="none"/>
          <w:lang w:eastAsia="zh-CN"/>
        </w:rPr>
      </w:pPr>
      <w:bookmarkStart w:id="524" w:name="_Toc18431"/>
      <w:r>
        <w:rPr>
          <w:rFonts w:hint="eastAsia" w:ascii="黑体" w:hAnsi="黑体" w:eastAsia="黑体" w:cs="黑体"/>
          <w:color w:val="auto"/>
          <w:sz w:val="22"/>
          <w:szCs w:val="28"/>
          <w:highlight w:val="none"/>
          <w:lang w:eastAsia="zh-CN"/>
        </w:rPr>
        <w:t>9.6 水土保持</w:t>
      </w:r>
      <w:bookmarkEnd w:id="524"/>
    </w:p>
    <w:p w14:paraId="56ACA13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本条新增：</w:t>
      </w:r>
    </w:p>
    <w:p w14:paraId="35F62BC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承包人应按照本合同规定或监理人的指示将渣料运输至指定渣场，弃渣时应服从渣场管理人员或监理人的指挥，有序堆渣，渣场管理内容包括指挥、照明、渣场内道路、推土机推平、洒水降尘、排水、必要的挡护等。上述费用已包括在合同措施费中，发包人不另行支付。</w:t>
      </w:r>
    </w:p>
    <w:p w14:paraId="03C54E0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（2）未按照投标文件水土保持措施工程量清单落实措施的，需要提供实际发生的措施工程量及签证。如：未组建项目部租用当地民房或学校、大队部，需要提供租赁合同</w:t>
      </w:r>
      <w:r>
        <w:rPr>
          <w:rFonts w:hint="eastAsia" w:ascii="黑体" w:hAnsi="黑体" w:eastAsia="黑体" w:cs="黑体"/>
          <w:color w:val="auto"/>
          <w:sz w:val="22"/>
          <w:szCs w:val="28"/>
          <w:highlight w:val="none"/>
          <w:lang w:val="en-US" w:eastAsia="zh-CN"/>
        </w:rPr>
        <w:t>及票据</w:t>
      </w:r>
      <w:r>
        <w:rPr>
          <w:rFonts w:hint="eastAsia" w:ascii="黑体" w:hAnsi="黑体" w:eastAsia="黑体" w:cs="黑体"/>
          <w:color w:val="auto"/>
          <w:sz w:val="22"/>
          <w:szCs w:val="28"/>
          <w:highlight w:val="none"/>
          <w:lang w:eastAsia="zh-CN"/>
        </w:rPr>
        <w:t>，提供变更签证，后期结算按实际发生费用结算。（并留存现场照片）</w:t>
      </w:r>
    </w:p>
    <w:p w14:paraId="4646046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取土场、弃渣场、拌合站等施工临时用地发生变更的或与水土保持方案章节确定地点面积不一致的，提供实际占用面积和相关措施量并提供相关协议或证明及签证。涉及临时用地办理手续的，由承包人承担费用，此项费用不列入结算。（并留存现场照片）</w:t>
      </w:r>
    </w:p>
    <w:p w14:paraId="5C2A991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（4）外购土方或砂石料的需提供相关协议或合同及签证。</w:t>
      </w:r>
    </w:p>
    <w:p w14:paraId="3CBCCCC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（5）苫盖网、彩条旗或围挡以实际发生签证工程量结算。</w:t>
      </w:r>
    </w:p>
    <w:p w14:paraId="014EF1B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（6）土地平整、洒水降尘以实际三方签证为结算依据，其他水保措施按实际发生结算，并提供相关结算依据。</w:t>
      </w:r>
    </w:p>
    <w:p w14:paraId="630B8FF7">
      <w:pPr>
        <w:spacing w:line="360" w:lineRule="auto"/>
        <w:rPr>
          <w:rFonts w:hint="eastAsia" w:ascii="黑体" w:hAnsi="黑体" w:eastAsia="黑体" w:cs="黑体"/>
          <w:color w:val="auto"/>
          <w:sz w:val="22"/>
          <w:szCs w:val="28"/>
          <w:highlight w:val="none"/>
          <w:lang w:val="en-US" w:eastAsia="zh-CN"/>
        </w:rPr>
      </w:pPr>
      <w:r>
        <w:rPr>
          <w:rFonts w:hint="eastAsia" w:ascii="黑体" w:hAnsi="黑体" w:eastAsia="黑体" w:cs="黑体"/>
          <w:color w:val="auto"/>
          <w:sz w:val="22"/>
          <w:szCs w:val="28"/>
          <w:highlight w:val="none"/>
          <w:lang w:val="en-US" w:eastAsia="zh-CN"/>
        </w:rPr>
        <w:t>(7)本工程涉及老旧混凝土拆除,拆除的混凝土需回收再利用,符合环保、水保要求。回收再利用的混凝土相关费用在报价时考虑在内，不另行支付。</w:t>
      </w:r>
    </w:p>
    <w:p w14:paraId="45FCF4EC">
      <w:pPr>
        <w:spacing w:line="360" w:lineRule="auto"/>
        <w:rPr>
          <w:rFonts w:hint="eastAsia" w:ascii="黑体" w:hAnsi="黑体" w:eastAsia="黑体" w:cs="黑体"/>
          <w:color w:val="auto"/>
          <w:sz w:val="22"/>
          <w:szCs w:val="28"/>
          <w:highlight w:val="none"/>
          <w:lang w:val="en-US" w:eastAsia="zh-CN"/>
        </w:rPr>
      </w:pPr>
      <w:r>
        <w:rPr>
          <w:rFonts w:hint="eastAsia" w:ascii="黑体" w:hAnsi="黑体" w:eastAsia="黑体" w:cs="黑体"/>
          <w:color w:val="auto"/>
          <w:sz w:val="22"/>
          <w:szCs w:val="28"/>
          <w:highlight w:val="none"/>
          <w:lang w:eastAsia="zh-CN"/>
        </w:rPr>
        <w:t>（</w:t>
      </w:r>
      <w:r>
        <w:rPr>
          <w:rFonts w:hint="eastAsia" w:ascii="黑体" w:hAnsi="黑体" w:eastAsia="黑体" w:cs="黑体"/>
          <w:color w:val="auto"/>
          <w:sz w:val="22"/>
          <w:szCs w:val="28"/>
          <w:highlight w:val="none"/>
          <w:lang w:val="en-US" w:eastAsia="zh-CN"/>
        </w:rPr>
        <w:t>8</w:t>
      </w:r>
      <w:r>
        <w:rPr>
          <w:rFonts w:hint="eastAsia" w:ascii="黑体" w:hAnsi="黑体" w:eastAsia="黑体" w:cs="黑体"/>
          <w:color w:val="auto"/>
          <w:sz w:val="22"/>
          <w:szCs w:val="28"/>
          <w:highlight w:val="none"/>
          <w:lang w:eastAsia="zh-CN"/>
        </w:rPr>
        <w:t>）</w:t>
      </w:r>
      <w:r>
        <w:rPr>
          <w:rFonts w:hint="eastAsia" w:ascii="黑体" w:hAnsi="黑体" w:eastAsia="黑体" w:cs="黑体"/>
          <w:color w:val="auto"/>
          <w:sz w:val="22"/>
          <w:szCs w:val="28"/>
          <w:highlight w:val="none"/>
          <w:lang w:val="en-US" w:eastAsia="zh-CN"/>
        </w:rPr>
        <w:t>以上内容在实施过程中要留存相应的票据（发票），以方便在后期结算审计中使用作为结算依据。</w:t>
      </w:r>
    </w:p>
    <w:p w14:paraId="35690EC8">
      <w:pPr>
        <w:spacing w:line="360" w:lineRule="auto"/>
        <w:rPr>
          <w:rFonts w:hint="eastAsia" w:ascii="黑体" w:hAnsi="黑体" w:eastAsia="黑体" w:cs="黑体"/>
          <w:color w:val="auto"/>
          <w:sz w:val="22"/>
          <w:szCs w:val="28"/>
          <w:highlight w:val="none"/>
          <w:lang w:eastAsia="zh-CN"/>
        </w:rPr>
      </w:pPr>
      <w:bookmarkStart w:id="525" w:name="_Toc1682"/>
      <w:r>
        <w:rPr>
          <w:rFonts w:hint="eastAsia" w:ascii="黑体" w:hAnsi="黑体" w:eastAsia="黑体" w:cs="黑体"/>
          <w:color w:val="auto"/>
          <w:sz w:val="22"/>
          <w:szCs w:val="28"/>
          <w:highlight w:val="none"/>
          <w:lang w:eastAsia="zh-CN"/>
        </w:rPr>
        <w:t>9.7 文明工地</w:t>
      </w:r>
      <w:bookmarkEnd w:id="525"/>
    </w:p>
    <w:p w14:paraId="214C489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项目部选址和建设必须按照设计图纸要求实施，与施工区域划分清晰，并采取相应的隔离措施。项目部应当符合消防、防洪、防地质灾害、防风、防雷电、防毒等安全要求及文明工地的有关标准。项目部的选址应经监理及项目法人同意，项目部建成后必须经参建各方验收合格后方可投入使用。办公室、仓库等场所内部整洁，布置整齐，有关职责、制度、规定上墙，档案资料摆放整齐。宿舍应保证必要的生活空间，布置整齐，保持内部整洁。食堂应设置在远离厕所、垃圾站、有毒有害场所等污染源的地方，配备必要的排风设施和冷藏设施。应结合季节特点，做好作业人员的饮食卫生和防暑降温、防寒保暖、防煤气中毒、防疫等工作。同时，应该加强项目部治安管理。</w:t>
      </w:r>
    </w:p>
    <w:p w14:paraId="1AAD142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施工区应按照设计图纸要求布置相关场地设施，总平面布置应符合安全文明施工、安全度汛（如涉及）、交通、消防、职业卫生、环境保护和水土保持等有关规定，总体布局与分区合理，规范有序。</w:t>
      </w:r>
    </w:p>
    <w:p w14:paraId="5DF6F18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施工中应当严格落实“三同时”制度，按照设计要求及批准的有关方案落实水土保持及环境保护的相关措施。</w:t>
      </w:r>
    </w:p>
    <w:p w14:paraId="4EB4EB6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9.7.1 发包人牵头组建工程安全生产及文明施工管理委员会。工程安全生产及文明施工管理委员会负责统一协调管理本工程的消防、防汛和抗灾以及监督施工作业安全文明等工作，并有权按有关法律、法规和规章以及本合同的有关约定，检查、监督施工安全文明工作的实施。承包人应认真执行工程安全生产及文明施工管理委员会有关安全文明管理规定及工作指示。对工程安全生产及文明施工管理委员会指出的施工作业不安全、不文明事项，承包人应立即采取有效措施予以改正，若承包人延误或拒绝改正时，则工程安全生产及文明施工管理委员会有权责令其停工整改。</w:t>
      </w:r>
    </w:p>
    <w:p w14:paraId="33156EF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9.7.1.6 安全文明施工措施费用计入间接费中，发包方不另行支付。</w:t>
      </w:r>
    </w:p>
    <w:p w14:paraId="799167B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9.7.2 增加：</w:t>
      </w:r>
    </w:p>
    <w:p w14:paraId="72DD1BB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施工现场主要标段的明显处，应规范布置公示牌。主要包括工地入场须知牌，工程概况牌，项目负责人及监督电话公示牌，质量终身责任制公示牌，安全生产告知牌，质量检测控制指标公示牌，消防保卫牌，文明施工管理牌，廉政建设告示牌，农民工维权信息告示牌，危险性较大工程告示牌，重大危险源告示牌，施工总平面布置图等，相关内容可合并设置。</w:t>
      </w:r>
    </w:p>
    <w:p w14:paraId="2667B50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（2）对于较大建筑物、交叉构筑物、重点部位施工现场的安全围挡应实行封闭管理，主要进出口处设有明显的安全警示标志和安全文明规定、禁令，与施工无关的人员、设施不应进入封闭区。</w:t>
      </w:r>
    </w:p>
    <w:p w14:paraId="030B36F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（3）承包人应履行安全生产职责。在承包人的施工责任区内因承包人责任发生重大安全事故，所发生的费用由承包人承担。</w:t>
      </w:r>
    </w:p>
    <w:p w14:paraId="557E079E">
      <w:pPr>
        <w:spacing w:line="360" w:lineRule="auto"/>
        <w:rPr>
          <w:rFonts w:hint="eastAsia" w:ascii="黑体" w:hAnsi="黑体" w:eastAsia="黑体" w:cs="黑体"/>
          <w:color w:val="auto"/>
          <w:sz w:val="22"/>
          <w:szCs w:val="28"/>
          <w:highlight w:val="none"/>
          <w:lang w:eastAsia="zh-CN"/>
        </w:rPr>
      </w:pPr>
      <w:bookmarkStart w:id="526" w:name="_Toc722"/>
      <w:r>
        <w:rPr>
          <w:rFonts w:hint="eastAsia" w:ascii="黑体" w:hAnsi="黑体" w:eastAsia="黑体" w:cs="黑体"/>
          <w:color w:val="auto"/>
          <w:sz w:val="22"/>
          <w:szCs w:val="28"/>
          <w:highlight w:val="none"/>
          <w:lang w:eastAsia="zh-CN"/>
        </w:rPr>
        <w:t>9.9 现场安全文明施工措施</w:t>
      </w:r>
      <w:bookmarkEnd w:id="526"/>
    </w:p>
    <w:p w14:paraId="6643FB6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 xml:space="preserve">9.9.1 承包人必须遵守《安全生产法》和其他有关安全生产的法规和规章，加强安全生产管理，建立、健全安全生产责任制度，完善安全生产条件，确保安全生产。承包人应按《安全生产法》的规定履行其安全生产职责。承包人必须设置安全生产管理机构和配备专职安全员，加强对施工作业安全的管理，特别应加强易燃、易爆材料、火工器材和爆破作业以及施工用电的管理，加强危险源的辨识和管理，指定安全操作规程，配备必要的安全生产设施和劳动保护用具，并经常对其职工进行施工安全教育。承包人应在接到开工通知3天内，向发包人和监理人各报送一份内容包括安全生产管理机构的组织和岗位职责及人员组成、工作程序和实施细则的施工安全保证措施报告，由监理人审查。 </w:t>
      </w:r>
    </w:p>
    <w:p w14:paraId="14108DD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施工单位必须落实质量与安全管理责任，严格劳务队伍进场前的三级安全教育，实行现场施工日检制度，必须对每道工序开展自检，按规定做好工作记录并报验，发现问题及时整改，做到问题日清、周清；对需要参建各方协同处理的问题，应书面向监理和项目法人报告。</w:t>
      </w:r>
    </w:p>
    <w:p w14:paraId="33A6A87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 xml:space="preserve">9.9.2 承包人负责所辖工地的消防安全，配备必要消防器材和设施，所需费用由承包人承担。 </w:t>
      </w:r>
    </w:p>
    <w:p w14:paraId="6D2B4A8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根据施工需要，施工区域、机械设备应设置警告、禁止、指令、提示类型的标志。施工现场的洞、坑、沟、升降口、漏斗等危险处应有防护设施或明显警示标志，对易造成高处坠落、坍塌、触电、物体打击、淹溺伤害的重点部位要进行防护。</w:t>
      </w:r>
    </w:p>
    <w:p w14:paraId="32B6A1E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施工现场必须符合安全防火标准，并按要求配置消防设施，以及定期检查设施使用性能等。排水设施应全面规划，不妨碍交通，并保持排水通畅。</w:t>
      </w:r>
    </w:p>
    <w:p w14:paraId="167C8C4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9.9.3 在承包人施工责任区内因承包人责任发生安全生产事故，费用由承包人自行承担。</w:t>
      </w:r>
    </w:p>
    <w:p w14:paraId="36B3F1F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9.9.4所有进入施工现场的人员必须按规定穿戴好防护用品和必要的安全防护用具。进入施工现场前，专职安全员必须对进场的人员进行安全告知，做好进场实名登记记录。在施工区范围内从事作业活动的现场工作人员应佩戴标识、安全帽，并严格遵守安全生产的有关规定，杜绝违章指挥、违章操作。</w:t>
      </w:r>
    </w:p>
    <w:p w14:paraId="32276C2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承包人凡进入本工程施工区内所有人员一律佩戴安全帽，安全帽要符合国家标准《安全帽》（GB2811-89）中对安全帽的规定。承包人应统一配置黄色安全帽。承包人进入生产现场的安全检查和质检人员使用的安全帽分别在帽正面印“安全检查”和“质检”字样，凡不遵守者一次一人处罚50元。</w:t>
      </w:r>
    </w:p>
    <w:p w14:paraId="575DFC15">
      <w:pPr>
        <w:spacing w:line="360" w:lineRule="auto"/>
        <w:rPr>
          <w:rFonts w:hint="eastAsia" w:ascii="黑体" w:hAnsi="黑体" w:eastAsia="黑体" w:cs="黑体"/>
          <w:color w:val="auto"/>
          <w:sz w:val="22"/>
          <w:szCs w:val="28"/>
          <w:highlight w:val="none"/>
          <w:lang w:eastAsia="zh-CN"/>
        </w:rPr>
      </w:pPr>
      <w:bookmarkStart w:id="527" w:name="_Toc17305"/>
      <w:r>
        <w:rPr>
          <w:rFonts w:hint="eastAsia" w:ascii="黑体" w:hAnsi="黑体" w:eastAsia="黑体" w:cs="黑体"/>
          <w:color w:val="auto"/>
          <w:sz w:val="22"/>
          <w:szCs w:val="28"/>
          <w:highlight w:val="none"/>
          <w:lang w:eastAsia="zh-CN"/>
        </w:rPr>
        <w:t>10 进度计划</w:t>
      </w:r>
      <w:bookmarkEnd w:id="527"/>
    </w:p>
    <w:p w14:paraId="3815F39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删去通用合同条款本款全文，并代之以：</w:t>
      </w:r>
    </w:p>
    <w:p w14:paraId="51717442">
      <w:pPr>
        <w:spacing w:line="360" w:lineRule="auto"/>
        <w:rPr>
          <w:rFonts w:hint="eastAsia" w:ascii="黑体" w:hAnsi="黑体" w:eastAsia="黑体" w:cs="黑体"/>
          <w:color w:val="auto"/>
          <w:sz w:val="22"/>
          <w:szCs w:val="28"/>
          <w:highlight w:val="none"/>
          <w:lang w:eastAsia="zh-CN"/>
        </w:rPr>
      </w:pPr>
      <w:bookmarkStart w:id="528" w:name="_Toc2144"/>
      <w:r>
        <w:rPr>
          <w:rFonts w:hint="eastAsia" w:ascii="黑体" w:hAnsi="黑体" w:eastAsia="黑体" w:cs="黑体"/>
          <w:color w:val="auto"/>
          <w:sz w:val="22"/>
          <w:szCs w:val="28"/>
          <w:highlight w:val="none"/>
          <w:lang w:eastAsia="zh-CN"/>
        </w:rPr>
        <w:t>10.1 合同进度计划</w:t>
      </w:r>
      <w:bookmarkEnd w:id="528"/>
    </w:p>
    <w:p w14:paraId="5A5ABEC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承包人应按本技术条款规定的内容和期限以及监理人的指示，编制施工总进度计划报送监理人审批。监理人应在本技术条款规定的期限内批复承包人。经监理人批准的施工总进度计划（称合同进度计划），作为控制本合同工程进度的依据，并据此编制年、季和月进度计划报送监理人审批。在施工总进度计划批准前，应按签订协议书时商定的进度计划和监理人的指示控制工程进展。承包人施工前 7 日，承包人报送施工组织设计和总进度计划，并制定关键工程项目的控制性工期。承包人承诺：若是由承包人的原因造成总进度工期延误，情节严重者，除按合同中违约的条款处置外，并没收全部履约保证金。</w:t>
      </w:r>
    </w:p>
    <w:p w14:paraId="03D86B3D">
      <w:pPr>
        <w:spacing w:line="360" w:lineRule="auto"/>
        <w:rPr>
          <w:rFonts w:hint="eastAsia" w:ascii="黑体" w:hAnsi="黑体" w:eastAsia="黑体" w:cs="黑体"/>
          <w:color w:val="auto"/>
          <w:sz w:val="22"/>
          <w:szCs w:val="28"/>
          <w:highlight w:val="none"/>
          <w:lang w:eastAsia="zh-CN"/>
        </w:rPr>
      </w:pPr>
      <w:bookmarkStart w:id="529" w:name="_Toc28069"/>
      <w:r>
        <w:rPr>
          <w:rFonts w:hint="eastAsia" w:ascii="黑体" w:hAnsi="黑体" w:eastAsia="黑体" w:cs="黑体"/>
          <w:color w:val="auto"/>
          <w:sz w:val="22"/>
          <w:szCs w:val="28"/>
          <w:highlight w:val="none"/>
          <w:lang w:eastAsia="zh-CN"/>
        </w:rPr>
        <w:t>10.2 修订进度计划</w:t>
      </w:r>
      <w:bookmarkEnd w:id="529"/>
    </w:p>
    <w:p w14:paraId="783679A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（1）不论何种原因发生工程的实际进度与第 10.1 款所述的合同进度计划不符时，承包人应按监理人的指示在 7 天内提交一份修订的进度计划报送监理人审批，监理人应在收到该进度计划后的 28 天内批复承包人。批准后的修订进度计划作为合同进度计划的补充文件。</w:t>
      </w:r>
    </w:p>
    <w:p w14:paraId="3E427E3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（2）不论何种原因造成施工进度计划拖后，承包人均应按监理人的指示，采取有效措施赶上进度。 承包人应在向监理人报送修订进度计划的同时，编制一份赶工措施报告报送监理人审批，赶工措施应以保证工程按期完工为前提调整和修改进度计划。由于发包人原因造成施工进度拖后，应按第11.3款的规定办理；由于承包人原因造成施工进度拖后，应按第 11.5款的规定办理。</w:t>
      </w:r>
    </w:p>
    <w:p w14:paraId="27BCF755">
      <w:pPr>
        <w:spacing w:line="360" w:lineRule="auto"/>
        <w:rPr>
          <w:rFonts w:hint="eastAsia" w:ascii="黑体" w:hAnsi="黑体" w:eastAsia="黑体" w:cs="黑体"/>
          <w:color w:val="auto"/>
          <w:sz w:val="22"/>
          <w:szCs w:val="28"/>
          <w:highlight w:val="none"/>
          <w:lang w:eastAsia="zh-CN"/>
        </w:rPr>
      </w:pPr>
      <w:bookmarkStart w:id="530" w:name="_Toc2110"/>
      <w:r>
        <w:rPr>
          <w:rFonts w:hint="eastAsia" w:ascii="黑体" w:hAnsi="黑体" w:eastAsia="黑体" w:cs="黑体"/>
          <w:color w:val="auto"/>
          <w:sz w:val="22"/>
          <w:szCs w:val="28"/>
          <w:highlight w:val="none"/>
          <w:lang w:eastAsia="zh-CN"/>
        </w:rPr>
        <w:t>10.3单位工程进度计划</w:t>
      </w:r>
      <w:bookmarkEnd w:id="530"/>
    </w:p>
    <w:p w14:paraId="274F786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增加条款:</w:t>
      </w:r>
    </w:p>
    <w:p w14:paraId="536A6E7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承包人应按监理人要求报送施工进度计划。若承包人报送的进度计划监理人认为需进行调整时,承包人必须按照监理人的意见进行调整并重新报送(包括电子版)。</w:t>
      </w:r>
    </w:p>
    <w:p w14:paraId="2CEB6E01">
      <w:pPr>
        <w:spacing w:line="360" w:lineRule="auto"/>
        <w:rPr>
          <w:rFonts w:hint="eastAsia" w:ascii="黑体" w:hAnsi="黑体" w:eastAsia="黑体" w:cs="黑体"/>
          <w:color w:val="auto"/>
          <w:sz w:val="22"/>
          <w:szCs w:val="28"/>
          <w:highlight w:val="none"/>
          <w:lang w:eastAsia="zh-CN"/>
        </w:rPr>
      </w:pPr>
      <w:bookmarkStart w:id="531" w:name="_Toc27047"/>
      <w:r>
        <w:rPr>
          <w:rFonts w:hint="eastAsia" w:ascii="黑体" w:hAnsi="黑体" w:eastAsia="黑体" w:cs="黑体"/>
          <w:color w:val="auto"/>
          <w:sz w:val="22"/>
          <w:szCs w:val="28"/>
          <w:highlight w:val="none"/>
          <w:lang w:eastAsia="zh-CN"/>
        </w:rPr>
        <w:t>11 开工和竣工（完工）</w:t>
      </w:r>
      <w:bookmarkEnd w:id="531"/>
    </w:p>
    <w:p w14:paraId="48616839">
      <w:pPr>
        <w:spacing w:line="360" w:lineRule="auto"/>
        <w:rPr>
          <w:rFonts w:hint="eastAsia" w:ascii="黑体" w:hAnsi="黑体" w:eastAsia="黑体" w:cs="黑体"/>
          <w:color w:val="auto"/>
          <w:sz w:val="22"/>
          <w:szCs w:val="28"/>
          <w:highlight w:val="none"/>
          <w:lang w:eastAsia="zh-CN"/>
        </w:rPr>
      </w:pPr>
      <w:bookmarkStart w:id="532" w:name="_Toc16512"/>
      <w:r>
        <w:rPr>
          <w:rFonts w:hint="eastAsia" w:ascii="黑体" w:hAnsi="黑体" w:eastAsia="黑体" w:cs="黑体"/>
          <w:color w:val="auto"/>
          <w:sz w:val="22"/>
          <w:szCs w:val="28"/>
          <w:highlight w:val="none"/>
          <w:lang w:eastAsia="zh-CN"/>
        </w:rPr>
        <w:t>11.1</w:t>
      </w:r>
      <w:r>
        <w:rPr>
          <w:rFonts w:hint="eastAsia" w:ascii="黑体" w:hAnsi="黑体" w:eastAsia="黑体" w:cs="黑体"/>
          <w:color w:val="auto"/>
          <w:sz w:val="22"/>
          <w:szCs w:val="28"/>
          <w:highlight w:val="none"/>
          <w:lang w:eastAsia="zh-CN"/>
        </w:rPr>
        <w:tab/>
      </w:r>
      <w:r>
        <w:rPr>
          <w:rFonts w:hint="eastAsia" w:ascii="黑体" w:hAnsi="黑体" w:eastAsia="黑体" w:cs="黑体"/>
          <w:color w:val="auto"/>
          <w:sz w:val="22"/>
          <w:szCs w:val="28"/>
          <w:highlight w:val="none"/>
          <w:lang w:eastAsia="zh-CN"/>
        </w:rPr>
        <w:t>异常恶劣的气候条件</w:t>
      </w:r>
      <w:bookmarkEnd w:id="532"/>
    </w:p>
    <w:p w14:paraId="7E026DD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11.1.1</w:t>
      </w:r>
      <w:r>
        <w:rPr>
          <w:rFonts w:hint="eastAsia" w:ascii="黑体" w:hAnsi="黑体" w:eastAsia="黑体" w:cs="黑体"/>
          <w:color w:val="auto"/>
          <w:sz w:val="22"/>
          <w:szCs w:val="28"/>
          <w:highlight w:val="none"/>
          <w:lang w:eastAsia="zh-CN"/>
        </w:rPr>
        <w:tab/>
      </w:r>
      <w:r>
        <w:rPr>
          <w:rFonts w:hint="eastAsia" w:ascii="黑体" w:hAnsi="黑体" w:eastAsia="黑体" w:cs="黑体"/>
          <w:color w:val="auto"/>
          <w:sz w:val="22"/>
          <w:szCs w:val="28"/>
          <w:highlight w:val="none"/>
          <w:lang w:eastAsia="zh-CN"/>
        </w:rPr>
        <w:t>本合同工程界定异常恶劣气候条件的范围为：</w:t>
      </w:r>
    </w:p>
    <w:p w14:paraId="3F63745A">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⑴日降雨量大于50  mm  的雨日超过10  天；</w:t>
      </w:r>
    </w:p>
    <w:p w14:paraId="07397CC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⑵风速大于35  m/S 的风灾；</w:t>
      </w:r>
    </w:p>
    <w:p w14:paraId="67644DD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⑶日气温超过40.3  ℃ 的高温大于20  天；</w:t>
      </w:r>
    </w:p>
    <w:p w14:paraId="6B4FB08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⑷日气温低于-32.2  ℃ 的严寒大于10  天；</w:t>
      </w:r>
    </w:p>
    <w:p w14:paraId="5F9AD47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⑸造成工程损坏的冰雹和大雪灾害：承包人充分考虑；</w:t>
      </w:r>
    </w:p>
    <w:p w14:paraId="26D6E3D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⑹其它异常恶劣气候灾害：除工程保险规定以外的，承包人充分考虑。</w:t>
      </w:r>
    </w:p>
    <w:p w14:paraId="134E7728">
      <w:pPr>
        <w:spacing w:line="360" w:lineRule="auto"/>
        <w:rPr>
          <w:rFonts w:hint="eastAsia" w:ascii="黑体" w:hAnsi="黑体" w:eastAsia="黑体" w:cs="黑体"/>
          <w:color w:val="auto"/>
          <w:sz w:val="22"/>
          <w:szCs w:val="28"/>
          <w:highlight w:val="none"/>
          <w:lang w:eastAsia="zh-CN"/>
        </w:rPr>
      </w:pPr>
      <w:bookmarkStart w:id="533" w:name="_Toc24231"/>
      <w:r>
        <w:rPr>
          <w:rFonts w:hint="eastAsia" w:ascii="黑体" w:hAnsi="黑体" w:eastAsia="黑体" w:cs="黑体"/>
          <w:color w:val="auto"/>
          <w:sz w:val="22"/>
          <w:szCs w:val="28"/>
          <w:highlight w:val="none"/>
          <w:lang w:eastAsia="zh-CN"/>
        </w:rPr>
        <w:t>11.2 承包人工期延误</w:t>
      </w:r>
      <w:bookmarkEnd w:id="533"/>
    </w:p>
    <w:p w14:paraId="5762211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增加条款：</w:t>
      </w:r>
    </w:p>
    <w:p w14:paraId="6FCBD6D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（1）承包人在接到开工通知后 14 天内未按进度计划要求及时进点组织施工，监理人可通知承包人在接到通知后 7 天内编制一份赶工措施报告报送监理人审批。赶工措施报告应详细说明不能及时进步的原因和赶工办法，由此增加的费用和工期延误责任由承包人承担。</w:t>
      </w:r>
    </w:p>
    <w:p w14:paraId="22D0578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（2）由于承包人原因未能按控制性节点合同要求的完工日期完工，承包人应按第 10.2 款（2）项的规定采取赶工措施赶上进度。若采取赶工措施后仍未能按合同规定的完工日期完工，承包人除自行承担采取赶工措施所增加的费用外，还应支付逾期完工违约金。若承包人的工期延误构成违约时，应按第22.1 条的规定办理。本合同工程逾期完工违约金为</w:t>
      </w:r>
      <w:r>
        <w:rPr>
          <w:rFonts w:hint="eastAsia" w:ascii="黑体" w:hAnsi="黑体" w:eastAsia="黑体" w:cs="黑体"/>
          <w:color w:val="auto"/>
          <w:sz w:val="22"/>
          <w:szCs w:val="28"/>
          <w:highlight w:val="none"/>
          <w:lang w:val="en-US" w:eastAsia="zh-CN"/>
        </w:rPr>
        <w:t>1</w:t>
      </w:r>
      <w:r>
        <w:rPr>
          <w:rFonts w:hint="eastAsia" w:ascii="黑体" w:hAnsi="黑体" w:eastAsia="黑体" w:cs="黑体"/>
          <w:color w:val="auto"/>
          <w:sz w:val="22"/>
          <w:szCs w:val="28"/>
          <w:highlight w:val="none"/>
          <w:lang w:eastAsia="zh-CN"/>
        </w:rPr>
        <w:t>0000元/天，但全部逾期完工违约金的总限额不超过签约合同价的 10%。</w:t>
      </w:r>
    </w:p>
    <w:p w14:paraId="09288A5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（3）承包人的施工进度、人员、设备不能按投标文件所列的时间按期足额完好到场并严重影响工期时，由承包人按天支付工程逾期完工违约金为</w:t>
      </w:r>
      <w:r>
        <w:rPr>
          <w:rFonts w:hint="eastAsia" w:ascii="黑体" w:hAnsi="黑体" w:eastAsia="黑体" w:cs="黑体"/>
          <w:color w:val="auto"/>
          <w:sz w:val="22"/>
          <w:szCs w:val="28"/>
          <w:highlight w:val="none"/>
          <w:lang w:val="en-US" w:eastAsia="zh-CN"/>
        </w:rPr>
        <w:t>1</w:t>
      </w:r>
      <w:r>
        <w:rPr>
          <w:rFonts w:hint="eastAsia" w:ascii="黑体" w:hAnsi="黑体" w:eastAsia="黑体" w:cs="黑体"/>
          <w:color w:val="auto"/>
          <w:sz w:val="22"/>
          <w:szCs w:val="28"/>
          <w:highlight w:val="none"/>
          <w:lang w:eastAsia="zh-CN"/>
        </w:rPr>
        <w:t>000元/天，但全部逾期完工违约金的总限额不超过签约合同价的10%；必要时，发包人还将清退承包人，并报请有关部门予以通报；由于清退而引起的一切经济损失均由承包人承担（其中含承包人的自身损失和发包人需重新寻选施工单位、进行工程维护，对施工场地进行植护、尾工价格差异等一系列工期与经济连带损失）。向发包人支付的违约金将从履约保证金或工程结算款中扣除。</w:t>
      </w:r>
    </w:p>
    <w:p w14:paraId="436BB467">
      <w:pPr>
        <w:spacing w:line="360" w:lineRule="auto"/>
        <w:rPr>
          <w:rFonts w:hint="eastAsia" w:ascii="黑体" w:hAnsi="黑体" w:eastAsia="黑体" w:cs="黑体"/>
          <w:color w:val="auto"/>
          <w:sz w:val="22"/>
          <w:szCs w:val="28"/>
          <w:highlight w:val="none"/>
          <w:lang w:eastAsia="zh-CN"/>
        </w:rPr>
      </w:pPr>
      <w:bookmarkStart w:id="534" w:name="_Toc8266"/>
      <w:r>
        <w:rPr>
          <w:rFonts w:hint="eastAsia" w:ascii="黑体" w:hAnsi="黑体" w:eastAsia="黑体" w:cs="黑体"/>
          <w:color w:val="auto"/>
          <w:sz w:val="22"/>
          <w:szCs w:val="28"/>
          <w:highlight w:val="none"/>
          <w:lang w:eastAsia="zh-CN"/>
        </w:rPr>
        <w:t>12 暂停施工</w:t>
      </w:r>
      <w:bookmarkEnd w:id="534"/>
    </w:p>
    <w:p w14:paraId="1DE5D17D">
      <w:pPr>
        <w:spacing w:line="360" w:lineRule="auto"/>
        <w:rPr>
          <w:rFonts w:hint="eastAsia" w:ascii="黑体" w:hAnsi="黑体" w:eastAsia="黑体" w:cs="黑体"/>
          <w:color w:val="auto"/>
          <w:sz w:val="22"/>
          <w:szCs w:val="28"/>
          <w:highlight w:val="none"/>
          <w:lang w:eastAsia="zh-CN"/>
        </w:rPr>
      </w:pPr>
      <w:bookmarkStart w:id="535" w:name="_Toc14991"/>
      <w:r>
        <w:rPr>
          <w:rFonts w:hint="eastAsia" w:ascii="黑体" w:hAnsi="黑体" w:eastAsia="黑体" w:cs="黑体"/>
          <w:color w:val="auto"/>
          <w:sz w:val="22"/>
          <w:szCs w:val="28"/>
          <w:highlight w:val="none"/>
          <w:lang w:eastAsia="zh-CN"/>
        </w:rPr>
        <w:t>12.1 承包人暂停施工的责任</w:t>
      </w:r>
      <w:bookmarkEnd w:id="535"/>
    </w:p>
    <w:p w14:paraId="47D216A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1）承包人施工中应充分考虑的现场非异常恶劣气候条件引起的正常停工；</w:t>
      </w:r>
    </w:p>
    <w:p w14:paraId="7C17B64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2）承包人自供的材料或工程设备的供应中断；</w:t>
      </w:r>
    </w:p>
    <w:p w14:paraId="2ECA4CB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3）隐蔽工程未经检查擅自覆盖；</w:t>
      </w:r>
    </w:p>
    <w:p w14:paraId="635DA65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4）质量事故未及时处理等由于承包人自身原因造成的暂停施工。</w:t>
      </w:r>
    </w:p>
    <w:p w14:paraId="09CF2FD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 xml:space="preserve">5）承包人承担暂停施工责任的其它情形： </w:t>
      </w:r>
    </w:p>
    <w:p w14:paraId="236D0973">
      <w:pPr>
        <w:spacing w:line="360" w:lineRule="auto"/>
        <w:rPr>
          <w:rFonts w:hint="eastAsia" w:ascii="黑体" w:hAnsi="黑体" w:eastAsia="黑体" w:cs="黑体"/>
          <w:color w:val="auto"/>
          <w:sz w:val="22"/>
          <w:szCs w:val="28"/>
          <w:highlight w:val="none"/>
          <w:lang w:eastAsia="zh-CN"/>
        </w:rPr>
      </w:pPr>
      <w:bookmarkStart w:id="536" w:name="_Toc29670"/>
      <w:r>
        <w:rPr>
          <w:rFonts w:hint="eastAsia" w:ascii="黑体" w:hAnsi="黑体" w:eastAsia="黑体" w:cs="黑体"/>
          <w:color w:val="auto"/>
          <w:sz w:val="22"/>
          <w:szCs w:val="28"/>
          <w:highlight w:val="none"/>
          <w:lang w:eastAsia="zh-CN"/>
        </w:rPr>
        <w:t>13 工程质量</w:t>
      </w:r>
      <w:bookmarkEnd w:id="536"/>
    </w:p>
    <w:p w14:paraId="4AEC790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13.1.1 本工程质量验收标准为合格。</w:t>
      </w:r>
    </w:p>
    <w:p w14:paraId="6ACFE2FC">
      <w:pPr>
        <w:spacing w:line="360" w:lineRule="auto"/>
        <w:rPr>
          <w:rFonts w:hint="eastAsia" w:ascii="黑体" w:hAnsi="黑体" w:eastAsia="黑体" w:cs="黑体"/>
          <w:color w:val="auto"/>
          <w:sz w:val="22"/>
          <w:szCs w:val="28"/>
          <w:highlight w:val="none"/>
          <w:lang w:eastAsia="zh-CN"/>
        </w:rPr>
      </w:pPr>
      <w:bookmarkStart w:id="537" w:name="_Toc32349"/>
      <w:r>
        <w:rPr>
          <w:rFonts w:hint="eastAsia" w:ascii="黑体" w:hAnsi="黑体" w:eastAsia="黑体" w:cs="黑体"/>
          <w:color w:val="auto"/>
          <w:sz w:val="22"/>
          <w:szCs w:val="28"/>
          <w:highlight w:val="none"/>
          <w:lang w:eastAsia="zh-CN"/>
        </w:rPr>
        <w:t>13.2 质量事故处理</w:t>
      </w:r>
      <w:bookmarkEnd w:id="537"/>
    </w:p>
    <w:p w14:paraId="308EFEE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13.2.1 工程竣工验收时，承包人应配合监理人及发包人向竣工验收委员会汇报并提交历次质量缺陷处理的备案资料。</w:t>
      </w:r>
    </w:p>
    <w:p w14:paraId="1546C2F0">
      <w:pPr>
        <w:spacing w:line="360" w:lineRule="auto"/>
        <w:rPr>
          <w:rFonts w:hint="eastAsia" w:ascii="黑体" w:hAnsi="黑体" w:eastAsia="黑体" w:cs="黑体"/>
          <w:color w:val="auto"/>
          <w:sz w:val="22"/>
          <w:szCs w:val="28"/>
          <w:highlight w:val="none"/>
          <w:lang w:eastAsia="zh-CN"/>
        </w:rPr>
      </w:pPr>
      <w:bookmarkStart w:id="538" w:name="_Toc3765"/>
      <w:r>
        <w:rPr>
          <w:rFonts w:hint="eastAsia" w:ascii="黑体" w:hAnsi="黑体" w:eastAsia="黑体" w:cs="黑体"/>
          <w:color w:val="auto"/>
          <w:sz w:val="22"/>
          <w:szCs w:val="28"/>
          <w:highlight w:val="none"/>
          <w:lang w:eastAsia="zh-CN"/>
        </w:rPr>
        <w:t>14 试验和检验</w:t>
      </w:r>
      <w:bookmarkEnd w:id="538"/>
    </w:p>
    <w:p w14:paraId="38F3D138">
      <w:pPr>
        <w:spacing w:line="360" w:lineRule="auto"/>
        <w:rPr>
          <w:rFonts w:hint="eastAsia" w:ascii="黑体" w:hAnsi="黑体" w:eastAsia="黑体" w:cs="黑体"/>
          <w:color w:val="auto"/>
          <w:sz w:val="22"/>
          <w:szCs w:val="28"/>
          <w:highlight w:val="none"/>
          <w:lang w:eastAsia="zh-CN"/>
        </w:rPr>
      </w:pPr>
      <w:bookmarkStart w:id="539" w:name="_Toc5346"/>
      <w:r>
        <w:rPr>
          <w:rFonts w:hint="eastAsia" w:ascii="黑体" w:hAnsi="黑体" w:eastAsia="黑体" w:cs="黑体"/>
          <w:color w:val="auto"/>
          <w:sz w:val="22"/>
          <w:szCs w:val="28"/>
          <w:highlight w:val="none"/>
          <w:lang w:eastAsia="zh-CN"/>
        </w:rPr>
        <w:t>14.1 材料、工程设备和工程的试验和检验</w:t>
      </w:r>
      <w:bookmarkEnd w:id="539"/>
    </w:p>
    <w:p w14:paraId="6A592FD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14.1.1 本工程材料由承包人负责采购、运输和保管，设备进场后承包人应会同监理人和发包人进行交货检查和验收，验收时应同时查验材质证明、产品合格证书、安装说明书及有关技术文件。承包人应将各项材料和工程设备的供货人及品种、规格、数量和供货时间等报送监理人审批，并应向监理人提交其负责提供的材料和工程设备的质量证明文件，且满足合同约定的质量标准。承包人应对各项材料和 工程设备在运输和存放过程中发生的变形、受潮、损坏等问题应作好记录，并进行妥善处理。</w:t>
      </w:r>
    </w:p>
    <w:p w14:paraId="5E24C0A5">
      <w:pPr>
        <w:spacing w:line="360" w:lineRule="auto"/>
        <w:rPr>
          <w:rFonts w:hint="eastAsia" w:ascii="黑体" w:hAnsi="黑体" w:eastAsia="黑体" w:cs="黑体"/>
          <w:color w:val="auto"/>
          <w:sz w:val="22"/>
          <w:szCs w:val="28"/>
          <w:highlight w:val="none"/>
          <w:lang w:eastAsia="zh-CN"/>
        </w:rPr>
      </w:pPr>
      <w:bookmarkStart w:id="540" w:name="_Toc18801"/>
      <w:r>
        <w:rPr>
          <w:rFonts w:hint="eastAsia" w:ascii="黑体" w:hAnsi="黑体" w:eastAsia="黑体" w:cs="黑体"/>
          <w:color w:val="auto"/>
          <w:sz w:val="22"/>
          <w:szCs w:val="28"/>
          <w:highlight w:val="none"/>
          <w:lang w:eastAsia="zh-CN"/>
        </w:rPr>
        <w:t>14.2 现场材料试验</w:t>
      </w:r>
      <w:bookmarkEnd w:id="540"/>
    </w:p>
    <w:p w14:paraId="32FFACD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14.2.1 材料进场后，由承包人自行委托的具有相应资质的检测机构进行检测，检测结果报送监理人、监理人组织发包人委托的检测单位开展平行检测。</w:t>
      </w:r>
    </w:p>
    <w:p w14:paraId="1CCA1A5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施工单位应当按照有关规定对进入施工现场的原材料、中间产品、设备及单元工程（工序）进行质量检验，检验应当有检查记录或检测报告。质量检测试样的抽取、制作以及工程实体检测，应在项目法人或监理单位见证人员的见证下实施。试件以及有关材料，应当在项目法人或监理单位监督下现场取样。监理单位应当按照有关规定，采取旁站、巡视、平行检测和见证取样等形式，复核原材料、中间产品、设备和单元工程（工序）质量。</w:t>
      </w:r>
    </w:p>
    <w:p w14:paraId="37EF5630">
      <w:pPr>
        <w:spacing w:line="360" w:lineRule="auto"/>
        <w:rPr>
          <w:rFonts w:hint="eastAsia" w:ascii="黑体" w:hAnsi="黑体" w:eastAsia="黑体" w:cs="黑体"/>
          <w:color w:val="auto"/>
          <w:sz w:val="22"/>
          <w:szCs w:val="28"/>
          <w:highlight w:val="none"/>
          <w:lang w:eastAsia="zh-CN"/>
        </w:rPr>
      </w:pPr>
      <w:bookmarkStart w:id="541" w:name="_Toc20595"/>
      <w:r>
        <w:rPr>
          <w:rFonts w:hint="eastAsia" w:ascii="黑体" w:hAnsi="黑体" w:eastAsia="黑体" w:cs="黑体"/>
          <w:color w:val="auto"/>
          <w:sz w:val="22"/>
          <w:szCs w:val="28"/>
          <w:highlight w:val="none"/>
          <w:lang w:eastAsia="zh-CN"/>
        </w:rPr>
        <w:t>14.3 现场工艺试验</w:t>
      </w:r>
      <w:bookmarkEnd w:id="541"/>
    </w:p>
    <w:p w14:paraId="2C0741E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检测由具有相应资质的质量检验试验机构进行。</w:t>
      </w:r>
    </w:p>
    <w:p w14:paraId="72D5918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补充条款：</w:t>
      </w:r>
    </w:p>
    <w:p w14:paraId="7EBA169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（1）水工金属结构、启闭机及机电产品进场后的交货检查和验收中，承包人负责提供必需的试验资料和原始记录。</w:t>
      </w:r>
    </w:p>
    <w:p w14:paraId="13042F31">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（2）对于采购预制混凝土构建，需要提供出厂合格证及质量检测部门出具的检测合格证明。</w:t>
      </w:r>
    </w:p>
    <w:p w14:paraId="4F64EC0F">
      <w:pPr>
        <w:spacing w:line="360" w:lineRule="auto"/>
        <w:rPr>
          <w:rFonts w:hint="eastAsia" w:ascii="黑体" w:hAnsi="黑体" w:eastAsia="黑体" w:cs="黑体"/>
          <w:color w:val="auto"/>
          <w:sz w:val="22"/>
          <w:szCs w:val="28"/>
          <w:highlight w:val="none"/>
          <w:lang w:eastAsia="zh-CN"/>
        </w:rPr>
      </w:pPr>
      <w:bookmarkStart w:id="542" w:name="_Toc8080"/>
      <w:r>
        <w:rPr>
          <w:rFonts w:hint="eastAsia" w:ascii="黑体" w:hAnsi="黑体" w:eastAsia="黑体" w:cs="黑体"/>
          <w:color w:val="auto"/>
          <w:sz w:val="22"/>
          <w:szCs w:val="28"/>
          <w:highlight w:val="none"/>
          <w:lang w:eastAsia="zh-CN"/>
        </w:rPr>
        <w:t>15 变更</w:t>
      </w:r>
      <w:bookmarkEnd w:id="542"/>
    </w:p>
    <w:p w14:paraId="741C6C82">
      <w:pPr>
        <w:spacing w:line="360" w:lineRule="auto"/>
        <w:rPr>
          <w:rFonts w:hint="eastAsia" w:ascii="黑体" w:hAnsi="黑体" w:eastAsia="黑体" w:cs="黑体"/>
          <w:color w:val="auto"/>
          <w:sz w:val="22"/>
          <w:szCs w:val="28"/>
          <w:highlight w:val="none"/>
          <w:lang w:eastAsia="zh-CN"/>
        </w:rPr>
      </w:pPr>
      <w:bookmarkStart w:id="543" w:name="_Toc20285"/>
      <w:r>
        <w:rPr>
          <w:rFonts w:hint="eastAsia" w:ascii="黑体" w:hAnsi="黑体" w:eastAsia="黑体" w:cs="黑体"/>
          <w:color w:val="auto"/>
          <w:sz w:val="22"/>
          <w:szCs w:val="28"/>
          <w:highlight w:val="none"/>
          <w:lang w:eastAsia="zh-CN"/>
        </w:rPr>
        <w:t>15.1 变更的范围和内容</w:t>
      </w:r>
      <w:bookmarkEnd w:id="543"/>
    </w:p>
    <w:p w14:paraId="3D9C6DE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1、一般设计变更由项目法人、设计、监理、施工根据会商记录，编报四方工作联系单，注明设计变更的理由、内容、投资对比；由设计出具设计变更通知单，监理下发监理指示后方可实施。</w:t>
      </w:r>
    </w:p>
    <w:p w14:paraId="6FA41FC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2、重大设计变更需要报原批复单位批复后实施。</w:t>
      </w:r>
    </w:p>
    <w:p w14:paraId="3F5E13C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3、由于设计变更增加或减少合同中项目的工程量，均不调整合同单价。合同外的项目按施工合同约定计算单价。</w:t>
      </w:r>
    </w:p>
    <w:p w14:paraId="5DEA80A6">
      <w:pPr>
        <w:spacing w:line="360" w:lineRule="auto"/>
        <w:rPr>
          <w:rFonts w:hint="eastAsia" w:ascii="黑体" w:hAnsi="黑体" w:eastAsia="黑体" w:cs="黑体"/>
          <w:color w:val="auto"/>
          <w:sz w:val="22"/>
          <w:szCs w:val="28"/>
          <w:highlight w:val="none"/>
          <w:lang w:eastAsia="zh-CN"/>
        </w:rPr>
      </w:pPr>
      <w:bookmarkStart w:id="544" w:name="_Toc19670"/>
      <w:r>
        <w:rPr>
          <w:rFonts w:hint="eastAsia" w:ascii="黑体" w:hAnsi="黑体" w:eastAsia="黑体" w:cs="黑体"/>
          <w:color w:val="auto"/>
          <w:sz w:val="22"/>
          <w:szCs w:val="28"/>
          <w:highlight w:val="none"/>
          <w:lang w:eastAsia="zh-CN"/>
        </w:rPr>
        <w:t>15.2 暂列金额</w:t>
      </w:r>
      <w:bookmarkEnd w:id="544"/>
    </w:p>
    <w:p w14:paraId="4610FD6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暂列金额是招标人在工程量清单中暂定并包括在合同价款中的一笔款项，用于施工合同签订时尚未确定或者不可预见的所需工程、材料、设备、服务的采购，施 工中可 能发生 的工程 变更、合同约定调整因素出现 时的工程价款调整以及发生 的索赔、现场签证确认等 的费用。暂列金额按有关规定和审查程序，根据工程实际情况进行支配。</w:t>
      </w:r>
    </w:p>
    <w:p w14:paraId="5D8A68D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暂列金额只能由监理人报发包人批准后指令全部或部分地使用，或者根本不予运用。对于经发包人批准的每一笔暂列金额，监理人有权向承包人发出实施工程或提供材料、工程设备或服务的指令，这些指令由承包人完成。当监理人提出要求时，承包人应提供有关暂列金额支出的所有报价单、发票、凭证和账单或收据。</w:t>
      </w:r>
    </w:p>
    <w:p w14:paraId="2ACB29B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val="en-US" w:eastAsia="zh-CN"/>
        </w:rPr>
        <w:t>增加条款：增加或减少合同中关键项目的工程量超过其工程总量的15％。关键项目：土方开挖、土方填筑、砂砾石垫层、混凝土工程、借方填筑。单价调整方式：按通用条款15.4原则计算单价，工程量清单内已有的项目工程增加或减少按合同单价执行。</w:t>
      </w:r>
    </w:p>
    <w:p w14:paraId="04E4B11E">
      <w:pPr>
        <w:spacing w:line="360" w:lineRule="auto"/>
        <w:rPr>
          <w:rFonts w:hint="eastAsia" w:ascii="黑体" w:hAnsi="黑体" w:eastAsia="黑体" w:cs="黑体"/>
          <w:color w:val="auto"/>
          <w:sz w:val="22"/>
          <w:szCs w:val="28"/>
          <w:highlight w:val="none"/>
          <w:lang w:eastAsia="zh-CN"/>
        </w:rPr>
      </w:pPr>
      <w:bookmarkStart w:id="545" w:name="_Toc17179"/>
      <w:r>
        <w:rPr>
          <w:rFonts w:hint="eastAsia" w:ascii="黑体" w:hAnsi="黑体" w:eastAsia="黑体" w:cs="黑体"/>
          <w:color w:val="auto"/>
          <w:sz w:val="22"/>
          <w:szCs w:val="28"/>
          <w:highlight w:val="none"/>
          <w:lang w:eastAsia="zh-CN"/>
        </w:rPr>
        <w:t>16 价格调整</w:t>
      </w:r>
      <w:bookmarkEnd w:id="545"/>
    </w:p>
    <w:p w14:paraId="45725A1B">
      <w:pPr>
        <w:spacing w:line="360" w:lineRule="auto"/>
        <w:rPr>
          <w:rFonts w:hint="eastAsia" w:ascii="黑体" w:hAnsi="黑体" w:eastAsia="黑体" w:cs="黑体"/>
          <w:color w:val="auto"/>
          <w:sz w:val="22"/>
          <w:szCs w:val="28"/>
          <w:highlight w:val="none"/>
          <w:lang w:eastAsia="zh-CN"/>
        </w:rPr>
      </w:pPr>
      <w:bookmarkStart w:id="546" w:name="_Toc5200"/>
      <w:r>
        <w:rPr>
          <w:rFonts w:hint="eastAsia" w:ascii="黑体" w:hAnsi="黑体" w:eastAsia="黑体" w:cs="黑体"/>
          <w:color w:val="auto"/>
          <w:sz w:val="22"/>
          <w:szCs w:val="28"/>
          <w:highlight w:val="none"/>
          <w:lang w:eastAsia="zh-CN"/>
        </w:rPr>
        <w:t>16.1 物价波动引起的价格调整</w:t>
      </w:r>
      <w:bookmarkEnd w:id="546"/>
    </w:p>
    <w:p w14:paraId="3373710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本工程是单价不变合同，在合同终止期内发包人不考虑也不接受物价波动、工程量变化等因素引起的价格调整。</w:t>
      </w:r>
    </w:p>
    <w:p w14:paraId="013704A5">
      <w:pPr>
        <w:spacing w:line="360" w:lineRule="auto"/>
        <w:rPr>
          <w:rFonts w:hint="eastAsia" w:ascii="黑体" w:hAnsi="黑体" w:eastAsia="黑体" w:cs="黑体"/>
          <w:color w:val="auto"/>
          <w:sz w:val="22"/>
          <w:szCs w:val="28"/>
          <w:highlight w:val="none"/>
          <w:lang w:eastAsia="zh-CN"/>
        </w:rPr>
      </w:pPr>
      <w:bookmarkStart w:id="547" w:name="_Toc16660"/>
      <w:r>
        <w:rPr>
          <w:rFonts w:hint="eastAsia" w:ascii="黑体" w:hAnsi="黑体" w:eastAsia="黑体" w:cs="黑体"/>
          <w:color w:val="auto"/>
          <w:sz w:val="22"/>
          <w:szCs w:val="28"/>
          <w:highlight w:val="none"/>
          <w:lang w:eastAsia="zh-CN"/>
        </w:rPr>
        <w:t>16.2 法律变化引起的价格调整</w:t>
      </w:r>
      <w:bookmarkEnd w:id="547"/>
    </w:p>
    <w:p w14:paraId="5A4C170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自投标截止日起至工程完工截止日止，国家的法律、行政法规或国务院有关部门的规章和工程所在地的省、自治区、直辖市的地方法规和规章发生变更，导致承包人在实施合同期间所需要的工程费用发生除第 16.1 款规定以外的增减时，应由监理人与发包人和承包人按通用条款第 3.5 款商定或确定需调整的合同价款。</w:t>
      </w:r>
    </w:p>
    <w:p w14:paraId="018A5695">
      <w:pPr>
        <w:spacing w:line="360" w:lineRule="auto"/>
        <w:rPr>
          <w:rFonts w:hint="eastAsia" w:ascii="黑体" w:hAnsi="黑体" w:eastAsia="黑体" w:cs="黑体"/>
          <w:color w:val="auto"/>
          <w:sz w:val="22"/>
          <w:szCs w:val="28"/>
          <w:highlight w:val="none"/>
          <w:lang w:eastAsia="zh-CN"/>
        </w:rPr>
      </w:pPr>
      <w:bookmarkStart w:id="548" w:name="_Toc25680"/>
      <w:r>
        <w:rPr>
          <w:rFonts w:hint="eastAsia" w:ascii="黑体" w:hAnsi="黑体" w:eastAsia="黑体" w:cs="黑体"/>
          <w:color w:val="auto"/>
          <w:sz w:val="22"/>
          <w:szCs w:val="28"/>
          <w:highlight w:val="none"/>
          <w:lang w:eastAsia="zh-CN"/>
        </w:rPr>
        <w:t>17 计量与支付</w:t>
      </w:r>
      <w:bookmarkEnd w:id="548"/>
    </w:p>
    <w:p w14:paraId="42E28DF6">
      <w:pPr>
        <w:spacing w:line="360" w:lineRule="auto"/>
        <w:rPr>
          <w:rFonts w:hint="eastAsia" w:ascii="黑体" w:hAnsi="黑体" w:eastAsia="黑体" w:cs="黑体"/>
          <w:color w:val="auto"/>
          <w:sz w:val="22"/>
          <w:szCs w:val="28"/>
          <w:highlight w:val="none"/>
          <w:lang w:eastAsia="zh-CN"/>
        </w:rPr>
      </w:pPr>
      <w:bookmarkStart w:id="549" w:name="_Toc7671"/>
      <w:r>
        <w:rPr>
          <w:rFonts w:hint="eastAsia" w:ascii="黑体" w:hAnsi="黑体" w:eastAsia="黑体" w:cs="黑体"/>
          <w:color w:val="auto"/>
          <w:sz w:val="22"/>
          <w:szCs w:val="28"/>
          <w:highlight w:val="none"/>
          <w:lang w:eastAsia="zh-CN"/>
        </w:rPr>
        <w:t>17.1 计量</w:t>
      </w:r>
      <w:bookmarkEnd w:id="549"/>
    </w:p>
    <w:p w14:paraId="4B52896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17.1.1 单价子目的计量</w:t>
      </w:r>
    </w:p>
    <w:p w14:paraId="1911811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w:t>
      </w:r>
      <w:r>
        <w:rPr>
          <w:rFonts w:hint="eastAsia" w:ascii="黑体" w:hAnsi="黑体" w:eastAsia="黑体" w:cs="黑体"/>
          <w:color w:val="auto"/>
          <w:sz w:val="22"/>
          <w:szCs w:val="28"/>
          <w:highlight w:val="none"/>
          <w:lang w:val="en-US" w:eastAsia="zh-CN"/>
        </w:rPr>
        <w:t>1</w:t>
      </w:r>
      <w:r>
        <w:rPr>
          <w:rFonts w:hint="eastAsia" w:ascii="黑体" w:hAnsi="黑体" w:eastAsia="黑体" w:cs="黑体"/>
          <w:color w:val="auto"/>
          <w:sz w:val="22"/>
          <w:szCs w:val="28"/>
          <w:highlight w:val="none"/>
          <w:lang w:eastAsia="zh-CN"/>
        </w:rPr>
        <w:t>）承包人应按合同规定的计量办法，按月对已完成的质量合格的工程进行准确计量，并在每月末随同月付款申请单，按本合同《工程量清单》的项目分项向发包人和监理人提交完成工程量月报表和有关计量资料。</w:t>
      </w:r>
    </w:p>
    <w:p w14:paraId="062C775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w:t>
      </w:r>
      <w:r>
        <w:rPr>
          <w:rFonts w:hint="eastAsia" w:ascii="黑体" w:hAnsi="黑体" w:eastAsia="黑体" w:cs="黑体"/>
          <w:color w:val="auto"/>
          <w:sz w:val="22"/>
          <w:szCs w:val="28"/>
          <w:highlight w:val="none"/>
          <w:lang w:val="en-US" w:eastAsia="zh-CN"/>
        </w:rPr>
        <w:t>2</w:t>
      </w:r>
      <w:r>
        <w:rPr>
          <w:rFonts w:hint="eastAsia" w:ascii="黑体" w:hAnsi="黑体" w:eastAsia="黑体" w:cs="黑体"/>
          <w:color w:val="auto"/>
          <w:sz w:val="22"/>
          <w:szCs w:val="28"/>
          <w:highlight w:val="none"/>
          <w:lang w:eastAsia="zh-CN"/>
        </w:rPr>
        <w:t>）发包人和监理人对承包人提交的工程量月报表进行复核，以确定当月实际完成的工程量，有疑问时，可要求承包人派员与发包人和监理人按第 8.2 款的规定共同复核和抽样复测。承包人应指派代表协助发包人和监理人进行复核并按发包人和监理人的要求提供补充计量资料。若承包人未按监理人的要求派代表参加复核，则发包人和监理人复核修正的工程量应被视为承包人实际完成的准确工程量。</w:t>
      </w:r>
    </w:p>
    <w:p w14:paraId="7F3AAFB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w:t>
      </w:r>
      <w:r>
        <w:rPr>
          <w:rFonts w:hint="eastAsia" w:ascii="黑体" w:hAnsi="黑体" w:eastAsia="黑体" w:cs="黑体"/>
          <w:color w:val="auto"/>
          <w:sz w:val="22"/>
          <w:szCs w:val="28"/>
          <w:highlight w:val="none"/>
          <w:lang w:val="en-US" w:eastAsia="zh-CN"/>
        </w:rPr>
        <w:t>3</w:t>
      </w:r>
      <w:r>
        <w:rPr>
          <w:rFonts w:hint="eastAsia" w:ascii="黑体" w:hAnsi="黑体" w:eastAsia="黑体" w:cs="黑体"/>
          <w:color w:val="auto"/>
          <w:sz w:val="22"/>
          <w:szCs w:val="28"/>
          <w:highlight w:val="none"/>
          <w:lang w:eastAsia="zh-CN"/>
        </w:rPr>
        <w:t>）发包人和监理人认为有必要时，可要求与承包人共同进行联合测量、计量，承包人应遵照执行。</w:t>
      </w:r>
    </w:p>
    <w:p w14:paraId="2A996DF5">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w:t>
      </w:r>
      <w:r>
        <w:rPr>
          <w:rFonts w:hint="eastAsia" w:ascii="黑体" w:hAnsi="黑体" w:eastAsia="黑体" w:cs="黑体"/>
          <w:color w:val="auto"/>
          <w:sz w:val="22"/>
          <w:szCs w:val="28"/>
          <w:highlight w:val="none"/>
          <w:lang w:val="en-US" w:eastAsia="zh-CN"/>
        </w:rPr>
        <w:t>4</w:t>
      </w:r>
      <w:r>
        <w:rPr>
          <w:rFonts w:hint="eastAsia" w:ascii="黑体" w:hAnsi="黑体" w:eastAsia="黑体" w:cs="黑体"/>
          <w:color w:val="auto"/>
          <w:sz w:val="22"/>
          <w:szCs w:val="28"/>
          <w:highlight w:val="none"/>
          <w:lang w:eastAsia="zh-CN"/>
        </w:rPr>
        <w:t>）承包人完成了本合同《工程量清单》中每个子目的全部工程量后，发包人和监理人应要求承包人派员共同对每个子目的历次计量报表进行汇总和通过测量核实该子目的最终结算工程量，并可要求承包人提供补充计量资料，以确定该子目最后一次进度付款的准确工程量。如承包人未按发包人和监理人的要求派员参加，则发包人和监理人最终核实的工程量应被视为该子目完成的准确工程量。</w:t>
      </w:r>
    </w:p>
    <w:p w14:paraId="30B435C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本款增加：</w:t>
      </w:r>
    </w:p>
    <w:p w14:paraId="49F09C9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w:t>
      </w:r>
      <w:r>
        <w:rPr>
          <w:rFonts w:hint="eastAsia" w:ascii="黑体" w:hAnsi="黑体" w:eastAsia="黑体" w:cs="黑体"/>
          <w:color w:val="auto"/>
          <w:sz w:val="22"/>
          <w:szCs w:val="28"/>
          <w:highlight w:val="none"/>
          <w:lang w:val="en-US" w:eastAsia="zh-CN"/>
        </w:rPr>
        <w:t>5</w:t>
      </w:r>
      <w:r>
        <w:rPr>
          <w:rFonts w:hint="eastAsia" w:ascii="黑体" w:hAnsi="黑体" w:eastAsia="黑体" w:cs="黑体"/>
          <w:color w:val="auto"/>
          <w:sz w:val="22"/>
          <w:szCs w:val="28"/>
          <w:highlight w:val="none"/>
          <w:lang w:eastAsia="zh-CN"/>
        </w:rPr>
        <w:t>）在工程量的计量中，承包人若存在恶意弄虚作假行为的，发包人将对承包人按虚报工程量价款的 3－5 倍进行处罚，同时向承包人发出书面警告和在行业范围内通报。</w:t>
      </w:r>
    </w:p>
    <w:p w14:paraId="0DABE6A8">
      <w:pPr>
        <w:spacing w:line="360" w:lineRule="auto"/>
        <w:rPr>
          <w:rFonts w:hint="eastAsia" w:ascii="黑体" w:hAnsi="黑体" w:eastAsia="黑体" w:cs="黑体"/>
          <w:color w:val="auto"/>
          <w:sz w:val="22"/>
          <w:szCs w:val="28"/>
          <w:highlight w:val="none"/>
          <w:lang w:eastAsia="zh-CN"/>
        </w:rPr>
      </w:pPr>
      <w:bookmarkStart w:id="550" w:name="_Toc26402"/>
      <w:r>
        <w:rPr>
          <w:rFonts w:hint="eastAsia" w:ascii="黑体" w:hAnsi="黑体" w:eastAsia="黑体" w:cs="黑体"/>
          <w:color w:val="auto"/>
          <w:sz w:val="22"/>
          <w:szCs w:val="28"/>
          <w:highlight w:val="none"/>
          <w:lang w:eastAsia="zh-CN"/>
        </w:rPr>
        <w:t>17.2 预付款</w:t>
      </w:r>
      <w:bookmarkEnd w:id="550"/>
    </w:p>
    <w:p w14:paraId="162B35A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 xml:space="preserve">17.2.1 预付款 </w:t>
      </w:r>
    </w:p>
    <w:p w14:paraId="47659D2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本工程预付款为：为合同价款的30%(不含暂列金)。条件是合同已签订，投标人相关人员和机械按要求已进场，并已缴纳了：(1)履约保证金；(2)按照发包人的要求设立了农民工工资专户；(3)缴纳了农民工工资保证金及安全生产责任保险、人身意外伤害险、工伤保险、工程一切保险、第三者责任保险。</w:t>
      </w:r>
    </w:p>
    <w:p w14:paraId="341F506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17.2.2 预付款的扣回与还清。</w:t>
      </w:r>
    </w:p>
    <w:p w14:paraId="02F3946D">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（1）工程预付款由发包人从月进度付款中扣回。</w:t>
      </w:r>
    </w:p>
    <w:p w14:paraId="2B0753B3">
      <w:pPr>
        <w:spacing w:line="360" w:lineRule="auto"/>
        <w:rPr>
          <w:rFonts w:hint="eastAsia" w:ascii="黑体" w:hAnsi="黑体" w:eastAsia="黑体" w:cs="黑体"/>
          <w:color w:val="auto"/>
          <w:sz w:val="22"/>
          <w:szCs w:val="28"/>
          <w:highlight w:val="none"/>
          <w:lang w:val="en-US" w:eastAsia="zh-CN"/>
        </w:rPr>
      </w:pPr>
      <w:r>
        <w:rPr>
          <w:rFonts w:hint="eastAsia" w:ascii="黑体" w:hAnsi="黑体" w:eastAsia="黑体" w:cs="黑体"/>
          <w:color w:val="auto"/>
          <w:sz w:val="22"/>
          <w:szCs w:val="28"/>
          <w:highlight w:val="none"/>
          <w:lang w:eastAsia="zh-CN"/>
        </w:rPr>
        <w:t>（</w:t>
      </w:r>
      <w:r>
        <w:rPr>
          <w:rFonts w:hint="eastAsia" w:ascii="黑体" w:hAnsi="黑体" w:eastAsia="黑体" w:cs="黑体"/>
          <w:color w:val="auto"/>
          <w:sz w:val="22"/>
          <w:szCs w:val="28"/>
          <w:highlight w:val="none"/>
          <w:lang w:val="en-US" w:eastAsia="zh-CN"/>
        </w:rPr>
        <w:t>2</w:t>
      </w:r>
      <w:r>
        <w:rPr>
          <w:rFonts w:hint="eastAsia" w:ascii="黑体" w:hAnsi="黑体" w:eastAsia="黑体" w:cs="黑体"/>
          <w:color w:val="auto"/>
          <w:sz w:val="22"/>
          <w:szCs w:val="28"/>
          <w:highlight w:val="none"/>
          <w:lang w:eastAsia="zh-CN"/>
        </w:rPr>
        <w:t>）</w:t>
      </w:r>
      <w:r>
        <w:rPr>
          <w:rFonts w:hint="eastAsia" w:ascii="黑体" w:hAnsi="黑体" w:eastAsia="黑体" w:cs="黑体"/>
          <w:color w:val="auto"/>
          <w:sz w:val="22"/>
          <w:szCs w:val="28"/>
          <w:highlight w:val="none"/>
          <w:lang w:val="en-US" w:eastAsia="zh-CN"/>
        </w:rPr>
        <w:t>本工程预付款为合同签订及人、材、机进场后，支付合同价的30%作为预付款（不含暂列金）。</w:t>
      </w:r>
    </w:p>
    <w:p w14:paraId="78FD6FD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17.2.2 预付款保函（担保）</w:t>
      </w:r>
    </w:p>
    <w:p w14:paraId="5E2742B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承包人应在收到第一次工程预付款的同时向发包人提交工程预付款担保，担保金额应与第一次工程预付款金额相同，工程预付款担保有效期自第一次工程预付款拨付给施工企业起生效，至监理公司签发的进度款付款证书说明已完全扣清为止。</w:t>
      </w:r>
    </w:p>
    <w:p w14:paraId="572BE81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（2）预付款担保的担保金额可根据预付款扣回的金额相应递减。</w:t>
      </w:r>
    </w:p>
    <w:p w14:paraId="0880F43C">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17.2.3 预付款的扣回与还清预付款在进度付款中扣回，扣回与还清办法在专用合同条款中约定。在颁发合同工程完工证书前，由于不可抗力或其他原因解除合同时，预付款尚未扣清的，尚未扣清的预付款余额应作为承包人的到期应付款。</w:t>
      </w:r>
    </w:p>
    <w:p w14:paraId="5F8F38D1">
      <w:pPr>
        <w:spacing w:line="360" w:lineRule="auto"/>
        <w:rPr>
          <w:rFonts w:hint="eastAsia" w:ascii="黑体" w:hAnsi="黑体" w:eastAsia="黑体" w:cs="黑体"/>
          <w:color w:val="auto"/>
          <w:sz w:val="22"/>
          <w:szCs w:val="28"/>
          <w:highlight w:val="none"/>
          <w:lang w:val="en-US" w:eastAsia="zh-CN"/>
        </w:rPr>
      </w:pPr>
      <w:r>
        <w:rPr>
          <w:rFonts w:hint="eastAsia" w:ascii="黑体" w:hAnsi="黑体" w:eastAsia="黑体" w:cs="黑体"/>
          <w:color w:val="auto"/>
          <w:sz w:val="22"/>
          <w:szCs w:val="28"/>
          <w:highlight w:val="none"/>
          <w:lang w:val="en-US" w:eastAsia="zh-CN"/>
        </w:rPr>
        <w:t>工程预付款在合同累计完成金额达到签约合同价的</w:t>
      </w:r>
      <w:r>
        <w:rPr>
          <w:rFonts w:hint="eastAsia" w:ascii="黑体" w:hAnsi="黑体" w:eastAsia="黑体" w:cs="黑体"/>
          <w:color w:val="auto"/>
          <w:sz w:val="22"/>
          <w:szCs w:val="28"/>
          <w:highlight w:val="none"/>
          <w:u w:val="single"/>
          <w:lang w:val="en-US" w:eastAsia="zh-CN"/>
        </w:rPr>
        <w:t xml:space="preserve">   %</w:t>
      </w:r>
      <w:r>
        <w:rPr>
          <w:rFonts w:hint="eastAsia" w:ascii="黑体" w:hAnsi="黑体" w:eastAsia="黑体" w:cs="黑体"/>
          <w:color w:val="auto"/>
          <w:sz w:val="22"/>
          <w:szCs w:val="28"/>
          <w:highlight w:val="none"/>
          <w:lang w:val="en-US" w:eastAsia="zh-CN"/>
        </w:rPr>
        <w:t>时开始扣款，直至合同累计完成金额达到签约合同价的</w:t>
      </w:r>
      <w:r>
        <w:rPr>
          <w:rFonts w:hint="eastAsia" w:ascii="黑体" w:hAnsi="黑体" w:eastAsia="黑体" w:cs="黑体"/>
          <w:color w:val="auto"/>
          <w:sz w:val="22"/>
          <w:szCs w:val="28"/>
          <w:highlight w:val="none"/>
          <w:u w:val="single"/>
          <w:lang w:val="en-US" w:eastAsia="zh-CN"/>
        </w:rPr>
        <w:t xml:space="preserve">   %</w:t>
      </w:r>
      <w:r>
        <w:rPr>
          <w:rFonts w:hint="eastAsia" w:ascii="黑体" w:hAnsi="黑体" w:eastAsia="黑体" w:cs="黑体"/>
          <w:color w:val="auto"/>
          <w:sz w:val="22"/>
          <w:szCs w:val="28"/>
          <w:highlight w:val="none"/>
          <w:lang w:val="en-US" w:eastAsia="zh-CN"/>
        </w:rPr>
        <w:t>时全部扣清。</w:t>
      </w:r>
    </w:p>
    <w:p w14:paraId="04C0DA3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object>
          <v:shape id="_x0000_i1025" o:spt="75" type="#_x0000_t75" style="height:34pt;width:125pt;" o:ole="t" filled="f" o:preferrelative="t" stroked="f" coordsize="21600,21600">
            <v:path/>
            <v:fill on="f" focussize="0,0"/>
            <v:stroke on="f"/>
            <v:imagedata r:id="rId21" o:title=""/>
            <o:lock v:ext="edit" aspectratio="t"/>
            <w10:wrap type="none"/>
            <w10:anchorlock/>
          </v:shape>
          <o:OLEObject Type="Embed" ProgID="Equation.KSEE3" ShapeID="_x0000_i1025" DrawAspect="Content" ObjectID="_1468075725" r:id="rId20">
            <o:LockedField>false</o:LockedField>
          </o:OLEObject>
        </w:object>
      </w:r>
    </w:p>
    <w:p w14:paraId="39091F94">
      <w:pPr>
        <w:spacing w:line="360" w:lineRule="auto"/>
        <w:rPr>
          <w:rFonts w:hint="eastAsia" w:ascii="黑体" w:hAnsi="黑体" w:eastAsia="黑体" w:cs="黑体"/>
          <w:color w:val="auto"/>
          <w:sz w:val="22"/>
          <w:szCs w:val="28"/>
          <w:highlight w:val="none"/>
          <w:lang w:val="en-US" w:eastAsia="zh-CN"/>
        </w:rPr>
      </w:pPr>
      <w:r>
        <w:rPr>
          <w:rFonts w:hint="eastAsia" w:ascii="黑体" w:hAnsi="黑体" w:eastAsia="黑体" w:cs="黑体"/>
          <w:color w:val="auto"/>
          <w:sz w:val="22"/>
          <w:szCs w:val="28"/>
          <w:highlight w:val="none"/>
          <w:lang w:val="en-US" w:eastAsia="zh-CN"/>
        </w:rPr>
        <w:t xml:space="preserve">式中   R——每次进度付款中累计扣回的金额； </w:t>
      </w:r>
    </w:p>
    <w:p w14:paraId="7B7BBF91">
      <w:pPr>
        <w:spacing w:line="360" w:lineRule="auto"/>
        <w:rPr>
          <w:rFonts w:hint="eastAsia" w:ascii="黑体" w:hAnsi="黑体" w:eastAsia="黑体" w:cs="黑体"/>
          <w:color w:val="auto"/>
          <w:sz w:val="22"/>
          <w:szCs w:val="28"/>
          <w:highlight w:val="none"/>
          <w:lang w:val="en-US" w:eastAsia="zh-CN"/>
        </w:rPr>
      </w:pPr>
      <w:r>
        <w:rPr>
          <w:rFonts w:hint="eastAsia" w:ascii="黑体" w:hAnsi="黑体" w:eastAsia="黑体" w:cs="黑体"/>
          <w:color w:val="auto"/>
          <w:sz w:val="22"/>
          <w:szCs w:val="28"/>
          <w:highlight w:val="none"/>
          <w:lang w:val="en-US" w:eastAsia="zh-CN"/>
        </w:rPr>
        <w:t xml:space="preserve">   A——工程预付款总金额； </w:t>
      </w:r>
    </w:p>
    <w:p w14:paraId="439828A8">
      <w:pPr>
        <w:spacing w:line="360" w:lineRule="auto"/>
        <w:rPr>
          <w:rFonts w:hint="eastAsia" w:ascii="黑体" w:hAnsi="黑体" w:eastAsia="黑体" w:cs="黑体"/>
          <w:color w:val="auto"/>
          <w:sz w:val="22"/>
          <w:szCs w:val="28"/>
          <w:highlight w:val="none"/>
          <w:lang w:val="en-US" w:eastAsia="zh-CN"/>
        </w:rPr>
      </w:pPr>
      <w:r>
        <w:rPr>
          <w:rFonts w:hint="eastAsia" w:ascii="黑体" w:hAnsi="黑体" w:eastAsia="黑体" w:cs="黑体"/>
          <w:color w:val="auto"/>
          <w:sz w:val="22"/>
          <w:szCs w:val="28"/>
          <w:highlight w:val="none"/>
          <w:lang w:val="en-US" w:eastAsia="zh-CN"/>
        </w:rPr>
        <w:t xml:space="preserve">   S——签约合同价； </w:t>
      </w:r>
    </w:p>
    <w:p w14:paraId="05FA398F">
      <w:pPr>
        <w:spacing w:line="360" w:lineRule="auto"/>
        <w:rPr>
          <w:rFonts w:hint="eastAsia" w:ascii="黑体" w:hAnsi="黑体" w:eastAsia="黑体" w:cs="黑体"/>
          <w:color w:val="auto"/>
          <w:sz w:val="22"/>
          <w:szCs w:val="28"/>
          <w:highlight w:val="none"/>
          <w:lang w:val="en-US" w:eastAsia="zh-CN"/>
        </w:rPr>
      </w:pPr>
      <w:r>
        <w:rPr>
          <w:rFonts w:hint="eastAsia" w:ascii="黑体" w:hAnsi="黑体" w:eastAsia="黑体" w:cs="黑体"/>
          <w:color w:val="auto"/>
          <w:sz w:val="22"/>
          <w:szCs w:val="28"/>
          <w:highlight w:val="none"/>
          <w:lang w:val="en-US" w:eastAsia="zh-CN"/>
        </w:rPr>
        <w:t xml:space="preserve">   C——合同累计完成金额； </w:t>
      </w:r>
    </w:p>
    <w:p w14:paraId="4A7865F5">
      <w:pPr>
        <w:spacing w:line="360" w:lineRule="auto"/>
        <w:rPr>
          <w:rFonts w:hint="eastAsia" w:ascii="黑体" w:hAnsi="黑体" w:eastAsia="黑体" w:cs="黑体"/>
          <w:color w:val="auto"/>
          <w:sz w:val="22"/>
          <w:szCs w:val="28"/>
          <w:highlight w:val="none"/>
          <w:lang w:val="en-US" w:eastAsia="zh-CN"/>
        </w:rPr>
      </w:pPr>
      <w:r>
        <w:rPr>
          <w:rFonts w:hint="eastAsia" w:ascii="黑体" w:hAnsi="黑体" w:eastAsia="黑体" w:cs="黑体"/>
          <w:color w:val="auto"/>
          <w:sz w:val="22"/>
          <w:szCs w:val="28"/>
          <w:highlight w:val="none"/>
          <w:lang w:val="en-US" w:eastAsia="zh-CN"/>
        </w:rPr>
        <w:t xml:space="preserve">   </w:t>
      </w:r>
      <w:r>
        <w:rPr>
          <w:rFonts w:hint="eastAsia" w:ascii="黑体" w:hAnsi="黑体" w:eastAsia="黑体" w:cs="黑体"/>
          <w:color w:val="auto"/>
          <w:sz w:val="22"/>
          <w:szCs w:val="28"/>
          <w:highlight w:val="none"/>
          <w:lang w:val="en-US" w:eastAsia="zh-CN"/>
        </w:rPr>
        <w:drawing>
          <wp:inline distT="0" distB="0" distL="114300" distR="114300">
            <wp:extent cx="161925" cy="209550"/>
            <wp:effectExtent l="0" t="0" r="952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22"/>
                    <a:stretch>
                      <a:fillRect/>
                    </a:stretch>
                  </pic:blipFill>
                  <pic:spPr>
                    <a:xfrm>
                      <a:off x="0" y="0"/>
                      <a:ext cx="161925" cy="209550"/>
                    </a:xfrm>
                    <a:prstGeom prst="rect">
                      <a:avLst/>
                    </a:prstGeom>
                    <a:noFill/>
                    <a:ln>
                      <a:noFill/>
                    </a:ln>
                  </pic:spPr>
                </pic:pic>
              </a:graphicData>
            </a:graphic>
          </wp:inline>
        </w:drawing>
      </w:r>
      <w:r>
        <w:rPr>
          <w:rFonts w:hint="eastAsia" w:ascii="黑体" w:hAnsi="黑体" w:eastAsia="黑体" w:cs="黑体"/>
          <w:color w:val="auto"/>
          <w:sz w:val="22"/>
          <w:szCs w:val="28"/>
          <w:highlight w:val="none"/>
          <w:lang w:val="en-US" w:eastAsia="zh-CN"/>
        </w:rPr>
        <w:t xml:space="preserve">——开始扣款时合同累计完成金额达到签约合同价的比例； </w:t>
      </w:r>
    </w:p>
    <w:p w14:paraId="1EE1EF60">
      <w:pPr>
        <w:spacing w:line="360" w:lineRule="auto"/>
        <w:rPr>
          <w:rFonts w:hint="eastAsia" w:ascii="黑体" w:hAnsi="黑体" w:eastAsia="黑体" w:cs="黑体"/>
          <w:color w:val="auto"/>
          <w:sz w:val="22"/>
          <w:szCs w:val="28"/>
          <w:highlight w:val="none"/>
          <w:lang w:val="en-US" w:eastAsia="zh-CN"/>
        </w:rPr>
      </w:pPr>
      <w:r>
        <w:rPr>
          <w:rFonts w:hint="eastAsia" w:ascii="黑体" w:hAnsi="黑体" w:eastAsia="黑体" w:cs="黑体"/>
          <w:color w:val="auto"/>
          <w:sz w:val="22"/>
          <w:szCs w:val="28"/>
          <w:highlight w:val="none"/>
          <w:lang w:val="en-US" w:eastAsia="zh-CN"/>
        </w:rPr>
        <w:t xml:space="preserve">   </w:t>
      </w:r>
      <w:r>
        <w:rPr>
          <w:rFonts w:hint="eastAsia" w:ascii="黑体" w:hAnsi="黑体" w:eastAsia="黑体" w:cs="黑体"/>
          <w:color w:val="auto"/>
          <w:sz w:val="22"/>
          <w:szCs w:val="28"/>
          <w:highlight w:val="none"/>
          <w:lang w:val="en-US" w:eastAsia="zh-CN"/>
        </w:rPr>
        <w:drawing>
          <wp:inline distT="0" distB="0" distL="114300" distR="114300">
            <wp:extent cx="180975" cy="20955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3"/>
                    <a:stretch>
                      <a:fillRect/>
                    </a:stretch>
                  </pic:blipFill>
                  <pic:spPr>
                    <a:xfrm>
                      <a:off x="0" y="0"/>
                      <a:ext cx="180975" cy="209550"/>
                    </a:xfrm>
                    <a:prstGeom prst="rect">
                      <a:avLst/>
                    </a:prstGeom>
                    <a:noFill/>
                    <a:ln>
                      <a:noFill/>
                    </a:ln>
                  </pic:spPr>
                </pic:pic>
              </a:graphicData>
            </a:graphic>
          </wp:inline>
        </w:drawing>
      </w:r>
      <w:r>
        <w:rPr>
          <w:rFonts w:hint="eastAsia" w:ascii="黑体" w:hAnsi="黑体" w:eastAsia="黑体" w:cs="黑体"/>
          <w:color w:val="auto"/>
          <w:sz w:val="22"/>
          <w:szCs w:val="28"/>
          <w:highlight w:val="none"/>
          <w:lang w:val="en-US" w:eastAsia="zh-CN"/>
        </w:rPr>
        <w:t>——全部扣清时合同累计完成金额达到签约合同价的比例。</w:t>
      </w:r>
    </w:p>
    <w:p w14:paraId="4111773A">
      <w:pPr>
        <w:spacing w:line="360" w:lineRule="auto"/>
        <w:rPr>
          <w:rFonts w:hint="eastAsia" w:ascii="黑体" w:hAnsi="黑体" w:eastAsia="黑体" w:cs="黑体"/>
          <w:color w:val="auto"/>
          <w:sz w:val="22"/>
          <w:szCs w:val="28"/>
          <w:highlight w:val="none"/>
          <w:lang w:val="en-US" w:eastAsia="zh-CN"/>
        </w:rPr>
      </w:pPr>
      <w:r>
        <w:rPr>
          <w:rFonts w:hint="eastAsia" w:ascii="黑体" w:hAnsi="黑体" w:eastAsia="黑体" w:cs="黑体"/>
          <w:color w:val="auto"/>
          <w:sz w:val="22"/>
          <w:szCs w:val="28"/>
          <w:highlight w:val="none"/>
          <w:lang w:val="en-US" w:eastAsia="zh-CN"/>
        </w:rPr>
        <w:t>上述合同累计完成金额均指价格调整前未扣质量保证金的金额。</w:t>
      </w:r>
    </w:p>
    <w:p w14:paraId="04EFE9E8">
      <w:pPr>
        <w:spacing w:line="360" w:lineRule="auto"/>
        <w:rPr>
          <w:rFonts w:hint="eastAsia" w:ascii="黑体" w:hAnsi="黑体" w:eastAsia="黑体" w:cs="黑体"/>
          <w:color w:val="auto"/>
          <w:sz w:val="22"/>
          <w:szCs w:val="28"/>
          <w:highlight w:val="none"/>
          <w:lang w:eastAsia="zh-CN"/>
        </w:rPr>
      </w:pPr>
      <w:bookmarkStart w:id="551" w:name="_Toc18606"/>
      <w:r>
        <w:rPr>
          <w:rFonts w:hint="eastAsia" w:ascii="黑体" w:hAnsi="黑体" w:eastAsia="黑体" w:cs="黑体"/>
          <w:color w:val="auto"/>
          <w:sz w:val="22"/>
          <w:szCs w:val="28"/>
          <w:highlight w:val="none"/>
          <w:lang w:eastAsia="zh-CN"/>
        </w:rPr>
        <w:t>17.3 工程进度付款</w:t>
      </w:r>
      <w:bookmarkEnd w:id="551"/>
    </w:p>
    <w:p w14:paraId="6F82D66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17.3.1 付款周期同计量周期</w:t>
      </w:r>
    </w:p>
    <w:p w14:paraId="4FDF837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17.3.2 进度款付款凭证和支付时间。</w:t>
      </w:r>
    </w:p>
    <w:p w14:paraId="71E026B9">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17.3.3 进度付款证书和支付时间</w:t>
      </w:r>
    </w:p>
    <w:p w14:paraId="253DBB22">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17.3.4 工程进度付款的修正。</w:t>
      </w:r>
    </w:p>
    <w:p w14:paraId="26BBEA08">
      <w:pPr>
        <w:spacing w:line="360" w:lineRule="auto"/>
        <w:rPr>
          <w:rFonts w:hint="eastAsia" w:ascii="黑体" w:hAnsi="黑体" w:eastAsia="黑体" w:cs="黑体"/>
          <w:color w:val="auto"/>
          <w:sz w:val="22"/>
          <w:szCs w:val="28"/>
          <w:highlight w:val="none"/>
          <w:lang w:val="en-US" w:eastAsia="zh-CN"/>
        </w:rPr>
      </w:pPr>
      <w:r>
        <w:rPr>
          <w:rFonts w:hint="eastAsia" w:ascii="黑体" w:hAnsi="黑体" w:eastAsia="黑体" w:cs="黑体"/>
          <w:color w:val="auto"/>
          <w:sz w:val="22"/>
          <w:szCs w:val="28"/>
          <w:highlight w:val="none"/>
          <w:lang w:eastAsia="zh-CN"/>
        </w:rPr>
        <w:t>删去通用合同条款本款全文，并代之</w:t>
      </w:r>
      <w:r>
        <w:rPr>
          <w:rFonts w:hint="eastAsia" w:ascii="黑体" w:hAnsi="黑体" w:eastAsia="黑体" w:cs="黑体"/>
          <w:color w:val="auto"/>
          <w:sz w:val="22"/>
          <w:szCs w:val="28"/>
          <w:highlight w:val="none"/>
          <w:lang w:val="en-US" w:eastAsia="zh-CN"/>
        </w:rPr>
        <w:t>以：按工程进度支付。在特殊情况下，工程进度款支付比例，可根据实际情况由发包人进行调整。</w:t>
      </w:r>
    </w:p>
    <w:p w14:paraId="20997891">
      <w:pPr>
        <w:spacing w:line="360" w:lineRule="auto"/>
        <w:rPr>
          <w:rFonts w:hint="eastAsia" w:ascii="黑体" w:hAnsi="黑体" w:eastAsia="黑体" w:cs="黑体"/>
          <w:color w:val="auto"/>
          <w:sz w:val="22"/>
          <w:szCs w:val="28"/>
          <w:highlight w:val="none"/>
          <w:lang w:eastAsia="zh-CN"/>
        </w:rPr>
      </w:pPr>
      <w:bookmarkStart w:id="552" w:name="_Toc20114"/>
      <w:r>
        <w:rPr>
          <w:rFonts w:hint="eastAsia" w:ascii="黑体" w:hAnsi="黑体" w:eastAsia="黑体" w:cs="黑体"/>
          <w:color w:val="auto"/>
          <w:sz w:val="22"/>
          <w:szCs w:val="28"/>
          <w:highlight w:val="none"/>
          <w:lang w:eastAsia="zh-CN"/>
        </w:rPr>
        <w:t>17.4质量保证金</w:t>
      </w:r>
      <w:bookmarkEnd w:id="552"/>
    </w:p>
    <w:p w14:paraId="3746D9B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17.4.1 质量保证金为工程结算金额的3%，竣工验收通过之日起一年后退还。</w:t>
      </w:r>
    </w:p>
    <w:p w14:paraId="2FAF4D08">
      <w:pPr>
        <w:spacing w:line="360" w:lineRule="auto"/>
        <w:rPr>
          <w:rFonts w:hint="eastAsia" w:ascii="黑体" w:hAnsi="黑体" w:eastAsia="黑体" w:cs="黑体"/>
          <w:color w:val="auto"/>
          <w:sz w:val="22"/>
          <w:szCs w:val="28"/>
          <w:highlight w:val="none"/>
          <w:lang w:eastAsia="zh-CN"/>
        </w:rPr>
      </w:pPr>
      <w:bookmarkStart w:id="553" w:name="_Toc22585"/>
      <w:r>
        <w:rPr>
          <w:rFonts w:hint="eastAsia" w:ascii="黑体" w:hAnsi="黑体" w:eastAsia="黑体" w:cs="黑体"/>
          <w:color w:val="auto"/>
          <w:sz w:val="22"/>
          <w:szCs w:val="28"/>
          <w:highlight w:val="none"/>
          <w:lang w:eastAsia="zh-CN"/>
        </w:rPr>
        <w:t>17.5竣工（完工）结算</w:t>
      </w:r>
      <w:bookmarkEnd w:id="553"/>
    </w:p>
    <w:p w14:paraId="7C62EC36">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17.5.1 竣工（完工）付款申请单</w:t>
      </w:r>
    </w:p>
    <w:p w14:paraId="7960F1C7">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（1）承包人应提交完工付款申请单一式 8份。</w:t>
      </w:r>
    </w:p>
    <w:p w14:paraId="2F9B6CE4">
      <w:pPr>
        <w:spacing w:line="360" w:lineRule="auto"/>
        <w:rPr>
          <w:rFonts w:hint="eastAsia" w:ascii="黑体" w:hAnsi="黑体" w:eastAsia="黑体" w:cs="黑体"/>
          <w:color w:val="auto"/>
          <w:sz w:val="22"/>
          <w:szCs w:val="28"/>
          <w:highlight w:val="none"/>
          <w:lang w:eastAsia="zh-CN"/>
        </w:rPr>
      </w:pPr>
      <w:bookmarkStart w:id="554" w:name="_Toc22654"/>
      <w:r>
        <w:rPr>
          <w:rFonts w:hint="eastAsia" w:ascii="黑体" w:hAnsi="黑体" w:eastAsia="黑体" w:cs="黑体"/>
          <w:color w:val="auto"/>
          <w:sz w:val="22"/>
          <w:szCs w:val="28"/>
          <w:highlight w:val="none"/>
          <w:lang w:eastAsia="zh-CN"/>
        </w:rPr>
        <w:t>17.6 最终结清</w:t>
      </w:r>
      <w:bookmarkEnd w:id="554"/>
    </w:p>
    <w:p w14:paraId="04D745E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17.6.1 最终结清申请单</w:t>
      </w:r>
    </w:p>
    <w:p w14:paraId="4EE0F8B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（1）承包人应提交最终结清申请单一式 8 份。</w:t>
      </w:r>
    </w:p>
    <w:p w14:paraId="3DCD7909">
      <w:pPr>
        <w:spacing w:line="360" w:lineRule="auto"/>
        <w:rPr>
          <w:rFonts w:hint="eastAsia" w:ascii="黑体" w:hAnsi="黑体" w:eastAsia="黑体" w:cs="黑体"/>
          <w:color w:val="auto"/>
          <w:sz w:val="22"/>
          <w:szCs w:val="28"/>
          <w:highlight w:val="none"/>
          <w:lang w:eastAsia="zh-CN"/>
        </w:rPr>
      </w:pPr>
      <w:bookmarkStart w:id="555" w:name="_Toc29297"/>
      <w:r>
        <w:rPr>
          <w:rFonts w:hint="eastAsia" w:ascii="黑体" w:hAnsi="黑体" w:eastAsia="黑体" w:cs="黑体"/>
          <w:color w:val="auto"/>
          <w:sz w:val="22"/>
          <w:szCs w:val="28"/>
          <w:highlight w:val="none"/>
          <w:lang w:eastAsia="zh-CN"/>
        </w:rPr>
        <w:t>17.7竣工财务决算</w:t>
      </w:r>
      <w:bookmarkEnd w:id="555"/>
      <w:r>
        <w:rPr>
          <w:rFonts w:hint="eastAsia" w:ascii="黑体" w:hAnsi="黑体" w:eastAsia="黑体" w:cs="黑体"/>
          <w:color w:val="auto"/>
          <w:sz w:val="22"/>
          <w:szCs w:val="28"/>
          <w:highlight w:val="none"/>
          <w:lang w:eastAsia="zh-CN"/>
        </w:rPr>
        <w:t xml:space="preserve"> </w:t>
      </w:r>
    </w:p>
    <w:p w14:paraId="53A92CA3">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工程完工验收后，承包人应按发包人要求，为发包人竣工财务决算编制提供以下资料：</w:t>
      </w:r>
    </w:p>
    <w:p w14:paraId="3757D13E">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（1）依据施工图纸及设计变更及时绘制工程竣工图，最终工程量以竣工图为计算依据；</w:t>
      </w:r>
    </w:p>
    <w:p w14:paraId="5C79F3C4">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（2）根据施工合同、补充合同或协议、监理和业主的签证资料，以及国家有关规定，及时编制工程结算。经监理单位审核并加盖单位公章后，报发包人审查，并协助发包人完成工程结算审核工作。</w:t>
      </w:r>
    </w:p>
    <w:p w14:paraId="59B749B8">
      <w:pPr>
        <w:spacing w:line="360" w:lineRule="auto"/>
        <w:rPr>
          <w:rFonts w:hint="eastAsia" w:ascii="黑体" w:hAnsi="黑体" w:eastAsia="黑体" w:cs="黑体"/>
          <w:color w:val="auto"/>
          <w:sz w:val="22"/>
          <w:szCs w:val="28"/>
          <w:highlight w:val="none"/>
          <w:lang w:eastAsia="zh-CN"/>
        </w:rPr>
      </w:pPr>
      <w:bookmarkStart w:id="556" w:name="_Toc15617"/>
      <w:r>
        <w:rPr>
          <w:rFonts w:hint="eastAsia" w:ascii="黑体" w:hAnsi="黑体" w:eastAsia="黑体" w:cs="黑体"/>
          <w:color w:val="auto"/>
          <w:sz w:val="22"/>
          <w:szCs w:val="28"/>
          <w:highlight w:val="none"/>
          <w:lang w:eastAsia="zh-CN"/>
        </w:rPr>
        <w:t>18 竣工验收（验收）</w:t>
      </w:r>
      <w:bookmarkEnd w:id="556"/>
    </w:p>
    <w:p w14:paraId="7D7EB0A0">
      <w:pPr>
        <w:spacing w:line="360" w:lineRule="auto"/>
        <w:rPr>
          <w:rFonts w:hint="eastAsia" w:ascii="黑体" w:hAnsi="黑体" w:eastAsia="黑体" w:cs="黑体"/>
          <w:color w:val="auto"/>
          <w:sz w:val="22"/>
          <w:szCs w:val="28"/>
          <w:highlight w:val="none"/>
          <w:lang w:eastAsia="zh-CN"/>
        </w:rPr>
      </w:pPr>
      <w:bookmarkStart w:id="557" w:name="_Toc6665"/>
      <w:r>
        <w:rPr>
          <w:rFonts w:hint="eastAsia" w:ascii="黑体" w:hAnsi="黑体" w:eastAsia="黑体" w:cs="黑体"/>
          <w:color w:val="auto"/>
          <w:sz w:val="22"/>
          <w:szCs w:val="28"/>
          <w:highlight w:val="none"/>
          <w:lang w:eastAsia="zh-CN"/>
        </w:rPr>
        <w:t>18.1 验收工作分类</w:t>
      </w:r>
      <w:bookmarkEnd w:id="557"/>
    </w:p>
    <w:p w14:paraId="3A05809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本工程法人验收及政府验收的验收条件及验收程序执行水利部令 30 号《水利工程建设项目验收管理规定》中的有关法人验收及政府验收的相关规定。</w:t>
      </w:r>
    </w:p>
    <w:p w14:paraId="4C134D48">
      <w:pPr>
        <w:spacing w:line="360" w:lineRule="auto"/>
        <w:rPr>
          <w:rFonts w:hint="eastAsia" w:ascii="黑体" w:hAnsi="黑体" w:eastAsia="黑体" w:cs="黑体"/>
          <w:color w:val="auto"/>
          <w:sz w:val="22"/>
          <w:szCs w:val="28"/>
          <w:highlight w:val="none"/>
          <w:lang w:eastAsia="zh-CN"/>
        </w:rPr>
      </w:pPr>
      <w:bookmarkStart w:id="558" w:name="_Toc31487"/>
      <w:r>
        <w:rPr>
          <w:rFonts w:hint="eastAsia" w:ascii="黑体" w:hAnsi="黑体" w:eastAsia="黑体" w:cs="黑体"/>
          <w:color w:val="auto"/>
          <w:sz w:val="22"/>
          <w:szCs w:val="28"/>
          <w:highlight w:val="none"/>
          <w:lang w:eastAsia="zh-CN"/>
        </w:rPr>
        <w:t>19 缺陷责任与保修责任</w:t>
      </w:r>
      <w:bookmarkEnd w:id="558"/>
    </w:p>
    <w:p w14:paraId="77A5929B">
      <w:pPr>
        <w:spacing w:line="360" w:lineRule="auto"/>
        <w:rPr>
          <w:rFonts w:hint="eastAsia" w:ascii="黑体" w:hAnsi="黑体" w:eastAsia="黑体" w:cs="黑体"/>
          <w:color w:val="auto"/>
          <w:sz w:val="22"/>
          <w:szCs w:val="28"/>
          <w:highlight w:val="none"/>
          <w:lang w:eastAsia="zh-CN"/>
        </w:rPr>
      </w:pPr>
      <w:bookmarkStart w:id="559" w:name="_Toc9568"/>
      <w:r>
        <w:rPr>
          <w:rFonts w:hint="eastAsia" w:ascii="黑体" w:hAnsi="黑体" w:eastAsia="黑体" w:cs="黑体"/>
          <w:color w:val="auto"/>
          <w:sz w:val="22"/>
          <w:szCs w:val="28"/>
          <w:highlight w:val="none"/>
          <w:lang w:eastAsia="zh-CN"/>
        </w:rPr>
        <w:t>19.1 缺陷责任期（工程质量保修期）的起算时间</w:t>
      </w:r>
      <w:bookmarkEnd w:id="559"/>
      <w:r>
        <w:rPr>
          <w:rFonts w:hint="eastAsia" w:ascii="黑体" w:hAnsi="黑体" w:eastAsia="黑体" w:cs="黑体"/>
          <w:color w:val="auto"/>
          <w:sz w:val="22"/>
          <w:szCs w:val="28"/>
          <w:highlight w:val="none"/>
          <w:lang w:eastAsia="zh-CN"/>
        </w:rPr>
        <w:t xml:space="preserve"> </w:t>
      </w:r>
    </w:p>
    <w:p w14:paraId="1C69413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本工程缺陷责任期（工程质量保修期）计算如下：从工程通过合同工程竣工验收合格并移交后开始计算，保修期限为1年。</w:t>
      </w:r>
    </w:p>
    <w:p w14:paraId="606E9F90">
      <w:pPr>
        <w:spacing w:line="360" w:lineRule="auto"/>
        <w:rPr>
          <w:rFonts w:hint="eastAsia" w:ascii="黑体" w:hAnsi="黑体" w:eastAsia="黑体" w:cs="黑体"/>
          <w:color w:val="auto"/>
          <w:sz w:val="22"/>
          <w:szCs w:val="28"/>
          <w:highlight w:val="none"/>
          <w:lang w:eastAsia="zh-CN"/>
        </w:rPr>
      </w:pPr>
      <w:bookmarkStart w:id="560" w:name="_Toc24096"/>
      <w:r>
        <w:rPr>
          <w:rFonts w:hint="eastAsia" w:ascii="黑体" w:hAnsi="黑体" w:eastAsia="黑体" w:cs="黑体"/>
          <w:color w:val="auto"/>
          <w:sz w:val="22"/>
          <w:szCs w:val="28"/>
          <w:highlight w:val="none"/>
          <w:lang w:eastAsia="zh-CN"/>
        </w:rPr>
        <w:t>20 保险</w:t>
      </w:r>
      <w:bookmarkEnd w:id="560"/>
    </w:p>
    <w:p w14:paraId="1C824CE7">
      <w:pPr>
        <w:spacing w:line="360" w:lineRule="auto"/>
        <w:rPr>
          <w:rFonts w:hint="eastAsia" w:ascii="黑体" w:hAnsi="黑体" w:eastAsia="黑体" w:cs="黑体"/>
          <w:color w:val="auto"/>
          <w:sz w:val="22"/>
          <w:szCs w:val="28"/>
          <w:highlight w:val="none"/>
          <w:lang w:eastAsia="zh-CN"/>
        </w:rPr>
      </w:pPr>
      <w:bookmarkStart w:id="561" w:name="_Toc27943"/>
      <w:r>
        <w:rPr>
          <w:rFonts w:hint="eastAsia" w:ascii="黑体" w:hAnsi="黑体" w:eastAsia="黑体" w:cs="黑体"/>
          <w:color w:val="auto"/>
          <w:sz w:val="22"/>
          <w:szCs w:val="28"/>
          <w:highlight w:val="none"/>
          <w:lang w:eastAsia="zh-CN"/>
        </w:rPr>
        <w:t>20.1 第三者责任险</w:t>
      </w:r>
      <w:bookmarkEnd w:id="561"/>
    </w:p>
    <w:p w14:paraId="6344144B">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20.1.1 本款作以下修改：施工期间，发包人和承包人各自投保在工地及其毗邻地带的第三者人员的人身伤害和财产损失的第三者责任险，此项投保不免除承包人和发包人各自应负的在其管辖区内及其毗邻地带发生的第三者人员人身伤害和财产损失的赔偿责任，其赔偿费用应包括赔偿费、诉讼费和其它有关费用。费用各自承担。</w:t>
      </w:r>
    </w:p>
    <w:p w14:paraId="2722342A">
      <w:pPr>
        <w:spacing w:line="360" w:lineRule="auto"/>
        <w:rPr>
          <w:rFonts w:hint="eastAsia" w:ascii="黑体" w:hAnsi="黑体" w:eastAsia="黑体" w:cs="黑体"/>
          <w:color w:val="auto"/>
          <w:sz w:val="22"/>
          <w:szCs w:val="28"/>
          <w:highlight w:val="none"/>
          <w:lang w:eastAsia="zh-CN"/>
        </w:rPr>
      </w:pPr>
      <w:bookmarkStart w:id="562" w:name="_Toc12658"/>
      <w:r>
        <w:rPr>
          <w:rFonts w:hint="eastAsia" w:ascii="黑体" w:hAnsi="黑体" w:eastAsia="黑体" w:cs="黑体"/>
          <w:color w:val="auto"/>
          <w:sz w:val="22"/>
          <w:szCs w:val="28"/>
          <w:highlight w:val="none"/>
          <w:lang w:eastAsia="zh-CN"/>
        </w:rPr>
        <w:t>20.2 对各项保险的一般要求</w:t>
      </w:r>
      <w:bookmarkEnd w:id="562"/>
    </w:p>
    <w:p w14:paraId="5454B948">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20.2.1 保险凭证</w:t>
      </w:r>
    </w:p>
    <w:p w14:paraId="54FE85CF">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承包人提交保险凭证的期限：承包人应在接到开工通知后的 84 天内向发包人提交按合同规定的各项保险单的副本，并通知监理人。保险单的条件应符合本合同的规定。</w:t>
      </w:r>
    </w:p>
    <w:p w14:paraId="71CA171C">
      <w:pPr>
        <w:spacing w:line="360" w:lineRule="auto"/>
        <w:rPr>
          <w:rFonts w:hint="eastAsia" w:ascii="黑体" w:hAnsi="黑体" w:eastAsia="黑体" w:cs="黑体"/>
          <w:color w:val="auto"/>
          <w:sz w:val="22"/>
          <w:szCs w:val="28"/>
          <w:highlight w:val="none"/>
          <w:lang w:eastAsia="zh-CN"/>
        </w:rPr>
      </w:pPr>
      <w:bookmarkStart w:id="563" w:name="_Toc30946"/>
      <w:r>
        <w:rPr>
          <w:rFonts w:hint="eastAsia" w:ascii="黑体" w:hAnsi="黑体" w:eastAsia="黑体" w:cs="黑体"/>
          <w:color w:val="auto"/>
          <w:sz w:val="22"/>
          <w:szCs w:val="28"/>
          <w:highlight w:val="none"/>
          <w:lang w:eastAsia="zh-CN"/>
        </w:rPr>
        <w:t>24 争议的解决</w:t>
      </w:r>
      <w:bookmarkEnd w:id="563"/>
    </w:p>
    <w:p w14:paraId="521955C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 xml:space="preserve">24.1 争议的解决方式 </w:t>
      </w:r>
    </w:p>
    <w:p w14:paraId="1E447320">
      <w:pPr>
        <w:spacing w:line="360" w:lineRule="auto"/>
        <w:rPr>
          <w:rFonts w:hint="eastAsia" w:ascii="黑体" w:hAnsi="黑体" w:eastAsia="黑体" w:cs="黑体"/>
          <w:color w:val="auto"/>
          <w:sz w:val="22"/>
          <w:szCs w:val="28"/>
          <w:highlight w:val="none"/>
          <w:lang w:eastAsia="zh-CN"/>
        </w:rPr>
      </w:pPr>
      <w:r>
        <w:rPr>
          <w:rFonts w:hint="eastAsia" w:ascii="黑体" w:hAnsi="黑体" w:eastAsia="黑体" w:cs="黑体"/>
          <w:color w:val="auto"/>
          <w:sz w:val="22"/>
          <w:szCs w:val="28"/>
          <w:highlight w:val="none"/>
          <w:lang w:eastAsia="zh-CN"/>
        </w:rPr>
        <w:t>合同当事人友好协商解决不成、不愿提请争议评审或不接受争议评审组意见的，约定的合同争议解决方式：向工程所在地人民法院提起诉讼。</w:t>
      </w:r>
    </w:p>
    <w:p w14:paraId="71C4AA99">
      <w:pPr>
        <w:spacing w:line="360" w:lineRule="auto"/>
        <w:rPr>
          <w:rFonts w:hint="eastAsia" w:ascii="黑体" w:hAnsi="黑体" w:eastAsia="黑体" w:cs="黑体"/>
          <w:color w:val="auto"/>
          <w:sz w:val="22"/>
          <w:szCs w:val="28"/>
          <w:highlight w:val="none"/>
        </w:rPr>
      </w:pPr>
    </w:p>
    <w:p w14:paraId="59D5EBB5">
      <w:pPr>
        <w:rPr>
          <w:rFonts w:hint="eastAsia" w:ascii="黑体" w:hAnsi="黑体" w:eastAsia="黑体" w:cs="黑体"/>
          <w:color w:val="auto"/>
          <w:sz w:val="22"/>
          <w:szCs w:val="28"/>
          <w:highlight w:val="none"/>
        </w:rPr>
        <w:sectPr>
          <w:footerReference r:id="rId16" w:type="default"/>
          <w:pgSz w:w="11906" w:h="16840"/>
          <w:pgMar w:top="1431" w:right="994" w:bottom="400" w:left="1090" w:header="0" w:footer="0" w:gutter="0"/>
          <w:pgNumType w:fmt="decimal"/>
          <w:cols w:space="720" w:num="1"/>
        </w:sectPr>
      </w:pPr>
    </w:p>
    <w:p w14:paraId="5F715B84">
      <w:pPr>
        <w:pStyle w:val="5"/>
        <w:pageBreakBefore w:val="0"/>
        <w:widowControl w:val="0"/>
        <w:kinsoku/>
        <w:wordWrap w:val="0"/>
        <w:overflowPunct/>
        <w:topLinePunct w:val="0"/>
        <w:autoSpaceDE/>
        <w:autoSpaceDN/>
        <w:bidi w:val="0"/>
        <w:adjustRightInd/>
        <w:snapToGrid/>
        <w:spacing w:before="0" w:beforeLines="0" w:after="0" w:afterLines="0" w:line="360" w:lineRule="auto"/>
        <w:ind w:left="0" w:leftChars="0" w:right="0"/>
        <w:jc w:val="center"/>
        <w:textAlignment w:val="auto"/>
        <w:rPr>
          <w:rFonts w:hint="eastAsia" w:ascii="黑体" w:hAnsi="黑体" w:eastAsia="黑体" w:cs="黑体"/>
          <w:b w:val="0"/>
          <w:bCs w:val="0"/>
          <w:color w:val="auto"/>
          <w:sz w:val="24"/>
          <w:szCs w:val="24"/>
        </w:rPr>
      </w:pPr>
      <w:bookmarkStart w:id="564" w:name="_Toc14699"/>
      <w:r>
        <w:rPr>
          <w:rStyle w:val="125"/>
          <w:rFonts w:hint="eastAsia" w:ascii="黑体" w:hAnsi="黑体" w:eastAsia="黑体" w:cs="黑体"/>
          <w:b/>
          <w:bCs/>
          <w:color w:val="auto"/>
          <w:sz w:val="24"/>
          <w:szCs w:val="24"/>
        </w:rPr>
        <w:t>第</w:t>
      </w:r>
      <w:r>
        <w:rPr>
          <w:rStyle w:val="125"/>
          <w:rFonts w:hint="eastAsia" w:ascii="黑体" w:hAnsi="黑体" w:eastAsia="黑体" w:cs="黑体"/>
          <w:b/>
          <w:bCs/>
          <w:color w:val="auto"/>
          <w:sz w:val="24"/>
          <w:szCs w:val="24"/>
          <w:lang w:val="en-US"/>
        </w:rPr>
        <w:t>三部分</w:t>
      </w:r>
      <w:r>
        <w:rPr>
          <w:rStyle w:val="125"/>
          <w:rFonts w:hint="eastAsia" w:ascii="黑体" w:hAnsi="黑体" w:eastAsia="黑体" w:cs="黑体"/>
          <w:b/>
          <w:bCs/>
          <w:color w:val="auto"/>
          <w:sz w:val="24"/>
          <w:szCs w:val="24"/>
        </w:rPr>
        <w:t xml:space="preserve">  合同附件格式</w:t>
      </w:r>
      <w:bookmarkEnd w:id="564"/>
    </w:p>
    <w:p w14:paraId="7738B739">
      <w:pPr>
        <w:pStyle w:val="6"/>
        <w:pageBreakBefore w:val="0"/>
        <w:widowControl w:val="0"/>
        <w:kinsoku/>
        <w:wordWrap w:val="0"/>
        <w:overflowPunct/>
        <w:topLinePunct w:val="0"/>
        <w:autoSpaceDE/>
        <w:autoSpaceDN/>
        <w:bidi w:val="0"/>
        <w:adjustRightInd/>
        <w:snapToGrid/>
        <w:spacing w:before="0" w:beforeLines="0" w:after="0" w:afterLines="0" w:line="360" w:lineRule="auto"/>
        <w:ind w:left="0" w:leftChars="0" w:right="0"/>
        <w:textAlignment w:val="auto"/>
        <w:outlineLvl w:val="1"/>
        <w:rPr>
          <w:rFonts w:hint="eastAsia" w:ascii="黑体" w:hAnsi="黑体" w:eastAsia="黑体" w:cs="黑体"/>
          <w:color w:val="auto"/>
          <w:sz w:val="24"/>
          <w:szCs w:val="24"/>
        </w:rPr>
      </w:pPr>
      <w:bookmarkStart w:id="565" w:name="_Toc168476287"/>
      <w:bookmarkStart w:id="566" w:name="_Toc144974827"/>
      <w:bookmarkStart w:id="567" w:name="_Toc168475884"/>
      <w:r>
        <w:rPr>
          <w:rFonts w:hint="eastAsia" w:ascii="黑体" w:hAnsi="黑体" w:eastAsia="黑体" w:cs="黑体"/>
          <w:b/>
          <w:bCs/>
          <w:color w:val="auto"/>
          <w:sz w:val="24"/>
          <w:szCs w:val="24"/>
        </w:rPr>
        <w:t>附件一：</w:t>
      </w:r>
      <w:bookmarkEnd w:id="565"/>
      <w:bookmarkEnd w:id="566"/>
      <w:bookmarkEnd w:id="567"/>
    </w:p>
    <w:p w14:paraId="7D9B7424">
      <w:pPr>
        <w:keepNext w:val="0"/>
        <w:keepLines w:val="0"/>
        <w:pageBreakBefore w:val="0"/>
        <w:widowControl w:val="0"/>
        <w:kinsoku/>
        <w:wordWrap w:val="0"/>
        <w:overflowPunct/>
        <w:topLinePunct w:val="0"/>
        <w:autoSpaceDE/>
        <w:autoSpaceDN/>
        <w:bidi w:val="0"/>
        <w:adjustRightInd/>
        <w:snapToGrid/>
        <w:spacing w:line="360" w:lineRule="auto"/>
        <w:ind w:left="0" w:leftChars="0" w:right="0"/>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合 同 协 议 书</w:t>
      </w:r>
    </w:p>
    <w:p w14:paraId="43B1476E">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528" w:firstLineChars="220"/>
        <w:textAlignment w:val="auto"/>
        <w:rPr>
          <w:rFonts w:hint="eastAsia" w:ascii="黑体" w:hAnsi="黑体" w:eastAsia="黑体" w:cs="黑体"/>
          <w:color w:val="auto"/>
          <w:sz w:val="24"/>
          <w:szCs w:val="24"/>
        </w:rPr>
      </w:pPr>
      <w:r>
        <w:rPr>
          <w:rFonts w:hint="eastAsia" w:ascii="黑体" w:hAnsi="黑体" w:eastAsia="黑体" w:cs="黑体"/>
          <w:color w:val="auto"/>
          <w:sz w:val="24"/>
          <w:szCs w:val="24"/>
          <w:u w:val="single"/>
        </w:rPr>
        <w:t xml:space="preserve"> </w:t>
      </w:r>
      <w:r>
        <w:rPr>
          <w:rFonts w:hint="eastAsia" w:ascii="黑体" w:hAnsi="黑体" w:eastAsia="黑体" w:cs="黑体"/>
          <w:color w:val="auto"/>
          <w:sz w:val="24"/>
          <w:szCs w:val="24"/>
          <w:u w:val="single"/>
          <w:lang w:val="en-US" w:eastAsia="zh-CN"/>
        </w:rPr>
        <w:t xml:space="preserve">           </w:t>
      </w:r>
      <w:r>
        <w:rPr>
          <w:rFonts w:hint="eastAsia" w:ascii="黑体" w:hAnsi="黑体" w:eastAsia="黑体" w:cs="黑体"/>
          <w:color w:val="auto"/>
          <w:sz w:val="24"/>
          <w:szCs w:val="24"/>
          <w:u w:val="single"/>
        </w:rPr>
        <w:t xml:space="preserve">  </w:t>
      </w:r>
      <w:r>
        <w:rPr>
          <w:rFonts w:hint="eastAsia" w:ascii="黑体" w:hAnsi="黑体" w:eastAsia="黑体" w:cs="黑体"/>
          <w:color w:val="auto"/>
          <w:sz w:val="24"/>
          <w:szCs w:val="24"/>
        </w:rPr>
        <w:t>（发包人名称，以下简称“发包人”）为实施</w:t>
      </w:r>
    </w:p>
    <w:p w14:paraId="50BECF37">
      <w:pPr>
        <w:keepNext w:val="0"/>
        <w:keepLines w:val="0"/>
        <w:pageBreakBefore w:val="0"/>
        <w:widowControl w:val="0"/>
        <w:kinsoku/>
        <w:wordWrap w:val="0"/>
        <w:overflowPunct/>
        <w:topLinePunct w:val="0"/>
        <w:autoSpaceDE/>
        <w:autoSpaceDN/>
        <w:bidi w:val="0"/>
        <w:adjustRightInd/>
        <w:snapToGrid/>
        <w:spacing w:line="360" w:lineRule="auto"/>
        <w:ind w:left="0" w:leftChars="0" w:right="0"/>
        <w:textAlignment w:val="auto"/>
        <w:rPr>
          <w:rFonts w:hint="eastAsia" w:ascii="黑体" w:hAnsi="黑体" w:eastAsia="黑体" w:cs="黑体"/>
          <w:color w:val="auto"/>
          <w:sz w:val="24"/>
          <w:szCs w:val="24"/>
        </w:rPr>
      </w:pPr>
      <w:r>
        <w:rPr>
          <w:rFonts w:hint="eastAsia" w:ascii="黑体" w:hAnsi="黑体" w:eastAsia="黑体" w:cs="黑体"/>
          <w:color w:val="auto"/>
          <w:sz w:val="24"/>
          <w:szCs w:val="24"/>
          <w:u w:val="single"/>
        </w:rPr>
        <w:t xml:space="preserve">  </w:t>
      </w:r>
      <w:r>
        <w:rPr>
          <w:rFonts w:hint="eastAsia" w:ascii="黑体" w:hAnsi="黑体" w:eastAsia="黑体" w:cs="黑体"/>
          <w:color w:val="auto"/>
          <w:sz w:val="24"/>
          <w:szCs w:val="24"/>
          <w:u w:val="single"/>
          <w:lang w:val="en-US" w:eastAsia="zh-CN"/>
        </w:rPr>
        <w:t xml:space="preserve">                         </w:t>
      </w:r>
      <w:r>
        <w:rPr>
          <w:rFonts w:hint="eastAsia" w:ascii="黑体" w:hAnsi="黑体" w:eastAsia="黑体" w:cs="黑体"/>
          <w:color w:val="auto"/>
          <w:sz w:val="24"/>
          <w:szCs w:val="24"/>
          <w:u w:val="single"/>
        </w:rPr>
        <w:t xml:space="preserve"> </w:t>
      </w:r>
      <w:r>
        <w:rPr>
          <w:rFonts w:hint="eastAsia" w:ascii="黑体" w:hAnsi="黑体" w:eastAsia="黑体" w:cs="黑体"/>
          <w:color w:val="auto"/>
          <w:sz w:val="24"/>
          <w:szCs w:val="24"/>
        </w:rPr>
        <w:t>（项目名称），已接受</w:t>
      </w:r>
      <w:r>
        <w:rPr>
          <w:rFonts w:hint="eastAsia" w:ascii="黑体" w:hAnsi="黑体" w:eastAsia="黑体" w:cs="黑体"/>
          <w:color w:val="auto"/>
          <w:sz w:val="24"/>
          <w:szCs w:val="24"/>
          <w:u w:val="single"/>
        </w:rPr>
        <w:t xml:space="preserve">  </w:t>
      </w:r>
      <w:r>
        <w:rPr>
          <w:rFonts w:hint="eastAsia" w:ascii="黑体" w:hAnsi="黑体" w:eastAsia="黑体" w:cs="黑体"/>
          <w:color w:val="auto"/>
          <w:sz w:val="24"/>
          <w:szCs w:val="24"/>
          <w:u w:val="single"/>
          <w:lang w:val="en-US" w:eastAsia="zh-CN"/>
        </w:rPr>
        <w:t xml:space="preserve">                       </w:t>
      </w:r>
      <w:r>
        <w:rPr>
          <w:rFonts w:hint="eastAsia" w:ascii="黑体" w:hAnsi="黑体" w:eastAsia="黑体" w:cs="黑体"/>
          <w:color w:val="auto"/>
          <w:sz w:val="24"/>
          <w:szCs w:val="24"/>
          <w:u w:val="single"/>
        </w:rPr>
        <w:t xml:space="preserve"> </w:t>
      </w:r>
      <w:r>
        <w:rPr>
          <w:rFonts w:hint="eastAsia" w:ascii="黑体" w:hAnsi="黑体" w:eastAsia="黑体" w:cs="黑体"/>
          <w:color w:val="auto"/>
          <w:sz w:val="24"/>
          <w:szCs w:val="24"/>
          <w:u w:val="single"/>
          <w:lang w:val="en-US" w:eastAsia="zh-CN"/>
        </w:rPr>
        <w:t xml:space="preserve"> </w:t>
      </w:r>
      <w:r>
        <w:rPr>
          <w:rFonts w:hint="eastAsia" w:ascii="黑体" w:hAnsi="黑体" w:eastAsia="黑体" w:cs="黑体"/>
          <w:color w:val="auto"/>
          <w:sz w:val="24"/>
          <w:szCs w:val="24"/>
        </w:rPr>
        <w:t>（承包人名称，以下简称“承包人”）对</w:t>
      </w:r>
      <w:r>
        <w:rPr>
          <w:rFonts w:hint="eastAsia" w:ascii="黑体" w:hAnsi="黑体" w:eastAsia="黑体" w:cs="黑体"/>
          <w:color w:val="auto"/>
          <w:sz w:val="24"/>
          <w:szCs w:val="24"/>
          <w:u w:val="single"/>
        </w:rPr>
        <w:t xml:space="preserve">  </w:t>
      </w:r>
      <w:r>
        <w:rPr>
          <w:rFonts w:hint="eastAsia" w:ascii="黑体" w:hAnsi="黑体" w:eastAsia="黑体" w:cs="黑体"/>
          <w:color w:val="auto"/>
          <w:sz w:val="24"/>
          <w:szCs w:val="24"/>
          <w:u w:val="single"/>
          <w:lang w:val="en-US" w:eastAsia="zh-CN"/>
        </w:rPr>
        <w:t xml:space="preserve">                                                            </w:t>
      </w:r>
      <w:r>
        <w:rPr>
          <w:rFonts w:hint="eastAsia" w:ascii="黑体" w:hAnsi="黑体" w:eastAsia="黑体" w:cs="黑体"/>
          <w:color w:val="auto"/>
          <w:sz w:val="24"/>
          <w:szCs w:val="24"/>
          <w:u w:val="none"/>
          <w:lang w:val="en-US" w:eastAsia="zh-CN"/>
        </w:rPr>
        <w:t>项目名称）</w:t>
      </w:r>
      <w:r>
        <w:rPr>
          <w:rFonts w:hint="eastAsia" w:ascii="黑体" w:hAnsi="黑体" w:eastAsia="黑体" w:cs="黑体"/>
          <w:color w:val="auto"/>
          <w:sz w:val="24"/>
          <w:szCs w:val="24"/>
          <w:u w:val="single"/>
          <w:lang w:val="en-US" w:eastAsia="zh-CN"/>
        </w:rPr>
        <w:t xml:space="preserve">         </w:t>
      </w:r>
      <w:r>
        <w:rPr>
          <w:rFonts w:hint="eastAsia" w:ascii="黑体" w:hAnsi="黑体" w:eastAsia="黑体" w:cs="黑体"/>
          <w:color w:val="auto"/>
          <w:sz w:val="24"/>
          <w:szCs w:val="24"/>
          <w:u w:val="single"/>
        </w:rPr>
        <w:t xml:space="preserve">  </w:t>
      </w:r>
      <w:r>
        <w:rPr>
          <w:rFonts w:hint="eastAsia" w:ascii="黑体" w:hAnsi="黑体" w:eastAsia="黑体" w:cs="黑体"/>
          <w:color w:val="auto"/>
          <w:sz w:val="24"/>
          <w:szCs w:val="24"/>
        </w:rPr>
        <w:t>标段的</w:t>
      </w:r>
      <w:r>
        <w:rPr>
          <w:rFonts w:hint="eastAsia" w:ascii="黑体" w:hAnsi="黑体" w:eastAsia="黑体" w:cs="黑体"/>
          <w:color w:val="auto"/>
          <w:sz w:val="24"/>
          <w:szCs w:val="24"/>
          <w:lang w:val="en-US" w:eastAsia="zh-CN"/>
        </w:rPr>
        <w:t>投</w:t>
      </w:r>
      <w:r>
        <w:rPr>
          <w:rFonts w:hint="eastAsia" w:ascii="黑体" w:hAnsi="黑体" w:eastAsia="黑体" w:cs="黑体"/>
          <w:color w:val="auto"/>
          <w:sz w:val="24"/>
          <w:szCs w:val="24"/>
        </w:rPr>
        <w:t>标</w:t>
      </w:r>
      <w:r>
        <w:rPr>
          <w:rFonts w:hint="eastAsia" w:ascii="黑体" w:hAnsi="黑体" w:eastAsia="黑体" w:cs="黑体"/>
          <w:color w:val="auto"/>
          <w:sz w:val="24"/>
          <w:szCs w:val="24"/>
          <w:lang w:eastAsia="zh-CN"/>
        </w:rPr>
        <w:t>，</w:t>
      </w:r>
      <w:r>
        <w:rPr>
          <w:rFonts w:hint="eastAsia" w:ascii="黑体" w:hAnsi="黑体" w:eastAsia="黑体" w:cs="黑体"/>
          <w:color w:val="auto"/>
          <w:sz w:val="24"/>
          <w:szCs w:val="24"/>
          <w:lang w:val="en-US" w:eastAsia="zh-CN"/>
        </w:rPr>
        <w:t>并确定其为中标人</w:t>
      </w:r>
      <w:r>
        <w:rPr>
          <w:rFonts w:hint="eastAsia" w:ascii="黑体" w:hAnsi="黑体" w:eastAsia="黑体" w:cs="黑体"/>
          <w:color w:val="auto"/>
          <w:sz w:val="24"/>
          <w:szCs w:val="24"/>
        </w:rPr>
        <w:t>。发包人和承包人共同达成如下协议。</w:t>
      </w:r>
    </w:p>
    <w:p w14:paraId="14E86683">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黑体" w:hAnsi="黑体" w:eastAsia="黑体" w:cs="黑体"/>
          <w:color w:val="auto"/>
          <w:sz w:val="24"/>
          <w:szCs w:val="24"/>
        </w:rPr>
      </w:pPr>
      <w:bookmarkStart w:id="568" w:name="_Toc168475885"/>
      <w:bookmarkStart w:id="569" w:name="_Toc168476288"/>
      <w:bookmarkStart w:id="570" w:name="_Toc144974828"/>
      <w:r>
        <w:rPr>
          <w:rFonts w:hint="eastAsia" w:ascii="黑体" w:hAnsi="黑体" w:eastAsia="黑体" w:cs="黑体"/>
          <w:color w:val="auto"/>
          <w:sz w:val="24"/>
          <w:szCs w:val="24"/>
        </w:rPr>
        <w:t>1.本协议书与下列文件一起构成合同文件：</w:t>
      </w:r>
      <w:bookmarkEnd w:id="568"/>
      <w:bookmarkEnd w:id="569"/>
      <w:bookmarkEnd w:id="570"/>
    </w:p>
    <w:p w14:paraId="0E9D5355">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（1）中标通知书；</w:t>
      </w:r>
    </w:p>
    <w:p w14:paraId="5F1E420B">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（2）投标函及投标函附录；</w:t>
      </w:r>
    </w:p>
    <w:p w14:paraId="3C6565B1">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（3）专用合同条款；</w:t>
      </w:r>
    </w:p>
    <w:p w14:paraId="1564DA9C">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（4）通用合同条款；</w:t>
      </w:r>
    </w:p>
    <w:p w14:paraId="17702558">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（5）技术标准和要求（合同技术条款）；</w:t>
      </w:r>
    </w:p>
    <w:p w14:paraId="3022BB0D">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（6）图纸；</w:t>
      </w:r>
    </w:p>
    <w:p w14:paraId="410799E7">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（7）已标价工程量清单；</w:t>
      </w:r>
    </w:p>
    <w:p w14:paraId="02FBD903">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（8）其他合同文件。</w:t>
      </w:r>
    </w:p>
    <w:p w14:paraId="4EA334E8">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黑体" w:hAnsi="黑体" w:eastAsia="黑体" w:cs="黑体"/>
          <w:color w:val="auto"/>
          <w:sz w:val="24"/>
          <w:szCs w:val="24"/>
        </w:rPr>
      </w:pPr>
      <w:bookmarkStart w:id="571" w:name="_Toc144974829"/>
      <w:bookmarkStart w:id="572" w:name="_Toc168475886"/>
      <w:bookmarkStart w:id="573" w:name="_Toc168476289"/>
      <w:r>
        <w:rPr>
          <w:rFonts w:hint="eastAsia" w:ascii="黑体" w:hAnsi="黑体" w:eastAsia="黑体" w:cs="黑体"/>
          <w:color w:val="auto"/>
          <w:sz w:val="24"/>
          <w:szCs w:val="24"/>
        </w:rPr>
        <w:t>2.上述文件互相补充和解释，如有不明确或不一致之处，以合同约定次序在先者为准。</w:t>
      </w:r>
      <w:bookmarkEnd w:id="571"/>
      <w:bookmarkEnd w:id="572"/>
      <w:bookmarkEnd w:id="573"/>
    </w:p>
    <w:p w14:paraId="09A05FC0">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3.签约合同价：人民币（大写）</w:t>
      </w:r>
      <w:r>
        <w:rPr>
          <w:rFonts w:hint="eastAsia" w:ascii="黑体" w:hAnsi="黑体" w:eastAsia="黑体" w:cs="黑体"/>
          <w:color w:val="auto"/>
          <w:sz w:val="24"/>
          <w:szCs w:val="24"/>
          <w:u w:val="single"/>
        </w:rPr>
        <w:t xml:space="preserve">   </w:t>
      </w:r>
      <w:r>
        <w:rPr>
          <w:rFonts w:hint="eastAsia" w:ascii="黑体" w:hAnsi="黑体" w:eastAsia="黑体" w:cs="黑体"/>
          <w:color w:val="auto"/>
          <w:sz w:val="24"/>
          <w:szCs w:val="24"/>
        </w:rPr>
        <w:t>元（￥</w:t>
      </w:r>
      <w:r>
        <w:rPr>
          <w:rFonts w:hint="eastAsia" w:ascii="黑体" w:hAnsi="黑体" w:eastAsia="黑体" w:cs="黑体"/>
          <w:color w:val="auto"/>
          <w:sz w:val="24"/>
          <w:szCs w:val="24"/>
          <w:u w:val="single"/>
        </w:rPr>
        <w:t xml:space="preserve">  </w:t>
      </w:r>
      <w:r>
        <w:rPr>
          <w:rFonts w:hint="eastAsia" w:ascii="黑体" w:hAnsi="黑体" w:eastAsia="黑体" w:cs="黑体"/>
          <w:color w:val="auto"/>
          <w:sz w:val="24"/>
          <w:szCs w:val="24"/>
          <w:u w:val="single"/>
          <w:lang w:val="en-US" w:eastAsia="zh-CN"/>
        </w:rPr>
        <w:t xml:space="preserve"> </w:t>
      </w:r>
      <w:r>
        <w:rPr>
          <w:rFonts w:hint="eastAsia" w:ascii="黑体" w:hAnsi="黑体" w:eastAsia="黑体" w:cs="黑体"/>
          <w:color w:val="auto"/>
          <w:sz w:val="24"/>
          <w:szCs w:val="24"/>
          <w:u w:val="single"/>
        </w:rPr>
        <w:t xml:space="preserve"> </w:t>
      </w:r>
      <w:r>
        <w:rPr>
          <w:rFonts w:hint="eastAsia" w:ascii="黑体" w:hAnsi="黑体" w:eastAsia="黑体" w:cs="黑体"/>
          <w:color w:val="auto"/>
          <w:sz w:val="24"/>
          <w:szCs w:val="24"/>
        </w:rPr>
        <w:t>）。</w:t>
      </w:r>
    </w:p>
    <w:p w14:paraId="59DA2941">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黑体" w:hAnsi="黑体" w:eastAsia="黑体" w:cs="黑体"/>
          <w:color w:val="auto"/>
          <w:sz w:val="24"/>
          <w:szCs w:val="24"/>
          <w:u w:val="single"/>
        </w:rPr>
      </w:pPr>
      <w:r>
        <w:rPr>
          <w:rFonts w:hint="eastAsia" w:ascii="黑体" w:hAnsi="黑体" w:eastAsia="黑体" w:cs="黑体"/>
          <w:color w:val="auto"/>
          <w:sz w:val="24"/>
          <w:szCs w:val="24"/>
        </w:rPr>
        <w:t>4.承包人项目经理：</w:t>
      </w:r>
      <w:r>
        <w:rPr>
          <w:rFonts w:hint="eastAsia" w:ascii="黑体" w:hAnsi="黑体" w:eastAsia="黑体" w:cs="黑体"/>
          <w:color w:val="auto"/>
          <w:sz w:val="24"/>
          <w:szCs w:val="24"/>
          <w:u w:val="single"/>
        </w:rPr>
        <w:t xml:space="preserve">    </w:t>
      </w:r>
      <w:r>
        <w:rPr>
          <w:rFonts w:hint="eastAsia" w:ascii="黑体" w:hAnsi="黑体" w:eastAsia="黑体" w:cs="黑体"/>
          <w:color w:val="auto"/>
          <w:sz w:val="24"/>
          <w:szCs w:val="24"/>
        </w:rPr>
        <w:t>。</w:t>
      </w:r>
    </w:p>
    <w:p w14:paraId="1DDE62F8">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rPr>
        <w:t>5.工程质量符合</w:t>
      </w:r>
      <w:r>
        <w:rPr>
          <w:rFonts w:hint="eastAsia" w:ascii="黑体" w:hAnsi="黑体" w:eastAsia="黑体" w:cs="黑体"/>
          <w:color w:val="auto"/>
          <w:sz w:val="24"/>
          <w:szCs w:val="24"/>
          <w:u w:val="single"/>
        </w:rPr>
        <w:t xml:space="preserve">  </w:t>
      </w:r>
      <w:r>
        <w:rPr>
          <w:rFonts w:hint="eastAsia" w:ascii="黑体" w:hAnsi="黑体" w:eastAsia="黑体" w:cs="黑体"/>
          <w:color w:val="auto"/>
          <w:sz w:val="24"/>
          <w:szCs w:val="24"/>
          <w:highlight w:val="none"/>
          <w:u w:val="single"/>
          <w:lang w:val="en-US" w:eastAsia="zh-CN"/>
        </w:rPr>
        <w:t>合格</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标准。</w:t>
      </w:r>
    </w:p>
    <w:p w14:paraId="12DBC356">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6.承包人承诺按合同约定承担工程的实施、完成及缺陷修复。</w:t>
      </w:r>
    </w:p>
    <w:p w14:paraId="1A0D160A">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7.发包人承诺按合同约定的条件、时间和方式向承包人支付合同价款。</w:t>
      </w:r>
    </w:p>
    <w:p w14:paraId="2D9F48E1">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8.承包人承诺执行监理人开工通知，计划工期为</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30</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天。</w:t>
      </w:r>
    </w:p>
    <w:p w14:paraId="39FB9B8D">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9.本协议书一式</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份，合同双方各执一份。</w:t>
      </w:r>
    </w:p>
    <w:p w14:paraId="71DA8AAB">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黑体" w:hAnsi="黑体" w:eastAsia="黑体" w:cs="黑体"/>
          <w:color w:val="auto"/>
          <w:sz w:val="24"/>
          <w:szCs w:val="24"/>
          <w:highlight w:val="none"/>
        </w:rPr>
      </w:pPr>
      <w:bookmarkStart w:id="574" w:name="_Toc144974830"/>
      <w:bookmarkStart w:id="575" w:name="_Toc168475887"/>
      <w:bookmarkStart w:id="576" w:name="_Toc168476290"/>
      <w:r>
        <w:rPr>
          <w:rFonts w:hint="eastAsia" w:ascii="黑体" w:hAnsi="黑体" w:eastAsia="黑体" w:cs="黑体"/>
          <w:color w:val="auto"/>
          <w:sz w:val="24"/>
          <w:szCs w:val="24"/>
          <w:highlight w:val="none"/>
        </w:rPr>
        <w:t>10.合同未尽事宜，双方另行签订补充协议。补充协议是合同的组成部分。</w:t>
      </w:r>
      <w:bookmarkEnd w:id="574"/>
      <w:bookmarkEnd w:id="575"/>
      <w:bookmarkEnd w:id="576"/>
    </w:p>
    <w:p w14:paraId="02060BB1">
      <w:pPr>
        <w:keepNext w:val="0"/>
        <w:keepLines w:val="0"/>
        <w:pageBreakBefore w:val="0"/>
        <w:widowControl w:val="0"/>
        <w:kinsoku/>
        <w:wordWrap w:val="0"/>
        <w:overflowPunct/>
        <w:topLinePunct w:val="0"/>
        <w:autoSpaceDE/>
        <w:autoSpaceDN/>
        <w:bidi w:val="0"/>
        <w:adjustRightInd/>
        <w:snapToGrid/>
        <w:spacing w:line="360" w:lineRule="auto"/>
        <w:ind w:left="0" w:leftChars="0" w:right="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（盖单位章）   </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承包人：</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（盖单位章）</w:t>
      </w:r>
    </w:p>
    <w:p w14:paraId="13D58DA9">
      <w:pPr>
        <w:keepNext w:val="0"/>
        <w:keepLines w:val="0"/>
        <w:pageBreakBefore w:val="0"/>
        <w:widowControl w:val="0"/>
        <w:kinsoku/>
        <w:wordWrap w:val="0"/>
        <w:overflowPunct/>
        <w:topLinePunct w:val="0"/>
        <w:autoSpaceDE/>
        <w:autoSpaceDN/>
        <w:bidi w:val="0"/>
        <w:adjustRightInd/>
        <w:snapToGrid/>
        <w:spacing w:line="360" w:lineRule="auto"/>
        <w:ind w:left="0" w:leftChars="0" w:right="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法定代表人或其委托代理人：</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（签字）  法定代表人或其委托代理人：</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（签字）</w:t>
      </w:r>
    </w:p>
    <w:p w14:paraId="60AF682D">
      <w:pPr>
        <w:keepNext w:val="0"/>
        <w:keepLines w:val="0"/>
        <w:pageBreakBefore w:val="0"/>
        <w:widowControl w:val="0"/>
        <w:kinsoku/>
        <w:wordWrap w:val="0"/>
        <w:overflowPunct/>
        <w:topLinePunct w:val="0"/>
        <w:autoSpaceDE/>
        <w:autoSpaceDN/>
        <w:bidi w:val="0"/>
        <w:adjustRightInd/>
        <w:snapToGrid/>
        <w:spacing w:line="360" w:lineRule="auto"/>
        <w:ind w:left="0" w:leftChars="0" w:right="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年</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月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日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年</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月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日</w:t>
      </w:r>
    </w:p>
    <w:p w14:paraId="60F0F1DA">
      <w:pPr>
        <w:pStyle w:val="126"/>
        <w:pageBreakBefore w:val="0"/>
        <w:widowControl w:val="0"/>
        <w:kinsoku/>
        <w:wordWrap w:val="0"/>
        <w:overflowPunct/>
        <w:topLinePunct w:val="0"/>
        <w:autoSpaceDE/>
        <w:autoSpaceDN/>
        <w:bidi w:val="0"/>
        <w:adjustRightInd/>
        <w:snapToGrid/>
        <w:spacing w:before="0" w:beforeLines="0" w:after="0" w:afterLines="0" w:line="360" w:lineRule="auto"/>
        <w:ind w:left="0" w:leftChars="0" w:right="0"/>
        <w:textAlignment w:val="auto"/>
        <w:outlineLvl w:val="1"/>
        <w:rPr>
          <w:rFonts w:hint="eastAsia" w:ascii="黑体" w:hAnsi="黑体" w:eastAsia="黑体" w:cs="黑体"/>
          <w:color w:val="auto"/>
          <w:sz w:val="24"/>
          <w:szCs w:val="24"/>
          <w:highlight w:val="none"/>
          <w:u w:val="none"/>
        </w:rPr>
      </w:pPr>
      <w:bookmarkStart w:id="577" w:name="_Toc168476291"/>
      <w:bookmarkStart w:id="578" w:name="_Toc168475888"/>
      <w:r>
        <w:rPr>
          <w:rFonts w:hint="eastAsia" w:ascii="黑体" w:hAnsi="黑体" w:eastAsia="黑体" w:cs="黑体"/>
          <w:color w:val="auto"/>
          <w:sz w:val="24"/>
          <w:szCs w:val="24"/>
          <w:highlight w:val="none"/>
          <w:u w:val="none"/>
        </w:rPr>
        <w:t>附件二：</w:t>
      </w:r>
      <w:bookmarkEnd w:id="577"/>
      <w:bookmarkEnd w:id="578"/>
      <w:r>
        <w:rPr>
          <w:rFonts w:hint="eastAsia" w:ascii="黑体" w:hAnsi="黑体" w:eastAsia="黑体" w:cs="黑体"/>
          <w:color w:val="auto"/>
          <w:sz w:val="24"/>
          <w:szCs w:val="24"/>
          <w:highlight w:val="none"/>
          <w:u w:val="none"/>
        </w:rPr>
        <w:t xml:space="preserve"> </w:t>
      </w:r>
    </w:p>
    <w:p w14:paraId="230395C3">
      <w:pPr>
        <w:pageBreakBefore w:val="0"/>
        <w:widowControl w:val="0"/>
        <w:kinsoku/>
        <w:wordWrap w:val="0"/>
        <w:overflowPunct/>
        <w:topLinePunct w:val="0"/>
        <w:autoSpaceDE/>
        <w:autoSpaceDN/>
        <w:bidi w:val="0"/>
        <w:adjustRightInd/>
        <w:snapToGrid/>
        <w:spacing w:line="360" w:lineRule="auto"/>
        <w:ind w:left="0" w:leftChars="0" w:right="0"/>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履 约 担 保 </w:t>
      </w:r>
    </w:p>
    <w:p w14:paraId="28381846">
      <w:pPr>
        <w:keepNext w:val="0"/>
        <w:keepLines w:val="0"/>
        <w:pageBreakBefore w:val="0"/>
        <w:widowControl w:val="0"/>
        <w:kinsoku/>
        <w:wordWrap w:val="0"/>
        <w:overflowPunct/>
        <w:topLinePunct w:val="0"/>
        <w:autoSpaceDE/>
        <w:autoSpaceDN/>
        <w:bidi w:val="0"/>
        <w:adjustRightInd/>
        <w:snapToGrid/>
        <w:spacing w:line="360" w:lineRule="auto"/>
        <w:ind w:left="0" w:leftChars="0" w:right="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（发包人名称）：</w:t>
      </w:r>
    </w:p>
    <w:p w14:paraId="04BB66CA">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600" w:firstLineChars="25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鉴于</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（发包人名称，以下简称“发包人”）接受</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（承包人名称，以下称“承包人”）于</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年</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月</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日递交的</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（项目名称）</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标段名称）的投标文件。我方愿意无条件地、不可撤销地就承包人履行与你方订立的合同，向你方提供担保。</w:t>
      </w:r>
    </w:p>
    <w:p w14:paraId="4079EF3F">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 担保金额人民币（大写）</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元（￥</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39B693DF">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 担保有效期自发包人与承包人签订的合同生效之日起至发包人签发工程完工证书之日止。</w:t>
      </w:r>
    </w:p>
    <w:p w14:paraId="05EF0528">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 在本担保有效期内，因承包人违反合同约定的义务给你方造成经济损失时，我方在收到你方以书面形式提出的在担保金额内的赔偿要求后，无条件地在７天内予以支付。</w:t>
      </w:r>
    </w:p>
    <w:p w14:paraId="41A2F9D4">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 发包人和承包人按《通用合同条款》第15条变更合同时，我方承担本担保规定的义务不变。</w:t>
      </w:r>
    </w:p>
    <w:p w14:paraId="4195A0CE">
      <w:pPr>
        <w:keepNext w:val="0"/>
        <w:keepLines w:val="0"/>
        <w:pageBreakBefore w:val="0"/>
        <w:widowControl w:val="0"/>
        <w:kinsoku/>
        <w:wordWrap w:val="0"/>
        <w:overflowPunct/>
        <w:topLinePunct w:val="0"/>
        <w:autoSpaceDE/>
        <w:autoSpaceDN/>
        <w:bidi w:val="0"/>
        <w:adjustRightInd/>
        <w:snapToGrid/>
        <w:spacing w:line="360" w:lineRule="auto"/>
        <w:ind w:right="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担 保 人：</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（盖单位章）</w:t>
      </w:r>
    </w:p>
    <w:p w14:paraId="3397A920">
      <w:pPr>
        <w:keepNext w:val="0"/>
        <w:keepLines w:val="0"/>
        <w:pageBreakBefore w:val="0"/>
        <w:widowControl w:val="0"/>
        <w:kinsoku/>
        <w:wordWrap w:val="0"/>
        <w:overflowPunct/>
        <w:topLinePunct w:val="0"/>
        <w:autoSpaceDE/>
        <w:autoSpaceDN/>
        <w:bidi w:val="0"/>
        <w:adjustRightInd/>
        <w:snapToGrid/>
        <w:spacing w:line="360" w:lineRule="auto"/>
        <w:ind w:right="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法定代表人或委托代理人：</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（签字）</w:t>
      </w:r>
    </w:p>
    <w:p w14:paraId="3F90CE03">
      <w:pPr>
        <w:keepNext w:val="0"/>
        <w:keepLines w:val="0"/>
        <w:pageBreakBefore w:val="0"/>
        <w:widowControl w:val="0"/>
        <w:kinsoku/>
        <w:wordWrap w:val="0"/>
        <w:overflowPunct/>
        <w:topLinePunct w:val="0"/>
        <w:autoSpaceDE/>
        <w:autoSpaceDN/>
        <w:bidi w:val="0"/>
        <w:adjustRightInd/>
        <w:snapToGrid/>
        <w:spacing w:line="360" w:lineRule="auto"/>
        <w:ind w:right="0"/>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地    址：</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p>
    <w:p w14:paraId="6FA7DCC9">
      <w:pPr>
        <w:keepNext w:val="0"/>
        <w:keepLines w:val="0"/>
        <w:pageBreakBefore w:val="0"/>
        <w:widowControl w:val="0"/>
        <w:kinsoku/>
        <w:wordWrap w:val="0"/>
        <w:overflowPunct/>
        <w:topLinePunct w:val="0"/>
        <w:autoSpaceDE/>
        <w:autoSpaceDN/>
        <w:bidi w:val="0"/>
        <w:adjustRightInd/>
        <w:snapToGrid/>
        <w:spacing w:line="360" w:lineRule="auto"/>
        <w:ind w:right="0"/>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邮政编码：</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p>
    <w:p w14:paraId="55E827C3">
      <w:pPr>
        <w:keepNext w:val="0"/>
        <w:keepLines w:val="0"/>
        <w:pageBreakBefore w:val="0"/>
        <w:widowControl w:val="0"/>
        <w:kinsoku/>
        <w:wordWrap w:val="0"/>
        <w:overflowPunct/>
        <w:topLinePunct w:val="0"/>
        <w:autoSpaceDE/>
        <w:autoSpaceDN/>
        <w:bidi w:val="0"/>
        <w:adjustRightInd/>
        <w:snapToGrid/>
        <w:spacing w:line="360" w:lineRule="auto"/>
        <w:ind w:right="0"/>
        <w:textAlignment w:val="auto"/>
        <w:rPr>
          <w:rFonts w:hint="eastAsia" w:ascii="黑体" w:hAnsi="黑体" w:eastAsia="黑体" w:cs="黑体"/>
          <w:color w:val="auto"/>
          <w:sz w:val="24"/>
          <w:szCs w:val="24"/>
          <w:highlight w:val="none"/>
          <w:u w:val="single"/>
          <w:lang w:val="en-US" w:eastAsia="zh-CN"/>
        </w:rPr>
      </w:pPr>
      <w:r>
        <w:rPr>
          <w:rFonts w:hint="eastAsia" w:ascii="黑体" w:hAnsi="黑体" w:eastAsia="黑体" w:cs="黑体"/>
          <w:color w:val="auto"/>
          <w:sz w:val="24"/>
          <w:szCs w:val="24"/>
          <w:highlight w:val="none"/>
        </w:rPr>
        <w:t>电    话：</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p>
    <w:p w14:paraId="7FF398DE">
      <w:pPr>
        <w:keepNext w:val="0"/>
        <w:keepLines w:val="0"/>
        <w:pageBreakBefore w:val="0"/>
        <w:widowControl w:val="0"/>
        <w:kinsoku/>
        <w:wordWrap w:val="0"/>
        <w:overflowPunct/>
        <w:topLinePunct w:val="0"/>
        <w:autoSpaceDE/>
        <w:autoSpaceDN/>
        <w:bidi w:val="0"/>
        <w:adjustRightInd/>
        <w:snapToGrid/>
        <w:spacing w:line="360" w:lineRule="auto"/>
        <w:ind w:right="0"/>
        <w:textAlignment w:val="auto"/>
        <w:rPr>
          <w:rFonts w:hint="eastAsia" w:ascii="黑体" w:hAnsi="黑体" w:eastAsia="黑体" w:cs="黑体"/>
          <w:color w:val="auto"/>
          <w:sz w:val="24"/>
          <w:szCs w:val="24"/>
          <w:highlight w:val="none"/>
          <w:u w:val="single"/>
          <w:lang w:val="en-US" w:eastAsia="zh-CN"/>
        </w:rPr>
      </w:pPr>
      <w:r>
        <w:rPr>
          <w:rFonts w:hint="eastAsia" w:ascii="黑体" w:hAnsi="黑体" w:eastAsia="黑体" w:cs="黑体"/>
          <w:color w:val="auto"/>
          <w:sz w:val="24"/>
          <w:szCs w:val="24"/>
          <w:highlight w:val="none"/>
        </w:rPr>
        <w:t>传    真：</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p>
    <w:p w14:paraId="0956B698">
      <w:pPr>
        <w:keepNext w:val="0"/>
        <w:keepLines w:val="0"/>
        <w:pageBreakBefore w:val="0"/>
        <w:widowControl w:val="0"/>
        <w:kinsoku/>
        <w:wordWrap w:val="0"/>
        <w:overflowPunct/>
        <w:topLinePunct w:val="0"/>
        <w:autoSpaceDE/>
        <w:autoSpaceDN/>
        <w:bidi w:val="0"/>
        <w:adjustRightInd/>
        <w:snapToGrid/>
        <w:spacing w:line="360" w:lineRule="auto"/>
        <w:ind w:right="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年</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月</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日</w:t>
      </w:r>
    </w:p>
    <w:p w14:paraId="232380F8">
      <w:pPr>
        <w:keepNext w:val="0"/>
        <w:keepLines w:val="0"/>
        <w:pageBreakBefore w:val="0"/>
        <w:widowControl w:val="0"/>
        <w:kinsoku/>
        <w:wordWrap w:val="0"/>
        <w:overflowPunct/>
        <w:topLinePunct w:val="0"/>
        <w:autoSpaceDE/>
        <w:autoSpaceDN/>
        <w:bidi w:val="0"/>
        <w:adjustRightInd/>
        <w:snapToGrid/>
        <w:spacing w:line="360" w:lineRule="auto"/>
        <w:ind w:right="0"/>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注：委托代理人应附授权委托书。</w:t>
      </w:r>
    </w:p>
    <w:p w14:paraId="5278EF34">
      <w:pPr>
        <w:pageBreakBefore w:val="0"/>
        <w:widowControl w:val="0"/>
        <w:kinsoku/>
        <w:wordWrap w:val="0"/>
        <w:overflowPunct/>
        <w:topLinePunct w:val="0"/>
        <w:autoSpaceDE/>
        <w:autoSpaceDN/>
        <w:bidi w:val="0"/>
        <w:adjustRightInd/>
        <w:snapToGrid/>
        <w:spacing w:line="360" w:lineRule="auto"/>
        <w:ind w:left="0" w:leftChars="0" w:right="0"/>
        <w:textAlignment w:val="auto"/>
        <w:rPr>
          <w:rFonts w:hint="eastAsia" w:ascii="黑体" w:hAnsi="黑体" w:eastAsia="黑体" w:cs="黑体"/>
          <w:color w:val="auto"/>
          <w:sz w:val="24"/>
          <w:szCs w:val="24"/>
          <w:highlight w:val="none"/>
        </w:rPr>
      </w:pPr>
    </w:p>
    <w:p w14:paraId="5ADB7026">
      <w:pPr>
        <w:pageBreakBefore w:val="0"/>
        <w:widowControl w:val="0"/>
        <w:kinsoku/>
        <w:wordWrap w:val="0"/>
        <w:overflowPunct/>
        <w:topLinePunct w:val="0"/>
        <w:autoSpaceDE/>
        <w:autoSpaceDN/>
        <w:bidi w:val="0"/>
        <w:adjustRightInd/>
        <w:snapToGrid/>
        <w:spacing w:line="360" w:lineRule="auto"/>
        <w:ind w:left="0" w:leftChars="0" w:right="0"/>
        <w:textAlignment w:val="auto"/>
        <w:rPr>
          <w:rFonts w:hint="eastAsia" w:ascii="黑体" w:hAnsi="黑体" w:eastAsia="黑体" w:cs="黑体"/>
          <w:color w:val="auto"/>
          <w:sz w:val="24"/>
          <w:szCs w:val="24"/>
          <w:highlight w:val="none"/>
        </w:rPr>
        <w:sectPr>
          <w:pgSz w:w="11906" w:h="16838"/>
          <w:pgMar w:top="1417" w:right="1417" w:bottom="1417" w:left="1417" w:header="851" w:footer="992" w:gutter="0"/>
          <w:pgNumType w:fmt="decimal"/>
          <w:cols w:space="0" w:num="1"/>
          <w:rtlGutter w:val="0"/>
          <w:docGrid w:linePitch="312" w:charSpace="0"/>
        </w:sectPr>
      </w:pPr>
    </w:p>
    <w:p w14:paraId="6AB6A679">
      <w:pPr>
        <w:pStyle w:val="126"/>
        <w:pageBreakBefore w:val="0"/>
        <w:widowControl w:val="0"/>
        <w:kinsoku/>
        <w:wordWrap w:val="0"/>
        <w:overflowPunct/>
        <w:topLinePunct w:val="0"/>
        <w:autoSpaceDE/>
        <w:autoSpaceDN/>
        <w:bidi w:val="0"/>
        <w:adjustRightInd/>
        <w:snapToGrid/>
        <w:spacing w:before="0" w:beforeLines="0" w:after="0" w:afterLines="0" w:line="360" w:lineRule="auto"/>
        <w:ind w:left="0" w:leftChars="0" w:right="0"/>
        <w:textAlignment w:val="auto"/>
        <w:outlineLvl w:val="1"/>
        <w:rPr>
          <w:rFonts w:hint="eastAsia" w:ascii="黑体" w:hAnsi="黑体" w:eastAsia="黑体" w:cs="黑体"/>
          <w:color w:val="auto"/>
          <w:sz w:val="24"/>
          <w:szCs w:val="24"/>
          <w:highlight w:val="none"/>
        </w:rPr>
      </w:pPr>
      <w:bookmarkStart w:id="579" w:name="_Toc168476292"/>
      <w:bookmarkStart w:id="580" w:name="_Toc168475889"/>
      <w:bookmarkStart w:id="581" w:name="_Toc144974833"/>
      <w:r>
        <w:rPr>
          <w:rFonts w:hint="eastAsia" w:ascii="黑体" w:hAnsi="黑体" w:eastAsia="黑体" w:cs="黑体"/>
          <w:color w:val="auto"/>
          <w:sz w:val="24"/>
          <w:szCs w:val="24"/>
          <w:highlight w:val="none"/>
        </w:rPr>
        <w:t>附件三：</w:t>
      </w:r>
      <w:bookmarkEnd w:id="579"/>
      <w:bookmarkEnd w:id="580"/>
      <w:bookmarkEnd w:id="581"/>
      <w:r>
        <w:rPr>
          <w:rFonts w:hint="eastAsia" w:ascii="黑体" w:hAnsi="黑体" w:eastAsia="黑体" w:cs="黑体"/>
          <w:color w:val="auto"/>
          <w:sz w:val="24"/>
          <w:szCs w:val="24"/>
          <w:highlight w:val="none"/>
        </w:rPr>
        <w:t xml:space="preserve"> </w:t>
      </w:r>
    </w:p>
    <w:p w14:paraId="007A6533">
      <w:pPr>
        <w:pageBreakBefore w:val="0"/>
        <w:widowControl w:val="0"/>
        <w:kinsoku/>
        <w:wordWrap w:val="0"/>
        <w:overflowPunct/>
        <w:topLinePunct w:val="0"/>
        <w:autoSpaceDE/>
        <w:autoSpaceDN/>
        <w:bidi w:val="0"/>
        <w:adjustRightInd/>
        <w:snapToGrid/>
        <w:spacing w:line="360" w:lineRule="auto"/>
        <w:ind w:left="0" w:leftChars="0" w:right="0"/>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预付款担保函</w:t>
      </w:r>
    </w:p>
    <w:p w14:paraId="17FBBF6D">
      <w:pPr>
        <w:keepNext w:val="0"/>
        <w:keepLines w:val="0"/>
        <w:pageBreakBefore w:val="0"/>
        <w:widowControl w:val="0"/>
        <w:kinsoku/>
        <w:wordWrap w:val="0"/>
        <w:overflowPunct/>
        <w:topLinePunct w:val="0"/>
        <w:autoSpaceDE/>
        <w:autoSpaceDN/>
        <w:bidi w:val="0"/>
        <w:adjustRightInd/>
        <w:snapToGrid/>
        <w:spacing w:line="360" w:lineRule="auto"/>
        <w:ind w:left="0" w:leftChars="0" w:right="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rPr>
        <w:tab/>
      </w:r>
      <w:r>
        <w:rPr>
          <w:rFonts w:hint="eastAsia" w:ascii="黑体" w:hAnsi="黑体" w:eastAsia="黑体" w:cs="黑体"/>
          <w:color w:val="auto"/>
          <w:sz w:val="24"/>
          <w:szCs w:val="24"/>
          <w:highlight w:val="none"/>
          <w:u w:val="single"/>
        </w:rPr>
        <w:tab/>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（发包人名称）：</w:t>
      </w:r>
    </w:p>
    <w:p w14:paraId="42E42FEB">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根据</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（承包人名称，以下称“承包人”）与</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（发包人名称，以下简称“发包人”）于</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年</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月</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日签订的</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（项目名称）</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（标段名称）合同协议书，承包人按约定的金额向发包人提交一份预付款担保，即有权得到发包人支付相等金额的预付款。我方愿意就你方提供给承包人的预付款提供担保。</w:t>
      </w:r>
    </w:p>
    <w:p w14:paraId="6E4F150E">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 担保金额人民币（大写）</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元（￥</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3F0C2FC9">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 担保有效期自预付款支付给承包人起生效，至发包人签发的进度付款证书说明已完全扣清止。</w:t>
      </w:r>
    </w:p>
    <w:p w14:paraId="55CD9C04">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 在本担保有效期内，因承包人违反合同约定的义务而要求收回预付款时，我方在收到你方的书面通知后，无条件地在７天内予以支付。但本担保的担保金额，在任何时候不应超过预付款金额减去发包人按合同约定在向承包人签发的进度付款证书中已扣回的金额。</w:t>
      </w:r>
    </w:p>
    <w:p w14:paraId="66FA1EC0">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 发包人和承包人按《通用合同条款》第15条变更合同时，我方承担本担保规定的义务不变。</w:t>
      </w:r>
    </w:p>
    <w:p w14:paraId="3D22FE08">
      <w:pPr>
        <w:keepNext w:val="0"/>
        <w:keepLines w:val="0"/>
        <w:pageBreakBefore w:val="0"/>
        <w:widowControl w:val="0"/>
        <w:kinsoku/>
        <w:wordWrap w:val="0"/>
        <w:overflowPunct/>
        <w:topLinePunct w:val="0"/>
        <w:autoSpaceDE/>
        <w:autoSpaceDN/>
        <w:bidi w:val="0"/>
        <w:adjustRightInd/>
        <w:snapToGrid/>
        <w:spacing w:line="360" w:lineRule="auto"/>
        <w:ind w:right="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担 保 人：</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（盖单位章）</w:t>
      </w:r>
    </w:p>
    <w:p w14:paraId="62580B22">
      <w:pPr>
        <w:keepNext w:val="0"/>
        <w:keepLines w:val="0"/>
        <w:pageBreakBefore w:val="0"/>
        <w:widowControl w:val="0"/>
        <w:kinsoku/>
        <w:wordWrap w:val="0"/>
        <w:overflowPunct/>
        <w:topLinePunct w:val="0"/>
        <w:autoSpaceDE/>
        <w:autoSpaceDN/>
        <w:bidi w:val="0"/>
        <w:adjustRightInd/>
        <w:snapToGrid/>
        <w:spacing w:line="360" w:lineRule="auto"/>
        <w:ind w:right="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法定代表人或委托代理人：</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（签字）</w:t>
      </w:r>
    </w:p>
    <w:p w14:paraId="45EB074D">
      <w:pPr>
        <w:keepNext w:val="0"/>
        <w:keepLines w:val="0"/>
        <w:pageBreakBefore w:val="0"/>
        <w:widowControl w:val="0"/>
        <w:kinsoku/>
        <w:wordWrap w:val="0"/>
        <w:overflowPunct/>
        <w:topLinePunct w:val="0"/>
        <w:autoSpaceDE/>
        <w:autoSpaceDN/>
        <w:bidi w:val="0"/>
        <w:adjustRightInd/>
        <w:snapToGrid/>
        <w:spacing w:line="360" w:lineRule="auto"/>
        <w:ind w:right="0"/>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地    址：</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p>
    <w:p w14:paraId="5D2EBB07">
      <w:pPr>
        <w:keepNext w:val="0"/>
        <w:keepLines w:val="0"/>
        <w:pageBreakBefore w:val="0"/>
        <w:widowControl w:val="0"/>
        <w:kinsoku/>
        <w:wordWrap w:val="0"/>
        <w:overflowPunct/>
        <w:topLinePunct w:val="0"/>
        <w:autoSpaceDE/>
        <w:autoSpaceDN/>
        <w:bidi w:val="0"/>
        <w:adjustRightInd/>
        <w:snapToGrid/>
        <w:spacing w:line="360" w:lineRule="auto"/>
        <w:ind w:right="0"/>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邮政编码：</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p>
    <w:p w14:paraId="21E38641">
      <w:pPr>
        <w:keepNext w:val="0"/>
        <w:keepLines w:val="0"/>
        <w:pageBreakBefore w:val="0"/>
        <w:widowControl w:val="0"/>
        <w:kinsoku/>
        <w:wordWrap w:val="0"/>
        <w:overflowPunct/>
        <w:topLinePunct w:val="0"/>
        <w:autoSpaceDE/>
        <w:autoSpaceDN/>
        <w:bidi w:val="0"/>
        <w:adjustRightInd/>
        <w:snapToGrid/>
        <w:spacing w:line="360" w:lineRule="auto"/>
        <w:ind w:right="0"/>
        <w:textAlignment w:val="auto"/>
        <w:rPr>
          <w:rFonts w:hint="eastAsia" w:ascii="黑体" w:hAnsi="黑体" w:eastAsia="黑体" w:cs="黑体"/>
          <w:color w:val="auto"/>
          <w:sz w:val="24"/>
          <w:szCs w:val="24"/>
          <w:highlight w:val="none"/>
          <w:u w:val="single"/>
          <w:lang w:val="en-US" w:eastAsia="zh-CN"/>
        </w:rPr>
      </w:pPr>
      <w:r>
        <w:rPr>
          <w:rFonts w:hint="eastAsia" w:ascii="黑体" w:hAnsi="黑体" w:eastAsia="黑体" w:cs="黑体"/>
          <w:color w:val="auto"/>
          <w:sz w:val="24"/>
          <w:szCs w:val="24"/>
          <w:highlight w:val="none"/>
        </w:rPr>
        <w:t>电    话：</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p>
    <w:p w14:paraId="76057A75">
      <w:pPr>
        <w:keepNext w:val="0"/>
        <w:keepLines w:val="0"/>
        <w:pageBreakBefore w:val="0"/>
        <w:widowControl w:val="0"/>
        <w:kinsoku/>
        <w:wordWrap w:val="0"/>
        <w:overflowPunct/>
        <w:topLinePunct w:val="0"/>
        <w:autoSpaceDE/>
        <w:autoSpaceDN/>
        <w:bidi w:val="0"/>
        <w:adjustRightInd/>
        <w:snapToGrid/>
        <w:spacing w:line="360" w:lineRule="auto"/>
        <w:ind w:right="0"/>
        <w:textAlignment w:val="auto"/>
        <w:rPr>
          <w:rFonts w:hint="eastAsia" w:ascii="黑体" w:hAnsi="黑体" w:eastAsia="黑体" w:cs="黑体"/>
          <w:color w:val="auto"/>
          <w:sz w:val="24"/>
          <w:szCs w:val="24"/>
          <w:highlight w:val="none"/>
          <w:u w:val="single"/>
          <w:lang w:val="en-US" w:eastAsia="zh-CN"/>
        </w:rPr>
      </w:pPr>
      <w:r>
        <w:rPr>
          <w:rFonts w:hint="eastAsia" w:ascii="黑体" w:hAnsi="黑体" w:eastAsia="黑体" w:cs="黑体"/>
          <w:color w:val="auto"/>
          <w:sz w:val="24"/>
          <w:szCs w:val="24"/>
          <w:highlight w:val="none"/>
        </w:rPr>
        <w:t>传    真：</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p>
    <w:p w14:paraId="5FBCF2B0">
      <w:pPr>
        <w:keepNext w:val="0"/>
        <w:keepLines w:val="0"/>
        <w:pageBreakBefore w:val="0"/>
        <w:widowControl w:val="0"/>
        <w:kinsoku/>
        <w:wordWrap w:val="0"/>
        <w:overflowPunct/>
        <w:topLinePunct w:val="0"/>
        <w:autoSpaceDE/>
        <w:autoSpaceDN/>
        <w:bidi w:val="0"/>
        <w:adjustRightInd/>
        <w:snapToGrid/>
        <w:spacing w:line="360" w:lineRule="auto"/>
        <w:ind w:right="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年</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月</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日</w:t>
      </w:r>
    </w:p>
    <w:p w14:paraId="06595521">
      <w:pPr>
        <w:keepNext w:val="0"/>
        <w:keepLines w:val="0"/>
        <w:pageBreakBefore w:val="0"/>
        <w:widowControl w:val="0"/>
        <w:kinsoku/>
        <w:wordWrap w:val="0"/>
        <w:overflowPunct/>
        <w:topLinePunct w:val="0"/>
        <w:autoSpaceDE/>
        <w:autoSpaceDN/>
        <w:bidi w:val="0"/>
        <w:adjustRightInd/>
        <w:snapToGrid/>
        <w:spacing w:line="360" w:lineRule="auto"/>
        <w:ind w:right="0"/>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注：委托代理人应附授权委托书。</w:t>
      </w:r>
    </w:p>
    <w:p w14:paraId="28382A09">
      <w:pPr>
        <w:rPr>
          <w:rFonts w:hint="eastAsia" w:ascii="黑体" w:hAnsi="黑体" w:eastAsia="黑体" w:cs="黑体"/>
          <w:color w:val="auto"/>
          <w:sz w:val="22"/>
          <w:szCs w:val="28"/>
          <w:highlight w:val="none"/>
        </w:rPr>
      </w:pPr>
    </w:p>
    <w:sectPr>
      <w:headerReference r:id="rId17" w:type="default"/>
      <w:footerReference r:id="rId18" w:type="default"/>
      <w:pgSz w:w="11907" w:h="16840"/>
      <w:pgMar w:top="1474" w:right="1814" w:bottom="1474" w:left="1814"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Arial Unicode MS">
    <w:altName w:val="宋体"/>
    <w:panose1 w:val="020B0604020202020204"/>
    <w:charset w:val="86"/>
    <w:family w:val="swiss"/>
    <w:pitch w:val="default"/>
    <w:sig w:usb0="00000000" w:usb1="00000000" w:usb2="0000003F" w:usb3="00000000" w:csb0="603F01FF" w:csb1="FFFF0000"/>
  </w:font>
  <w:font w:name="方正宋一_GBK">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079D4">
    <w:pPr>
      <w:pStyle w:val="23"/>
      <w:ind w:firstLine="360"/>
      <w:jc w:val="right"/>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974BE">
    <w:pPr>
      <w:pStyle w:val="2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592E5F">
                          <w:pPr>
                            <w:pStyle w:val="23"/>
                          </w:pPr>
                          <w:r>
                            <w:fldChar w:fldCharType="begin"/>
                          </w:r>
                          <w:r>
                            <w:instrText xml:space="preserve"> PAGE  \* MERGEFORMAT </w:instrText>
                          </w:r>
                          <w:r>
                            <w:fldChar w:fldCharType="separate"/>
                          </w:r>
                          <w:r>
                            <w:t>130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8592E5F">
                    <w:pPr>
                      <w:pStyle w:val="23"/>
                    </w:pPr>
                    <w:r>
                      <w:fldChar w:fldCharType="begin"/>
                    </w:r>
                    <w:r>
                      <w:instrText xml:space="preserve"> PAGE  \* MERGEFORMAT </w:instrText>
                    </w:r>
                    <w:r>
                      <w:fldChar w:fldCharType="separate"/>
                    </w:r>
                    <w:r>
                      <w:t>130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1F0E9">
    <w:pPr>
      <w:pStyle w:val="23"/>
      <w:ind w:right="360" w:firstLine="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58312">
    <w:pPr>
      <w:pStyle w:val="23"/>
      <w:ind w:right="360" w:firstLine="360"/>
      <w:jc w:val="right"/>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DDCC91">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5DDCC91">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112CD">
    <w:pPr>
      <w:pStyle w:val="23"/>
      <w:ind w:right="360"/>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D30075">
                          <w:pPr>
                            <w:pStyle w:val="2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1D30075">
                    <w:pPr>
                      <w:pStyle w:val="23"/>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F5EFA">
    <w:pPr>
      <w:pStyle w:val="23"/>
      <w:framePr w:wrap="around" w:vAnchor="text" w:hAnchor="margin" w:xAlign="center" w:y="1"/>
      <w:rPr>
        <w:rStyle w:val="48"/>
      </w:rPr>
    </w:pPr>
    <w:r>
      <w:fldChar w:fldCharType="begin"/>
    </w:r>
    <w:r>
      <w:rPr>
        <w:rStyle w:val="48"/>
      </w:rPr>
      <w:instrText xml:space="preserve">PAGE  </w:instrText>
    </w:r>
    <w:r>
      <w:fldChar w:fldCharType="end"/>
    </w:r>
  </w:p>
  <w:p w14:paraId="2362B16E">
    <w:pPr>
      <w:pStyle w:val="2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93C4F">
    <w:pPr>
      <w:pStyle w:val="23"/>
      <w:tabs>
        <w:tab w:val="left" w:pos="3306"/>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E8FDB9">
                          <w:pPr>
                            <w:pStyle w:val="2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4E8FDB9">
                    <w:pPr>
                      <w:pStyle w:val="2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A6F53">
    <w:pPr>
      <w:pStyle w:val="23"/>
      <w:framePr w:wrap="around" w:vAnchor="text" w:hAnchor="margin" w:xAlign="center" w:y="1"/>
      <w:rPr>
        <w:rStyle w:val="48"/>
      </w:rPr>
    </w:pPr>
    <w:r>
      <w:fldChar w:fldCharType="begin"/>
    </w:r>
    <w:r>
      <w:rPr>
        <w:rStyle w:val="48"/>
      </w:rPr>
      <w:instrText xml:space="preserve">PAGE  </w:instrText>
    </w:r>
    <w:r>
      <w:fldChar w:fldCharType="end"/>
    </w:r>
  </w:p>
  <w:p w14:paraId="65A53FCA">
    <w:pPr>
      <w:pStyle w:val="2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1429C">
    <w:pPr>
      <w:pStyle w:val="2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59A9B51">
                          <w:pPr>
                            <w:pStyle w:val="23"/>
                            <w:rPr>
                              <w:rFonts w:hint="eastAsia" w:ascii="方正宋一_GBK" w:hAnsi="方正宋一_GBK" w:eastAsia="方正宋一_GBK" w:cs="方正宋一_GBK"/>
                            </w:rPr>
                          </w:pPr>
                          <w:r>
                            <w:rPr>
                              <w:rFonts w:hint="eastAsia" w:ascii="方正宋一_GBK" w:hAnsi="方正宋一_GBK" w:eastAsia="方正宋一_GBK" w:cs="方正宋一_GBK"/>
                            </w:rPr>
                            <w:fldChar w:fldCharType="begin"/>
                          </w:r>
                          <w:r>
                            <w:rPr>
                              <w:rFonts w:hint="eastAsia" w:ascii="方正宋一_GBK" w:hAnsi="方正宋一_GBK" w:eastAsia="方正宋一_GBK" w:cs="方正宋一_GBK"/>
                            </w:rPr>
                            <w:instrText xml:space="preserve"> PAGE  \* MERGEFORMAT </w:instrText>
                          </w:r>
                          <w:r>
                            <w:rPr>
                              <w:rFonts w:hint="eastAsia" w:ascii="方正宋一_GBK" w:hAnsi="方正宋一_GBK" w:eastAsia="方正宋一_GBK" w:cs="方正宋一_GBK"/>
                            </w:rPr>
                            <w:fldChar w:fldCharType="separate"/>
                          </w:r>
                          <w:r>
                            <w:rPr>
                              <w:rFonts w:hint="eastAsia" w:ascii="方正宋一_GBK" w:hAnsi="方正宋一_GBK" w:eastAsia="方正宋一_GBK" w:cs="方正宋一_GBK"/>
                            </w:rPr>
                            <w:t>60</w:t>
                          </w:r>
                          <w:r>
                            <w:rPr>
                              <w:rFonts w:hint="eastAsia" w:ascii="方正宋一_GBK" w:hAnsi="方正宋一_GBK" w:eastAsia="方正宋一_GBK" w:cs="方正宋一_GBK"/>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mdSHdEBAACi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tZ&#10;Jnl6DzVmPXjMi8NHN+DSzPeAl4n1IINJX+RDMI7ini7iiiESnh6tqtWqxBDH2OwgfvH83AeIn4Qz&#10;JBkNDTi9LCo7foE4ps4pqZp1t0rrPEFtSd/Q66vqKj+4RBBcW6yRSIzNJisOu2FitnPtCYn1uAEN&#10;tbjwlOjPFgVOyzIbYTZ2s3HwQe27vE2pE/AfDhG7yU2mCiPsVBhHl2lOa5Z2428/Zz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A5nUh3RAQAAogMAAA4AAAAAAAAAAQAgAAAAHgEAAGRy&#10;cy9lMm9Eb2MueG1sUEsFBgAAAAAGAAYAWQEAAGEFAAAAAA==&#10;">
              <v:fill on="f" focussize="0,0"/>
              <v:stroke on="f"/>
              <v:imagedata o:title=""/>
              <o:lock v:ext="edit" aspectratio="f"/>
              <v:textbox inset="0mm,0mm,0mm,0mm" style="mso-fit-shape-to-text:t;">
                <w:txbxContent>
                  <w:p w14:paraId="459A9B51">
                    <w:pPr>
                      <w:pStyle w:val="23"/>
                      <w:rPr>
                        <w:rFonts w:hint="eastAsia" w:ascii="方正宋一_GBK" w:hAnsi="方正宋一_GBK" w:eastAsia="方正宋一_GBK" w:cs="方正宋一_GBK"/>
                      </w:rPr>
                    </w:pPr>
                    <w:r>
                      <w:rPr>
                        <w:rFonts w:hint="eastAsia" w:ascii="方正宋一_GBK" w:hAnsi="方正宋一_GBK" w:eastAsia="方正宋一_GBK" w:cs="方正宋一_GBK"/>
                      </w:rPr>
                      <w:fldChar w:fldCharType="begin"/>
                    </w:r>
                    <w:r>
                      <w:rPr>
                        <w:rFonts w:hint="eastAsia" w:ascii="方正宋一_GBK" w:hAnsi="方正宋一_GBK" w:eastAsia="方正宋一_GBK" w:cs="方正宋一_GBK"/>
                      </w:rPr>
                      <w:instrText xml:space="preserve"> PAGE  \* MERGEFORMAT </w:instrText>
                    </w:r>
                    <w:r>
                      <w:rPr>
                        <w:rFonts w:hint="eastAsia" w:ascii="方正宋一_GBK" w:hAnsi="方正宋一_GBK" w:eastAsia="方正宋一_GBK" w:cs="方正宋一_GBK"/>
                      </w:rPr>
                      <w:fldChar w:fldCharType="separate"/>
                    </w:r>
                    <w:r>
                      <w:rPr>
                        <w:rFonts w:hint="eastAsia" w:ascii="方正宋一_GBK" w:hAnsi="方正宋一_GBK" w:eastAsia="方正宋一_GBK" w:cs="方正宋一_GBK"/>
                      </w:rPr>
                      <w:t>60</w:t>
                    </w:r>
                    <w:r>
                      <w:rPr>
                        <w:rFonts w:hint="eastAsia" w:ascii="方正宋一_GBK" w:hAnsi="方正宋一_GBK" w:eastAsia="方正宋一_GBK" w:cs="方正宋一_GBK"/>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E3DDF">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A84705">
                          <w:pPr>
                            <w:pStyle w:val="23"/>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45A84705">
                    <w:pPr>
                      <w:pStyle w:val="23"/>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B1B58">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9A133">
    <w:pPr>
      <w:pStyle w:val="24"/>
      <w:pBdr>
        <w:bottom w:val="none" w:color="auto" w:sz="0" w:space="0"/>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605AA">
    <w:pPr>
      <w:pStyle w:val="2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A4FC6">
    <w:pPr>
      <w:pStyle w:val="24"/>
      <w:pBdr>
        <w:bottom w:val="none" w:color="auto" w:sz="0" w:space="1"/>
      </w:pBd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FC545">
    <w:pPr>
      <w:pStyle w:val="24"/>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F41C2">
    <w:pPr>
      <w:pStyle w:val="2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C638AD"/>
    <w:multiLevelType w:val="singleLevel"/>
    <w:tmpl w:val="A3C638AD"/>
    <w:lvl w:ilvl="0" w:tentative="0">
      <w:start w:val="5"/>
      <w:numFmt w:val="chineseCounting"/>
      <w:suff w:val="space"/>
      <w:lvlText w:val="第%1章"/>
      <w:lvlJc w:val="left"/>
      <w:rPr>
        <w:rFonts w:hint="eastAsia"/>
      </w:rPr>
    </w:lvl>
  </w:abstractNum>
  <w:abstractNum w:abstractNumId="1">
    <w:nsid w:val="0000000B"/>
    <w:multiLevelType w:val="multilevel"/>
    <w:tmpl w:val="0000000B"/>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779BBBAD"/>
    <w:multiLevelType w:val="singleLevel"/>
    <w:tmpl w:val="779BBBAD"/>
    <w:lvl w:ilvl="0" w:tentative="0">
      <w:start w:val="4"/>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NGJkOTU3YzMwMmJlYjc4MjRlYzMwNTY3ZTQzMjEifQ=="/>
  </w:docVars>
  <w:rsids>
    <w:rsidRoot w:val="00A5025E"/>
    <w:rsid w:val="000E4482"/>
    <w:rsid w:val="0024758B"/>
    <w:rsid w:val="00261936"/>
    <w:rsid w:val="002C49F3"/>
    <w:rsid w:val="00410152"/>
    <w:rsid w:val="00411E09"/>
    <w:rsid w:val="00433A1F"/>
    <w:rsid w:val="00441793"/>
    <w:rsid w:val="00494FFB"/>
    <w:rsid w:val="004C7B52"/>
    <w:rsid w:val="005758DD"/>
    <w:rsid w:val="005A205F"/>
    <w:rsid w:val="006140F3"/>
    <w:rsid w:val="00764C5D"/>
    <w:rsid w:val="007F260D"/>
    <w:rsid w:val="008E2A0E"/>
    <w:rsid w:val="00996275"/>
    <w:rsid w:val="00A010BF"/>
    <w:rsid w:val="00A5025E"/>
    <w:rsid w:val="00A87F74"/>
    <w:rsid w:val="00B51D48"/>
    <w:rsid w:val="00B53214"/>
    <w:rsid w:val="00BF706B"/>
    <w:rsid w:val="00C30909"/>
    <w:rsid w:val="00C44682"/>
    <w:rsid w:val="00C603FA"/>
    <w:rsid w:val="00CA7EEA"/>
    <w:rsid w:val="00E057EF"/>
    <w:rsid w:val="00E0770D"/>
    <w:rsid w:val="00E871B7"/>
    <w:rsid w:val="00F852B8"/>
    <w:rsid w:val="010675D1"/>
    <w:rsid w:val="01347A59"/>
    <w:rsid w:val="01352A01"/>
    <w:rsid w:val="013B4ECC"/>
    <w:rsid w:val="01454723"/>
    <w:rsid w:val="015461DE"/>
    <w:rsid w:val="015F7975"/>
    <w:rsid w:val="01617883"/>
    <w:rsid w:val="016C0FA1"/>
    <w:rsid w:val="016C3255"/>
    <w:rsid w:val="016C438E"/>
    <w:rsid w:val="01722330"/>
    <w:rsid w:val="017D31AE"/>
    <w:rsid w:val="01961F0B"/>
    <w:rsid w:val="019E5C77"/>
    <w:rsid w:val="01A71FD9"/>
    <w:rsid w:val="01A95263"/>
    <w:rsid w:val="01BF0B46"/>
    <w:rsid w:val="01C725F7"/>
    <w:rsid w:val="01D15A1D"/>
    <w:rsid w:val="01D803E5"/>
    <w:rsid w:val="01DA024B"/>
    <w:rsid w:val="01DE2F0E"/>
    <w:rsid w:val="01E50D53"/>
    <w:rsid w:val="02092C94"/>
    <w:rsid w:val="020C4532"/>
    <w:rsid w:val="0227335D"/>
    <w:rsid w:val="022C2872"/>
    <w:rsid w:val="0236362A"/>
    <w:rsid w:val="025246BE"/>
    <w:rsid w:val="025D057A"/>
    <w:rsid w:val="02613CE1"/>
    <w:rsid w:val="026F2E2E"/>
    <w:rsid w:val="027C3466"/>
    <w:rsid w:val="02900CBF"/>
    <w:rsid w:val="02907ECF"/>
    <w:rsid w:val="02A10DA6"/>
    <w:rsid w:val="02B32419"/>
    <w:rsid w:val="02B96468"/>
    <w:rsid w:val="02DF57A3"/>
    <w:rsid w:val="02E6337C"/>
    <w:rsid w:val="02E96621"/>
    <w:rsid w:val="02F65139"/>
    <w:rsid w:val="030071F2"/>
    <w:rsid w:val="0304013B"/>
    <w:rsid w:val="03082F4B"/>
    <w:rsid w:val="031D2DA9"/>
    <w:rsid w:val="03200295"/>
    <w:rsid w:val="03216B0C"/>
    <w:rsid w:val="032A1344"/>
    <w:rsid w:val="033E64FA"/>
    <w:rsid w:val="03413436"/>
    <w:rsid w:val="035E129F"/>
    <w:rsid w:val="0361265C"/>
    <w:rsid w:val="036E122F"/>
    <w:rsid w:val="036F2FCB"/>
    <w:rsid w:val="03703967"/>
    <w:rsid w:val="038B7D05"/>
    <w:rsid w:val="039962F1"/>
    <w:rsid w:val="03A013D6"/>
    <w:rsid w:val="03A34A22"/>
    <w:rsid w:val="03A5079A"/>
    <w:rsid w:val="03A964DC"/>
    <w:rsid w:val="03B10EED"/>
    <w:rsid w:val="03B2182F"/>
    <w:rsid w:val="03B7227C"/>
    <w:rsid w:val="03BF257C"/>
    <w:rsid w:val="03C9092D"/>
    <w:rsid w:val="03CB754B"/>
    <w:rsid w:val="03E96875"/>
    <w:rsid w:val="03EF1A15"/>
    <w:rsid w:val="03F139E0"/>
    <w:rsid w:val="03F253A2"/>
    <w:rsid w:val="03FB03BA"/>
    <w:rsid w:val="040354C1"/>
    <w:rsid w:val="0409688E"/>
    <w:rsid w:val="04104D25"/>
    <w:rsid w:val="0414147C"/>
    <w:rsid w:val="042E69E2"/>
    <w:rsid w:val="04440EA5"/>
    <w:rsid w:val="04471852"/>
    <w:rsid w:val="0471639B"/>
    <w:rsid w:val="04747431"/>
    <w:rsid w:val="047A6A25"/>
    <w:rsid w:val="048C0696"/>
    <w:rsid w:val="04A15406"/>
    <w:rsid w:val="04A702C9"/>
    <w:rsid w:val="04AE18D1"/>
    <w:rsid w:val="04BA0275"/>
    <w:rsid w:val="04C44C50"/>
    <w:rsid w:val="04C904B8"/>
    <w:rsid w:val="04C9670A"/>
    <w:rsid w:val="04DE4423"/>
    <w:rsid w:val="04DF323A"/>
    <w:rsid w:val="04FD78FA"/>
    <w:rsid w:val="052213CB"/>
    <w:rsid w:val="05265A5F"/>
    <w:rsid w:val="053E79FB"/>
    <w:rsid w:val="053F1942"/>
    <w:rsid w:val="05444DCF"/>
    <w:rsid w:val="054E09BE"/>
    <w:rsid w:val="055200FB"/>
    <w:rsid w:val="055A01D8"/>
    <w:rsid w:val="057B51E1"/>
    <w:rsid w:val="05813759"/>
    <w:rsid w:val="058F244B"/>
    <w:rsid w:val="058F525E"/>
    <w:rsid w:val="05A86320"/>
    <w:rsid w:val="05B74A72"/>
    <w:rsid w:val="05C6459C"/>
    <w:rsid w:val="05E732EC"/>
    <w:rsid w:val="05E77AEA"/>
    <w:rsid w:val="05EB6EF4"/>
    <w:rsid w:val="05EC26B0"/>
    <w:rsid w:val="05F250AD"/>
    <w:rsid w:val="06023577"/>
    <w:rsid w:val="06040FED"/>
    <w:rsid w:val="060674AB"/>
    <w:rsid w:val="06071298"/>
    <w:rsid w:val="06377C85"/>
    <w:rsid w:val="0638002C"/>
    <w:rsid w:val="06475AB4"/>
    <w:rsid w:val="065A3328"/>
    <w:rsid w:val="06763CC4"/>
    <w:rsid w:val="06786C42"/>
    <w:rsid w:val="068648B3"/>
    <w:rsid w:val="068663E5"/>
    <w:rsid w:val="068C3E93"/>
    <w:rsid w:val="06964DEE"/>
    <w:rsid w:val="069A3EBB"/>
    <w:rsid w:val="069D6E7F"/>
    <w:rsid w:val="069F716E"/>
    <w:rsid w:val="06A72A7B"/>
    <w:rsid w:val="06C263EF"/>
    <w:rsid w:val="06CE5F6F"/>
    <w:rsid w:val="06F261AF"/>
    <w:rsid w:val="06FA5341"/>
    <w:rsid w:val="06FE1FBF"/>
    <w:rsid w:val="070457D8"/>
    <w:rsid w:val="07117C62"/>
    <w:rsid w:val="071C229E"/>
    <w:rsid w:val="07246E25"/>
    <w:rsid w:val="072E6CF9"/>
    <w:rsid w:val="07380D52"/>
    <w:rsid w:val="0742579C"/>
    <w:rsid w:val="07442078"/>
    <w:rsid w:val="07463D1F"/>
    <w:rsid w:val="0748600C"/>
    <w:rsid w:val="07593D76"/>
    <w:rsid w:val="07650671"/>
    <w:rsid w:val="078B414B"/>
    <w:rsid w:val="078E1545"/>
    <w:rsid w:val="07950B26"/>
    <w:rsid w:val="07972A1D"/>
    <w:rsid w:val="07995B9A"/>
    <w:rsid w:val="07A33243"/>
    <w:rsid w:val="07AE693D"/>
    <w:rsid w:val="07C3421A"/>
    <w:rsid w:val="07C66F31"/>
    <w:rsid w:val="07CE681E"/>
    <w:rsid w:val="07D13566"/>
    <w:rsid w:val="07D334D0"/>
    <w:rsid w:val="07E06245"/>
    <w:rsid w:val="07E52D2F"/>
    <w:rsid w:val="07EB3837"/>
    <w:rsid w:val="07F13FAE"/>
    <w:rsid w:val="0805286A"/>
    <w:rsid w:val="080B2B96"/>
    <w:rsid w:val="08276C7F"/>
    <w:rsid w:val="082B7863"/>
    <w:rsid w:val="08346748"/>
    <w:rsid w:val="084E3F6D"/>
    <w:rsid w:val="08502EAB"/>
    <w:rsid w:val="08742190"/>
    <w:rsid w:val="087E15BA"/>
    <w:rsid w:val="08886FD2"/>
    <w:rsid w:val="089808CE"/>
    <w:rsid w:val="089963F4"/>
    <w:rsid w:val="089E0931"/>
    <w:rsid w:val="08B47C0F"/>
    <w:rsid w:val="08B61143"/>
    <w:rsid w:val="08BA4CE8"/>
    <w:rsid w:val="08C16076"/>
    <w:rsid w:val="08CE3B5E"/>
    <w:rsid w:val="08D824DF"/>
    <w:rsid w:val="08D8282D"/>
    <w:rsid w:val="08D87384"/>
    <w:rsid w:val="08E375DA"/>
    <w:rsid w:val="08E73603"/>
    <w:rsid w:val="08EA7CED"/>
    <w:rsid w:val="08F06BF4"/>
    <w:rsid w:val="08F2186C"/>
    <w:rsid w:val="08F501FF"/>
    <w:rsid w:val="09063A89"/>
    <w:rsid w:val="09175C96"/>
    <w:rsid w:val="09224B94"/>
    <w:rsid w:val="09242161"/>
    <w:rsid w:val="09264847"/>
    <w:rsid w:val="094C3466"/>
    <w:rsid w:val="09616F12"/>
    <w:rsid w:val="0969226A"/>
    <w:rsid w:val="09806D23"/>
    <w:rsid w:val="099512B1"/>
    <w:rsid w:val="09A3752A"/>
    <w:rsid w:val="09A80A8D"/>
    <w:rsid w:val="09CD0A4B"/>
    <w:rsid w:val="09CF47C3"/>
    <w:rsid w:val="09D26061"/>
    <w:rsid w:val="09D516AE"/>
    <w:rsid w:val="09DF1E42"/>
    <w:rsid w:val="09E10052"/>
    <w:rsid w:val="09E13402"/>
    <w:rsid w:val="09F00295"/>
    <w:rsid w:val="09F4422A"/>
    <w:rsid w:val="0A0A67A8"/>
    <w:rsid w:val="0A171CC6"/>
    <w:rsid w:val="0A2E4453"/>
    <w:rsid w:val="0A3104B3"/>
    <w:rsid w:val="0A3665F0"/>
    <w:rsid w:val="0A40121D"/>
    <w:rsid w:val="0A477B21"/>
    <w:rsid w:val="0A4E4EC4"/>
    <w:rsid w:val="0A4F339C"/>
    <w:rsid w:val="0A536929"/>
    <w:rsid w:val="0A5955BA"/>
    <w:rsid w:val="0A6C10CA"/>
    <w:rsid w:val="0A805ABD"/>
    <w:rsid w:val="0A8B4528"/>
    <w:rsid w:val="0A960E3D"/>
    <w:rsid w:val="0A981059"/>
    <w:rsid w:val="0AAA48E8"/>
    <w:rsid w:val="0AAC240E"/>
    <w:rsid w:val="0AB24DA6"/>
    <w:rsid w:val="0AB622B9"/>
    <w:rsid w:val="0AC2744D"/>
    <w:rsid w:val="0AC902AA"/>
    <w:rsid w:val="0ACA3C9E"/>
    <w:rsid w:val="0ACE4A7B"/>
    <w:rsid w:val="0ADA341F"/>
    <w:rsid w:val="0ADD081A"/>
    <w:rsid w:val="0ADE7EA3"/>
    <w:rsid w:val="0AF10769"/>
    <w:rsid w:val="0AFA373C"/>
    <w:rsid w:val="0B0264D2"/>
    <w:rsid w:val="0B073AE9"/>
    <w:rsid w:val="0B09160F"/>
    <w:rsid w:val="0B1323BC"/>
    <w:rsid w:val="0B23369E"/>
    <w:rsid w:val="0B2B1A64"/>
    <w:rsid w:val="0B2C51DF"/>
    <w:rsid w:val="0B2C5E24"/>
    <w:rsid w:val="0B302817"/>
    <w:rsid w:val="0B341128"/>
    <w:rsid w:val="0B3461BA"/>
    <w:rsid w:val="0B4631FF"/>
    <w:rsid w:val="0B494F05"/>
    <w:rsid w:val="0B5E5DFE"/>
    <w:rsid w:val="0B603320"/>
    <w:rsid w:val="0B61144B"/>
    <w:rsid w:val="0B6574A7"/>
    <w:rsid w:val="0B7006D8"/>
    <w:rsid w:val="0B745622"/>
    <w:rsid w:val="0B865355"/>
    <w:rsid w:val="0BA31A63"/>
    <w:rsid w:val="0BA341BF"/>
    <w:rsid w:val="0BAE0864"/>
    <w:rsid w:val="0BBD42A6"/>
    <w:rsid w:val="0BDC43DC"/>
    <w:rsid w:val="0BE04A65"/>
    <w:rsid w:val="0BE26C59"/>
    <w:rsid w:val="0BE80EE2"/>
    <w:rsid w:val="0BE95866"/>
    <w:rsid w:val="0BEE775F"/>
    <w:rsid w:val="0C0F0EA7"/>
    <w:rsid w:val="0C201306"/>
    <w:rsid w:val="0C2A5CE1"/>
    <w:rsid w:val="0C2C169E"/>
    <w:rsid w:val="0C300E1D"/>
    <w:rsid w:val="0C437D3D"/>
    <w:rsid w:val="0C476893"/>
    <w:rsid w:val="0C4A5554"/>
    <w:rsid w:val="0C541046"/>
    <w:rsid w:val="0C68195A"/>
    <w:rsid w:val="0C685AB4"/>
    <w:rsid w:val="0C6F0595"/>
    <w:rsid w:val="0C7B107F"/>
    <w:rsid w:val="0C874EE1"/>
    <w:rsid w:val="0C8E2713"/>
    <w:rsid w:val="0CBD4DA7"/>
    <w:rsid w:val="0CCB0162"/>
    <w:rsid w:val="0CCC7B78"/>
    <w:rsid w:val="0CD10999"/>
    <w:rsid w:val="0CDB347F"/>
    <w:rsid w:val="0CE16AB2"/>
    <w:rsid w:val="0CE51EE5"/>
    <w:rsid w:val="0CED3A6C"/>
    <w:rsid w:val="0D0414C3"/>
    <w:rsid w:val="0D105505"/>
    <w:rsid w:val="0D11593A"/>
    <w:rsid w:val="0D152B5D"/>
    <w:rsid w:val="0D22719E"/>
    <w:rsid w:val="0D3876AA"/>
    <w:rsid w:val="0D3A7826"/>
    <w:rsid w:val="0D3F3A0E"/>
    <w:rsid w:val="0D4234FE"/>
    <w:rsid w:val="0D442DD2"/>
    <w:rsid w:val="0D583128"/>
    <w:rsid w:val="0D5F5E5E"/>
    <w:rsid w:val="0D647E70"/>
    <w:rsid w:val="0D6F0E9D"/>
    <w:rsid w:val="0D7C256C"/>
    <w:rsid w:val="0D8C6527"/>
    <w:rsid w:val="0D935B07"/>
    <w:rsid w:val="0DA675E9"/>
    <w:rsid w:val="0DAB4BFF"/>
    <w:rsid w:val="0DB55A7E"/>
    <w:rsid w:val="0DED16BC"/>
    <w:rsid w:val="0DEF69F4"/>
    <w:rsid w:val="0DFA49B5"/>
    <w:rsid w:val="0DFF63BE"/>
    <w:rsid w:val="0E1F02FF"/>
    <w:rsid w:val="0E2179FD"/>
    <w:rsid w:val="0E3D1595"/>
    <w:rsid w:val="0E552FD0"/>
    <w:rsid w:val="0EB275A2"/>
    <w:rsid w:val="0EB81C90"/>
    <w:rsid w:val="0EDD4F42"/>
    <w:rsid w:val="0EE859DF"/>
    <w:rsid w:val="0EF2691D"/>
    <w:rsid w:val="0EF679A5"/>
    <w:rsid w:val="0EFB5712"/>
    <w:rsid w:val="0F024CF3"/>
    <w:rsid w:val="0F046CBD"/>
    <w:rsid w:val="0F071923"/>
    <w:rsid w:val="0F1179FE"/>
    <w:rsid w:val="0F1C170B"/>
    <w:rsid w:val="0F1F3AF7"/>
    <w:rsid w:val="0F2560F7"/>
    <w:rsid w:val="0F257751"/>
    <w:rsid w:val="0F386A25"/>
    <w:rsid w:val="0F427235"/>
    <w:rsid w:val="0F490B74"/>
    <w:rsid w:val="0F596500"/>
    <w:rsid w:val="0F5A4B2F"/>
    <w:rsid w:val="0F694D72"/>
    <w:rsid w:val="0F72062C"/>
    <w:rsid w:val="0F7658D5"/>
    <w:rsid w:val="0F7756E1"/>
    <w:rsid w:val="0F8676D2"/>
    <w:rsid w:val="0F89439B"/>
    <w:rsid w:val="0FA60756"/>
    <w:rsid w:val="0FB31CA8"/>
    <w:rsid w:val="0FB33040"/>
    <w:rsid w:val="0FB373A1"/>
    <w:rsid w:val="0FB544CE"/>
    <w:rsid w:val="0FB774E5"/>
    <w:rsid w:val="0FC621C4"/>
    <w:rsid w:val="0FD03043"/>
    <w:rsid w:val="0FD85A54"/>
    <w:rsid w:val="0FDD3997"/>
    <w:rsid w:val="0FF57B9C"/>
    <w:rsid w:val="0FF67013"/>
    <w:rsid w:val="100D53F5"/>
    <w:rsid w:val="1016743D"/>
    <w:rsid w:val="10182195"/>
    <w:rsid w:val="10271096"/>
    <w:rsid w:val="1032785A"/>
    <w:rsid w:val="103E0C89"/>
    <w:rsid w:val="103E1D5B"/>
    <w:rsid w:val="1048764B"/>
    <w:rsid w:val="10501A8E"/>
    <w:rsid w:val="105F7FA2"/>
    <w:rsid w:val="106F460A"/>
    <w:rsid w:val="1085613D"/>
    <w:rsid w:val="108614E3"/>
    <w:rsid w:val="1088019F"/>
    <w:rsid w:val="10977032"/>
    <w:rsid w:val="109E4EEF"/>
    <w:rsid w:val="10AF0EAA"/>
    <w:rsid w:val="10B97633"/>
    <w:rsid w:val="10D443EA"/>
    <w:rsid w:val="10D4568C"/>
    <w:rsid w:val="10F7015B"/>
    <w:rsid w:val="11001706"/>
    <w:rsid w:val="111B3F66"/>
    <w:rsid w:val="112444A4"/>
    <w:rsid w:val="112B6CBA"/>
    <w:rsid w:val="114415F3"/>
    <w:rsid w:val="114C494B"/>
    <w:rsid w:val="1157799E"/>
    <w:rsid w:val="1178129C"/>
    <w:rsid w:val="11882AE6"/>
    <w:rsid w:val="118A7776"/>
    <w:rsid w:val="119157E6"/>
    <w:rsid w:val="11A06B39"/>
    <w:rsid w:val="11AE2812"/>
    <w:rsid w:val="11C91C80"/>
    <w:rsid w:val="11CF7A69"/>
    <w:rsid w:val="11D81D3B"/>
    <w:rsid w:val="11D87F8D"/>
    <w:rsid w:val="11E5558D"/>
    <w:rsid w:val="11F73503"/>
    <w:rsid w:val="11FE01D1"/>
    <w:rsid w:val="12046021"/>
    <w:rsid w:val="120A1261"/>
    <w:rsid w:val="12100393"/>
    <w:rsid w:val="12116139"/>
    <w:rsid w:val="1218482D"/>
    <w:rsid w:val="122A4C8C"/>
    <w:rsid w:val="12374CB3"/>
    <w:rsid w:val="12412884"/>
    <w:rsid w:val="12496B57"/>
    <w:rsid w:val="124A5988"/>
    <w:rsid w:val="125C296C"/>
    <w:rsid w:val="125C471A"/>
    <w:rsid w:val="12666A23"/>
    <w:rsid w:val="12696E37"/>
    <w:rsid w:val="128F3049"/>
    <w:rsid w:val="129B7074"/>
    <w:rsid w:val="12A965FC"/>
    <w:rsid w:val="12D5450B"/>
    <w:rsid w:val="12EA441C"/>
    <w:rsid w:val="12EA7F78"/>
    <w:rsid w:val="12FA0EB2"/>
    <w:rsid w:val="12FD414F"/>
    <w:rsid w:val="13010F76"/>
    <w:rsid w:val="13031039"/>
    <w:rsid w:val="13064C62"/>
    <w:rsid w:val="13070B2A"/>
    <w:rsid w:val="1327725C"/>
    <w:rsid w:val="133451EC"/>
    <w:rsid w:val="13391FCB"/>
    <w:rsid w:val="134A0A16"/>
    <w:rsid w:val="134A6C68"/>
    <w:rsid w:val="134B45F5"/>
    <w:rsid w:val="134F427F"/>
    <w:rsid w:val="1356765C"/>
    <w:rsid w:val="13742674"/>
    <w:rsid w:val="137A2ACA"/>
    <w:rsid w:val="137F2DB6"/>
    <w:rsid w:val="13824654"/>
    <w:rsid w:val="138959E3"/>
    <w:rsid w:val="13AB3BAB"/>
    <w:rsid w:val="13C46A1B"/>
    <w:rsid w:val="13D053C0"/>
    <w:rsid w:val="13EC4D37"/>
    <w:rsid w:val="13ED7CA3"/>
    <w:rsid w:val="13F84916"/>
    <w:rsid w:val="13FB3E46"/>
    <w:rsid w:val="140453EF"/>
    <w:rsid w:val="14221993"/>
    <w:rsid w:val="142C45C0"/>
    <w:rsid w:val="14373691"/>
    <w:rsid w:val="144E46F9"/>
    <w:rsid w:val="145002AE"/>
    <w:rsid w:val="145A2EDB"/>
    <w:rsid w:val="148C4FD2"/>
    <w:rsid w:val="14A5684C"/>
    <w:rsid w:val="14D23751"/>
    <w:rsid w:val="14F24F57"/>
    <w:rsid w:val="14F450DE"/>
    <w:rsid w:val="14F670A8"/>
    <w:rsid w:val="14F926F4"/>
    <w:rsid w:val="14FB46BE"/>
    <w:rsid w:val="15036D6B"/>
    <w:rsid w:val="150C0679"/>
    <w:rsid w:val="15131432"/>
    <w:rsid w:val="15192D96"/>
    <w:rsid w:val="152B12A2"/>
    <w:rsid w:val="153547D4"/>
    <w:rsid w:val="15395E15"/>
    <w:rsid w:val="153A744A"/>
    <w:rsid w:val="153D1C95"/>
    <w:rsid w:val="154047C7"/>
    <w:rsid w:val="15581B10"/>
    <w:rsid w:val="157711D8"/>
    <w:rsid w:val="15793835"/>
    <w:rsid w:val="157C421C"/>
    <w:rsid w:val="15836462"/>
    <w:rsid w:val="158A3C94"/>
    <w:rsid w:val="158B5094"/>
    <w:rsid w:val="158F3058"/>
    <w:rsid w:val="15A20FDE"/>
    <w:rsid w:val="15A72849"/>
    <w:rsid w:val="15A979C8"/>
    <w:rsid w:val="15B47A25"/>
    <w:rsid w:val="15D001C2"/>
    <w:rsid w:val="15D05B4B"/>
    <w:rsid w:val="15DC3374"/>
    <w:rsid w:val="15DC771F"/>
    <w:rsid w:val="16030A25"/>
    <w:rsid w:val="16040EAC"/>
    <w:rsid w:val="16162518"/>
    <w:rsid w:val="161812A0"/>
    <w:rsid w:val="16273291"/>
    <w:rsid w:val="16315EBE"/>
    <w:rsid w:val="163C4EB0"/>
    <w:rsid w:val="164D5A84"/>
    <w:rsid w:val="164F335B"/>
    <w:rsid w:val="16692289"/>
    <w:rsid w:val="166B1B54"/>
    <w:rsid w:val="16780592"/>
    <w:rsid w:val="16790155"/>
    <w:rsid w:val="168262A5"/>
    <w:rsid w:val="16A22622"/>
    <w:rsid w:val="16A42B33"/>
    <w:rsid w:val="16A91EF8"/>
    <w:rsid w:val="16AE5760"/>
    <w:rsid w:val="16B56AEF"/>
    <w:rsid w:val="16B840F6"/>
    <w:rsid w:val="16BA52E4"/>
    <w:rsid w:val="16BC1C2B"/>
    <w:rsid w:val="16BE1E47"/>
    <w:rsid w:val="16C71A0C"/>
    <w:rsid w:val="16CA259A"/>
    <w:rsid w:val="16DC22CD"/>
    <w:rsid w:val="16DC417F"/>
    <w:rsid w:val="16E66CA8"/>
    <w:rsid w:val="16ED44DA"/>
    <w:rsid w:val="16F05D79"/>
    <w:rsid w:val="1706734A"/>
    <w:rsid w:val="17122F5A"/>
    <w:rsid w:val="17196224"/>
    <w:rsid w:val="171B2DF6"/>
    <w:rsid w:val="172577D0"/>
    <w:rsid w:val="172A128B"/>
    <w:rsid w:val="17457EDB"/>
    <w:rsid w:val="17465999"/>
    <w:rsid w:val="17473D55"/>
    <w:rsid w:val="175E1956"/>
    <w:rsid w:val="178564C1"/>
    <w:rsid w:val="178E66CD"/>
    <w:rsid w:val="17982698"/>
    <w:rsid w:val="1799728D"/>
    <w:rsid w:val="17AC1CA0"/>
    <w:rsid w:val="17B31280"/>
    <w:rsid w:val="17BD5D14"/>
    <w:rsid w:val="17C4179B"/>
    <w:rsid w:val="17C56B16"/>
    <w:rsid w:val="17C7360F"/>
    <w:rsid w:val="17DB4333"/>
    <w:rsid w:val="17E31439"/>
    <w:rsid w:val="17E56F60"/>
    <w:rsid w:val="17E87B57"/>
    <w:rsid w:val="17F17FFA"/>
    <w:rsid w:val="17FC05C3"/>
    <w:rsid w:val="18025D64"/>
    <w:rsid w:val="18040539"/>
    <w:rsid w:val="18441CAA"/>
    <w:rsid w:val="184A3267"/>
    <w:rsid w:val="1850765B"/>
    <w:rsid w:val="185B733F"/>
    <w:rsid w:val="185C1918"/>
    <w:rsid w:val="185F7323"/>
    <w:rsid w:val="186210EB"/>
    <w:rsid w:val="1865223F"/>
    <w:rsid w:val="187622AE"/>
    <w:rsid w:val="18833402"/>
    <w:rsid w:val="18846C47"/>
    <w:rsid w:val="18876269"/>
    <w:rsid w:val="1888270D"/>
    <w:rsid w:val="188E53E9"/>
    <w:rsid w:val="189866C8"/>
    <w:rsid w:val="18992A31"/>
    <w:rsid w:val="189B0FB3"/>
    <w:rsid w:val="18A46E1B"/>
    <w:rsid w:val="18AD3F21"/>
    <w:rsid w:val="18B85082"/>
    <w:rsid w:val="18BA4890"/>
    <w:rsid w:val="18D117D2"/>
    <w:rsid w:val="18D47700"/>
    <w:rsid w:val="18E830ED"/>
    <w:rsid w:val="18E8663C"/>
    <w:rsid w:val="18E86D07"/>
    <w:rsid w:val="18ED5050"/>
    <w:rsid w:val="18EF213D"/>
    <w:rsid w:val="18F3391A"/>
    <w:rsid w:val="18F953B8"/>
    <w:rsid w:val="18F97167"/>
    <w:rsid w:val="190D20CE"/>
    <w:rsid w:val="191B0DA1"/>
    <w:rsid w:val="19254397"/>
    <w:rsid w:val="19291AF2"/>
    <w:rsid w:val="193261D5"/>
    <w:rsid w:val="193F2F63"/>
    <w:rsid w:val="194303E2"/>
    <w:rsid w:val="19467ED2"/>
    <w:rsid w:val="194E6270"/>
    <w:rsid w:val="196F11D7"/>
    <w:rsid w:val="19706A69"/>
    <w:rsid w:val="197B5DCD"/>
    <w:rsid w:val="19877546"/>
    <w:rsid w:val="198D72A4"/>
    <w:rsid w:val="198D78AF"/>
    <w:rsid w:val="198F7168"/>
    <w:rsid w:val="19BC671E"/>
    <w:rsid w:val="19C846FD"/>
    <w:rsid w:val="19D674A8"/>
    <w:rsid w:val="19DF0210"/>
    <w:rsid w:val="19E80F89"/>
    <w:rsid w:val="19EA4D01"/>
    <w:rsid w:val="1A07140F"/>
    <w:rsid w:val="1A167CE7"/>
    <w:rsid w:val="1A2308F8"/>
    <w:rsid w:val="1A3018B6"/>
    <w:rsid w:val="1A404921"/>
    <w:rsid w:val="1A534654"/>
    <w:rsid w:val="1A55661F"/>
    <w:rsid w:val="1A562B71"/>
    <w:rsid w:val="1A5669EA"/>
    <w:rsid w:val="1A620D3B"/>
    <w:rsid w:val="1A650ADA"/>
    <w:rsid w:val="1A750A6F"/>
    <w:rsid w:val="1A762910"/>
    <w:rsid w:val="1A9A2283"/>
    <w:rsid w:val="1AA03612"/>
    <w:rsid w:val="1AA255DC"/>
    <w:rsid w:val="1AAB623F"/>
    <w:rsid w:val="1AAC3ACB"/>
    <w:rsid w:val="1AC56532"/>
    <w:rsid w:val="1AC75042"/>
    <w:rsid w:val="1AC94917"/>
    <w:rsid w:val="1AD340FD"/>
    <w:rsid w:val="1AD75285"/>
    <w:rsid w:val="1AE706BD"/>
    <w:rsid w:val="1AE849BA"/>
    <w:rsid w:val="1AF4544B"/>
    <w:rsid w:val="1AF6702A"/>
    <w:rsid w:val="1B013BA7"/>
    <w:rsid w:val="1B027E29"/>
    <w:rsid w:val="1B063DBD"/>
    <w:rsid w:val="1B06607E"/>
    <w:rsid w:val="1B092C23"/>
    <w:rsid w:val="1B184F4E"/>
    <w:rsid w:val="1B23652A"/>
    <w:rsid w:val="1B261D69"/>
    <w:rsid w:val="1B2E3A89"/>
    <w:rsid w:val="1B310782"/>
    <w:rsid w:val="1B346638"/>
    <w:rsid w:val="1B391A9C"/>
    <w:rsid w:val="1B3D7BBC"/>
    <w:rsid w:val="1B3F107D"/>
    <w:rsid w:val="1B3F2E2B"/>
    <w:rsid w:val="1B4548E5"/>
    <w:rsid w:val="1B4A4FB8"/>
    <w:rsid w:val="1B4B5C73"/>
    <w:rsid w:val="1B516D12"/>
    <w:rsid w:val="1B5A1A3C"/>
    <w:rsid w:val="1B5C1C2F"/>
    <w:rsid w:val="1B6247CE"/>
    <w:rsid w:val="1B6D1746"/>
    <w:rsid w:val="1B797AE0"/>
    <w:rsid w:val="1B7F1ECD"/>
    <w:rsid w:val="1B844ABD"/>
    <w:rsid w:val="1B8D3B96"/>
    <w:rsid w:val="1B945485"/>
    <w:rsid w:val="1BAE61FB"/>
    <w:rsid w:val="1BB57A6D"/>
    <w:rsid w:val="1BBB7363"/>
    <w:rsid w:val="1BBC523E"/>
    <w:rsid w:val="1BDD2AC5"/>
    <w:rsid w:val="1BE25AC8"/>
    <w:rsid w:val="1BE51C24"/>
    <w:rsid w:val="1C0A1E02"/>
    <w:rsid w:val="1C0D16DD"/>
    <w:rsid w:val="1C2214FF"/>
    <w:rsid w:val="1C287AD2"/>
    <w:rsid w:val="1C575850"/>
    <w:rsid w:val="1C7C2837"/>
    <w:rsid w:val="1C816E0C"/>
    <w:rsid w:val="1C8477A0"/>
    <w:rsid w:val="1C8C6544"/>
    <w:rsid w:val="1C8E406A"/>
    <w:rsid w:val="1C936B9B"/>
    <w:rsid w:val="1C980A44"/>
    <w:rsid w:val="1CB147FF"/>
    <w:rsid w:val="1CB17D58"/>
    <w:rsid w:val="1CB86FA4"/>
    <w:rsid w:val="1CBA3EAA"/>
    <w:rsid w:val="1CDF0421"/>
    <w:rsid w:val="1CE02276"/>
    <w:rsid w:val="1CEA6564"/>
    <w:rsid w:val="1CFD2F9D"/>
    <w:rsid w:val="1CFD4D4B"/>
    <w:rsid w:val="1CFF2872"/>
    <w:rsid w:val="1CFF6D16"/>
    <w:rsid w:val="1D1D719C"/>
    <w:rsid w:val="1D2642A2"/>
    <w:rsid w:val="1D2A0CBF"/>
    <w:rsid w:val="1D300C7D"/>
    <w:rsid w:val="1D3A5FA0"/>
    <w:rsid w:val="1D3D339A"/>
    <w:rsid w:val="1D4500D1"/>
    <w:rsid w:val="1D47167B"/>
    <w:rsid w:val="1D504332"/>
    <w:rsid w:val="1D534248"/>
    <w:rsid w:val="1D552DD9"/>
    <w:rsid w:val="1D62382E"/>
    <w:rsid w:val="1D666D95"/>
    <w:rsid w:val="1D73656D"/>
    <w:rsid w:val="1D74514B"/>
    <w:rsid w:val="1D7E072B"/>
    <w:rsid w:val="1D824E99"/>
    <w:rsid w:val="1D8447BE"/>
    <w:rsid w:val="1D864D41"/>
    <w:rsid w:val="1D943C66"/>
    <w:rsid w:val="1D960934"/>
    <w:rsid w:val="1DAB27B4"/>
    <w:rsid w:val="1DAB47A7"/>
    <w:rsid w:val="1DCB6BF8"/>
    <w:rsid w:val="1DDE692B"/>
    <w:rsid w:val="1DE53BD0"/>
    <w:rsid w:val="1DEC729A"/>
    <w:rsid w:val="1DF76FC3"/>
    <w:rsid w:val="1DFE79DB"/>
    <w:rsid w:val="1E042BA5"/>
    <w:rsid w:val="1E093930"/>
    <w:rsid w:val="1E175D1B"/>
    <w:rsid w:val="1E195381"/>
    <w:rsid w:val="1E1B6A30"/>
    <w:rsid w:val="1E1D38F7"/>
    <w:rsid w:val="1E2A6014"/>
    <w:rsid w:val="1E317F0F"/>
    <w:rsid w:val="1E3B777C"/>
    <w:rsid w:val="1E4569AA"/>
    <w:rsid w:val="1E543091"/>
    <w:rsid w:val="1E546BED"/>
    <w:rsid w:val="1E636E30"/>
    <w:rsid w:val="1E69154E"/>
    <w:rsid w:val="1E723CBB"/>
    <w:rsid w:val="1E730704"/>
    <w:rsid w:val="1E7B6870"/>
    <w:rsid w:val="1E7E238F"/>
    <w:rsid w:val="1E7E43A7"/>
    <w:rsid w:val="1E982792"/>
    <w:rsid w:val="1EBA1973"/>
    <w:rsid w:val="1ECF481F"/>
    <w:rsid w:val="1ED16490"/>
    <w:rsid w:val="1EE12B77"/>
    <w:rsid w:val="1EE75CB3"/>
    <w:rsid w:val="1EF54BEB"/>
    <w:rsid w:val="1F044039"/>
    <w:rsid w:val="1F0D5B45"/>
    <w:rsid w:val="1F1A213A"/>
    <w:rsid w:val="1F262338"/>
    <w:rsid w:val="1F2962CC"/>
    <w:rsid w:val="1F31530D"/>
    <w:rsid w:val="1F38206B"/>
    <w:rsid w:val="1F3F670E"/>
    <w:rsid w:val="1F4A3FC8"/>
    <w:rsid w:val="1F5B2BBA"/>
    <w:rsid w:val="1F792DAF"/>
    <w:rsid w:val="1F7E297A"/>
    <w:rsid w:val="1F8416A5"/>
    <w:rsid w:val="1F855CC1"/>
    <w:rsid w:val="1F896F13"/>
    <w:rsid w:val="1F94245B"/>
    <w:rsid w:val="1FA06536"/>
    <w:rsid w:val="1FAC6571"/>
    <w:rsid w:val="1FB4123C"/>
    <w:rsid w:val="1FB738D7"/>
    <w:rsid w:val="1FC87893"/>
    <w:rsid w:val="1FCE5209"/>
    <w:rsid w:val="1FD004F5"/>
    <w:rsid w:val="1FED72F9"/>
    <w:rsid w:val="1FF00B97"/>
    <w:rsid w:val="1FF3153E"/>
    <w:rsid w:val="1FF57F5C"/>
    <w:rsid w:val="1FF71F26"/>
    <w:rsid w:val="1FF977B6"/>
    <w:rsid w:val="200C5EF7"/>
    <w:rsid w:val="20254B96"/>
    <w:rsid w:val="20270A5D"/>
    <w:rsid w:val="202A5D88"/>
    <w:rsid w:val="20337402"/>
    <w:rsid w:val="204130D4"/>
    <w:rsid w:val="20427645"/>
    <w:rsid w:val="20494B3B"/>
    <w:rsid w:val="206375BB"/>
    <w:rsid w:val="206F5F60"/>
    <w:rsid w:val="207576B2"/>
    <w:rsid w:val="207D68CF"/>
    <w:rsid w:val="20832C3C"/>
    <w:rsid w:val="208C266E"/>
    <w:rsid w:val="209F4559"/>
    <w:rsid w:val="20C01662"/>
    <w:rsid w:val="20CC33B3"/>
    <w:rsid w:val="20D504B9"/>
    <w:rsid w:val="20D9162C"/>
    <w:rsid w:val="20E65407"/>
    <w:rsid w:val="20E82CD1"/>
    <w:rsid w:val="20E97AC1"/>
    <w:rsid w:val="20F85F56"/>
    <w:rsid w:val="210F0900"/>
    <w:rsid w:val="211F7986"/>
    <w:rsid w:val="212964E1"/>
    <w:rsid w:val="213571AA"/>
    <w:rsid w:val="213D1BBA"/>
    <w:rsid w:val="21642200"/>
    <w:rsid w:val="216C4715"/>
    <w:rsid w:val="217A2E0F"/>
    <w:rsid w:val="21851CF8"/>
    <w:rsid w:val="218C669E"/>
    <w:rsid w:val="21B05254"/>
    <w:rsid w:val="21B25047"/>
    <w:rsid w:val="21BE3625"/>
    <w:rsid w:val="21C81DCC"/>
    <w:rsid w:val="21CC6D4C"/>
    <w:rsid w:val="21D46092"/>
    <w:rsid w:val="21E93AF0"/>
    <w:rsid w:val="21EB1616"/>
    <w:rsid w:val="21FB3F4F"/>
    <w:rsid w:val="22126A3B"/>
    <w:rsid w:val="222D60D3"/>
    <w:rsid w:val="223631D9"/>
    <w:rsid w:val="22407BB4"/>
    <w:rsid w:val="22490193"/>
    <w:rsid w:val="225F4599"/>
    <w:rsid w:val="22625248"/>
    <w:rsid w:val="22631AF5"/>
    <w:rsid w:val="226727C9"/>
    <w:rsid w:val="22794E74"/>
    <w:rsid w:val="227F1A68"/>
    <w:rsid w:val="22852193"/>
    <w:rsid w:val="228C7D9D"/>
    <w:rsid w:val="229B303C"/>
    <w:rsid w:val="229F6D07"/>
    <w:rsid w:val="22A22B78"/>
    <w:rsid w:val="22A4235C"/>
    <w:rsid w:val="22A652CA"/>
    <w:rsid w:val="22AF6AE8"/>
    <w:rsid w:val="22B91056"/>
    <w:rsid w:val="22C007AD"/>
    <w:rsid w:val="22C04851"/>
    <w:rsid w:val="22C41E66"/>
    <w:rsid w:val="22DE117B"/>
    <w:rsid w:val="22E24C9F"/>
    <w:rsid w:val="22E542B8"/>
    <w:rsid w:val="22F46581"/>
    <w:rsid w:val="230C7A96"/>
    <w:rsid w:val="23163BF2"/>
    <w:rsid w:val="231D6147"/>
    <w:rsid w:val="23205D86"/>
    <w:rsid w:val="232E6DE0"/>
    <w:rsid w:val="232F02B2"/>
    <w:rsid w:val="233233FB"/>
    <w:rsid w:val="23373AFE"/>
    <w:rsid w:val="233D1CF0"/>
    <w:rsid w:val="23411E36"/>
    <w:rsid w:val="23497FE2"/>
    <w:rsid w:val="236E206F"/>
    <w:rsid w:val="237101D1"/>
    <w:rsid w:val="23757D31"/>
    <w:rsid w:val="2391160F"/>
    <w:rsid w:val="23C12F77"/>
    <w:rsid w:val="23DD1433"/>
    <w:rsid w:val="23FA3D93"/>
    <w:rsid w:val="2415047B"/>
    <w:rsid w:val="243C084F"/>
    <w:rsid w:val="24402A32"/>
    <w:rsid w:val="24415E66"/>
    <w:rsid w:val="24551647"/>
    <w:rsid w:val="245F0100"/>
    <w:rsid w:val="2463402E"/>
    <w:rsid w:val="2473732A"/>
    <w:rsid w:val="24973CD7"/>
    <w:rsid w:val="24980257"/>
    <w:rsid w:val="24A97601"/>
    <w:rsid w:val="24BA4F94"/>
    <w:rsid w:val="24BC54EC"/>
    <w:rsid w:val="24CC1BD3"/>
    <w:rsid w:val="24D64800"/>
    <w:rsid w:val="24D97E4C"/>
    <w:rsid w:val="24E210C0"/>
    <w:rsid w:val="24E52C95"/>
    <w:rsid w:val="24E8008F"/>
    <w:rsid w:val="24E862E1"/>
    <w:rsid w:val="24EA02AB"/>
    <w:rsid w:val="24F84EB5"/>
    <w:rsid w:val="250065F7"/>
    <w:rsid w:val="2510787D"/>
    <w:rsid w:val="25180974"/>
    <w:rsid w:val="251832D1"/>
    <w:rsid w:val="25193A37"/>
    <w:rsid w:val="251A12BE"/>
    <w:rsid w:val="251D41DD"/>
    <w:rsid w:val="252A68FA"/>
    <w:rsid w:val="253A6EAF"/>
    <w:rsid w:val="253B28B5"/>
    <w:rsid w:val="253E683C"/>
    <w:rsid w:val="255E0C3D"/>
    <w:rsid w:val="2561056D"/>
    <w:rsid w:val="256B13EC"/>
    <w:rsid w:val="256C6F12"/>
    <w:rsid w:val="2578726D"/>
    <w:rsid w:val="257A61B0"/>
    <w:rsid w:val="2585504B"/>
    <w:rsid w:val="258A0690"/>
    <w:rsid w:val="258B68FB"/>
    <w:rsid w:val="258C1362"/>
    <w:rsid w:val="25945113"/>
    <w:rsid w:val="25983863"/>
    <w:rsid w:val="259D0E7A"/>
    <w:rsid w:val="259F4BF2"/>
    <w:rsid w:val="25A82557"/>
    <w:rsid w:val="25AE3024"/>
    <w:rsid w:val="25E20F82"/>
    <w:rsid w:val="25EC679D"/>
    <w:rsid w:val="25ED1E01"/>
    <w:rsid w:val="2604714B"/>
    <w:rsid w:val="26084883"/>
    <w:rsid w:val="260B7B36"/>
    <w:rsid w:val="261D2D79"/>
    <w:rsid w:val="26215ABB"/>
    <w:rsid w:val="262E5F76"/>
    <w:rsid w:val="263746A4"/>
    <w:rsid w:val="26487037"/>
    <w:rsid w:val="264A07E1"/>
    <w:rsid w:val="264F486A"/>
    <w:rsid w:val="266320C3"/>
    <w:rsid w:val="2673757D"/>
    <w:rsid w:val="26750750"/>
    <w:rsid w:val="267730D5"/>
    <w:rsid w:val="26775B6F"/>
    <w:rsid w:val="267E4F6E"/>
    <w:rsid w:val="26812549"/>
    <w:rsid w:val="268673BB"/>
    <w:rsid w:val="26876723"/>
    <w:rsid w:val="2691785B"/>
    <w:rsid w:val="26946095"/>
    <w:rsid w:val="269A5092"/>
    <w:rsid w:val="26A30712"/>
    <w:rsid w:val="26A83D2C"/>
    <w:rsid w:val="26AA5F44"/>
    <w:rsid w:val="26C024F1"/>
    <w:rsid w:val="26C03072"/>
    <w:rsid w:val="26E6096C"/>
    <w:rsid w:val="26F47545"/>
    <w:rsid w:val="26FB7F9A"/>
    <w:rsid w:val="27097162"/>
    <w:rsid w:val="27135897"/>
    <w:rsid w:val="271C3F51"/>
    <w:rsid w:val="272B5813"/>
    <w:rsid w:val="272E05ED"/>
    <w:rsid w:val="27365875"/>
    <w:rsid w:val="2739568C"/>
    <w:rsid w:val="273B094A"/>
    <w:rsid w:val="273C4784"/>
    <w:rsid w:val="27514612"/>
    <w:rsid w:val="276D1BF0"/>
    <w:rsid w:val="277976C4"/>
    <w:rsid w:val="2794321C"/>
    <w:rsid w:val="27952750"/>
    <w:rsid w:val="27B8496C"/>
    <w:rsid w:val="27BD201A"/>
    <w:rsid w:val="27BF77CD"/>
    <w:rsid w:val="27C52AAC"/>
    <w:rsid w:val="27C61229"/>
    <w:rsid w:val="27CB43C4"/>
    <w:rsid w:val="27CB6172"/>
    <w:rsid w:val="27DE270A"/>
    <w:rsid w:val="27E92A9C"/>
    <w:rsid w:val="27EB6814"/>
    <w:rsid w:val="280451E0"/>
    <w:rsid w:val="28100029"/>
    <w:rsid w:val="28194FC4"/>
    <w:rsid w:val="283C7F62"/>
    <w:rsid w:val="2849353B"/>
    <w:rsid w:val="285534A0"/>
    <w:rsid w:val="285576FD"/>
    <w:rsid w:val="28604969"/>
    <w:rsid w:val="286D310E"/>
    <w:rsid w:val="286D7229"/>
    <w:rsid w:val="286E4D4F"/>
    <w:rsid w:val="287B7B98"/>
    <w:rsid w:val="289710C6"/>
    <w:rsid w:val="289E5D1B"/>
    <w:rsid w:val="28A902E6"/>
    <w:rsid w:val="28C130D1"/>
    <w:rsid w:val="28C64B8B"/>
    <w:rsid w:val="28CA642A"/>
    <w:rsid w:val="28CF7770"/>
    <w:rsid w:val="28D73648"/>
    <w:rsid w:val="28EE3903"/>
    <w:rsid w:val="290C6A42"/>
    <w:rsid w:val="29121B7F"/>
    <w:rsid w:val="2916341D"/>
    <w:rsid w:val="29285E50"/>
    <w:rsid w:val="2932753D"/>
    <w:rsid w:val="29345F99"/>
    <w:rsid w:val="293B7327"/>
    <w:rsid w:val="294E4CA1"/>
    <w:rsid w:val="294F196B"/>
    <w:rsid w:val="29516DBE"/>
    <w:rsid w:val="29563F6E"/>
    <w:rsid w:val="29610AE4"/>
    <w:rsid w:val="296C5733"/>
    <w:rsid w:val="296D4B09"/>
    <w:rsid w:val="296E3259"/>
    <w:rsid w:val="29746395"/>
    <w:rsid w:val="297F5EFD"/>
    <w:rsid w:val="29B175E9"/>
    <w:rsid w:val="29B9024C"/>
    <w:rsid w:val="29C563FA"/>
    <w:rsid w:val="29CC61D1"/>
    <w:rsid w:val="29D15596"/>
    <w:rsid w:val="29F11140"/>
    <w:rsid w:val="29F95074"/>
    <w:rsid w:val="29FB7ABE"/>
    <w:rsid w:val="2A065B1F"/>
    <w:rsid w:val="2A151926"/>
    <w:rsid w:val="2A264078"/>
    <w:rsid w:val="2A2658E2"/>
    <w:rsid w:val="2A3873C3"/>
    <w:rsid w:val="2A473AAA"/>
    <w:rsid w:val="2A5163AA"/>
    <w:rsid w:val="2A664DE6"/>
    <w:rsid w:val="2A6A6452"/>
    <w:rsid w:val="2A862824"/>
    <w:rsid w:val="2A956C21"/>
    <w:rsid w:val="2A980AE0"/>
    <w:rsid w:val="2AAA7AA3"/>
    <w:rsid w:val="2AB00DE1"/>
    <w:rsid w:val="2AB316EB"/>
    <w:rsid w:val="2ABA5686"/>
    <w:rsid w:val="2AD47242"/>
    <w:rsid w:val="2AD52E64"/>
    <w:rsid w:val="2AEB08D9"/>
    <w:rsid w:val="2AF5758F"/>
    <w:rsid w:val="2B025CFE"/>
    <w:rsid w:val="2B210C49"/>
    <w:rsid w:val="2B263271"/>
    <w:rsid w:val="2B2F1324"/>
    <w:rsid w:val="2B4A26CA"/>
    <w:rsid w:val="2B4D3342"/>
    <w:rsid w:val="2B4D3C2F"/>
    <w:rsid w:val="2B620B9B"/>
    <w:rsid w:val="2B672A8E"/>
    <w:rsid w:val="2B792C16"/>
    <w:rsid w:val="2B7D59D5"/>
    <w:rsid w:val="2B81239B"/>
    <w:rsid w:val="2B98280F"/>
    <w:rsid w:val="2B9D4766"/>
    <w:rsid w:val="2BA246D3"/>
    <w:rsid w:val="2BA24A37"/>
    <w:rsid w:val="2BAB174C"/>
    <w:rsid w:val="2BB5006B"/>
    <w:rsid w:val="2BBA2B57"/>
    <w:rsid w:val="2BD018E7"/>
    <w:rsid w:val="2BDA2E28"/>
    <w:rsid w:val="2BDD490B"/>
    <w:rsid w:val="2BDF4558"/>
    <w:rsid w:val="2BE1026B"/>
    <w:rsid w:val="2BE5357A"/>
    <w:rsid w:val="2BEF7F55"/>
    <w:rsid w:val="2C22129E"/>
    <w:rsid w:val="2C251BC9"/>
    <w:rsid w:val="2C2661CB"/>
    <w:rsid w:val="2C324A12"/>
    <w:rsid w:val="2C387B4E"/>
    <w:rsid w:val="2C4B5AD3"/>
    <w:rsid w:val="2C4F0496"/>
    <w:rsid w:val="2C520C10"/>
    <w:rsid w:val="2C550700"/>
    <w:rsid w:val="2C7548FE"/>
    <w:rsid w:val="2C77072F"/>
    <w:rsid w:val="2C7A5DE4"/>
    <w:rsid w:val="2C7D37B3"/>
    <w:rsid w:val="2C923702"/>
    <w:rsid w:val="2C9F3631"/>
    <w:rsid w:val="2C9F7BCD"/>
    <w:rsid w:val="2CA867A2"/>
    <w:rsid w:val="2CAC741C"/>
    <w:rsid w:val="2CB216AE"/>
    <w:rsid w:val="2CBC252D"/>
    <w:rsid w:val="2CBE44F7"/>
    <w:rsid w:val="2CBF5B79"/>
    <w:rsid w:val="2CC214F0"/>
    <w:rsid w:val="2CC338BC"/>
    <w:rsid w:val="2CC70B07"/>
    <w:rsid w:val="2CC94C4A"/>
    <w:rsid w:val="2CCB451E"/>
    <w:rsid w:val="2CD557C5"/>
    <w:rsid w:val="2CD878DD"/>
    <w:rsid w:val="2CEE4410"/>
    <w:rsid w:val="2CF577ED"/>
    <w:rsid w:val="2D067C4C"/>
    <w:rsid w:val="2D3D3C8A"/>
    <w:rsid w:val="2D3D4BA4"/>
    <w:rsid w:val="2D3D7EDB"/>
    <w:rsid w:val="2D441950"/>
    <w:rsid w:val="2D5C6165"/>
    <w:rsid w:val="2D644D1B"/>
    <w:rsid w:val="2D741DE9"/>
    <w:rsid w:val="2D880661"/>
    <w:rsid w:val="2D983021"/>
    <w:rsid w:val="2DA203C1"/>
    <w:rsid w:val="2DA83014"/>
    <w:rsid w:val="2DAC2E33"/>
    <w:rsid w:val="2DAC53BA"/>
    <w:rsid w:val="2DB05C63"/>
    <w:rsid w:val="2DB94CBF"/>
    <w:rsid w:val="2DBF7CBB"/>
    <w:rsid w:val="2DC21DC5"/>
    <w:rsid w:val="2DCF003E"/>
    <w:rsid w:val="2DD815E9"/>
    <w:rsid w:val="2DE81B39"/>
    <w:rsid w:val="2DEA7DC1"/>
    <w:rsid w:val="2E061566"/>
    <w:rsid w:val="2E163860"/>
    <w:rsid w:val="2E24038A"/>
    <w:rsid w:val="2E2E0994"/>
    <w:rsid w:val="2E312AA7"/>
    <w:rsid w:val="2E334A71"/>
    <w:rsid w:val="2E337C72"/>
    <w:rsid w:val="2E4F30CC"/>
    <w:rsid w:val="2E552C39"/>
    <w:rsid w:val="2E67471B"/>
    <w:rsid w:val="2E6B3BD1"/>
    <w:rsid w:val="2E70537D"/>
    <w:rsid w:val="2E714505"/>
    <w:rsid w:val="2E7B1F74"/>
    <w:rsid w:val="2E953036"/>
    <w:rsid w:val="2E993534"/>
    <w:rsid w:val="2EB86E9F"/>
    <w:rsid w:val="2ECB71AB"/>
    <w:rsid w:val="2EDC6EB7"/>
    <w:rsid w:val="2EDD4BD5"/>
    <w:rsid w:val="2EDD678B"/>
    <w:rsid w:val="2EDD6B85"/>
    <w:rsid w:val="2EDF0755"/>
    <w:rsid w:val="2EE15BD5"/>
    <w:rsid w:val="2EE67D35"/>
    <w:rsid w:val="2F146650"/>
    <w:rsid w:val="2F2D05FC"/>
    <w:rsid w:val="2F307202"/>
    <w:rsid w:val="2F3D58B4"/>
    <w:rsid w:val="2F43746D"/>
    <w:rsid w:val="2F550F81"/>
    <w:rsid w:val="2F5702EB"/>
    <w:rsid w:val="2F6A2DDB"/>
    <w:rsid w:val="2F7A262F"/>
    <w:rsid w:val="2F815C0A"/>
    <w:rsid w:val="2F83649B"/>
    <w:rsid w:val="2F8635D0"/>
    <w:rsid w:val="2F936343"/>
    <w:rsid w:val="2FA80C51"/>
    <w:rsid w:val="2FAA2B11"/>
    <w:rsid w:val="2FAC2CB7"/>
    <w:rsid w:val="2FB92D54"/>
    <w:rsid w:val="2FBF7A81"/>
    <w:rsid w:val="2FC35981"/>
    <w:rsid w:val="2FCB323B"/>
    <w:rsid w:val="2FE322A7"/>
    <w:rsid w:val="2FE54B3C"/>
    <w:rsid w:val="2FEA4E52"/>
    <w:rsid w:val="2FEC4291"/>
    <w:rsid w:val="2FF57398"/>
    <w:rsid w:val="2FF81ACE"/>
    <w:rsid w:val="2FFC10C5"/>
    <w:rsid w:val="2FFD5337"/>
    <w:rsid w:val="30110DE2"/>
    <w:rsid w:val="30191A45"/>
    <w:rsid w:val="302C1778"/>
    <w:rsid w:val="30314FE0"/>
    <w:rsid w:val="30337F16"/>
    <w:rsid w:val="30491410"/>
    <w:rsid w:val="30550CCF"/>
    <w:rsid w:val="30567176"/>
    <w:rsid w:val="3057255B"/>
    <w:rsid w:val="30581E01"/>
    <w:rsid w:val="305E59C6"/>
    <w:rsid w:val="306F0E4B"/>
    <w:rsid w:val="308172AC"/>
    <w:rsid w:val="30850E88"/>
    <w:rsid w:val="309D08C8"/>
    <w:rsid w:val="30A25EDE"/>
    <w:rsid w:val="30A6777C"/>
    <w:rsid w:val="30CB2D3F"/>
    <w:rsid w:val="30D055DA"/>
    <w:rsid w:val="30D24913"/>
    <w:rsid w:val="30D31682"/>
    <w:rsid w:val="30D342E9"/>
    <w:rsid w:val="30D36097"/>
    <w:rsid w:val="30D760F0"/>
    <w:rsid w:val="30E94C1E"/>
    <w:rsid w:val="30F272F1"/>
    <w:rsid w:val="30FE1366"/>
    <w:rsid w:val="31070492"/>
    <w:rsid w:val="31097D0B"/>
    <w:rsid w:val="311074C5"/>
    <w:rsid w:val="31191513"/>
    <w:rsid w:val="312132A7"/>
    <w:rsid w:val="31316DFF"/>
    <w:rsid w:val="31321010"/>
    <w:rsid w:val="31411253"/>
    <w:rsid w:val="3142546D"/>
    <w:rsid w:val="31464AB4"/>
    <w:rsid w:val="314B28A7"/>
    <w:rsid w:val="314B3E80"/>
    <w:rsid w:val="316113FE"/>
    <w:rsid w:val="316211B7"/>
    <w:rsid w:val="316244E8"/>
    <w:rsid w:val="316311C9"/>
    <w:rsid w:val="316D0FBB"/>
    <w:rsid w:val="31804B4A"/>
    <w:rsid w:val="318B6972"/>
    <w:rsid w:val="31A11CF2"/>
    <w:rsid w:val="31AA504A"/>
    <w:rsid w:val="31B50ECC"/>
    <w:rsid w:val="31BC76F1"/>
    <w:rsid w:val="31C0279C"/>
    <w:rsid w:val="31C559E0"/>
    <w:rsid w:val="31C64AE7"/>
    <w:rsid w:val="31D67BED"/>
    <w:rsid w:val="31ED4F37"/>
    <w:rsid w:val="31F805DF"/>
    <w:rsid w:val="31F93244"/>
    <w:rsid w:val="32153476"/>
    <w:rsid w:val="321A0FC5"/>
    <w:rsid w:val="321D770A"/>
    <w:rsid w:val="32222E32"/>
    <w:rsid w:val="322609F5"/>
    <w:rsid w:val="3227669B"/>
    <w:rsid w:val="322C7E9A"/>
    <w:rsid w:val="322E5C7B"/>
    <w:rsid w:val="32313075"/>
    <w:rsid w:val="32362F63"/>
    <w:rsid w:val="32390B8A"/>
    <w:rsid w:val="323C78AD"/>
    <w:rsid w:val="327C612F"/>
    <w:rsid w:val="328946BB"/>
    <w:rsid w:val="328A6C2A"/>
    <w:rsid w:val="329D4BAF"/>
    <w:rsid w:val="32A51D47"/>
    <w:rsid w:val="32A856DE"/>
    <w:rsid w:val="32AD6739"/>
    <w:rsid w:val="32B21002"/>
    <w:rsid w:val="32B649B5"/>
    <w:rsid w:val="32C263C3"/>
    <w:rsid w:val="32C75788"/>
    <w:rsid w:val="32CF334E"/>
    <w:rsid w:val="32DC5176"/>
    <w:rsid w:val="32E225C2"/>
    <w:rsid w:val="32E93950"/>
    <w:rsid w:val="32ED4148"/>
    <w:rsid w:val="32F55B58"/>
    <w:rsid w:val="32FC4CAE"/>
    <w:rsid w:val="331E342F"/>
    <w:rsid w:val="33212F6F"/>
    <w:rsid w:val="332130EA"/>
    <w:rsid w:val="3328520C"/>
    <w:rsid w:val="3344327C"/>
    <w:rsid w:val="33527747"/>
    <w:rsid w:val="335F2138"/>
    <w:rsid w:val="33655582"/>
    <w:rsid w:val="33717D02"/>
    <w:rsid w:val="337A0A4C"/>
    <w:rsid w:val="33837901"/>
    <w:rsid w:val="3388708D"/>
    <w:rsid w:val="3391614B"/>
    <w:rsid w:val="339A10EE"/>
    <w:rsid w:val="339D229B"/>
    <w:rsid w:val="339F04B3"/>
    <w:rsid w:val="33A45AC9"/>
    <w:rsid w:val="33A53DEB"/>
    <w:rsid w:val="33A95A9E"/>
    <w:rsid w:val="33C57F19"/>
    <w:rsid w:val="33C65A3F"/>
    <w:rsid w:val="33DA14EB"/>
    <w:rsid w:val="33DD73D0"/>
    <w:rsid w:val="33EC1698"/>
    <w:rsid w:val="33ED56C2"/>
    <w:rsid w:val="33F627C9"/>
    <w:rsid w:val="33F967A9"/>
    <w:rsid w:val="33FF7857"/>
    <w:rsid w:val="340D18C0"/>
    <w:rsid w:val="341112F7"/>
    <w:rsid w:val="34190265"/>
    <w:rsid w:val="342509B8"/>
    <w:rsid w:val="34261ACE"/>
    <w:rsid w:val="342804A8"/>
    <w:rsid w:val="34311A53"/>
    <w:rsid w:val="3438129A"/>
    <w:rsid w:val="34515C51"/>
    <w:rsid w:val="345304D8"/>
    <w:rsid w:val="346172E8"/>
    <w:rsid w:val="34761214"/>
    <w:rsid w:val="347C5E38"/>
    <w:rsid w:val="348F6779"/>
    <w:rsid w:val="34A46B32"/>
    <w:rsid w:val="34A82CE0"/>
    <w:rsid w:val="34B564CB"/>
    <w:rsid w:val="34B83CD4"/>
    <w:rsid w:val="34C91C8B"/>
    <w:rsid w:val="34EC3BCC"/>
    <w:rsid w:val="34FF35B2"/>
    <w:rsid w:val="35014422"/>
    <w:rsid w:val="350727B3"/>
    <w:rsid w:val="351A7159"/>
    <w:rsid w:val="35245113"/>
    <w:rsid w:val="3529097C"/>
    <w:rsid w:val="353E35F3"/>
    <w:rsid w:val="353E4427"/>
    <w:rsid w:val="353F1F4D"/>
    <w:rsid w:val="35471EBC"/>
    <w:rsid w:val="35485F7F"/>
    <w:rsid w:val="35663770"/>
    <w:rsid w:val="35780FBB"/>
    <w:rsid w:val="357A44A3"/>
    <w:rsid w:val="357D65D2"/>
    <w:rsid w:val="357F059C"/>
    <w:rsid w:val="359A3628"/>
    <w:rsid w:val="359C4C5A"/>
    <w:rsid w:val="35B93AAE"/>
    <w:rsid w:val="35BE2E72"/>
    <w:rsid w:val="35C0308E"/>
    <w:rsid w:val="35CC47EE"/>
    <w:rsid w:val="35D57E05"/>
    <w:rsid w:val="35DB626B"/>
    <w:rsid w:val="35E27DC6"/>
    <w:rsid w:val="35F05598"/>
    <w:rsid w:val="35F1059F"/>
    <w:rsid w:val="35F408C2"/>
    <w:rsid w:val="35F44AE6"/>
    <w:rsid w:val="35FA5E74"/>
    <w:rsid w:val="36080591"/>
    <w:rsid w:val="360F1920"/>
    <w:rsid w:val="36186944"/>
    <w:rsid w:val="361F6D0C"/>
    <w:rsid w:val="36302304"/>
    <w:rsid w:val="363100A0"/>
    <w:rsid w:val="36403262"/>
    <w:rsid w:val="36483555"/>
    <w:rsid w:val="36511F38"/>
    <w:rsid w:val="3652180C"/>
    <w:rsid w:val="366854D4"/>
    <w:rsid w:val="36730100"/>
    <w:rsid w:val="367A38F8"/>
    <w:rsid w:val="36832BC5"/>
    <w:rsid w:val="368C0EED"/>
    <w:rsid w:val="36952011"/>
    <w:rsid w:val="36C601DD"/>
    <w:rsid w:val="36DB5CA6"/>
    <w:rsid w:val="36E83F1F"/>
    <w:rsid w:val="36F32FEF"/>
    <w:rsid w:val="37092453"/>
    <w:rsid w:val="370E1BD7"/>
    <w:rsid w:val="37181D47"/>
    <w:rsid w:val="37221266"/>
    <w:rsid w:val="37305D6C"/>
    <w:rsid w:val="37466584"/>
    <w:rsid w:val="376E2676"/>
    <w:rsid w:val="37707255"/>
    <w:rsid w:val="37796E03"/>
    <w:rsid w:val="377D1977"/>
    <w:rsid w:val="37936580"/>
    <w:rsid w:val="37B7226F"/>
    <w:rsid w:val="37CC2D77"/>
    <w:rsid w:val="37CF0810"/>
    <w:rsid w:val="37D03331"/>
    <w:rsid w:val="37E57ACF"/>
    <w:rsid w:val="37EA619F"/>
    <w:rsid w:val="380E20F3"/>
    <w:rsid w:val="381B0A50"/>
    <w:rsid w:val="38291122"/>
    <w:rsid w:val="382A2A41"/>
    <w:rsid w:val="382C24E9"/>
    <w:rsid w:val="383060FB"/>
    <w:rsid w:val="383371DE"/>
    <w:rsid w:val="38390EF6"/>
    <w:rsid w:val="38396761"/>
    <w:rsid w:val="383F6C78"/>
    <w:rsid w:val="38404012"/>
    <w:rsid w:val="384235E1"/>
    <w:rsid w:val="3842422E"/>
    <w:rsid w:val="384640AF"/>
    <w:rsid w:val="38562C4E"/>
    <w:rsid w:val="386A11AA"/>
    <w:rsid w:val="38883EBE"/>
    <w:rsid w:val="389820A0"/>
    <w:rsid w:val="38A02B65"/>
    <w:rsid w:val="38C727A6"/>
    <w:rsid w:val="38CF5396"/>
    <w:rsid w:val="38CF5590"/>
    <w:rsid w:val="38D03095"/>
    <w:rsid w:val="38D27A21"/>
    <w:rsid w:val="38DB7EA0"/>
    <w:rsid w:val="39004832"/>
    <w:rsid w:val="39132BC2"/>
    <w:rsid w:val="393A6291"/>
    <w:rsid w:val="39445D3B"/>
    <w:rsid w:val="394A408C"/>
    <w:rsid w:val="394A6B08"/>
    <w:rsid w:val="39525507"/>
    <w:rsid w:val="397B72CC"/>
    <w:rsid w:val="397C3770"/>
    <w:rsid w:val="39875C71"/>
    <w:rsid w:val="399A1E48"/>
    <w:rsid w:val="399B197F"/>
    <w:rsid w:val="399B3F70"/>
    <w:rsid w:val="399B58CF"/>
    <w:rsid w:val="399D5494"/>
    <w:rsid w:val="39A9208B"/>
    <w:rsid w:val="39AD278C"/>
    <w:rsid w:val="39AF186F"/>
    <w:rsid w:val="39B63309"/>
    <w:rsid w:val="39CA2BB7"/>
    <w:rsid w:val="39D15A37"/>
    <w:rsid w:val="39D92970"/>
    <w:rsid w:val="39DD1909"/>
    <w:rsid w:val="39DF4E9C"/>
    <w:rsid w:val="39F011A8"/>
    <w:rsid w:val="39F1799A"/>
    <w:rsid w:val="39F62050"/>
    <w:rsid w:val="39F92975"/>
    <w:rsid w:val="39F94DC1"/>
    <w:rsid w:val="39FE29E6"/>
    <w:rsid w:val="3A085004"/>
    <w:rsid w:val="3A156A42"/>
    <w:rsid w:val="3A1C3B56"/>
    <w:rsid w:val="3A211FC8"/>
    <w:rsid w:val="3A305784"/>
    <w:rsid w:val="3A34347C"/>
    <w:rsid w:val="3A4A73BA"/>
    <w:rsid w:val="3A4F6E02"/>
    <w:rsid w:val="3A5029E0"/>
    <w:rsid w:val="3A58393B"/>
    <w:rsid w:val="3A644361"/>
    <w:rsid w:val="3A6A35C8"/>
    <w:rsid w:val="3A8521B0"/>
    <w:rsid w:val="3A8F19C2"/>
    <w:rsid w:val="3A8F3032"/>
    <w:rsid w:val="3A966BFF"/>
    <w:rsid w:val="3ABB2940"/>
    <w:rsid w:val="3ACE298D"/>
    <w:rsid w:val="3AE07043"/>
    <w:rsid w:val="3AE875FD"/>
    <w:rsid w:val="3AFB116A"/>
    <w:rsid w:val="3B047888"/>
    <w:rsid w:val="3B1B48C3"/>
    <w:rsid w:val="3B1C530E"/>
    <w:rsid w:val="3B3F4A55"/>
    <w:rsid w:val="3B5312E1"/>
    <w:rsid w:val="3B5528EE"/>
    <w:rsid w:val="3B651FE2"/>
    <w:rsid w:val="3B68262F"/>
    <w:rsid w:val="3BA50630"/>
    <w:rsid w:val="3BBD3BCC"/>
    <w:rsid w:val="3BC27434"/>
    <w:rsid w:val="3BC46D08"/>
    <w:rsid w:val="3BCE402B"/>
    <w:rsid w:val="3BCE6E72"/>
    <w:rsid w:val="3BD7112A"/>
    <w:rsid w:val="3BE21C16"/>
    <w:rsid w:val="3BFE66BE"/>
    <w:rsid w:val="3C065573"/>
    <w:rsid w:val="3C0A467F"/>
    <w:rsid w:val="3C0D4B53"/>
    <w:rsid w:val="3C15056D"/>
    <w:rsid w:val="3C157564"/>
    <w:rsid w:val="3C24035B"/>
    <w:rsid w:val="3C2459F9"/>
    <w:rsid w:val="3C2E5B77"/>
    <w:rsid w:val="3C340332"/>
    <w:rsid w:val="3C410359"/>
    <w:rsid w:val="3C4D41CF"/>
    <w:rsid w:val="3C6C5271"/>
    <w:rsid w:val="3C8C0997"/>
    <w:rsid w:val="3C8D4271"/>
    <w:rsid w:val="3C925AE2"/>
    <w:rsid w:val="3C9D12C0"/>
    <w:rsid w:val="3C9D4AD8"/>
    <w:rsid w:val="3CA127CD"/>
    <w:rsid w:val="3CAC4926"/>
    <w:rsid w:val="3CBF4A0D"/>
    <w:rsid w:val="3CC35933"/>
    <w:rsid w:val="3CCB7968"/>
    <w:rsid w:val="3CCC056A"/>
    <w:rsid w:val="3CD13DD3"/>
    <w:rsid w:val="3CD4743B"/>
    <w:rsid w:val="3CDF7D60"/>
    <w:rsid w:val="3CE27104"/>
    <w:rsid w:val="3CED15CD"/>
    <w:rsid w:val="3CF47AC1"/>
    <w:rsid w:val="3D127F47"/>
    <w:rsid w:val="3D150AB5"/>
    <w:rsid w:val="3D197528"/>
    <w:rsid w:val="3D1B6429"/>
    <w:rsid w:val="3D231DE6"/>
    <w:rsid w:val="3D271C45"/>
    <w:rsid w:val="3D3140FB"/>
    <w:rsid w:val="3D413B21"/>
    <w:rsid w:val="3D5908F6"/>
    <w:rsid w:val="3D763BD9"/>
    <w:rsid w:val="3D7A6218"/>
    <w:rsid w:val="3D7D1865"/>
    <w:rsid w:val="3D7D2106"/>
    <w:rsid w:val="3D864BBD"/>
    <w:rsid w:val="3D91387D"/>
    <w:rsid w:val="3D934BE4"/>
    <w:rsid w:val="3DA70690"/>
    <w:rsid w:val="3DAC32C6"/>
    <w:rsid w:val="3DBC33A0"/>
    <w:rsid w:val="3DBF00CF"/>
    <w:rsid w:val="3DC261DF"/>
    <w:rsid w:val="3DC65A10"/>
    <w:rsid w:val="3DD2237F"/>
    <w:rsid w:val="3DD4014F"/>
    <w:rsid w:val="3DD86A9B"/>
    <w:rsid w:val="3E115421"/>
    <w:rsid w:val="3E151A9D"/>
    <w:rsid w:val="3E1758C2"/>
    <w:rsid w:val="3E2B4042"/>
    <w:rsid w:val="3E3E7246"/>
    <w:rsid w:val="3E442D91"/>
    <w:rsid w:val="3E481E73"/>
    <w:rsid w:val="3E5C64CB"/>
    <w:rsid w:val="3E603179"/>
    <w:rsid w:val="3E614CE2"/>
    <w:rsid w:val="3E704F26"/>
    <w:rsid w:val="3E734520"/>
    <w:rsid w:val="3E7932E4"/>
    <w:rsid w:val="3E7A2248"/>
    <w:rsid w:val="3E7E7AE2"/>
    <w:rsid w:val="3E830E87"/>
    <w:rsid w:val="3E8804C1"/>
    <w:rsid w:val="3E8A248B"/>
    <w:rsid w:val="3EA36997"/>
    <w:rsid w:val="3EA60A10"/>
    <w:rsid w:val="3EA6303D"/>
    <w:rsid w:val="3EB553CA"/>
    <w:rsid w:val="3EB94B1E"/>
    <w:rsid w:val="3ED03C16"/>
    <w:rsid w:val="3ED35EFF"/>
    <w:rsid w:val="3ED51881"/>
    <w:rsid w:val="3EDE0C35"/>
    <w:rsid w:val="3EDE228D"/>
    <w:rsid w:val="3EEB0A50"/>
    <w:rsid w:val="3EF95EC6"/>
    <w:rsid w:val="3EFC2C5D"/>
    <w:rsid w:val="3F00701C"/>
    <w:rsid w:val="3F1345A3"/>
    <w:rsid w:val="3F143684"/>
    <w:rsid w:val="3F217FA7"/>
    <w:rsid w:val="3F3026F0"/>
    <w:rsid w:val="3F591E5E"/>
    <w:rsid w:val="3F7A215C"/>
    <w:rsid w:val="3F7D7AEA"/>
    <w:rsid w:val="3F815805"/>
    <w:rsid w:val="3F880EB1"/>
    <w:rsid w:val="3F9757B4"/>
    <w:rsid w:val="3FB928FC"/>
    <w:rsid w:val="3FBE0E8C"/>
    <w:rsid w:val="3FBF6165"/>
    <w:rsid w:val="3FC1012F"/>
    <w:rsid w:val="3FE21E53"/>
    <w:rsid w:val="3FE43E1D"/>
    <w:rsid w:val="3FEA0D08"/>
    <w:rsid w:val="3FEC2687"/>
    <w:rsid w:val="3FEF5E51"/>
    <w:rsid w:val="400242A3"/>
    <w:rsid w:val="400C0AA5"/>
    <w:rsid w:val="40291830"/>
    <w:rsid w:val="403A3A56"/>
    <w:rsid w:val="403C48D3"/>
    <w:rsid w:val="40783199"/>
    <w:rsid w:val="407B4DD5"/>
    <w:rsid w:val="408A49C4"/>
    <w:rsid w:val="40C672BD"/>
    <w:rsid w:val="40D156B3"/>
    <w:rsid w:val="40D81A9A"/>
    <w:rsid w:val="40E7153F"/>
    <w:rsid w:val="40FE77A8"/>
    <w:rsid w:val="410660A9"/>
    <w:rsid w:val="41160359"/>
    <w:rsid w:val="411B386E"/>
    <w:rsid w:val="412070D7"/>
    <w:rsid w:val="412208D4"/>
    <w:rsid w:val="41406E31"/>
    <w:rsid w:val="414240A8"/>
    <w:rsid w:val="41466412"/>
    <w:rsid w:val="41511BE0"/>
    <w:rsid w:val="415723CD"/>
    <w:rsid w:val="41586871"/>
    <w:rsid w:val="41662610"/>
    <w:rsid w:val="41670F6D"/>
    <w:rsid w:val="416C7340"/>
    <w:rsid w:val="416F44DF"/>
    <w:rsid w:val="41727207"/>
    <w:rsid w:val="418807D8"/>
    <w:rsid w:val="418B3F42"/>
    <w:rsid w:val="418C2076"/>
    <w:rsid w:val="419269D1"/>
    <w:rsid w:val="41970A1B"/>
    <w:rsid w:val="41986C6D"/>
    <w:rsid w:val="41AA1130"/>
    <w:rsid w:val="41AF2209"/>
    <w:rsid w:val="41C30EF6"/>
    <w:rsid w:val="41C37841"/>
    <w:rsid w:val="41E11078"/>
    <w:rsid w:val="41EB39C1"/>
    <w:rsid w:val="41FF0A9A"/>
    <w:rsid w:val="41FF1169"/>
    <w:rsid w:val="42024A2E"/>
    <w:rsid w:val="421F4809"/>
    <w:rsid w:val="42332E3A"/>
    <w:rsid w:val="42334D0F"/>
    <w:rsid w:val="4234154C"/>
    <w:rsid w:val="423F358D"/>
    <w:rsid w:val="423F533B"/>
    <w:rsid w:val="425132C0"/>
    <w:rsid w:val="4256053C"/>
    <w:rsid w:val="426054F5"/>
    <w:rsid w:val="42644DA1"/>
    <w:rsid w:val="42823479"/>
    <w:rsid w:val="42AB29D0"/>
    <w:rsid w:val="42B73E82"/>
    <w:rsid w:val="42BF46CD"/>
    <w:rsid w:val="42C32E12"/>
    <w:rsid w:val="42C817D4"/>
    <w:rsid w:val="42F92708"/>
    <w:rsid w:val="43051884"/>
    <w:rsid w:val="43107B42"/>
    <w:rsid w:val="43135873"/>
    <w:rsid w:val="433504EC"/>
    <w:rsid w:val="43456981"/>
    <w:rsid w:val="43544E16"/>
    <w:rsid w:val="43733C93"/>
    <w:rsid w:val="437C5E8D"/>
    <w:rsid w:val="43821D0C"/>
    <w:rsid w:val="43866F99"/>
    <w:rsid w:val="43963680"/>
    <w:rsid w:val="43A51B15"/>
    <w:rsid w:val="43A55671"/>
    <w:rsid w:val="43AA2C88"/>
    <w:rsid w:val="43AF311A"/>
    <w:rsid w:val="43B6787E"/>
    <w:rsid w:val="43C401ED"/>
    <w:rsid w:val="43CB1323"/>
    <w:rsid w:val="43D9531B"/>
    <w:rsid w:val="43DC279B"/>
    <w:rsid w:val="43DE6563"/>
    <w:rsid w:val="43E146C9"/>
    <w:rsid w:val="43EA39CC"/>
    <w:rsid w:val="43EA4F48"/>
    <w:rsid w:val="440C6D31"/>
    <w:rsid w:val="4418046D"/>
    <w:rsid w:val="442040C5"/>
    <w:rsid w:val="4436451B"/>
    <w:rsid w:val="443B1BA5"/>
    <w:rsid w:val="443C196B"/>
    <w:rsid w:val="4440539A"/>
    <w:rsid w:val="44450C02"/>
    <w:rsid w:val="445B21D4"/>
    <w:rsid w:val="445D2CFE"/>
    <w:rsid w:val="445E48BB"/>
    <w:rsid w:val="44635844"/>
    <w:rsid w:val="44641089"/>
    <w:rsid w:val="44784B34"/>
    <w:rsid w:val="44827761"/>
    <w:rsid w:val="44890AEF"/>
    <w:rsid w:val="44973488"/>
    <w:rsid w:val="44A43B7B"/>
    <w:rsid w:val="44B55D88"/>
    <w:rsid w:val="44BB6985"/>
    <w:rsid w:val="44BD69EB"/>
    <w:rsid w:val="44BF21AC"/>
    <w:rsid w:val="44C63AF1"/>
    <w:rsid w:val="44C83EC5"/>
    <w:rsid w:val="44C91833"/>
    <w:rsid w:val="44D160BB"/>
    <w:rsid w:val="44DA134B"/>
    <w:rsid w:val="44DA759D"/>
    <w:rsid w:val="44DB0693"/>
    <w:rsid w:val="44E420A5"/>
    <w:rsid w:val="44FD328B"/>
    <w:rsid w:val="451C1963"/>
    <w:rsid w:val="452A7324"/>
    <w:rsid w:val="452F5B3A"/>
    <w:rsid w:val="453115DE"/>
    <w:rsid w:val="45352498"/>
    <w:rsid w:val="4537679D"/>
    <w:rsid w:val="453B44DF"/>
    <w:rsid w:val="455E635F"/>
    <w:rsid w:val="457F1EF2"/>
    <w:rsid w:val="459D6299"/>
    <w:rsid w:val="45A008EA"/>
    <w:rsid w:val="45C06AEB"/>
    <w:rsid w:val="45C75D73"/>
    <w:rsid w:val="45D01D8F"/>
    <w:rsid w:val="45D67D64"/>
    <w:rsid w:val="45E701C3"/>
    <w:rsid w:val="460674F0"/>
    <w:rsid w:val="46132D66"/>
    <w:rsid w:val="461E7C8A"/>
    <w:rsid w:val="46277A04"/>
    <w:rsid w:val="462A36B6"/>
    <w:rsid w:val="46416AD6"/>
    <w:rsid w:val="464D643E"/>
    <w:rsid w:val="466C6EEB"/>
    <w:rsid w:val="4670730F"/>
    <w:rsid w:val="46823724"/>
    <w:rsid w:val="468C18CD"/>
    <w:rsid w:val="469C1DB0"/>
    <w:rsid w:val="46C10423"/>
    <w:rsid w:val="46C329DE"/>
    <w:rsid w:val="46CC7AD8"/>
    <w:rsid w:val="46DC1FBC"/>
    <w:rsid w:val="46E110B6"/>
    <w:rsid w:val="46E95792"/>
    <w:rsid w:val="46EE10DD"/>
    <w:rsid w:val="46FA2178"/>
    <w:rsid w:val="46FC37FA"/>
    <w:rsid w:val="47044DA5"/>
    <w:rsid w:val="470628CB"/>
    <w:rsid w:val="47077ED8"/>
    <w:rsid w:val="471274C2"/>
    <w:rsid w:val="471B28B4"/>
    <w:rsid w:val="472D113A"/>
    <w:rsid w:val="474D3526"/>
    <w:rsid w:val="47517316"/>
    <w:rsid w:val="47517ADC"/>
    <w:rsid w:val="476B0980"/>
    <w:rsid w:val="476E271F"/>
    <w:rsid w:val="47763C69"/>
    <w:rsid w:val="477A0BC3"/>
    <w:rsid w:val="477C2B8D"/>
    <w:rsid w:val="477F15A5"/>
    <w:rsid w:val="4783216D"/>
    <w:rsid w:val="478B21DA"/>
    <w:rsid w:val="47904ACF"/>
    <w:rsid w:val="479C19F6"/>
    <w:rsid w:val="479C4FDD"/>
    <w:rsid w:val="47A04091"/>
    <w:rsid w:val="47A667CB"/>
    <w:rsid w:val="47A91793"/>
    <w:rsid w:val="47B0582B"/>
    <w:rsid w:val="47C06E5A"/>
    <w:rsid w:val="47C971D5"/>
    <w:rsid w:val="47D06A35"/>
    <w:rsid w:val="47ED5839"/>
    <w:rsid w:val="47EE10F5"/>
    <w:rsid w:val="47F15329"/>
    <w:rsid w:val="47F646ED"/>
    <w:rsid w:val="47F866B8"/>
    <w:rsid w:val="47FB2E17"/>
    <w:rsid w:val="480706A9"/>
    <w:rsid w:val="480F1C53"/>
    <w:rsid w:val="481E3C44"/>
    <w:rsid w:val="482B755A"/>
    <w:rsid w:val="482C010F"/>
    <w:rsid w:val="483671E0"/>
    <w:rsid w:val="48457423"/>
    <w:rsid w:val="48661A4C"/>
    <w:rsid w:val="487C2D69"/>
    <w:rsid w:val="487C7098"/>
    <w:rsid w:val="487D096B"/>
    <w:rsid w:val="4884619D"/>
    <w:rsid w:val="48867B01"/>
    <w:rsid w:val="48B12D0A"/>
    <w:rsid w:val="48BC6DC4"/>
    <w:rsid w:val="48C91E02"/>
    <w:rsid w:val="48E56510"/>
    <w:rsid w:val="48E94252"/>
    <w:rsid w:val="48F22F96"/>
    <w:rsid w:val="48FA63D5"/>
    <w:rsid w:val="4900423A"/>
    <w:rsid w:val="490431AA"/>
    <w:rsid w:val="490A36DF"/>
    <w:rsid w:val="490B5F77"/>
    <w:rsid w:val="49123997"/>
    <w:rsid w:val="492601CA"/>
    <w:rsid w:val="493125AB"/>
    <w:rsid w:val="493524DD"/>
    <w:rsid w:val="495C67D2"/>
    <w:rsid w:val="4968161B"/>
    <w:rsid w:val="496B110B"/>
    <w:rsid w:val="496F0BFB"/>
    <w:rsid w:val="498F4DFA"/>
    <w:rsid w:val="499323AD"/>
    <w:rsid w:val="499E7DB1"/>
    <w:rsid w:val="49A670C7"/>
    <w:rsid w:val="49A67A22"/>
    <w:rsid w:val="49AB1508"/>
    <w:rsid w:val="49AB57DD"/>
    <w:rsid w:val="49B15FF9"/>
    <w:rsid w:val="49B70628"/>
    <w:rsid w:val="49C12AD9"/>
    <w:rsid w:val="49CA5E32"/>
    <w:rsid w:val="49CD76D0"/>
    <w:rsid w:val="49D24CE6"/>
    <w:rsid w:val="49DE18DD"/>
    <w:rsid w:val="49EB7B56"/>
    <w:rsid w:val="49F033BE"/>
    <w:rsid w:val="49F96717"/>
    <w:rsid w:val="49FE5ADB"/>
    <w:rsid w:val="49FF640B"/>
    <w:rsid w:val="4A0649B9"/>
    <w:rsid w:val="4A172E21"/>
    <w:rsid w:val="4A206289"/>
    <w:rsid w:val="4A2319E6"/>
    <w:rsid w:val="4A2C089A"/>
    <w:rsid w:val="4A3B27D2"/>
    <w:rsid w:val="4A3C0D37"/>
    <w:rsid w:val="4A4F27DB"/>
    <w:rsid w:val="4A6C00B9"/>
    <w:rsid w:val="4A7B35D0"/>
    <w:rsid w:val="4A805150"/>
    <w:rsid w:val="4A873D23"/>
    <w:rsid w:val="4A954692"/>
    <w:rsid w:val="4A993A56"/>
    <w:rsid w:val="4A9B27FB"/>
    <w:rsid w:val="4A9C6CB8"/>
    <w:rsid w:val="4AA74182"/>
    <w:rsid w:val="4AC044FA"/>
    <w:rsid w:val="4AC226EB"/>
    <w:rsid w:val="4AC705C3"/>
    <w:rsid w:val="4AC9433B"/>
    <w:rsid w:val="4AEB2504"/>
    <w:rsid w:val="4AF62C56"/>
    <w:rsid w:val="4B00156B"/>
    <w:rsid w:val="4B0D2360"/>
    <w:rsid w:val="4B166E55"/>
    <w:rsid w:val="4B1A06F3"/>
    <w:rsid w:val="4B1F03FF"/>
    <w:rsid w:val="4B29302C"/>
    <w:rsid w:val="4B3237EE"/>
    <w:rsid w:val="4B35552D"/>
    <w:rsid w:val="4B3A6FE7"/>
    <w:rsid w:val="4B4B11F4"/>
    <w:rsid w:val="4B587455"/>
    <w:rsid w:val="4B842010"/>
    <w:rsid w:val="4B8A6748"/>
    <w:rsid w:val="4B910379"/>
    <w:rsid w:val="4B961FC8"/>
    <w:rsid w:val="4B9C55AC"/>
    <w:rsid w:val="4BA324B8"/>
    <w:rsid w:val="4BB70638"/>
    <w:rsid w:val="4BB74194"/>
    <w:rsid w:val="4BB847E0"/>
    <w:rsid w:val="4BBA1ED6"/>
    <w:rsid w:val="4BD27220"/>
    <w:rsid w:val="4BD41F9C"/>
    <w:rsid w:val="4BD64D3E"/>
    <w:rsid w:val="4BDC4B21"/>
    <w:rsid w:val="4BDE0BDB"/>
    <w:rsid w:val="4BEB6533"/>
    <w:rsid w:val="4BFC24EE"/>
    <w:rsid w:val="4BFE6267"/>
    <w:rsid w:val="4C0A4CE8"/>
    <w:rsid w:val="4C0D3F5E"/>
    <w:rsid w:val="4C0E00B7"/>
    <w:rsid w:val="4C1A24A8"/>
    <w:rsid w:val="4C26756B"/>
    <w:rsid w:val="4C361E46"/>
    <w:rsid w:val="4C462F90"/>
    <w:rsid w:val="4C567E51"/>
    <w:rsid w:val="4C6B4F7E"/>
    <w:rsid w:val="4C6B4FDD"/>
    <w:rsid w:val="4C6F0F12"/>
    <w:rsid w:val="4C6F3264"/>
    <w:rsid w:val="4C7327B1"/>
    <w:rsid w:val="4C817E10"/>
    <w:rsid w:val="4C8F3363"/>
    <w:rsid w:val="4C9438DA"/>
    <w:rsid w:val="4C9C59A5"/>
    <w:rsid w:val="4CA26436"/>
    <w:rsid w:val="4CA51A3A"/>
    <w:rsid w:val="4CAC5CC3"/>
    <w:rsid w:val="4CBD57DA"/>
    <w:rsid w:val="4CC72AFC"/>
    <w:rsid w:val="4CCA7EF7"/>
    <w:rsid w:val="4CCC5DD6"/>
    <w:rsid w:val="4CCD761B"/>
    <w:rsid w:val="4CE2489A"/>
    <w:rsid w:val="4CE258DD"/>
    <w:rsid w:val="4CF3280B"/>
    <w:rsid w:val="4D0478AD"/>
    <w:rsid w:val="4D13189E"/>
    <w:rsid w:val="4D1537DC"/>
    <w:rsid w:val="4D1C561F"/>
    <w:rsid w:val="4D201780"/>
    <w:rsid w:val="4D2C2BEC"/>
    <w:rsid w:val="4D381304"/>
    <w:rsid w:val="4D573E80"/>
    <w:rsid w:val="4D814A59"/>
    <w:rsid w:val="4D901140"/>
    <w:rsid w:val="4D950505"/>
    <w:rsid w:val="4D9C5D37"/>
    <w:rsid w:val="4DA61F88"/>
    <w:rsid w:val="4DBB4021"/>
    <w:rsid w:val="4DC17EF8"/>
    <w:rsid w:val="4DC86B2C"/>
    <w:rsid w:val="4DD70B1D"/>
    <w:rsid w:val="4DE42FC2"/>
    <w:rsid w:val="4DEB45C9"/>
    <w:rsid w:val="4DFA0F23"/>
    <w:rsid w:val="4E0354B0"/>
    <w:rsid w:val="4E037EBD"/>
    <w:rsid w:val="4E0538DC"/>
    <w:rsid w:val="4E0855BB"/>
    <w:rsid w:val="4E0B1E23"/>
    <w:rsid w:val="4E0D09E3"/>
    <w:rsid w:val="4E141D71"/>
    <w:rsid w:val="4E197388"/>
    <w:rsid w:val="4E1A6C5C"/>
    <w:rsid w:val="4E1C0C26"/>
    <w:rsid w:val="4E255E4C"/>
    <w:rsid w:val="4E274A1B"/>
    <w:rsid w:val="4E2E3285"/>
    <w:rsid w:val="4E2F2707"/>
    <w:rsid w:val="4E3F66C2"/>
    <w:rsid w:val="4E45455A"/>
    <w:rsid w:val="4E573A0C"/>
    <w:rsid w:val="4E5A52AA"/>
    <w:rsid w:val="4E720846"/>
    <w:rsid w:val="4E8B1908"/>
    <w:rsid w:val="4E921E5D"/>
    <w:rsid w:val="4E922C96"/>
    <w:rsid w:val="4EBC1C70"/>
    <w:rsid w:val="4EBD0706"/>
    <w:rsid w:val="4EBD73E8"/>
    <w:rsid w:val="4EC132A9"/>
    <w:rsid w:val="4EC70B92"/>
    <w:rsid w:val="4ECD1134"/>
    <w:rsid w:val="4ED410CC"/>
    <w:rsid w:val="4EEB2B76"/>
    <w:rsid w:val="4EEC684A"/>
    <w:rsid w:val="4EED0B13"/>
    <w:rsid w:val="4EFB083B"/>
    <w:rsid w:val="4F002F32"/>
    <w:rsid w:val="4F0A1BA9"/>
    <w:rsid w:val="4F3124AF"/>
    <w:rsid w:val="4F3D7CC1"/>
    <w:rsid w:val="4F3E09E7"/>
    <w:rsid w:val="4F524F63"/>
    <w:rsid w:val="4F57409F"/>
    <w:rsid w:val="4F585C8E"/>
    <w:rsid w:val="4F5D115C"/>
    <w:rsid w:val="4F603245"/>
    <w:rsid w:val="4F8B6063"/>
    <w:rsid w:val="4F9130F5"/>
    <w:rsid w:val="4F922410"/>
    <w:rsid w:val="4FAF7A60"/>
    <w:rsid w:val="4FC94691"/>
    <w:rsid w:val="4FCD3FEC"/>
    <w:rsid w:val="4FD572DE"/>
    <w:rsid w:val="4FE30142"/>
    <w:rsid w:val="4FE70DC0"/>
    <w:rsid w:val="4FEB4D65"/>
    <w:rsid w:val="50025BF9"/>
    <w:rsid w:val="500B71A4"/>
    <w:rsid w:val="500E1CA9"/>
    <w:rsid w:val="501508C2"/>
    <w:rsid w:val="50406E4E"/>
    <w:rsid w:val="50413516"/>
    <w:rsid w:val="50416E46"/>
    <w:rsid w:val="50462E1C"/>
    <w:rsid w:val="504B57F2"/>
    <w:rsid w:val="5051105B"/>
    <w:rsid w:val="50585DCF"/>
    <w:rsid w:val="50677D28"/>
    <w:rsid w:val="506B379F"/>
    <w:rsid w:val="506D1F30"/>
    <w:rsid w:val="50753639"/>
    <w:rsid w:val="507B0102"/>
    <w:rsid w:val="509739F1"/>
    <w:rsid w:val="509A76B5"/>
    <w:rsid w:val="509C604E"/>
    <w:rsid w:val="50AD59A2"/>
    <w:rsid w:val="50CA4969"/>
    <w:rsid w:val="50CC06E1"/>
    <w:rsid w:val="50CF3D2E"/>
    <w:rsid w:val="50D00177"/>
    <w:rsid w:val="50DB26D2"/>
    <w:rsid w:val="50DF27BA"/>
    <w:rsid w:val="510460CD"/>
    <w:rsid w:val="510E52FF"/>
    <w:rsid w:val="511B6F73"/>
    <w:rsid w:val="513A4C55"/>
    <w:rsid w:val="513F7105"/>
    <w:rsid w:val="5154207D"/>
    <w:rsid w:val="5159573F"/>
    <w:rsid w:val="515B3813"/>
    <w:rsid w:val="516C5916"/>
    <w:rsid w:val="516C77CE"/>
    <w:rsid w:val="51705511"/>
    <w:rsid w:val="51A60F32"/>
    <w:rsid w:val="51AB50F9"/>
    <w:rsid w:val="51B33F6B"/>
    <w:rsid w:val="51B80C66"/>
    <w:rsid w:val="51BA678C"/>
    <w:rsid w:val="51D0473A"/>
    <w:rsid w:val="51D33CF1"/>
    <w:rsid w:val="51D556F8"/>
    <w:rsid w:val="51D830B6"/>
    <w:rsid w:val="51E27A91"/>
    <w:rsid w:val="51E41A5B"/>
    <w:rsid w:val="51E8779D"/>
    <w:rsid w:val="51EB2DE9"/>
    <w:rsid w:val="51EC090F"/>
    <w:rsid w:val="52081BED"/>
    <w:rsid w:val="52151C14"/>
    <w:rsid w:val="521C2FA3"/>
    <w:rsid w:val="52211332"/>
    <w:rsid w:val="52335131"/>
    <w:rsid w:val="523A18EA"/>
    <w:rsid w:val="523D116B"/>
    <w:rsid w:val="524E612F"/>
    <w:rsid w:val="524F2BB4"/>
    <w:rsid w:val="5253273C"/>
    <w:rsid w:val="52606C48"/>
    <w:rsid w:val="52770B21"/>
    <w:rsid w:val="5278001F"/>
    <w:rsid w:val="527C7EE5"/>
    <w:rsid w:val="528A0BA1"/>
    <w:rsid w:val="52A37343"/>
    <w:rsid w:val="52AA3C06"/>
    <w:rsid w:val="52AF3E17"/>
    <w:rsid w:val="52B70F1D"/>
    <w:rsid w:val="52BA7F92"/>
    <w:rsid w:val="52BB35DC"/>
    <w:rsid w:val="52C235D0"/>
    <w:rsid w:val="52C84ED8"/>
    <w:rsid w:val="52CB1154"/>
    <w:rsid w:val="52D64BC8"/>
    <w:rsid w:val="52E03F65"/>
    <w:rsid w:val="52EA38D1"/>
    <w:rsid w:val="52EF06B7"/>
    <w:rsid w:val="52FB3500"/>
    <w:rsid w:val="530A729F"/>
    <w:rsid w:val="531719BC"/>
    <w:rsid w:val="532365B3"/>
    <w:rsid w:val="5338205E"/>
    <w:rsid w:val="53407165"/>
    <w:rsid w:val="5350152D"/>
    <w:rsid w:val="5354676C"/>
    <w:rsid w:val="53683555"/>
    <w:rsid w:val="537938ED"/>
    <w:rsid w:val="538611FE"/>
    <w:rsid w:val="538C5C01"/>
    <w:rsid w:val="539B46A4"/>
    <w:rsid w:val="53A07C03"/>
    <w:rsid w:val="53A92F5C"/>
    <w:rsid w:val="53B316E5"/>
    <w:rsid w:val="53BB4A3D"/>
    <w:rsid w:val="53C2401E"/>
    <w:rsid w:val="53C32668"/>
    <w:rsid w:val="53C54A08"/>
    <w:rsid w:val="53D016A9"/>
    <w:rsid w:val="53D61264"/>
    <w:rsid w:val="53DF103E"/>
    <w:rsid w:val="53DF24DA"/>
    <w:rsid w:val="53EE035B"/>
    <w:rsid w:val="53FE2E25"/>
    <w:rsid w:val="5406082D"/>
    <w:rsid w:val="54063F0A"/>
    <w:rsid w:val="54086242"/>
    <w:rsid w:val="54131FCB"/>
    <w:rsid w:val="5417555B"/>
    <w:rsid w:val="543736D8"/>
    <w:rsid w:val="54387E3C"/>
    <w:rsid w:val="543A0058"/>
    <w:rsid w:val="543E5F58"/>
    <w:rsid w:val="54402BFA"/>
    <w:rsid w:val="544467E1"/>
    <w:rsid w:val="544D7D8B"/>
    <w:rsid w:val="545033D7"/>
    <w:rsid w:val="545657BD"/>
    <w:rsid w:val="545F714A"/>
    <w:rsid w:val="54617393"/>
    <w:rsid w:val="54667539"/>
    <w:rsid w:val="54752E3E"/>
    <w:rsid w:val="548337AD"/>
    <w:rsid w:val="548D0188"/>
    <w:rsid w:val="54D24E86"/>
    <w:rsid w:val="54E16725"/>
    <w:rsid w:val="54E65AEA"/>
    <w:rsid w:val="54EA55DA"/>
    <w:rsid w:val="54FA3343"/>
    <w:rsid w:val="5503669C"/>
    <w:rsid w:val="55052414"/>
    <w:rsid w:val="550920A0"/>
    <w:rsid w:val="55124B31"/>
    <w:rsid w:val="551864CC"/>
    <w:rsid w:val="552774CE"/>
    <w:rsid w:val="552F123F"/>
    <w:rsid w:val="5536081F"/>
    <w:rsid w:val="553C395C"/>
    <w:rsid w:val="553D2107"/>
    <w:rsid w:val="554051FA"/>
    <w:rsid w:val="55692572"/>
    <w:rsid w:val="556A3CE8"/>
    <w:rsid w:val="558E714E"/>
    <w:rsid w:val="5592342B"/>
    <w:rsid w:val="55967176"/>
    <w:rsid w:val="55985036"/>
    <w:rsid w:val="559D089E"/>
    <w:rsid w:val="55A439DB"/>
    <w:rsid w:val="55AC0589"/>
    <w:rsid w:val="55AF05D2"/>
    <w:rsid w:val="55B17114"/>
    <w:rsid w:val="55C51BA3"/>
    <w:rsid w:val="55D87B28"/>
    <w:rsid w:val="55D93E68"/>
    <w:rsid w:val="55E5165E"/>
    <w:rsid w:val="55E62245"/>
    <w:rsid w:val="55F01267"/>
    <w:rsid w:val="55FA184D"/>
    <w:rsid w:val="55FD133D"/>
    <w:rsid w:val="56101070"/>
    <w:rsid w:val="561D2A52"/>
    <w:rsid w:val="56265249"/>
    <w:rsid w:val="5627460C"/>
    <w:rsid w:val="5636241D"/>
    <w:rsid w:val="563630F9"/>
    <w:rsid w:val="56392D6C"/>
    <w:rsid w:val="563D798B"/>
    <w:rsid w:val="56403669"/>
    <w:rsid w:val="56521689"/>
    <w:rsid w:val="56611723"/>
    <w:rsid w:val="56793A3B"/>
    <w:rsid w:val="567D5FDA"/>
    <w:rsid w:val="56802899"/>
    <w:rsid w:val="56841BD7"/>
    <w:rsid w:val="56873363"/>
    <w:rsid w:val="56AB164B"/>
    <w:rsid w:val="56AE795E"/>
    <w:rsid w:val="56B54D14"/>
    <w:rsid w:val="56C2130C"/>
    <w:rsid w:val="56C35EA7"/>
    <w:rsid w:val="56CB143B"/>
    <w:rsid w:val="56E94AE9"/>
    <w:rsid w:val="56EA0A7F"/>
    <w:rsid w:val="56EF6E93"/>
    <w:rsid w:val="56F00EA2"/>
    <w:rsid w:val="57077253"/>
    <w:rsid w:val="570C0683"/>
    <w:rsid w:val="571A1A7B"/>
    <w:rsid w:val="576378C6"/>
    <w:rsid w:val="576923C5"/>
    <w:rsid w:val="576C677A"/>
    <w:rsid w:val="578F2469"/>
    <w:rsid w:val="579429BB"/>
    <w:rsid w:val="579B0E0D"/>
    <w:rsid w:val="57AF2B0B"/>
    <w:rsid w:val="57C03632"/>
    <w:rsid w:val="57C33EC0"/>
    <w:rsid w:val="57E24C8E"/>
    <w:rsid w:val="57EA0764"/>
    <w:rsid w:val="57EF4CB5"/>
    <w:rsid w:val="57F74752"/>
    <w:rsid w:val="57FE2963"/>
    <w:rsid w:val="58006EC2"/>
    <w:rsid w:val="58060540"/>
    <w:rsid w:val="580E21B5"/>
    <w:rsid w:val="5815647A"/>
    <w:rsid w:val="583E1337"/>
    <w:rsid w:val="584274DB"/>
    <w:rsid w:val="5846521D"/>
    <w:rsid w:val="584E7C2E"/>
    <w:rsid w:val="58644AF2"/>
    <w:rsid w:val="586619E4"/>
    <w:rsid w:val="587358E6"/>
    <w:rsid w:val="587647D5"/>
    <w:rsid w:val="587A6C75"/>
    <w:rsid w:val="587F0709"/>
    <w:rsid w:val="5893565E"/>
    <w:rsid w:val="58943172"/>
    <w:rsid w:val="58A67F17"/>
    <w:rsid w:val="58AD39AC"/>
    <w:rsid w:val="58B101BD"/>
    <w:rsid w:val="58B14A34"/>
    <w:rsid w:val="58C3686E"/>
    <w:rsid w:val="58CD4FF7"/>
    <w:rsid w:val="58D04AE7"/>
    <w:rsid w:val="58DE50A6"/>
    <w:rsid w:val="58DF2FE5"/>
    <w:rsid w:val="58E22385"/>
    <w:rsid w:val="58EA22FF"/>
    <w:rsid w:val="58EB5E6B"/>
    <w:rsid w:val="58ED0BBE"/>
    <w:rsid w:val="58F05189"/>
    <w:rsid w:val="58FA5862"/>
    <w:rsid w:val="58FD0E74"/>
    <w:rsid w:val="590D1897"/>
    <w:rsid w:val="590F6436"/>
    <w:rsid w:val="59195206"/>
    <w:rsid w:val="592E180D"/>
    <w:rsid w:val="59367F2E"/>
    <w:rsid w:val="59657925"/>
    <w:rsid w:val="5974112E"/>
    <w:rsid w:val="5975213F"/>
    <w:rsid w:val="597638E0"/>
    <w:rsid w:val="597D4C6F"/>
    <w:rsid w:val="59883613"/>
    <w:rsid w:val="59A26483"/>
    <w:rsid w:val="59C503C4"/>
    <w:rsid w:val="59C90598"/>
    <w:rsid w:val="59D673E4"/>
    <w:rsid w:val="59DA62AE"/>
    <w:rsid w:val="59E35F48"/>
    <w:rsid w:val="59EB1643"/>
    <w:rsid w:val="59EC76FE"/>
    <w:rsid w:val="5A001186"/>
    <w:rsid w:val="5A074538"/>
    <w:rsid w:val="5A080C07"/>
    <w:rsid w:val="5A1B4BD1"/>
    <w:rsid w:val="5A325E29"/>
    <w:rsid w:val="5A4412E8"/>
    <w:rsid w:val="5A6D095E"/>
    <w:rsid w:val="5A8550FA"/>
    <w:rsid w:val="5A957243"/>
    <w:rsid w:val="5A983D7A"/>
    <w:rsid w:val="5AA1673B"/>
    <w:rsid w:val="5AA2226A"/>
    <w:rsid w:val="5AB635B5"/>
    <w:rsid w:val="5ABA77FD"/>
    <w:rsid w:val="5AD703AE"/>
    <w:rsid w:val="5AE20B01"/>
    <w:rsid w:val="5AED3A61"/>
    <w:rsid w:val="5AEF0651"/>
    <w:rsid w:val="5AF76A47"/>
    <w:rsid w:val="5AFA7789"/>
    <w:rsid w:val="5B01367D"/>
    <w:rsid w:val="5B0373F5"/>
    <w:rsid w:val="5B04316E"/>
    <w:rsid w:val="5B2335F4"/>
    <w:rsid w:val="5B280C0A"/>
    <w:rsid w:val="5B2F4184"/>
    <w:rsid w:val="5B394BC5"/>
    <w:rsid w:val="5B461090"/>
    <w:rsid w:val="5B4F263B"/>
    <w:rsid w:val="5B522930"/>
    <w:rsid w:val="5B5F5C30"/>
    <w:rsid w:val="5B601D6D"/>
    <w:rsid w:val="5B640474"/>
    <w:rsid w:val="5B6B4F9B"/>
    <w:rsid w:val="5B8F6FD1"/>
    <w:rsid w:val="5B9261ED"/>
    <w:rsid w:val="5B990964"/>
    <w:rsid w:val="5B9B27D2"/>
    <w:rsid w:val="5B9E71EA"/>
    <w:rsid w:val="5B9F7BC4"/>
    <w:rsid w:val="5BA02E96"/>
    <w:rsid w:val="5BB1553B"/>
    <w:rsid w:val="5BCF72D8"/>
    <w:rsid w:val="5BDE4F6F"/>
    <w:rsid w:val="5BED3C02"/>
    <w:rsid w:val="5BF166F0"/>
    <w:rsid w:val="5BF925A6"/>
    <w:rsid w:val="5BFE7250"/>
    <w:rsid w:val="5C0351D3"/>
    <w:rsid w:val="5C050F4B"/>
    <w:rsid w:val="5C051017"/>
    <w:rsid w:val="5C0F5926"/>
    <w:rsid w:val="5C1271C4"/>
    <w:rsid w:val="5C2355FA"/>
    <w:rsid w:val="5C2A663D"/>
    <w:rsid w:val="5C3373B3"/>
    <w:rsid w:val="5C441A74"/>
    <w:rsid w:val="5C480E38"/>
    <w:rsid w:val="5C530A90"/>
    <w:rsid w:val="5C553C81"/>
    <w:rsid w:val="5C601985"/>
    <w:rsid w:val="5C6A7000"/>
    <w:rsid w:val="5C6F4617"/>
    <w:rsid w:val="5C772C9D"/>
    <w:rsid w:val="5C78171D"/>
    <w:rsid w:val="5C7B2441"/>
    <w:rsid w:val="5C8E7193"/>
    <w:rsid w:val="5C910A31"/>
    <w:rsid w:val="5C9522CF"/>
    <w:rsid w:val="5C9D1184"/>
    <w:rsid w:val="5C9E5FE5"/>
    <w:rsid w:val="5CA02A22"/>
    <w:rsid w:val="5CA3732E"/>
    <w:rsid w:val="5CAC0B09"/>
    <w:rsid w:val="5CB07109"/>
    <w:rsid w:val="5CD74A1D"/>
    <w:rsid w:val="5CDD5A24"/>
    <w:rsid w:val="5CE45B17"/>
    <w:rsid w:val="5CE80424"/>
    <w:rsid w:val="5CE96177"/>
    <w:rsid w:val="5CE96F65"/>
    <w:rsid w:val="5CF07506"/>
    <w:rsid w:val="5D153410"/>
    <w:rsid w:val="5D184CAE"/>
    <w:rsid w:val="5D192F00"/>
    <w:rsid w:val="5D1D5979"/>
    <w:rsid w:val="5D2418A5"/>
    <w:rsid w:val="5D253825"/>
    <w:rsid w:val="5D3F34A3"/>
    <w:rsid w:val="5D430194"/>
    <w:rsid w:val="5D4555B4"/>
    <w:rsid w:val="5D4934B7"/>
    <w:rsid w:val="5D6B1282"/>
    <w:rsid w:val="5D744214"/>
    <w:rsid w:val="5D753EAF"/>
    <w:rsid w:val="5D7C7845"/>
    <w:rsid w:val="5D7F7DDA"/>
    <w:rsid w:val="5D9D03F2"/>
    <w:rsid w:val="5DA84284"/>
    <w:rsid w:val="5DAA1DAA"/>
    <w:rsid w:val="5DB400E9"/>
    <w:rsid w:val="5DB449D7"/>
    <w:rsid w:val="5DBC2649"/>
    <w:rsid w:val="5DC13A25"/>
    <w:rsid w:val="5DDC53CE"/>
    <w:rsid w:val="5DDF7B22"/>
    <w:rsid w:val="5DE51034"/>
    <w:rsid w:val="5DF11DF8"/>
    <w:rsid w:val="5E0D0611"/>
    <w:rsid w:val="5E143A71"/>
    <w:rsid w:val="5E2325C1"/>
    <w:rsid w:val="5E232E30"/>
    <w:rsid w:val="5E2575C3"/>
    <w:rsid w:val="5E287173"/>
    <w:rsid w:val="5E294093"/>
    <w:rsid w:val="5E2F24AC"/>
    <w:rsid w:val="5E3D2C1E"/>
    <w:rsid w:val="5E40626B"/>
    <w:rsid w:val="5E4A70E9"/>
    <w:rsid w:val="5E4D221E"/>
    <w:rsid w:val="5E520D48"/>
    <w:rsid w:val="5E5B4E53"/>
    <w:rsid w:val="5E6115B7"/>
    <w:rsid w:val="5E653F23"/>
    <w:rsid w:val="5E6730C8"/>
    <w:rsid w:val="5E7016B0"/>
    <w:rsid w:val="5E750C9D"/>
    <w:rsid w:val="5E84084D"/>
    <w:rsid w:val="5EAC1B52"/>
    <w:rsid w:val="5EAC28F8"/>
    <w:rsid w:val="5EAC3900"/>
    <w:rsid w:val="5EB01642"/>
    <w:rsid w:val="5EB915BA"/>
    <w:rsid w:val="5EB96BAB"/>
    <w:rsid w:val="5EC30B8B"/>
    <w:rsid w:val="5ECB647C"/>
    <w:rsid w:val="5EED2869"/>
    <w:rsid w:val="5EF23E04"/>
    <w:rsid w:val="5EFA466C"/>
    <w:rsid w:val="5F0C53C6"/>
    <w:rsid w:val="5F1576F7"/>
    <w:rsid w:val="5F29259D"/>
    <w:rsid w:val="5F473629"/>
    <w:rsid w:val="5F4B3119"/>
    <w:rsid w:val="5F4E49B7"/>
    <w:rsid w:val="5F4E641B"/>
    <w:rsid w:val="5F5A335C"/>
    <w:rsid w:val="5F5C30E6"/>
    <w:rsid w:val="5F5F01D8"/>
    <w:rsid w:val="5F64242D"/>
    <w:rsid w:val="5F6D308F"/>
    <w:rsid w:val="5F6F0DBF"/>
    <w:rsid w:val="5F7408C2"/>
    <w:rsid w:val="5F747CBB"/>
    <w:rsid w:val="5F7D44DA"/>
    <w:rsid w:val="5F881C77"/>
    <w:rsid w:val="5F8C48C8"/>
    <w:rsid w:val="5F9422B9"/>
    <w:rsid w:val="5FA36662"/>
    <w:rsid w:val="5FAA2476"/>
    <w:rsid w:val="5FE5319A"/>
    <w:rsid w:val="5FE5356E"/>
    <w:rsid w:val="5FF85648"/>
    <w:rsid w:val="5FFF19FA"/>
    <w:rsid w:val="60025ECE"/>
    <w:rsid w:val="60161979"/>
    <w:rsid w:val="601A2C54"/>
    <w:rsid w:val="601C30D6"/>
    <w:rsid w:val="601E25EE"/>
    <w:rsid w:val="6026223C"/>
    <w:rsid w:val="602F2A3B"/>
    <w:rsid w:val="602F6597"/>
    <w:rsid w:val="60335705"/>
    <w:rsid w:val="60340051"/>
    <w:rsid w:val="60363DC9"/>
    <w:rsid w:val="6039799E"/>
    <w:rsid w:val="604F4E8B"/>
    <w:rsid w:val="60566D9F"/>
    <w:rsid w:val="60573893"/>
    <w:rsid w:val="606063AF"/>
    <w:rsid w:val="606407EA"/>
    <w:rsid w:val="60651FB9"/>
    <w:rsid w:val="60681AA9"/>
    <w:rsid w:val="607320BB"/>
    <w:rsid w:val="608845BF"/>
    <w:rsid w:val="608F5287"/>
    <w:rsid w:val="60954772"/>
    <w:rsid w:val="60A96349"/>
    <w:rsid w:val="60B306CE"/>
    <w:rsid w:val="60BB1D24"/>
    <w:rsid w:val="60BD1DF5"/>
    <w:rsid w:val="60D56D05"/>
    <w:rsid w:val="60D63EE6"/>
    <w:rsid w:val="60D95974"/>
    <w:rsid w:val="60DD2D37"/>
    <w:rsid w:val="60DF620F"/>
    <w:rsid w:val="60E4332B"/>
    <w:rsid w:val="60E7048E"/>
    <w:rsid w:val="60EE69CE"/>
    <w:rsid w:val="60F7594E"/>
    <w:rsid w:val="60F831EF"/>
    <w:rsid w:val="61001CE1"/>
    <w:rsid w:val="61184007"/>
    <w:rsid w:val="611F7591"/>
    <w:rsid w:val="61284891"/>
    <w:rsid w:val="612B47F8"/>
    <w:rsid w:val="613A01C3"/>
    <w:rsid w:val="6166423A"/>
    <w:rsid w:val="616E30EF"/>
    <w:rsid w:val="61713194"/>
    <w:rsid w:val="61732113"/>
    <w:rsid w:val="619065EC"/>
    <w:rsid w:val="619C4100"/>
    <w:rsid w:val="61A7469D"/>
    <w:rsid w:val="61BB6726"/>
    <w:rsid w:val="61C45941"/>
    <w:rsid w:val="61CB5667"/>
    <w:rsid w:val="61F5046E"/>
    <w:rsid w:val="61FC06FB"/>
    <w:rsid w:val="62031A89"/>
    <w:rsid w:val="620E29D3"/>
    <w:rsid w:val="6221185F"/>
    <w:rsid w:val="622F3D0E"/>
    <w:rsid w:val="624A3A07"/>
    <w:rsid w:val="624B3430"/>
    <w:rsid w:val="626425D0"/>
    <w:rsid w:val="62743CF4"/>
    <w:rsid w:val="62775FD3"/>
    <w:rsid w:val="62840D7A"/>
    <w:rsid w:val="62856567"/>
    <w:rsid w:val="62966DA1"/>
    <w:rsid w:val="629D0130"/>
    <w:rsid w:val="62AF7E63"/>
    <w:rsid w:val="62B56103"/>
    <w:rsid w:val="62C05BCC"/>
    <w:rsid w:val="62D758A1"/>
    <w:rsid w:val="63041883"/>
    <w:rsid w:val="6318461A"/>
    <w:rsid w:val="631B1054"/>
    <w:rsid w:val="633A597E"/>
    <w:rsid w:val="633A6AF4"/>
    <w:rsid w:val="634265E1"/>
    <w:rsid w:val="63497970"/>
    <w:rsid w:val="63506F50"/>
    <w:rsid w:val="6361683D"/>
    <w:rsid w:val="636440F4"/>
    <w:rsid w:val="63690012"/>
    <w:rsid w:val="636B344F"/>
    <w:rsid w:val="637075F2"/>
    <w:rsid w:val="6376714D"/>
    <w:rsid w:val="6381445E"/>
    <w:rsid w:val="638766EA"/>
    <w:rsid w:val="63984453"/>
    <w:rsid w:val="639B207F"/>
    <w:rsid w:val="639F3A33"/>
    <w:rsid w:val="639F57E1"/>
    <w:rsid w:val="63B2403F"/>
    <w:rsid w:val="63B84AF5"/>
    <w:rsid w:val="63B875EE"/>
    <w:rsid w:val="63CE51EF"/>
    <w:rsid w:val="63D06D5A"/>
    <w:rsid w:val="63D97297"/>
    <w:rsid w:val="63DB5405"/>
    <w:rsid w:val="63DE27AE"/>
    <w:rsid w:val="63E71F50"/>
    <w:rsid w:val="6401649C"/>
    <w:rsid w:val="640E2967"/>
    <w:rsid w:val="641B57B0"/>
    <w:rsid w:val="64245C53"/>
    <w:rsid w:val="6435673D"/>
    <w:rsid w:val="643A083F"/>
    <w:rsid w:val="643A33F0"/>
    <w:rsid w:val="6441099E"/>
    <w:rsid w:val="6453469B"/>
    <w:rsid w:val="64583531"/>
    <w:rsid w:val="646B2DDB"/>
    <w:rsid w:val="646D3B32"/>
    <w:rsid w:val="647E2A40"/>
    <w:rsid w:val="64800D38"/>
    <w:rsid w:val="64812965"/>
    <w:rsid w:val="64A66B3B"/>
    <w:rsid w:val="64B10406"/>
    <w:rsid w:val="64B17EC2"/>
    <w:rsid w:val="64B31516"/>
    <w:rsid w:val="64C347E5"/>
    <w:rsid w:val="64CA4AE0"/>
    <w:rsid w:val="64CE2842"/>
    <w:rsid w:val="64E01D20"/>
    <w:rsid w:val="64EC0EFA"/>
    <w:rsid w:val="64F30A07"/>
    <w:rsid w:val="651D6396"/>
    <w:rsid w:val="6535464F"/>
    <w:rsid w:val="654A1FEB"/>
    <w:rsid w:val="655446E6"/>
    <w:rsid w:val="65562338"/>
    <w:rsid w:val="655B40E6"/>
    <w:rsid w:val="655C29B9"/>
    <w:rsid w:val="65717652"/>
    <w:rsid w:val="65737F9E"/>
    <w:rsid w:val="657F58CB"/>
    <w:rsid w:val="65885B0D"/>
    <w:rsid w:val="65904317"/>
    <w:rsid w:val="659A7FFB"/>
    <w:rsid w:val="65A6554D"/>
    <w:rsid w:val="65B75702"/>
    <w:rsid w:val="65B85DC7"/>
    <w:rsid w:val="65CB784E"/>
    <w:rsid w:val="65E805EB"/>
    <w:rsid w:val="65F44057"/>
    <w:rsid w:val="66061B48"/>
    <w:rsid w:val="66152911"/>
    <w:rsid w:val="661E1587"/>
    <w:rsid w:val="662F4DB5"/>
    <w:rsid w:val="6632293D"/>
    <w:rsid w:val="667176D7"/>
    <w:rsid w:val="66770C98"/>
    <w:rsid w:val="6683763C"/>
    <w:rsid w:val="6686712D"/>
    <w:rsid w:val="6692787F"/>
    <w:rsid w:val="66A31A8D"/>
    <w:rsid w:val="66A56021"/>
    <w:rsid w:val="66AF3F8D"/>
    <w:rsid w:val="66BC45A4"/>
    <w:rsid w:val="66CF1A78"/>
    <w:rsid w:val="66ED0F5A"/>
    <w:rsid w:val="66FB0CD8"/>
    <w:rsid w:val="67001E82"/>
    <w:rsid w:val="67024DAC"/>
    <w:rsid w:val="67064D50"/>
    <w:rsid w:val="670C13E0"/>
    <w:rsid w:val="672C768A"/>
    <w:rsid w:val="67314CAC"/>
    <w:rsid w:val="673426E5"/>
    <w:rsid w:val="674737DC"/>
    <w:rsid w:val="67514779"/>
    <w:rsid w:val="6764746E"/>
    <w:rsid w:val="67692442"/>
    <w:rsid w:val="67743BB7"/>
    <w:rsid w:val="67760BCD"/>
    <w:rsid w:val="677671A1"/>
    <w:rsid w:val="677F48EC"/>
    <w:rsid w:val="67847F12"/>
    <w:rsid w:val="67864251"/>
    <w:rsid w:val="679553C9"/>
    <w:rsid w:val="67991C6E"/>
    <w:rsid w:val="67B33F51"/>
    <w:rsid w:val="67E81E4D"/>
    <w:rsid w:val="67EE4F89"/>
    <w:rsid w:val="67EF299C"/>
    <w:rsid w:val="67FB0669"/>
    <w:rsid w:val="67FD51CC"/>
    <w:rsid w:val="68065D7D"/>
    <w:rsid w:val="680B5B3B"/>
    <w:rsid w:val="680C72EE"/>
    <w:rsid w:val="681017F4"/>
    <w:rsid w:val="68126ECA"/>
    <w:rsid w:val="681C5653"/>
    <w:rsid w:val="6829768C"/>
    <w:rsid w:val="68444BA9"/>
    <w:rsid w:val="684D6E28"/>
    <w:rsid w:val="68581BB4"/>
    <w:rsid w:val="686B315F"/>
    <w:rsid w:val="68776D2D"/>
    <w:rsid w:val="68780948"/>
    <w:rsid w:val="68815DFE"/>
    <w:rsid w:val="688716A3"/>
    <w:rsid w:val="688B27D8"/>
    <w:rsid w:val="689B1AB8"/>
    <w:rsid w:val="68A45C0E"/>
    <w:rsid w:val="68A55712"/>
    <w:rsid w:val="68B166E3"/>
    <w:rsid w:val="68C74CFE"/>
    <w:rsid w:val="68DA551E"/>
    <w:rsid w:val="68E550C3"/>
    <w:rsid w:val="68F57B88"/>
    <w:rsid w:val="68F71C1C"/>
    <w:rsid w:val="69000A2F"/>
    <w:rsid w:val="69054339"/>
    <w:rsid w:val="690F605C"/>
    <w:rsid w:val="69124CA8"/>
    <w:rsid w:val="69143AB3"/>
    <w:rsid w:val="69164798"/>
    <w:rsid w:val="692769A5"/>
    <w:rsid w:val="69277AD1"/>
    <w:rsid w:val="69287639"/>
    <w:rsid w:val="692E1D7E"/>
    <w:rsid w:val="69305B3D"/>
    <w:rsid w:val="69500D77"/>
    <w:rsid w:val="6952502B"/>
    <w:rsid w:val="695C0D52"/>
    <w:rsid w:val="695C1052"/>
    <w:rsid w:val="69630DB6"/>
    <w:rsid w:val="696D0B5D"/>
    <w:rsid w:val="69747710"/>
    <w:rsid w:val="69765236"/>
    <w:rsid w:val="697A5BAD"/>
    <w:rsid w:val="698652CC"/>
    <w:rsid w:val="69875FB7"/>
    <w:rsid w:val="698A2A90"/>
    <w:rsid w:val="699562F4"/>
    <w:rsid w:val="69990F25"/>
    <w:rsid w:val="69A202BC"/>
    <w:rsid w:val="69A753F0"/>
    <w:rsid w:val="69B83AA1"/>
    <w:rsid w:val="69BE4592"/>
    <w:rsid w:val="69C942CE"/>
    <w:rsid w:val="69F50851"/>
    <w:rsid w:val="69F76F9A"/>
    <w:rsid w:val="6A0042F5"/>
    <w:rsid w:val="6A042842"/>
    <w:rsid w:val="6A070843"/>
    <w:rsid w:val="6A152CA1"/>
    <w:rsid w:val="6A211A11"/>
    <w:rsid w:val="6A2164AA"/>
    <w:rsid w:val="6A2C4AA3"/>
    <w:rsid w:val="6A367106"/>
    <w:rsid w:val="6A42336B"/>
    <w:rsid w:val="6A62713F"/>
    <w:rsid w:val="6A6B0B13"/>
    <w:rsid w:val="6A6C66BD"/>
    <w:rsid w:val="6A707ED8"/>
    <w:rsid w:val="6A71544C"/>
    <w:rsid w:val="6A813E93"/>
    <w:rsid w:val="6A885341"/>
    <w:rsid w:val="6AA22760"/>
    <w:rsid w:val="6AA313D0"/>
    <w:rsid w:val="6AA87BD1"/>
    <w:rsid w:val="6AAB0F10"/>
    <w:rsid w:val="6AB06526"/>
    <w:rsid w:val="6ABB3747"/>
    <w:rsid w:val="6AC74B6D"/>
    <w:rsid w:val="6ACB27CD"/>
    <w:rsid w:val="6ADC556D"/>
    <w:rsid w:val="6AFB4F65"/>
    <w:rsid w:val="6AFD6181"/>
    <w:rsid w:val="6AFE0B89"/>
    <w:rsid w:val="6B167191"/>
    <w:rsid w:val="6B2741E1"/>
    <w:rsid w:val="6B2D5DC9"/>
    <w:rsid w:val="6B2F490A"/>
    <w:rsid w:val="6B2F6303"/>
    <w:rsid w:val="6B5174F2"/>
    <w:rsid w:val="6B596BBE"/>
    <w:rsid w:val="6B631F73"/>
    <w:rsid w:val="6B690118"/>
    <w:rsid w:val="6B721B64"/>
    <w:rsid w:val="6B7E2492"/>
    <w:rsid w:val="6B820D19"/>
    <w:rsid w:val="6BAE4E87"/>
    <w:rsid w:val="6BB34BB1"/>
    <w:rsid w:val="6BB4692C"/>
    <w:rsid w:val="6BB65DBE"/>
    <w:rsid w:val="6BC26055"/>
    <w:rsid w:val="6BCD7C89"/>
    <w:rsid w:val="6BD111A8"/>
    <w:rsid w:val="6BD3071E"/>
    <w:rsid w:val="6C054650"/>
    <w:rsid w:val="6C0905E4"/>
    <w:rsid w:val="6C1B45C4"/>
    <w:rsid w:val="6C1C1795"/>
    <w:rsid w:val="6C296E86"/>
    <w:rsid w:val="6C2C7E2E"/>
    <w:rsid w:val="6C340441"/>
    <w:rsid w:val="6C412155"/>
    <w:rsid w:val="6C412D3D"/>
    <w:rsid w:val="6C496C32"/>
    <w:rsid w:val="6C561E1C"/>
    <w:rsid w:val="6C6D0B73"/>
    <w:rsid w:val="6C6D1E3E"/>
    <w:rsid w:val="6C703274"/>
    <w:rsid w:val="6C803E37"/>
    <w:rsid w:val="6C885039"/>
    <w:rsid w:val="6CA35BF5"/>
    <w:rsid w:val="6CA537FA"/>
    <w:rsid w:val="6CC12C2C"/>
    <w:rsid w:val="6CC14D9F"/>
    <w:rsid w:val="6CC30793"/>
    <w:rsid w:val="6CD2167A"/>
    <w:rsid w:val="6CD81D64"/>
    <w:rsid w:val="6CE93F71"/>
    <w:rsid w:val="6D014896"/>
    <w:rsid w:val="6D091D06"/>
    <w:rsid w:val="6D1F6511"/>
    <w:rsid w:val="6D1F6C74"/>
    <w:rsid w:val="6D226CED"/>
    <w:rsid w:val="6D2A0812"/>
    <w:rsid w:val="6D415B5B"/>
    <w:rsid w:val="6D5C4743"/>
    <w:rsid w:val="6D5C531B"/>
    <w:rsid w:val="6D647B33"/>
    <w:rsid w:val="6D6601E7"/>
    <w:rsid w:val="6D6A7C2B"/>
    <w:rsid w:val="6D7617FF"/>
    <w:rsid w:val="6D7E4409"/>
    <w:rsid w:val="6DA02882"/>
    <w:rsid w:val="6DAE1443"/>
    <w:rsid w:val="6DB80DE8"/>
    <w:rsid w:val="6DBE41B3"/>
    <w:rsid w:val="6DC7622C"/>
    <w:rsid w:val="6DD15131"/>
    <w:rsid w:val="6DEE0E0A"/>
    <w:rsid w:val="6DFF6A7F"/>
    <w:rsid w:val="6E0252EB"/>
    <w:rsid w:val="6E0539CA"/>
    <w:rsid w:val="6E056B79"/>
    <w:rsid w:val="6E0E0D58"/>
    <w:rsid w:val="6E0E5A3E"/>
    <w:rsid w:val="6E1030B4"/>
    <w:rsid w:val="6E104395"/>
    <w:rsid w:val="6E264F3A"/>
    <w:rsid w:val="6E2A4841"/>
    <w:rsid w:val="6E3322F3"/>
    <w:rsid w:val="6E496F01"/>
    <w:rsid w:val="6E5D69C5"/>
    <w:rsid w:val="6E6C6C08"/>
    <w:rsid w:val="6E70494A"/>
    <w:rsid w:val="6E813FCE"/>
    <w:rsid w:val="6E910DCA"/>
    <w:rsid w:val="6E9D3265"/>
    <w:rsid w:val="6E9D5013"/>
    <w:rsid w:val="6E9F5D73"/>
    <w:rsid w:val="6EA52E3A"/>
    <w:rsid w:val="6EA63EC8"/>
    <w:rsid w:val="6EB75C56"/>
    <w:rsid w:val="6EBC7B8F"/>
    <w:rsid w:val="6EBF30CA"/>
    <w:rsid w:val="6EC44FEF"/>
    <w:rsid w:val="6EC81378"/>
    <w:rsid w:val="6ED749C9"/>
    <w:rsid w:val="6EEE3AC1"/>
    <w:rsid w:val="6EF30081"/>
    <w:rsid w:val="6EFC1923"/>
    <w:rsid w:val="6EFF182A"/>
    <w:rsid w:val="6F0C1668"/>
    <w:rsid w:val="6F144E56"/>
    <w:rsid w:val="6F26325B"/>
    <w:rsid w:val="6F330183"/>
    <w:rsid w:val="6F3C2A7E"/>
    <w:rsid w:val="6F647735"/>
    <w:rsid w:val="6F651FD5"/>
    <w:rsid w:val="6F8C57B4"/>
    <w:rsid w:val="6F9D602C"/>
    <w:rsid w:val="6FA47F4A"/>
    <w:rsid w:val="6FB35C1F"/>
    <w:rsid w:val="6FBE7937"/>
    <w:rsid w:val="6FBF4D77"/>
    <w:rsid w:val="6FC40601"/>
    <w:rsid w:val="6FC95185"/>
    <w:rsid w:val="6FCA62DC"/>
    <w:rsid w:val="6FD6590D"/>
    <w:rsid w:val="6FF3138F"/>
    <w:rsid w:val="6FFA573D"/>
    <w:rsid w:val="6FFD2050"/>
    <w:rsid w:val="6FFD220E"/>
    <w:rsid w:val="70021F43"/>
    <w:rsid w:val="700659FC"/>
    <w:rsid w:val="7012558D"/>
    <w:rsid w:val="70365B5E"/>
    <w:rsid w:val="704020FA"/>
    <w:rsid w:val="704E1C68"/>
    <w:rsid w:val="70553766"/>
    <w:rsid w:val="70836408"/>
    <w:rsid w:val="70B312E0"/>
    <w:rsid w:val="70B812AB"/>
    <w:rsid w:val="70B92CE2"/>
    <w:rsid w:val="70C64139"/>
    <w:rsid w:val="70CB5B52"/>
    <w:rsid w:val="70CB5E68"/>
    <w:rsid w:val="70CD09CE"/>
    <w:rsid w:val="70E069E7"/>
    <w:rsid w:val="70E62CA2"/>
    <w:rsid w:val="710B2708"/>
    <w:rsid w:val="712D08D1"/>
    <w:rsid w:val="71300A15"/>
    <w:rsid w:val="71306613"/>
    <w:rsid w:val="713401DC"/>
    <w:rsid w:val="7141612A"/>
    <w:rsid w:val="71461992"/>
    <w:rsid w:val="715E368C"/>
    <w:rsid w:val="715F2808"/>
    <w:rsid w:val="716465CF"/>
    <w:rsid w:val="71701CB6"/>
    <w:rsid w:val="71813B02"/>
    <w:rsid w:val="71956476"/>
    <w:rsid w:val="71A566B9"/>
    <w:rsid w:val="71AB7A47"/>
    <w:rsid w:val="71AF7537"/>
    <w:rsid w:val="71BD0EC0"/>
    <w:rsid w:val="71C240B4"/>
    <w:rsid w:val="71D945B4"/>
    <w:rsid w:val="71E16A3E"/>
    <w:rsid w:val="71ED1E0E"/>
    <w:rsid w:val="71ED57A2"/>
    <w:rsid w:val="7202486F"/>
    <w:rsid w:val="722577FA"/>
    <w:rsid w:val="722C2936"/>
    <w:rsid w:val="723A5602"/>
    <w:rsid w:val="723B526F"/>
    <w:rsid w:val="72457E9C"/>
    <w:rsid w:val="724A3666"/>
    <w:rsid w:val="724F0D1A"/>
    <w:rsid w:val="724F2866"/>
    <w:rsid w:val="724F4877"/>
    <w:rsid w:val="72565C05"/>
    <w:rsid w:val="726A16B0"/>
    <w:rsid w:val="72750781"/>
    <w:rsid w:val="72771F9F"/>
    <w:rsid w:val="72783C6C"/>
    <w:rsid w:val="72964C89"/>
    <w:rsid w:val="72AB6AE0"/>
    <w:rsid w:val="72B050A2"/>
    <w:rsid w:val="72C40DC1"/>
    <w:rsid w:val="72D26016"/>
    <w:rsid w:val="72D858C1"/>
    <w:rsid w:val="72DD666F"/>
    <w:rsid w:val="72F2392E"/>
    <w:rsid w:val="72F77BEF"/>
    <w:rsid w:val="72FF7B02"/>
    <w:rsid w:val="730B4C41"/>
    <w:rsid w:val="730E2340"/>
    <w:rsid w:val="73192E66"/>
    <w:rsid w:val="732D7EF5"/>
    <w:rsid w:val="73411315"/>
    <w:rsid w:val="73465C7A"/>
    <w:rsid w:val="734C0DB6"/>
    <w:rsid w:val="734F24FC"/>
    <w:rsid w:val="73532145"/>
    <w:rsid w:val="735C2E4B"/>
    <w:rsid w:val="737907EB"/>
    <w:rsid w:val="738549F4"/>
    <w:rsid w:val="738B18DE"/>
    <w:rsid w:val="73993FFB"/>
    <w:rsid w:val="73A40BF2"/>
    <w:rsid w:val="73AA445A"/>
    <w:rsid w:val="73AB0669"/>
    <w:rsid w:val="73AF7856"/>
    <w:rsid w:val="73C03C7E"/>
    <w:rsid w:val="73C90A9B"/>
    <w:rsid w:val="73DC7820"/>
    <w:rsid w:val="73EA0CFB"/>
    <w:rsid w:val="73F27AF3"/>
    <w:rsid w:val="741663D7"/>
    <w:rsid w:val="743106D8"/>
    <w:rsid w:val="743E1C88"/>
    <w:rsid w:val="743E56AC"/>
    <w:rsid w:val="745148D6"/>
    <w:rsid w:val="74560DC5"/>
    <w:rsid w:val="74591B65"/>
    <w:rsid w:val="746552FB"/>
    <w:rsid w:val="746D7236"/>
    <w:rsid w:val="74741C6B"/>
    <w:rsid w:val="747F58E7"/>
    <w:rsid w:val="74856C75"/>
    <w:rsid w:val="74871362"/>
    <w:rsid w:val="748F6378"/>
    <w:rsid w:val="749363BE"/>
    <w:rsid w:val="7499002B"/>
    <w:rsid w:val="74A4534E"/>
    <w:rsid w:val="74A840B7"/>
    <w:rsid w:val="74B03CF2"/>
    <w:rsid w:val="74BD79CC"/>
    <w:rsid w:val="74C163BC"/>
    <w:rsid w:val="74CA2DB3"/>
    <w:rsid w:val="74DB6E01"/>
    <w:rsid w:val="74E474F8"/>
    <w:rsid w:val="74E76FE8"/>
    <w:rsid w:val="74EB6AD9"/>
    <w:rsid w:val="74EF75AF"/>
    <w:rsid w:val="74F241A9"/>
    <w:rsid w:val="7500666B"/>
    <w:rsid w:val="75072A7D"/>
    <w:rsid w:val="7516167C"/>
    <w:rsid w:val="751E3455"/>
    <w:rsid w:val="75247457"/>
    <w:rsid w:val="75322959"/>
    <w:rsid w:val="75342884"/>
    <w:rsid w:val="75376BC6"/>
    <w:rsid w:val="753E6BB5"/>
    <w:rsid w:val="75476CC6"/>
    <w:rsid w:val="75530B22"/>
    <w:rsid w:val="75700620"/>
    <w:rsid w:val="757840E4"/>
    <w:rsid w:val="75835778"/>
    <w:rsid w:val="75891890"/>
    <w:rsid w:val="758B3E18"/>
    <w:rsid w:val="758E5BD6"/>
    <w:rsid w:val="75994786"/>
    <w:rsid w:val="759E6526"/>
    <w:rsid w:val="75B01AD0"/>
    <w:rsid w:val="75B84ADD"/>
    <w:rsid w:val="75CB24B4"/>
    <w:rsid w:val="75CF01A8"/>
    <w:rsid w:val="75D54A40"/>
    <w:rsid w:val="75E4177A"/>
    <w:rsid w:val="76061509"/>
    <w:rsid w:val="761738FD"/>
    <w:rsid w:val="76261D92"/>
    <w:rsid w:val="763B62F9"/>
    <w:rsid w:val="764D08A4"/>
    <w:rsid w:val="764F12A7"/>
    <w:rsid w:val="766D79C1"/>
    <w:rsid w:val="767E7DFB"/>
    <w:rsid w:val="76861A5E"/>
    <w:rsid w:val="768A40CF"/>
    <w:rsid w:val="769F0934"/>
    <w:rsid w:val="76A33AA3"/>
    <w:rsid w:val="76A8406F"/>
    <w:rsid w:val="76C37B50"/>
    <w:rsid w:val="76C90347"/>
    <w:rsid w:val="76C97CF9"/>
    <w:rsid w:val="76DD06A3"/>
    <w:rsid w:val="76DE616F"/>
    <w:rsid w:val="76E934EC"/>
    <w:rsid w:val="76F20812"/>
    <w:rsid w:val="77040325"/>
    <w:rsid w:val="7726029C"/>
    <w:rsid w:val="77304C77"/>
    <w:rsid w:val="7731279D"/>
    <w:rsid w:val="773C7ABF"/>
    <w:rsid w:val="774B472E"/>
    <w:rsid w:val="775C13BB"/>
    <w:rsid w:val="77644920"/>
    <w:rsid w:val="7770246A"/>
    <w:rsid w:val="777F7F72"/>
    <w:rsid w:val="77822FF8"/>
    <w:rsid w:val="77843BC2"/>
    <w:rsid w:val="779B2966"/>
    <w:rsid w:val="77A01E88"/>
    <w:rsid w:val="77B3120C"/>
    <w:rsid w:val="77BB3AE4"/>
    <w:rsid w:val="77BD2F6B"/>
    <w:rsid w:val="77C05AA3"/>
    <w:rsid w:val="77C646D6"/>
    <w:rsid w:val="77CB499F"/>
    <w:rsid w:val="77DD1FA8"/>
    <w:rsid w:val="77E51BF1"/>
    <w:rsid w:val="77E76882"/>
    <w:rsid w:val="77E93077"/>
    <w:rsid w:val="77F52CFA"/>
    <w:rsid w:val="77FA7697"/>
    <w:rsid w:val="781C169F"/>
    <w:rsid w:val="78656BA2"/>
    <w:rsid w:val="786716C2"/>
    <w:rsid w:val="786848E4"/>
    <w:rsid w:val="78686692"/>
    <w:rsid w:val="786D3B04"/>
    <w:rsid w:val="78725B2C"/>
    <w:rsid w:val="7883171E"/>
    <w:rsid w:val="788415B7"/>
    <w:rsid w:val="78964FAD"/>
    <w:rsid w:val="789C633C"/>
    <w:rsid w:val="78A9314B"/>
    <w:rsid w:val="78B657E9"/>
    <w:rsid w:val="78B673FD"/>
    <w:rsid w:val="78C57641"/>
    <w:rsid w:val="78CB1796"/>
    <w:rsid w:val="78CD67FB"/>
    <w:rsid w:val="78D45AD6"/>
    <w:rsid w:val="78D75840"/>
    <w:rsid w:val="78DE0702"/>
    <w:rsid w:val="78E11678"/>
    <w:rsid w:val="78E95EAE"/>
    <w:rsid w:val="78EC53D5"/>
    <w:rsid w:val="78EE303B"/>
    <w:rsid w:val="78EE6B97"/>
    <w:rsid w:val="790A14F7"/>
    <w:rsid w:val="790A6F7D"/>
    <w:rsid w:val="79102B4C"/>
    <w:rsid w:val="79185AE4"/>
    <w:rsid w:val="79191BBC"/>
    <w:rsid w:val="7919798C"/>
    <w:rsid w:val="791B1956"/>
    <w:rsid w:val="791F31F5"/>
    <w:rsid w:val="79240B36"/>
    <w:rsid w:val="792C1504"/>
    <w:rsid w:val="792D3C63"/>
    <w:rsid w:val="792F6877"/>
    <w:rsid w:val="793D4DEA"/>
    <w:rsid w:val="79435153"/>
    <w:rsid w:val="79535359"/>
    <w:rsid w:val="795641DE"/>
    <w:rsid w:val="795C61F7"/>
    <w:rsid w:val="795E4334"/>
    <w:rsid w:val="796A3A14"/>
    <w:rsid w:val="796E5F2A"/>
    <w:rsid w:val="79722304"/>
    <w:rsid w:val="79751067"/>
    <w:rsid w:val="797572B9"/>
    <w:rsid w:val="79AB4A88"/>
    <w:rsid w:val="79B55907"/>
    <w:rsid w:val="79B86AC2"/>
    <w:rsid w:val="79BA1D94"/>
    <w:rsid w:val="79D12015"/>
    <w:rsid w:val="79E16ED7"/>
    <w:rsid w:val="79E61F64"/>
    <w:rsid w:val="79F506FB"/>
    <w:rsid w:val="7A126138"/>
    <w:rsid w:val="7A1717BB"/>
    <w:rsid w:val="7A1C14E2"/>
    <w:rsid w:val="7A1C4144"/>
    <w:rsid w:val="7A4322F8"/>
    <w:rsid w:val="7A6C06BC"/>
    <w:rsid w:val="7A94551C"/>
    <w:rsid w:val="7A9509DA"/>
    <w:rsid w:val="7AA80FC8"/>
    <w:rsid w:val="7AAF67FA"/>
    <w:rsid w:val="7ABE7A00"/>
    <w:rsid w:val="7AC2652D"/>
    <w:rsid w:val="7AC438D9"/>
    <w:rsid w:val="7ACB23B7"/>
    <w:rsid w:val="7AD00401"/>
    <w:rsid w:val="7AD22270"/>
    <w:rsid w:val="7ADD00EE"/>
    <w:rsid w:val="7AE60252"/>
    <w:rsid w:val="7AF44F42"/>
    <w:rsid w:val="7B031D9A"/>
    <w:rsid w:val="7B046B46"/>
    <w:rsid w:val="7B04779B"/>
    <w:rsid w:val="7B0F54EB"/>
    <w:rsid w:val="7B113011"/>
    <w:rsid w:val="7B1227F8"/>
    <w:rsid w:val="7B1472DC"/>
    <w:rsid w:val="7B2157BD"/>
    <w:rsid w:val="7B531EA8"/>
    <w:rsid w:val="7B566314"/>
    <w:rsid w:val="7B5E3EEB"/>
    <w:rsid w:val="7B6249F8"/>
    <w:rsid w:val="7B7315D6"/>
    <w:rsid w:val="7B7A36AA"/>
    <w:rsid w:val="7B825CBD"/>
    <w:rsid w:val="7B8C6B3B"/>
    <w:rsid w:val="7B9661CA"/>
    <w:rsid w:val="7B9B2881"/>
    <w:rsid w:val="7BA479E1"/>
    <w:rsid w:val="7BAE439A"/>
    <w:rsid w:val="7BC47D14"/>
    <w:rsid w:val="7BCE1B90"/>
    <w:rsid w:val="7BD010FF"/>
    <w:rsid w:val="7BD10E19"/>
    <w:rsid w:val="7BE90326"/>
    <w:rsid w:val="7BFF10BB"/>
    <w:rsid w:val="7C021AE6"/>
    <w:rsid w:val="7C093CE8"/>
    <w:rsid w:val="7C190986"/>
    <w:rsid w:val="7C1D3ADC"/>
    <w:rsid w:val="7C1F350C"/>
    <w:rsid w:val="7C2372CA"/>
    <w:rsid w:val="7C3109D7"/>
    <w:rsid w:val="7C376AA7"/>
    <w:rsid w:val="7C4116D4"/>
    <w:rsid w:val="7C4371FA"/>
    <w:rsid w:val="7C5755CE"/>
    <w:rsid w:val="7C5C3558"/>
    <w:rsid w:val="7C635AEE"/>
    <w:rsid w:val="7C672B66"/>
    <w:rsid w:val="7C6B6751"/>
    <w:rsid w:val="7C736E3D"/>
    <w:rsid w:val="7C833A9B"/>
    <w:rsid w:val="7C8B0BA1"/>
    <w:rsid w:val="7C9061B7"/>
    <w:rsid w:val="7C945CA8"/>
    <w:rsid w:val="7C9537CE"/>
    <w:rsid w:val="7C987ACC"/>
    <w:rsid w:val="7CA928B5"/>
    <w:rsid w:val="7CC11FFB"/>
    <w:rsid w:val="7CCF4F32"/>
    <w:rsid w:val="7CD12A58"/>
    <w:rsid w:val="7CF25824"/>
    <w:rsid w:val="7CF33EA9"/>
    <w:rsid w:val="7CF60F14"/>
    <w:rsid w:val="7D0E461B"/>
    <w:rsid w:val="7D1312C2"/>
    <w:rsid w:val="7D146DE8"/>
    <w:rsid w:val="7D147FD3"/>
    <w:rsid w:val="7D1868D9"/>
    <w:rsid w:val="7D197F5B"/>
    <w:rsid w:val="7D2A660C"/>
    <w:rsid w:val="7D2F20BB"/>
    <w:rsid w:val="7D2F777E"/>
    <w:rsid w:val="7D4A4C8E"/>
    <w:rsid w:val="7D52346D"/>
    <w:rsid w:val="7D624BF2"/>
    <w:rsid w:val="7D794B33"/>
    <w:rsid w:val="7D80594D"/>
    <w:rsid w:val="7D8772AF"/>
    <w:rsid w:val="7D8B45B0"/>
    <w:rsid w:val="7D8F217E"/>
    <w:rsid w:val="7D950C85"/>
    <w:rsid w:val="7D9A6CF6"/>
    <w:rsid w:val="7D9E63EA"/>
    <w:rsid w:val="7D9F5D43"/>
    <w:rsid w:val="7DA168CE"/>
    <w:rsid w:val="7DB639FC"/>
    <w:rsid w:val="7DBB0105"/>
    <w:rsid w:val="7DBB6EE5"/>
    <w:rsid w:val="7DC15C5C"/>
    <w:rsid w:val="7DCC0C12"/>
    <w:rsid w:val="7DCE343B"/>
    <w:rsid w:val="7DD46260"/>
    <w:rsid w:val="7DDC75A2"/>
    <w:rsid w:val="7DDF11A4"/>
    <w:rsid w:val="7DEB18F7"/>
    <w:rsid w:val="7DEE638C"/>
    <w:rsid w:val="7DF04914"/>
    <w:rsid w:val="7DF82266"/>
    <w:rsid w:val="7DFA7F06"/>
    <w:rsid w:val="7DFE21EB"/>
    <w:rsid w:val="7E09686E"/>
    <w:rsid w:val="7E0B68A6"/>
    <w:rsid w:val="7E0E55E6"/>
    <w:rsid w:val="7E402F77"/>
    <w:rsid w:val="7E6A3164"/>
    <w:rsid w:val="7E7A0ECD"/>
    <w:rsid w:val="7E7F0292"/>
    <w:rsid w:val="7E8051DC"/>
    <w:rsid w:val="7E8104AE"/>
    <w:rsid w:val="7E9D3653"/>
    <w:rsid w:val="7EAD6933"/>
    <w:rsid w:val="7EB4618D"/>
    <w:rsid w:val="7ED95BF4"/>
    <w:rsid w:val="7F032C71"/>
    <w:rsid w:val="7F054C3B"/>
    <w:rsid w:val="7F2A46F7"/>
    <w:rsid w:val="7F376DBE"/>
    <w:rsid w:val="7F5D4A77"/>
    <w:rsid w:val="7F5D4C05"/>
    <w:rsid w:val="7F6B2854"/>
    <w:rsid w:val="7F6D1951"/>
    <w:rsid w:val="7F6D1DE4"/>
    <w:rsid w:val="7F736048"/>
    <w:rsid w:val="7F761D2F"/>
    <w:rsid w:val="7F7B314F"/>
    <w:rsid w:val="7F8151D5"/>
    <w:rsid w:val="7F851FDA"/>
    <w:rsid w:val="7F987E78"/>
    <w:rsid w:val="7FB64187"/>
    <w:rsid w:val="7FC237CA"/>
    <w:rsid w:val="7FCA6AE1"/>
    <w:rsid w:val="7FD60385"/>
    <w:rsid w:val="7FD9339F"/>
    <w:rsid w:val="7FDE50A4"/>
    <w:rsid w:val="7FE43060"/>
    <w:rsid w:val="7FF151BF"/>
    <w:rsid w:val="7FF32CE5"/>
    <w:rsid w:val="7FFC7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0"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0"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0"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0"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0"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0"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8"/>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125"/>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link w:val="52"/>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7">
    <w:name w:val="heading 3"/>
    <w:basedOn w:val="1"/>
    <w:next w:val="1"/>
    <w:link w:val="58"/>
    <w:unhideWhenUsed/>
    <w:qFormat/>
    <w:uiPriority w:val="0"/>
    <w:pPr>
      <w:keepNext/>
      <w:keepLines/>
      <w:spacing w:before="260" w:beforeLines="0" w:beforeAutospacing="0" w:after="260" w:afterLines="0" w:afterAutospacing="0" w:line="413" w:lineRule="auto"/>
      <w:outlineLvl w:val="2"/>
    </w:pPr>
    <w:rPr>
      <w:b/>
      <w:sz w:val="32"/>
    </w:rPr>
  </w:style>
  <w:style w:type="paragraph" w:styleId="8">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9">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46">
    <w:name w:val="Default Paragraph Font"/>
    <w:semiHidden/>
    <w:qFormat/>
    <w:uiPriority w:val="0"/>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customStyle="1" w:styleId="2">
    <w:name w:val="1"/>
    <w:basedOn w:val="3"/>
    <w:next w:val="4"/>
    <w:qFormat/>
    <w:uiPriority w:val="0"/>
    <w:pPr>
      <w:tabs>
        <w:tab w:val="right" w:leader="dot" w:pos="9065"/>
      </w:tabs>
      <w:adjustRightInd w:val="0"/>
      <w:snapToGrid w:val="0"/>
      <w:spacing w:line="500" w:lineRule="atLeast"/>
      <w:ind w:firstLine="560" w:firstLineChars="200"/>
    </w:pPr>
    <w:rPr>
      <w:sz w:val="28"/>
    </w:rPr>
  </w:style>
  <w:style w:type="paragraph" w:styleId="3">
    <w:name w:val="toc 1"/>
    <w:basedOn w:val="1"/>
    <w:next w:val="1"/>
    <w:qFormat/>
    <w:uiPriority w:val="0"/>
  </w:style>
  <w:style w:type="paragraph" w:styleId="4">
    <w:name w:val="Body Text 2"/>
    <w:basedOn w:val="1"/>
    <w:qFormat/>
    <w:uiPriority w:val="0"/>
    <w:pPr>
      <w:spacing w:after="120" w:afterLines="0" w:afterAutospacing="0" w:line="480" w:lineRule="auto"/>
    </w:pPr>
  </w:style>
  <w:style w:type="paragraph" w:styleId="10">
    <w:name w:val="toc 7"/>
    <w:basedOn w:val="1"/>
    <w:next w:val="1"/>
    <w:qFormat/>
    <w:uiPriority w:val="0"/>
    <w:pPr>
      <w:ind w:left="2520" w:leftChars="1200"/>
    </w:pPr>
  </w:style>
  <w:style w:type="paragraph" w:styleId="11">
    <w:name w:val="Normal Indent"/>
    <w:basedOn w:val="1"/>
    <w:next w:val="1"/>
    <w:qFormat/>
    <w:uiPriority w:val="0"/>
    <w:pPr>
      <w:ind w:firstLine="420" w:firstLineChars="200"/>
    </w:pPr>
  </w:style>
  <w:style w:type="paragraph" w:styleId="12">
    <w:name w:val="toa heading"/>
    <w:basedOn w:val="1"/>
    <w:next w:val="1"/>
    <w:qFormat/>
    <w:uiPriority w:val="0"/>
    <w:pPr>
      <w:spacing w:before="120" w:beforeLines="0" w:beforeAutospacing="0"/>
    </w:pPr>
    <w:rPr>
      <w:rFonts w:ascii="Arial" w:hAnsi="Arial"/>
      <w:sz w:val="24"/>
    </w:rPr>
  </w:style>
  <w:style w:type="paragraph" w:styleId="13">
    <w:name w:val="annotation text"/>
    <w:basedOn w:val="1"/>
    <w:link w:val="79"/>
    <w:qFormat/>
    <w:uiPriority w:val="0"/>
    <w:pPr>
      <w:jc w:val="left"/>
    </w:pPr>
  </w:style>
  <w:style w:type="paragraph" w:styleId="14">
    <w:name w:val="Body Text"/>
    <w:basedOn w:val="1"/>
    <w:link w:val="66"/>
    <w:qFormat/>
    <w:uiPriority w:val="0"/>
    <w:pPr>
      <w:spacing w:after="120" w:afterLines="0" w:afterAutospacing="0"/>
    </w:pPr>
  </w:style>
  <w:style w:type="paragraph" w:styleId="15">
    <w:name w:val="Body Text Indent"/>
    <w:basedOn w:val="1"/>
    <w:link w:val="84"/>
    <w:qFormat/>
    <w:uiPriority w:val="0"/>
    <w:pPr>
      <w:spacing w:after="120" w:afterLines="0" w:afterAutospacing="0"/>
      <w:ind w:left="420" w:leftChars="200"/>
    </w:pPr>
  </w:style>
  <w:style w:type="paragraph" w:styleId="16">
    <w:name w:val="toc 5"/>
    <w:basedOn w:val="1"/>
    <w:next w:val="1"/>
    <w:qFormat/>
    <w:uiPriority w:val="0"/>
    <w:pPr>
      <w:ind w:left="1680" w:leftChars="800"/>
    </w:pPr>
  </w:style>
  <w:style w:type="paragraph" w:styleId="17">
    <w:name w:val="toc 3"/>
    <w:basedOn w:val="1"/>
    <w:next w:val="1"/>
    <w:qFormat/>
    <w:uiPriority w:val="0"/>
    <w:pPr>
      <w:ind w:left="840" w:leftChars="400"/>
    </w:pPr>
  </w:style>
  <w:style w:type="paragraph" w:styleId="18">
    <w:name w:val="Plain Text"/>
    <w:basedOn w:val="1"/>
    <w:next w:val="1"/>
    <w:link w:val="78"/>
    <w:qFormat/>
    <w:uiPriority w:val="0"/>
    <w:rPr>
      <w:rFonts w:ascii="宋体" w:hAnsi="Courier New"/>
    </w:rPr>
  </w:style>
  <w:style w:type="paragraph" w:styleId="19">
    <w:name w:val="toc 8"/>
    <w:basedOn w:val="1"/>
    <w:next w:val="1"/>
    <w:qFormat/>
    <w:uiPriority w:val="0"/>
    <w:pPr>
      <w:ind w:left="2940" w:leftChars="1400"/>
    </w:pPr>
  </w:style>
  <w:style w:type="paragraph" w:styleId="20">
    <w:name w:val="Date"/>
    <w:basedOn w:val="1"/>
    <w:next w:val="1"/>
    <w:link w:val="62"/>
    <w:qFormat/>
    <w:uiPriority w:val="0"/>
    <w:pPr>
      <w:ind w:left="100" w:leftChars="2500"/>
    </w:pPr>
  </w:style>
  <w:style w:type="paragraph" w:styleId="21">
    <w:name w:val="Body Text Indent 2"/>
    <w:basedOn w:val="1"/>
    <w:link w:val="85"/>
    <w:qFormat/>
    <w:uiPriority w:val="0"/>
    <w:pPr>
      <w:spacing w:after="120" w:afterLines="0" w:afterAutospacing="0" w:line="480" w:lineRule="auto"/>
      <w:ind w:left="420" w:leftChars="200"/>
    </w:pPr>
  </w:style>
  <w:style w:type="paragraph" w:styleId="22">
    <w:name w:val="Balloon Text"/>
    <w:basedOn w:val="1"/>
    <w:link w:val="64"/>
    <w:qFormat/>
    <w:uiPriority w:val="0"/>
    <w:rPr>
      <w:sz w:val="18"/>
    </w:rPr>
  </w:style>
  <w:style w:type="paragraph" w:styleId="23">
    <w:name w:val="footer"/>
    <w:basedOn w:val="1"/>
    <w:link w:val="65"/>
    <w:qFormat/>
    <w:uiPriority w:val="0"/>
    <w:pPr>
      <w:tabs>
        <w:tab w:val="center" w:pos="4153"/>
        <w:tab w:val="right" w:pos="8306"/>
      </w:tabs>
      <w:snapToGrid w:val="0"/>
      <w:jc w:val="left"/>
    </w:pPr>
    <w:rPr>
      <w:sz w:val="18"/>
    </w:rPr>
  </w:style>
  <w:style w:type="paragraph" w:styleId="24">
    <w:name w:val="header"/>
    <w:basedOn w:val="1"/>
    <w:link w:val="7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5">
    <w:name w:val="toc 4"/>
    <w:basedOn w:val="1"/>
    <w:next w:val="1"/>
    <w:qFormat/>
    <w:uiPriority w:val="0"/>
    <w:pPr>
      <w:ind w:left="1260" w:leftChars="600"/>
    </w:pPr>
  </w:style>
  <w:style w:type="paragraph" w:styleId="26">
    <w:name w:val="List"/>
    <w:basedOn w:val="1"/>
    <w:qFormat/>
    <w:uiPriority w:val="0"/>
    <w:pPr>
      <w:ind w:left="200" w:hanging="200" w:hangingChars="200"/>
    </w:pPr>
  </w:style>
  <w:style w:type="paragraph" w:styleId="27">
    <w:name w:val="footnote text"/>
    <w:basedOn w:val="1"/>
    <w:next w:val="14"/>
    <w:link w:val="82"/>
    <w:qFormat/>
    <w:uiPriority w:val="0"/>
    <w:pPr>
      <w:snapToGrid w:val="0"/>
      <w:jc w:val="left"/>
    </w:pPr>
    <w:rPr>
      <w:sz w:val="18"/>
    </w:rPr>
  </w:style>
  <w:style w:type="paragraph" w:styleId="28">
    <w:name w:val="toc 6"/>
    <w:basedOn w:val="1"/>
    <w:next w:val="1"/>
    <w:qFormat/>
    <w:uiPriority w:val="0"/>
    <w:pPr>
      <w:ind w:left="2100" w:leftChars="1000"/>
    </w:pPr>
  </w:style>
  <w:style w:type="paragraph" w:styleId="29">
    <w:name w:val="Body Text Indent 3"/>
    <w:basedOn w:val="1"/>
    <w:link w:val="86"/>
    <w:qFormat/>
    <w:uiPriority w:val="0"/>
    <w:pPr>
      <w:spacing w:after="120" w:afterLines="0" w:afterAutospacing="0"/>
      <w:ind w:left="420" w:leftChars="200"/>
    </w:pPr>
    <w:rPr>
      <w:sz w:val="16"/>
    </w:rPr>
  </w:style>
  <w:style w:type="paragraph" w:styleId="30">
    <w:name w:val="toc 2"/>
    <w:basedOn w:val="1"/>
    <w:next w:val="1"/>
    <w:qFormat/>
    <w:uiPriority w:val="0"/>
    <w:pPr>
      <w:ind w:left="420" w:leftChars="200"/>
    </w:pPr>
  </w:style>
  <w:style w:type="paragraph" w:styleId="31">
    <w:name w:val="toc 9"/>
    <w:basedOn w:val="1"/>
    <w:next w:val="1"/>
    <w:qFormat/>
    <w:uiPriority w:val="0"/>
    <w:pPr>
      <w:ind w:left="3360" w:leftChars="1600"/>
    </w:pPr>
  </w:style>
  <w:style w:type="paragraph" w:styleId="32">
    <w:name w:val="Normal (Web)"/>
    <w:basedOn w:val="1"/>
    <w:next w:val="1"/>
    <w:qFormat/>
    <w:uiPriority w:val="0"/>
    <w:rPr>
      <w:sz w:val="24"/>
    </w:rPr>
  </w:style>
  <w:style w:type="paragraph" w:styleId="33">
    <w:name w:val="index 1"/>
    <w:basedOn w:val="1"/>
    <w:next w:val="1"/>
    <w:qFormat/>
    <w:uiPriority w:val="0"/>
  </w:style>
  <w:style w:type="paragraph" w:styleId="3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35">
    <w:name w:val="annotation subject"/>
    <w:basedOn w:val="13"/>
    <w:next w:val="13"/>
    <w:link w:val="74"/>
    <w:qFormat/>
    <w:uiPriority w:val="0"/>
    <w:rPr>
      <w:b/>
    </w:rPr>
  </w:style>
  <w:style w:type="paragraph" w:styleId="36">
    <w:name w:val="Body Text First Indent"/>
    <w:basedOn w:val="14"/>
    <w:qFormat/>
    <w:uiPriority w:val="0"/>
    <w:pPr>
      <w:ind w:firstLine="420" w:firstLineChars="100"/>
    </w:pPr>
  </w:style>
  <w:style w:type="paragraph" w:styleId="37">
    <w:name w:val="Body Text First Indent 2"/>
    <w:basedOn w:val="15"/>
    <w:link w:val="93"/>
    <w:qFormat/>
    <w:uiPriority w:val="0"/>
    <w:pPr>
      <w:ind w:firstLine="420" w:firstLineChars="200"/>
    </w:pPr>
  </w:style>
  <w:style w:type="table" w:styleId="39">
    <w:name w:val="Table Grid"/>
    <w:basedOn w:val="38"/>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0">
    <w:name w:val="Medium Grid 3 Accent 1"/>
    <w:basedOn w:val="38"/>
    <w:autoRedefine/>
    <w:qFormat/>
    <w:uiPriority w:val="0"/>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style>
  <w:style w:type="table" w:styleId="41">
    <w:name w:val="Medium Grid 3 Accent 2"/>
    <w:basedOn w:val="38"/>
    <w:autoRedefine/>
    <w:qFormat/>
    <w:uiPriority w:val="0"/>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style>
  <w:style w:type="table" w:styleId="42">
    <w:name w:val="Medium Grid 3 Accent 3"/>
    <w:basedOn w:val="38"/>
    <w:autoRedefine/>
    <w:qFormat/>
    <w:uiPriority w:val="0"/>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style>
  <w:style w:type="table" w:styleId="43">
    <w:name w:val="Medium Grid 3 Accent 4"/>
    <w:basedOn w:val="38"/>
    <w:autoRedefine/>
    <w:qFormat/>
    <w:uiPriority w:val="0"/>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style>
  <w:style w:type="table" w:styleId="44">
    <w:name w:val="Medium Grid 3 Accent 5"/>
    <w:basedOn w:val="38"/>
    <w:autoRedefine/>
    <w:qFormat/>
    <w:uiPriority w:val="0"/>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style>
  <w:style w:type="table" w:styleId="45">
    <w:name w:val="Medium Grid 3 Accent 6"/>
    <w:basedOn w:val="38"/>
    <w:autoRedefine/>
    <w:qFormat/>
    <w:uiPriority w:val="0"/>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F7964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F79646"/>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F79646"/>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FBCAA2"/>
      </w:tcPr>
    </w:tblStylePr>
  </w:style>
  <w:style w:type="character" w:styleId="47">
    <w:name w:val="Strong"/>
    <w:basedOn w:val="46"/>
    <w:qFormat/>
    <w:uiPriority w:val="0"/>
    <w:rPr>
      <w:b/>
    </w:rPr>
  </w:style>
  <w:style w:type="character" w:styleId="48">
    <w:name w:val="page number"/>
    <w:basedOn w:val="46"/>
    <w:qFormat/>
    <w:uiPriority w:val="0"/>
  </w:style>
  <w:style w:type="character" w:styleId="49">
    <w:name w:val="Hyperlink"/>
    <w:basedOn w:val="46"/>
    <w:qFormat/>
    <w:uiPriority w:val="0"/>
    <w:rPr>
      <w:color w:val="0000FF"/>
      <w:u w:val="single"/>
    </w:rPr>
  </w:style>
  <w:style w:type="character" w:styleId="50">
    <w:name w:val="annotation reference"/>
    <w:basedOn w:val="46"/>
    <w:qFormat/>
    <w:uiPriority w:val="0"/>
    <w:rPr>
      <w:sz w:val="21"/>
    </w:rPr>
  </w:style>
  <w:style w:type="character" w:styleId="51">
    <w:name w:val="HTML Sample"/>
    <w:basedOn w:val="46"/>
    <w:qFormat/>
    <w:uiPriority w:val="0"/>
    <w:rPr>
      <w:rFonts w:ascii="Courier New" w:hAnsi="Courier New"/>
    </w:rPr>
  </w:style>
  <w:style w:type="character" w:customStyle="1" w:styleId="52">
    <w:name w:val="标题 2 Char"/>
    <w:link w:val="6"/>
    <w:autoRedefine/>
    <w:qFormat/>
    <w:uiPriority w:val="0"/>
    <w:rPr>
      <w:rFonts w:ascii="Arial" w:hAnsi="Arial" w:eastAsia="黑体"/>
      <w:b/>
      <w:sz w:val="32"/>
    </w:rPr>
  </w:style>
  <w:style w:type="paragraph" w:customStyle="1" w:styleId="53">
    <w:name w:val="目录 41"/>
    <w:next w:val="1"/>
    <w:autoRedefine/>
    <w:qFormat/>
    <w:uiPriority w:val="0"/>
    <w:pPr>
      <w:wordWrap w:val="0"/>
      <w:ind w:left="1275"/>
      <w:jc w:val="both"/>
    </w:pPr>
    <w:rPr>
      <w:rFonts w:ascii="Times New Roman" w:hAnsi="Times New Roman" w:eastAsia="宋体" w:cs="Times New Roman"/>
      <w:kern w:val="0"/>
      <w:sz w:val="21"/>
      <w:szCs w:val="20"/>
      <w:lang w:val="en-US" w:eastAsia="zh-CN" w:bidi="ar-SA"/>
    </w:rPr>
  </w:style>
  <w:style w:type="paragraph" w:customStyle="1" w:styleId="54">
    <w:name w:val="列出段落1"/>
    <w:basedOn w:val="1"/>
    <w:autoRedefine/>
    <w:qFormat/>
    <w:uiPriority w:val="0"/>
    <w:pPr>
      <w:ind w:firstLine="420" w:firstLineChars="200"/>
    </w:pPr>
    <w:rPr>
      <w:rFonts w:ascii="Calibri" w:hAnsi="Calibri"/>
      <w:szCs w:val="22"/>
    </w:rPr>
  </w:style>
  <w:style w:type="paragraph" w:customStyle="1" w:styleId="55">
    <w:name w:val="Default"/>
    <w:next w:val="1"/>
    <w:autoRedefine/>
    <w:qFormat/>
    <w:uiPriority w:val="0"/>
    <w:pPr>
      <w:widowControl w:val="0"/>
      <w:autoSpaceDE w:val="0"/>
      <w:autoSpaceDN w:val="0"/>
    </w:pPr>
    <w:rPr>
      <w:rFonts w:ascii="宋体" w:hAnsi="Times New Roman" w:eastAsia="宋体" w:cs="宋体"/>
      <w:color w:val="000000"/>
      <w:kern w:val="0"/>
      <w:sz w:val="24"/>
      <w:szCs w:val="24"/>
      <w:lang w:val="en-US" w:eastAsia="zh-CN" w:bidi="ar-SA"/>
    </w:rPr>
  </w:style>
  <w:style w:type="paragraph" w:customStyle="1" w:styleId="56">
    <w:name w:val="标题 5（有编号）（绿盟科技）"/>
    <w:basedOn w:val="1"/>
    <w:next w:val="57"/>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57">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58">
    <w:name w:val="标题 3 Char"/>
    <w:link w:val="7"/>
    <w:autoRedefine/>
    <w:qFormat/>
    <w:uiPriority w:val="0"/>
    <w:rPr>
      <w:b/>
      <w:sz w:val="32"/>
    </w:rPr>
  </w:style>
  <w:style w:type="character" w:customStyle="1" w:styleId="59">
    <w:name w:val="标题 1 Char"/>
    <w:basedOn w:val="46"/>
    <w:link w:val="5"/>
    <w:autoRedefine/>
    <w:qFormat/>
    <w:uiPriority w:val="0"/>
    <w:rPr>
      <w:rFonts w:ascii="宋体" w:hAnsi="Times New Roman" w:eastAsia="宋体" w:cs="Times New Roman"/>
      <w:b/>
      <w:kern w:val="44"/>
      <w:sz w:val="32"/>
      <w:szCs w:val="20"/>
    </w:rPr>
  </w:style>
  <w:style w:type="character" w:customStyle="1" w:styleId="60">
    <w:name w:val="font01"/>
    <w:basedOn w:val="46"/>
    <w:autoRedefine/>
    <w:qFormat/>
    <w:uiPriority w:val="0"/>
    <w:rPr>
      <w:rFonts w:hint="eastAsia" w:ascii="宋体" w:hAnsi="宋体" w:eastAsia="宋体" w:cs="宋体"/>
      <w:color w:val="000000"/>
      <w:sz w:val="24"/>
      <w:szCs w:val="24"/>
      <w:u w:val="none"/>
    </w:rPr>
  </w:style>
  <w:style w:type="character" w:customStyle="1" w:styleId="61">
    <w:name w:val="批注文字 Char1"/>
    <w:autoRedefine/>
    <w:qFormat/>
    <w:uiPriority w:val="0"/>
    <w:rPr>
      <w:rFonts w:ascii="Times New Roman" w:hAnsi="Times New Roman" w:eastAsia="宋体" w:cs="Times New Roman"/>
      <w:kern w:val="2"/>
      <w:sz w:val="21"/>
      <w:szCs w:val="24"/>
    </w:rPr>
  </w:style>
  <w:style w:type="character" w:customStyle="1" w:styleId="62">
    <w:name w:val="日期 Char"/>
    <w:link w:val="20"/>
    <w:autoRedefine/>
    <w:qFormat/>
    <w:uiPriority w:val="0"/>
  </w:style>
  <w:style w:type="character" w:customStyle="1" w:styleId="63">
    <w:name w:val="font31"/>
    <w:basedOn w:val="46"/>
    <w:autoRedefine/>
    <w:qFormat/>
    <w:uiPriority w:val="0"/>
    <w:rPr>
      <w:rFonts w:hint="default" w:ascii="Times New Roman" w:hAnsi="Times New Roman" w:cs="Times New Roman"/>
      <w:color w:val="000000"/>
      <w:sz w:val="20"/>
      <w:szCs w:val="20"/>
      <w:u w:val="none"/>
    </w:rPr>
  </w:style>
  <w:style w:type="character" w:customStyle="1" w:styleId="64">
    <w:name w:val="批注框文本 Char"/>
    <w:link w:val="22"/>
    <w:autoRedefine/>
    <w:qFormat/>
    <w:uiPriority w:val="0"/>
    <w:rPr>
      <w:sz w:val="18"/>
    </w:rPr>
  </w:style>
  <w:style w:type="character" w:customStyle="1" w:styleId="65">
    <w:name w:val="页脚 Char"/>
    <w:link w:val="23"/>
    <w:autoRedefine/>
    <w:qFormat/>
    <w:uiPriority w:val="0"/>
    <w:rPr>
      <w:sz w:val="18"/>
    </w:rPr>
  </w:style>
  <w:style w:type="character" w:customStyle="1" w:styleId="66">
    <w:name w:val="正文文本 Char"/>
    <w:link w:val="14"/>
    <w:autoRedefine/>
    <w:qFormat/>
    <w:uiPriority w:val="0"/>
  </w:style>
  <w:style w:type="character" w:customStyle="1" w:styleId="67">
    <w:name w:val="正文缩进 Char1"/>
    <w:link w:val="68"/>
    <w:autoRedefine/>
    <w:qFormat/>
    <w:uiPriority w:val="0"/>
    <w:rPr>
      <w:rFonts w:ascii="宋体" w:hAnsi="Times New Roman" w:eastAsia="宋体" w:cs="Times New Roman"/>
      <w:sz w:val="24"/>
    </w:rPr>
  </w:style>
  <w:style w:type="paragraph" w:customStyle="1" w:styleId="68">
    <w:name w:val="正文缩进1"/>
    <w:basedOn w:val="1"/>
    <w:link w:val="67"/>
    <w:autoRedefine/>
    <w:qFormat/>
    <w:uiPriority w:val="0"/>
    <w:pPr>
      <w:autoSpaceDE w:val="0"/>
      <w:autoSpaceDN w:val="0"/>
      <w:adjustRightInd w:val="0"/>
      <w:ind w:firstLine="420"/>
      <w:jc w:val="left"/>
    </w:pPr>
    <w:rPr>
      <w:rFonts w:ascii="宋体"/>
      <w:sz w:val="24"/>
      <w:szCs w:val="22"/>
    </w:rPr>
  </w:style>
  <w:style w:type="character" w:customStyle="1" w:styleId="69">
    <w:name w:val="批注文字 Char"/>
    <w:autoRedefine/>
    <w:qFormat/>
    <w:uiPriority w:val="0"/>
    <w:rPr>
      <w:rFonts w:ascii="Times New Roman" w:hAnsi="Times New Roman" w:eastAsia="宋体" w:cs="Times New Roman"/>
      <w:kern w:val="2"/>
      <w:sz w:val="21"/>
      <w:szCs w:val="24"/>
    </w:rPr>
  </w:style>
  <w:style w:type="character" w:customStyle="1" w:styleId="70">
    <w:name w:val="font41"/>
    <w:autoRedefine/>
    <w:qFormat/>
    <w:uiPriority w:val="0"/>
    <w:rPr>
      <w:rFonts w:hint="eastAsia" w:ascii="宋体" w:hAnsi="宋体" w:eastAsia="宋体"/>
      <w:color w:val="000000"/>
      <w:sz w:val="20"/>
      <w:szCs w:val="20"/>
      <w:u w:val="none"/>
    </w:rPr>
  </w:style>
  <w:style w:type="character" w:customStyle="1" w:styleId="71">
    <w:name w:val="批注框文本 Char1"/>
    <w:autoRedefine/>
    <w:qFormat/>
    <w:uiPriority w:val="0"/>
    <w:rPr>
      <w:rFonts w:ascii="Times New Roman" w:hAnsi="Times New Roman" w:eastAsia="宋体" w:cs="Times New Roman"/>
      <w:kern w:val="2"/>
      <w:sz w:val="18"/>
      <w:szCs w:val="18"/>
    </w:rPr>
  </w:style>
  <w:style w:type="character" w:customStyle="1" w:styleId="72">
    <w:name w:val="页眉 Char"/>
    <w:link w:val="24"/>
    <w:autoRedefine/>
    <w:qFormat/>
    <w:uiPriority w:val="0"/>
    <w:rPr>
      <w:sz w:val="18"/>
    </w:rPr>
  </w:style>
  <w:style w:type="character" w:customStyle="1" w:styleId="73">
    <w:name w:val="页眉 Char1"/>
    <w:autoRedefine/>
    <w:qFormat/>
    <w:uiPriority w:val="0"/>
    <w:rPr>
      <w:rFonts w:ascii="Times New Roman" w:hAnsi="Times New Roman" w:eastAsia="宋体" w:cs="Times New Roman"/>
      <w:kern w:val="2"/>
      <w:sz w:val="18"/>
      <w:szCs w:val="18"/>
    </w:rPr>
  </w:style>
  <w:style w:type="character" w:customStyle="1" w:styleId="74">
    <w:name w:val="批注主题 Char"/>
    <w:link w:val="35"/>
    <w:autoRedefine/>
    <w:qFormat/>
    <w:uiPriority w:val="0"/>
    <w:rPr>
      <w:b/>
    </w:rPr>
  </w:style>
  <w:style w:type="character" w:customStyle="1" w:styleId="75">
    <w:name w:val="纯文本 Char1"/>
    <w:link w:val="76"/>
    <w:autoRedefine/>
    <w:qFormat/>
    <w:uiPriority w:val="99"/>
    <w:rPr>
      <w:rFonts w:ascii="宋体" w:hAnsi="Courier New" w:eastAsia="宋体" w:cs="Times New Roman"/>
    </w:rPr>
  </w:style>
  <w:style w:type="paragraph" w:customStyle="1" w:styleId="76">
    <w:name w:val="纯文本1"/>
    <w:basedOn w:val="1"/>
    <w:link w:val="75"/>
    <w:autoRedefine/>
    <w:qFormat/>
    <w:uiPriority w:val="99"/>
    <w:rPr>
      <w:rFonts w:ascii="宋体" w:hAnsi="Courier New"/>
      <w:szCs w:val="22"/>
    </w:rPr>
  </w:style>
  <w:style w:type="character" w:customStyle="1" w:styleId="77">
    <w:name w:val="批注主题 Char1"/>
    <w:autoRedefine/>
    <w:qFormat/>
    <w:uiPriority w:val="0"/>
    <w:rPr>
      <w:rFonts w:ascii="Times New Roman" w:hAnsi="Times New Roman" w:eastAsia="宋体" w:cs="Times New Roman"/>
      <w:b/>
      <w:bCs/>
      <w:kern w:val="2"/>
      <w:sz w:val="21"/>
      <w:szCs w:val="24"/>
    </w:rPr>
  </w:style>
  <w:style w:type="character" w:customStyle="1" w:styleId="78">
    <w:name w:val="纯文本 Char"/>
    <w:link w:val="18"/>
    <w:autoRedefine/>
    <w:qFormat/>
    <w:uiPriority w:val="0"/>
    <w:rPr>
      <w:rFonts w:ascii="宋体" w:hAnsi="Courier New"/>
    </w:rPr>
  </w:style>
  <w:style w:type="character" w:customStyle="1" w:styleId="79">
    <w:name w:val="批注文字 Char2"/>
    <w:link w:val="13"/>
    <w:autoRedefine/>
    <w:semiHidden/>
    <w:qFormat/>
    <w:uiPriority w:val="99"/>
  </w:style>
  <w:style w:type="character" w:customStyle="1" w:styleId="80">
    <w:name w:val="批注主题 Char2"/>
    <w:basedOn w:val="79"/>
    <w:autoRedefine/>
    <w:semiHidden/>
    <w:qFormat/>
    <w:uiPriority w:val="99"/>
    <w:rPr>
      <w:rFonts w:ascii="Times New Roman" w:hAnsi="Times New Roman" w:eastAsia="宋体" w:cs="Times New Roman"/>
      <w:b/>
      <w:bCs/>
      <w:szCs w:val="24"/>
    </w:rPr>
  </w:style>
  <w:style w:type="character" w:customStyle="1" w:styleId="81">
    <w:name w:val="纯文本 Char2"/>
    <w:basedOn w:val="46"/>
    <w:autoRedefine/>
    <w:semiHidden/>
    <w:qFormat/>
    <w:uiPriority w:val="99"/>
    <w:rPr>
      <w:rFonts w:ascii="宋体" w:hAnsi="Courier New" w:eastAsia="宋体" w:cs="Courier New"/>
      <w:szCs w:val="21"/>
    </w:rPr>
  </w:style>
  <w:style w:type="character" w:customStyle="1" w:styleId="82">
    <w:name w:val="脚注文本 Char"/>
    <w:link w:val="27"/>
    <w:autoRedefine/>
    <w:qFormat/>
    <w:uiPriority w:val="0"/>
    <w:rPr>
      <w:sz w:val="18"/>
    </w:rPr>
  </w:style>
  <w:style w:type="character" w:customStyle="1" w:styleId="83">
    <w:name w:val="正文文本 Char1"/>
    <w:basedOn w:val="46"/>
    <w:autoRedefine/>
    <w:semiHidden/>
    <w:qFormat/>
    <w:uiPriority w:val="99"/>
    <w:rPr>
      <w:rFonts w:ascii="Times New Roman" w:hAnsi="Times New Roman" w:eastAsia="宋体" w:cs="Times New Roman"/>
      <w:szCs w:val="24"/>
    </w:rPr>
  </w:style>
  <w:style w:type="character" w:customStyle="1" w:styleId="84">
    <w:name w:val="正文文本缩进 Char"/>
    <w:link w:val="15"/>
    <w:autoRedefine/>
    <w:qFormat/>
    <w:uiPriority w:val="0"/>
  </w:style>
  <w:style w:type="character" w:customStyle="1" w:styleId="85">
    <w:name w:val="正文文本缩进 2 Char"/>
    <w:link w:val="21"/>
    <w:autoRedefine/>
    <w:qFormat/>
    <w:uiPriority w:val="0"/>
  </w:style>
  <w:style w:type="character" w:customStyle="1" w:styleId="86">
    <w:name w:val="正文文本缩进 3 Char"/>
    <w:link w:val="29"/>
    <w:autoRedefine/>
    <w:qFormat/>
    <w:uiPriority w:val="0"/>
    <w:rPr>
      <w:sz w:val="16"/>
    </w:rPr>
  </w:style>
  <w:style w:type="character" w:customStyle="1" w:styleId="87">
    <w:name w:val="日期 Char1"/>
    <w:basedOn w:val="46"/>
    <w:autoRedefine/>
    <w:semiHidden/>
    <w:qFormat/>
    <w:uiPriority w:val="99"/>
    <w:rPr>
      <w:rFonts w:ascii="Times New Roman" w:hAnsi="Times New Roman" w:eastAsia="宋体" w:cs="Times New Roman"/>
      <w:szCs w:val="24"/>
    </w:rPr>
  </w:style>
  <w:style w:type="character" w:customStyle="1" w:styleId="88">
    <w:name w:val="批注框文本 Char2"/>
    <w:basedOn w:val="46"/>
    <w:autoRedefine/>
    <w:semiHidden/>
    <w:qFormat/>
    <w:uiPriority w:val="99"/>
    <w:rPr>
      <w:rFonts w:ascii="Times New Roman" w:hAnsi="Times New Roman" w:eastAsia="宋体" w:cs="Times New Roman"/>
      <w:sz w:val="18"/>
      <w:szCs w:val="18"/>
    </w:rPr>
  </w:style>
  <w:style w:type="character" w:customStyle="1" w:styleId="89">
    <w:name w:val="页脚 Char1"/>
    <w:basedOn w:val="46"/>
    <w:autoRedefine/>
    <w:semiHidden/>
    <w:qFormat/>
    <w:uiPriority w:val="99"/>
    <w:rPr>
      <w:rFonts w:ascii="Times New Roman" w:hAnsi="Times New Roman" w:eastAsia="宋体" w:cs="Times New Roman"/>
      <w:sz w:val="18"/>
      <w:szCs w:val="18"/>
    </w:rPr>
  </w:style>
  <w:style w:type="character" w:customStyle="1" w:styleId="90">
    <w:name w:val="页眉 Char2"/>
    <w:basedOn w:val="46"/>
    <w:autoRedefine/>
    <w:semiHidden/>
    <w:qFormat/>
    <w:uiPriority w:val="99"/>
    <w:rPr>
      <w:rFonts w:ascii="Times New Roman" w:hAnsi="Times New Roman" w:eastAsia="宋体" w:cs="Times New Roman"/>
      <w:sz w:val="18"/>
      <w:szCs w:val="18"/>
    </w:rPr>
  </w:style>
  <w:style w:type="paragraph" w:styleId="91">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自定义正文"/>
    <w:basedOn w:val="1"/>
    <w:autoRedefine/>
    <w:qFormat/>
    <w:uiPriority w:val="0"/>
    <w:pPr>
      <w:spacing w:after="156" w:afterLines="50"/>
      <w:ind w:firstLine="200" w:firstLineChars="200"/>
    </w:pPr>
    <w:rPr>
      <w:rFonts w:ascii="Calibri" w:hAnsi="Calibri"/>
    </w:rPr>
  </w:style>
  <w:style w:type="character" w:customStyle="1" w:styleId="93">
    <w:name w:val="正文首行缩进 2 Char"/>
    <w:link w:val="37"/>
    <w:autoRedefine/>
    <w:qFormat/>
    <w:uiPriority w:val="0"/>
  </w:style>
  <w:style w:type="paragraph" w:customStyle="1" w:styleId="94">
    <w:name w:val="WPSOffice手动目录 2"/>
    <w:autoRedefine/>
    <w:qFormat/>
    <w:uiPriority w:val="0"/>
    <w:pPr>
      <w:ind w:leftChars="200"/>
    </w:pPr>
    <w:rPr>
      <w:rFonts w:ascii="Times New Roman" w:hAnsi="Times New Roman" w:eastAsia="宋体" w:cs="Times New Roman"/>
      <w:kern w:val="0"/>
      <w:sz w:val="20"/>
      <w:szCs w:val="20"/>
      <w:lang w:val="en-US" w:eastAsia="zh-CN" w:bidi="ar-SA"/>
    </w:rPr>
  </w:style>
  <w:style w:type="paragraph" w:customStyle="1" w:styleId="95">
    <w:name w:val="图例"/>
    <w:basedOn w:val="1"/>
    <w:autoRedefine/>
    <w:qFormat/>
    <w:uiPriority w:val="0"/>
    <w:pPr>
      <w:spacing w:before="120" w:after="120"/>
      <w:jc w:val="center"/>
    </w:pPr>
    <w:rPr>
      <w:rFonts w:eastAsia="仿宋_GB2312"/>
      <w:b/>
      <w:szCs w:val="20"/>
    </w:rPr>
  </w:style>
  <w:style w:type="paragraph" w:customStyle="1" w:styleId="96">
    <w:name w:val="_Style 3"/>
    <w:basedOn w:val="1"/>
    <w:autoRedefine/>
    <w:qFormat/>
    <w:uiPriority w:val="0"/>
    <w:pPr>
      <w:ind w:firstLine="420" w:firstLineChars="200"/>
    </w:pPr>
    <w:rPr>
      <w:rFonts w:ascii="Calibri" w:hAnsi="Calibri"/>
      <w:szCs w:val="22"/>
    </w:rPr>
  </w:style>
  <w:style w:type="paragraph" w:customStyle="1" w:styleId="97">
    <w:name w:val="WPSOffice手动目录 1"/>
    <w:autoRedefine/>
    <w:qFormat/>
    <w:uiPriority w:val="0"/>
    <w:rPr>
      <w:rFonts w:ascii="Times New Roman" w:hAnsi="Times New Roman" w:eastAsia="宋体" w:cs="Times New Roman"/>
      <w:kern w:val="0"/>
      <w:sz w:val="20"/>
      <w:szCs w:val="20"/>
      <w:lang w:val="en-US" w:eastAsia="zh-CN" w:bidi="ar-SA"/>
    </w:rPr>
  </w:style>
  <w:style w:type="paragraph" w:customStyle="1" w:styleId="98">
    <w:name w:val="索引 11"/>
    <w:basedOn w:val="1"/>
    <w:next w:val="1"/>
    <w:autoRedefine/>
    <w:qFormat/>
    <w:uiPriority w:val="0"/>
    <w:pPr>
      <w:spacing w:line="360" w:lineRule="auto"/>
    </w:pPr>
    <w:rPr>
      <w:rFonts w:ascii="仿宋_GB2312" w:eastAsia="仿宋_GB2312"/>
      <w:sz w:val="24"/>
      <w:szCs w:val="20"/>
    </w:rPr>
  </w:style>
  <w:style w:type="paragraph" w:customStyle="1" w:styleId="99">
    <w:name w:val=" Char Char Char Char"/>
    <w:basedOn w:val="1"/>
    <w:autoRedefine/>
    <w:qFormat/>
    <w:uiPriority w:val="0"/>
    <w:pPr>
      <w:tabs>
        <w:tab w:val="left" w:pos="360"/>
      </w:tabs>
      <w:ind w:firstLine="420" w:firstLineChars="150"/>
    </w:pPr>
  </w:style>
  <w:style w:type="paragraph" w:styleId="100">
    <w:name w:val="List Paragraph"/>
    <w:basedOn w:val="1"/>
    <w:autoRedefine/>
    <w:qFormat/>
    <w:uiPriority w:val="0"/>
    <w:pPr>
      <w:widowControl/>
      <w:ind w:firstLine="420" w:firstLineChars="200"/>
      <w:jc w:val="left"/>
    </w:pPr>
    <w:rPr>
      <w:kern w:val="0"/>
      <w:sz w:val="24"/>
    </w:rPr>
  </w:style>
  <w:style w:type="paragraph" w:customStyle="1" w:styleId="101">
    <w:name w:val="Char"/>
    <w:basedOn w:val="1"/>
    <w:autoRedefine/>
    <w:qFormat/>
    <w:uiPriority w:val="0"/>
    <w:pPr>
      <w:tabs>
        <w:tab w:val="left" w:pos="360"/>
      </w:tabs>
    </w:pPr>
    <w:rPr>
      <w:sz w:val="24"/>
    </w:rPr>
  </w:style>
  <w:style w:type="table" w:customStyle="1" w:styleId="102">
    <w:name w:val="中等深浅网格 31"/>
    <w:basedOn w:val="38"/>
    <w:autoRedefine/>
    <w:qFormat/>
    <w:uiPriority w:val="0"/>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FFFFFF"/>
      </w:r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rPr>
        <w:b/>
        <w:bCs/>
        <w:i w:val="0"/>
        <w:iCs w:val="0"/>
        <w:color w:val="FFFFFF"/>
      </w:r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rPr>
        <w:b/>
        <w:bCs/>
        <w:i w:val="0"/>
        <w:iCs w:val="0"/>
        <w:color w:val="FFFFFF"/>
      </w:rPr>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rPr>
        <w:b/>
        <w:bCs/>
        <w:i w:val="0"/>
        <w:iCs w:val="0"/>
        <w:color w:val="FFFFFF"/>
      </w:rPr>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paragraph" w:customStyle="1" w:styleId="103">
    <w:name w:val="段"/>
    <w:next w:val="1"/>
    <w:autoRedefine/>
    <w:qFormat/>
    <w:uiPriority w:val="0"/>
    <w:pPr>
      <w:autoSpaceDE w:val="0"/>
      <w:autoSpaceDN w:val="0"/>
      <w:ind w:firstLine="200"/>
      <w:jc w:val="both"/>
    </w:pPr>
    <w:rPr>
      <w:rFonts w:ascii="宋体" w:hAnsi="Times New Roman" w:eastAsia="宋体" w:cs="Times New Roman"/>
      <w:kern w:val="0"/>
      <w:sz w:val="21"/>
      <w:szCs w:val="20"/>
      <w:lang w:val="en-US" w:eastAsia="zh-CN" w:bidi="ar-SA"/>
    </w:rPr>
  </w:style>
  <w:style w:type="paragraph" w:customStyle="1" w:styleId="104">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rPr>
  </w:style>
  <w:style w:type="paragraph" w:customStyle="1" w:styleId="105">
    <w:name w:val="表格内容"/>
    <w:basedOn w:val="1"/>
    <w:next w:val="1"/>
    <w:autoRedefine/>
    <w:qFormat/>
    <w:uiPriority w:val="0"/>
    <w:pPr>
      <w:spacing w:line="240" w:lineRule="auto"/>
    </w:pPr>
    <w:rPr>
      <w:rFonts w:ascii="Times New Roman" w:hAnsi="Times New Roman" w:eastAsia="仿宋" w:cs="Times New Roman"/>
      <w:kern w:val="0"/>
      <w:sz w:val="21"/>
      <w:szCs w:val="20"/>
    </w:rPr>
  </w:style>
  <w:style w:type="character" w:customStyle="1" w:styleId="106">
    <w:name w:val="font11"/>
    <w:basedOn w:val="46"/>
    <w:autoRedefine/>
    <w:qFormat/>
    <w:uiPriority w:val="0"/>
    <w:rPr>
      <w:rFonts w:hint="eastAsia" w:ascii="仿宋" w:hAnsi="仿宋" w:eastAsia="仿宋" w:cs="仿宋"/>
      <w:color w:val="000000"/>
      <w:sz w:val="21"/>
      <w:szCs w:val="21"/>
      <w:u w:val="none"/>
    </w:rPr>
  </w:style>
  <w:style w:type="character" w:customStyle="1" w:styleId="107">
    <w:name w:val="font21"/>
    <w:basedOn w:val="46"/>
    <w:autoRedefine/>
    <w:qFormat/>
    <w:uiPriority w:val="0"/>
    <w:rPr>
      <w:rFonts w:hint="default" w:ascii="Wingdings 2" w:hAnsi="Wingdings 2" w:eastAsia="Wingdings 2" w:cs="Wingdings 2"/>
      <w:color w:val="000000"/>
      <w:sz w:val="21"/>
      <w:szCs w:val="21"/>
      <w:u w:val="none"/>
    </w:rPr>
  </w:style>
  <w:style w:type="character" w:customStyle="1" w:styleId="108">
    <w:name w:val="font81"/>
    <w:basedOn w:val="46"/>
    <w:autoRedefine/>
    <w:qFormat/>
    <w:uiPriority w:val="0"/>
    <w:rPr>
      <w:rFonts w:hint="eastAsia" w:ascii="宋体" w:hAnsi="宋体" w:eastAsia="宋体" w:cs="宋体"/>
      <w:color w:val="000000"/>
      <w:sz w:val="21"/>
      <w:szCs w:val="21"/>
      <w:u w:val="none"/>
    </w:rPr>
  </w:style>
  <w:style w:type="character" w:customStyle="1" w:styleId="109">
    <w:name w:val="font91"/>
    <w:basedOn w:val="46"/>
    <w:autoRedefine/>
    <w:qFormat/>
    <w:uiPriority w:val="0"/>
    <w:rPr>
      <w:rFonts w:hint="default" w:ascii="Times New Roman" w:hAnsi="Times New Roman" w:cs="Times New Roman"/>
      <w:color w:val="000000"/>
      <w:sz w:val="22"/>
      <w:szCs w:val="22"/>
      <w:u w:val="none"/>
    </w:rPr>
  </w:style>
  <w:style w:type="character" w:customStyle="1" w:styleId="110">
    <w:name w:val="font112"/>
    <w:basedOn w:val="46"/>
    <w:autoRedefine/>
    <w:qFormat/>
    <w:uiPriority w:val="0"/>
    <w:rPr>
      <w:rFonts w:hint="default" w:ascii="Times New Roman" w:hAnsi="Times New Roman" w:cs="Times New Roman"/>
      <w:color w:val="000000"/>
      <w:sz w:val="24"/>
      <w:szCs w:val="24"/>
      <w:u w:val="none"/>
    </w:rPr>
  </w:style>
  <w:style w:type="character" w:customStyle="1" w:styleId="111">
    <w:name w:val="font121"/>
    <w:basedOn w:val="46"/>
    <w:autoRedefine/>
    <w:qFormat/>
    <w:uiPriority w:val="0"/>
    <w:rPr>
      <w:rFonts w:hint="eastAsia" w:ascii="宋体" w:hAnsi="宋体" w:eastAsia="宋体" w:cs="宋体"/>
      <w:color w:val="000000"/>
      <w:sz w:val="24"/>
      <w:szCs w:val="24"/>
      <w:u w:val="none"/>
    </w:rPr>
  </w:style>
  <w:style w:type="paragraph" w:customStyle="1" w:styleId="112">
    <w:name w:val="Normal"/>
    <w:basedOn w:val="1"/>
    <w:autoRedefine/>
    <w:qFormat/>
    <w:uiPriority w:val="0"/>
    <w:pPr>
      <w:widowControl/>
      <w:spacing w:before="0" w:beforeAutospacing="0" w:after="0" w:afterAutospacing="0"/>
      <w:ind w:left="0" w:right="0"/>
      <w:jc w:val="left"/>
    </w:pPr>
    <w:rPr>
      <w:rFonts w:hint="default" w:ascii="Times New Roman" w:hAnsi="Times New Roman" w:cs="Times New Roman"/>
      <w:kern w:val="0"/>
      <w:sz w:val="24"/>
      <w:szCs w:val="24"/>
      <w:lang w:val="en-US" w:eastAsia="zh-CN" w:bidi="ar"/>
    </w:rPr>
  </w:style>
  <w:style w:type="paragraph" w:customStyle="1" w:styleId="113">
    <w:name w:val="正文 New New New New New New"/>
    <w:basedOn w:val="1"/>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paragraph" w:customStyle="1" w:styleId="114">
    <w:name w:val="正文 New New New New New New New"/>
    <w:basedOn w:val="1"/>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character" w:customStyle="1" w:styleId="115">
    <w:name w:val="font61"/>
    <w:basedOn w:val="46"/>
    <w:autoRedefine/>
    <w:qFormat/>
    <w:uiPriority w:val="0"/>
    <w:rPr>
      <w:rFonts w:hint="default" w:ascii="Calibri" w:hAnsi="Calibri" w:cs="Calibri"/>
      <w:color w:val="FF0000"/>
      <w:sz w:val="20"/>
      <w:szCs w:val="20"/>
      <w:u w:val="none"/>
    </w:rPr>
  </w:style>
  <w:style w:type="character" w:customStyle="1" w:styleId="116">
    <w:name w:val="font51"/>
    <w:basedOn w:val="46"/>
    <w:autoRedefine/>
    <w:qFormat/>
    <w:uiPriority w:val="0"/>
    <w:rPr>
      <w:rFonts w:hint="default" w:ascii="Calibri" w:hAnsi="Calibri" w:cs="Calibri"/>
      <w:color w:val="000000"/>
      <w:sz w:val="20"/>
      <w:szCs w:val="20"/>
      <w:u w:val="none"/>
    </w:rPr>
  </w:style>
  <w:style w:type="character" w:customStyle="1" w:styleId="117">
    <w:name w:val="font71"/>
    <w:basedOn w:val="46"/>
    <w:autoRedefine/>
    <w:qFormat/>
    <w:uiPriority w:val="0"/>
    <w:rPr>
      <w:rFonts w:hint="eastAsia" w:ascii="宋体" w:hAnsi="宋体" w:eastAsia="宋体" w:cs="宋体"/>
      <w:color w:val="000000"/>
      <w:sz w:val="18"/>
      <w:szCs w:val="18"/>
      <w:u w:val="none"/>
    </w:rPr>
  </w:style>
  <w:style w:type="character" w:customStyle="1" w:styleId="118">
    <w:name w:val="NormalCharacter"/>
    <w:link w:val="1"/>
    <w:autoRedefine/>
    <w:qFormat/>
    <w:uiPriority w:val="0"/>
    <w:rPr>
      <w:rFonts w:asciiTheme="minorHAnsi" w:hAnsiTheme="minorHAnsi" w:eastAsiaTheme="minorEastAsia" w:cstheme="minorBidi"/>
      <w:kern w:val="2"/>
      <w:sz w:val="21"/>
      <w:szCs w:val="24"/>
      <w:lang w:val="en-US" w:eastAsia="zh-CN" w:bidi="ar-SA"/>
    </w:rPr>
  </w:style>
  <w:style w:type="paragraph" w:customStyle="1" w:styleId="119">
    <w:name w:val="表格"/>
    <w:autoRedefine/>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paragraph" w:customStyle="1" w:styleId="120">
    <w:name w:val="_Style 6"/>
    <w:basedOn w:val="5"/>
    <w:next w:val="1"/>
    <w:autoRedefine/>
    <w:qFormat/>
    <w:uiPriority w:val="0"/>
    <w:pPr>
      <w:outlineLvl w:val="9"/>
    </w:pPr>
  </w:style>
  <w:style w:type="paragraph" w:customStyle="1" w:styleId="121">
    <w:name w:val="缺省文本"/>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122">
    <w:name w:val="样式 样式 样式 样式 标题 2 + 宋体 五号 非加粗 黑色 + 段前: 6 磅 段后: 0 磅 行距: 单倍行距 + 段前:..."/>
    <w:basedOn w:val="1"/>
    <w:autoRedefine/>
    <w:qFormat/>
    <w:uiPriority w:val="0"/>
    <w:pPr>
      <w:keepNext/>
      <w:keepLines/>
      <w:adjustRightInd w:val="0"/>
      <w:spacing w:before="240" w:beforeLines="0"/>
      <w:textAlignment w:val="baseline"/>
      <w:outlineLvl w:val="1"/>
    </w:pPr>
    <w:rPr>
      <w:rFonts w:ascii="宋体" w:hAnsi="宋体" w:eastAsia="宋体" w:cs="Times New Roman"/>
      <w:b/>
      <w:bCs/>
      <w:kern w:val="0"/>
      <w:szCs w:val="20"/>
    </w:rPr>
  </w:style>
  <w:style w:type="paragraph" w:customStyle="1" w:styleId="123">
    <w:name w:val="Table Paragraph"/>
    <w:basedOn w:val="1"/>
    <w:autoRedefine/>
    <w:qFormat/>
    <w:uiPriority w:val="1"/>
    <w:rPr>
      <w:rFonts w:ascii="Arial Unicode MS" w:hAnsi="Arial Unicode MS" w:eastAsia="Arial Unicode MS" w:cs="Arial Unicode MS"/>
      <w:lang w:val="zh-CN" w:eastAsia="zh-CN" w:bidi="zh-CN"/>
    </w:rPr>
  </w:style>
  <w:style w:type="paragraph" w:customStyle="1" w:styleId="124">
    <w:name w:val="普通(网站)1"/>
    <w:basedOn w:val="1"/>
    <w:autoRedefine/>
    <w:qFormat/>
    <w:uiPriority w:val="2"/>
    <w:pPr>
      <w:spacing w:before="75" w:after="75"/>
      <w:ind w:left="0" w:right="0" w:firstLine="0"/>
      <w:jc w:val="left"/>
    </w:pPr>
    <w:rPr>
      <w:kern w:val="0"/>
      <w:sz w:val="24"/>
      <w:lang w:val="en-US" w:eastAsia="zh-CN" w:bidi="ar"/>
    </w:rPr>
  </w:style>
  <w:style w:type="character" w:customStyle="1" w:styleId="125">
    <w:name w:val=" Char Char1"/>
    <w:link w:val="5"/>
    <w:autoRedefine/>
    <w:qFormat/>
    <w:uiPriority w:val="0"/>
    <w:rPr>
      <w:b/>
      <w:kern w:val="44"/>
      <w:sz w:val="44"/>
    </w:rPr>
  </w:style>
  <w:style w:type="paragraph" w:customStyle="1" w:styleId="126">
    <w:name w:val="样式 标题 3 + (中文) 黑体 小四 非加粗 段前: 7.8 磅 段后: 0 磅 行距: 固定值 20 磅"/>
    <w:basedOn w:val="7"/>
    <w:autoRedefine/>
    <w:qFormat/>
    <w:uiPriority w:val="0"/>
    <w:pPr>
      <w:spacing w:before="0" w:after="0" w:line="400" w:lineRule="exact"/>
    </w:pPr>
    <w:rPr>
      <w:rFonts w:eastAsia="黑体" w:cs="宋体"/>
      <w:b w:val="0"/>
      <w:szCs w:val="20"/>
    </w:rPr>
  </w:style>
  <w:style w:type="paragraph" w:customStyle="1" w:styleId="127">
    <w:name w:val="_Style 2"/>
    <w:basedOn w:val="1"/>
    <w:next w:val="1"/>
    <w:autoRedefine/>
    <w:qFormat/>
    <w:uiPriority w:val="0"/>
    <w:pPr>
      <w:ind w:firstLine="200" w:firstLineChars="200"/>
    </w:pPr>
    <w:rPr>
      <w:rFonts w:ascii="Calibri" w:hAnsi="Calibri"/>
      <w:sz w:val="28"/>
      <w:szCs w:val="22"/>
    </w:rPr>
  </w:style>
  <w:style w:type="paragraph" w:customStyle="1" w:styleId="128">
    <w:name w:val="_Style 1"/>
    <w:qFormat/>
    <w:uiPriority w:val="99"/>
    <w:pPr>
      <w:widowControl w:val="0"/>
      <w:ind w:firstLine="200" w:firstLineChars="200"/>
      <w:jc w:val="both"/>
    </w:pPr>
    <w:rPr>
      <w:rFonts w:ascii="Times New Roman" w:hAnsi="Times New Roman" w:eastAsia="仿宋_GB2312" w:cs="Times New Roman"/>
      <w:kern w:val="2"/>
      <w:sz w:val="24"/>
      <w:szCs w:val="22"/>
      <w:lang w:val="en-US" w:eastAsia="zh-CN" w:bidi="ar-SA"/>
    </w:rPr>
  </w:style>
  <w:style w:type="paragraph" w:customStyle="1" w:styleId="129">
    <w:name w:val="_Style 5"/>
    <w:qFormat/>
    <w:uiPriority w:val="1"/>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3.wmf"/><Relationship Id="rId22" Type="http://schemas.openxmlformats.org/officeDocument/2006/relationships/image" Target="media/image2.wmf"/><Relationship Id="rId21" Type="http://schemas.openxmlformats.org/officeDocument/2006/relationships/image" Target="media/image1.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130</Pages>
  <Words>39484</Words>
  <Characters>41839</Characters>
  <Lines>448</Lines>
  <Paragraphs>126</Paragraphs>
  <TotalTime>5</TotalTime>
  <ScaleCrop>false</ScaleCrop>
  <LinksUpToDate>false</LinksUpToDate>
  <CharactersWithSpaces>44403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2020-05-12T03:25:00Z</dcterms:created>
  <dc:creator>JuneW</dc:creator>
  <cp:lastModifiedBy>你若安好那还得了</cp:lastModifiedBy>
  <cp:lastPrinted>2022-05-15T02:52:00Z</cp:lastPrinted>
  <dcterms:modified xsi:type="dcterms:W3CDTF">2025-01-27T03:15:02Z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CA6CA8E3684E4007A5F12CE7903B0D49_13</vt:lpwstr>
  </property>
  <property fmtid="{D5CDD505-2E9C-101B-9397-08002B2CF9AE}" pid="4" name="KSOTemplateDocerSaveRecord">
    <vt:lpwstr>eyJoZGlkIjoiOWJiMmE0ODkxNWMzZjgyYTI2NzI5YTEyMzQ4YWNhNTkiLCJ1c2VySWQiOiIzNDI2NTU0NjUifQ==</vt:lpwstr>
  </property>
</Properties>
</file>