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CC24">
      <w:pPr>
        <w:pStyle w:val="30"/>
        <w:rPr>
          <w:rFonts w:hint="eastAsia" w:ascii="仿宋" w:hAnsi="仿宋" w:eastAsia="仿宋" w:cs="仿宋"/>
          <w:color w:val="auto"/>
          <w:lang w:val="en-US" w:eastAsia="zh-CN"/>
        </w:rPr>
      </w:pPr>
    </w:p>
    <w:p w14:paraId="148CA81B">
      <w:pPr>
        <w:keepNext w:val="0"/>
        <w:keepLines w:val="0"/>
        <w:widowControl/>
        <w:suppressLineNumbers w:val="0"/>
        <w:jc w:val="left"/>
        <w:rPr>
          <w:rFonts w:hint="eastAsia" w:ascii="仿宋" w:hAnsi="仿宋" w:eastAsia="仿宋" w:cs="仿宋"/>
          <w:b/>
          <w:bCs/>
          <w:color w:val="auto"/>
          <w:kern w:val="0"/>
          <w:sz w:val="32"/>
          <w:szCs w:val="32"/>
          <w:lang w:val="en-US" w:eastAsia="zh-CN" w:bidi="ar"/>
        </w:rPr>
      </w:pPr>
    </w:p>
    <w:p w14:paraId="21332623">
      <w:pPr>
        <w:pStyle w:val="30"/>
        <w:rPr>
          <w:rFonts w:hint="eastAsia" w:ascii="仿宋" w:hAnsi="仿宋" w:eastAsia="仿宋" w:cs="仿宋"/>
          <w:color w:val="auto"/>
          <w:lang w:val="en-US" w:eastAsia="zh-CN"/>
        </w:rPr>
      </w:pPr>
    </w:p>
    <w:p w14:paraId="0491D239">
      <w:pPr>
        <w:keepNext w:val="0"/>
        <w:keepLines w:val="0"/>
        <w:widowControl/>
        <w:suppressLineNumbers w:val="0"/>
        <w:jc w:val="center"/>
        <w:rPr>
          <w:rFonts w:hint="eastAsia" w:ascii="仿宋" w:hAnsi="仿宋" w:eastAsia="仿宋" w:cs="仿宋"/>
          <w:b/>
          <w:bCs/>
          <w:color w:val="auto"/>
          <w:kern w:val="0"/>
          <w:sz w:val="44"/>
          <w:szCs w:val="44"/>
          <w:lang w:val="en-US" w:eastAsia="zh-CN" w:bidi="ar"/>
        </w:rPr>
      </w:pPr>
    </w:p>
    <w:p w14:paraId="36199DF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52"/>
          <w:szCs w:val="52"/>
        </w:rPr>
      </w:pPr>
      <w:r>
        <w:rPr>
          <w:rFonts w:hint="eastAsia" w:ascii="仿宋" w:hAnsi="仿宋" w:eastAsia="仿宋" w:cs="仿宋"/>
          <w:b/>
          <w:bCs/>
          <w:color w:val="auto"/>
          <w:kern w:val="0"/>
          <w:sz w:val="52"/>
          <w:szCs w:val="52"/>
          <w:lang w:val="en-US" w:eastAsia="zh-CN" w:bidi="ar"/>
        </w:rPr>
        <w:t>政府采购</w:t>
      </w:r>
    </w:p>
    <w:p w14:paraId="09F7C60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52"/>
          <w:szCs w:val="52"/>
        </w:rPr>
      </w:pPr>
      <w:r>
        <w:rPr>
          <w:rFonts w:hint="eastAsia" w:ascii="仿宋" w:hAnsi="仿宋" w:eastAsia="仿宋" w:cs="仿宋"/>
          <w:b/>
          <w:bCs/>
          <w:color w:val="auto"/>
          <w:kern w:val="0"/>
          <w:sz w:val="52"/>
          <w:szCs w:val="52"/>
          <w:lang w:val="en-US" w:eastAsia="zh-CN" w:bidi="ar"/>
        </w:rPr>
        <w:t>货物公开招标文件</w:t>
      </w:r>
    </w:p>
    <w:p w14:paraId="1D9D9BA9">
      <w:pPr>
        <w:rPr>
          <w:rFonts w:hint="eastAsia" w:ascii="仿宋" w:hAnsi="仿宋" w:eastAsia="仿宋" w:cs="仿宋"/>
          <w:color w:val="auto"/>
        </w:rPr>
      </w:pPr>
    </w:p>
    <w:p w14:paraId="221CF24E">
      <w:pPr>
        <w:pStyle w:val="30"/>
        <w:rPr>
          <w:rFonts w:hint="eastAsia" w:ascii="仿宋" w:hAnsi="仿宋" w:eastAsia="仿宋" w:cs="仿宋"/>
          <w:color w:val="auto"/>
        </w:rPr>
      </w:pPr>
    </w:p>
    <w:p w14:paraId="5562155B">
      <w:pPr>
        <w:pStyle w:val="30"/>
        <w:rPr>
          <w:rFonts w:hint="eastAsia" w:ascii="仿宋" w:hAnsi="仿宋" w:eastAsia="仿宋" w:cs="仿宋"/>
          <w:color w:val="auto"/>
        </w:rPr>
      </w:pPr>
    </w:p>
    <w:p w14:paraId="0FC6B697">
      <w:pPr>
        <w:pStyle w:val="30"/>
        <w:rPr>
          <w:rFonts w:hint="eastAsia" w:ascii="仿宋" w:hAnsi="仿宋" w:eastAsia="仿宋" w:cs="仿宋"/>
          <w:color w:val="auto"/>
        </w:rPr>
      </w:pPr>
    </w:p>
    <w:p w14:paraId="4E1FEE41">
      <w:pPr>
        <w:pStyle w:val="30"/>
        <w:rPr>
          <w:rFonts w:hint="eastAsia" w:ascii="仿宋" w:hAnsi="仿宋" w:eastAsia="仿宋" w:cs="仿宋"/>
          <w:color w:val="auto"/>
        </w:rPr>
      </w:pPr>
    </w:p>
    <w:p w14:paraId="63AF52BC">
      <w:pPr>
        <w:pStyle w:val="30"/>
        <w:rPr>
          <w:rFonts w:hint="eastAsia" w:ascii="仿宋" w:hAnsi="仿宋" w:eastAsia="仿宋" w:cs="仿宋"/>
          <w:color w:val="auto"/>
        </w:rPr>
      </w:pPr>
    </w:p>
    <w:p w14:paraId="151A0A08">
      <w:pPr>
        <w:pStyle w:val="30"/>
        <w:rPr>
          <w:rFonts w:hint="eastAsia" w:ascii="仿宋" w:hAnsi="仿宋" w:eastAsia="仿宋" w:cs="仿宋"/>
          <w:color w:val="auto"/>
        </w:rPr>
      </w:pPr>
    </w:p>
    <w:p w14:paraId="07E4C955">
      <w:pPr>
        <w:pStyle w:val="30"/>
        <w:rPr>
          <w:rFonts w:hint="eastAsia" w:ascii="仿宋" w:hAnsi="仿宋" w:eastAsia="仿宋" w:cs="仿宋"/>
          <w:color w:val="auto"/>
        </w:rPr>
      </w:pPr>
    </w:p>
    <w:p w14:paraId="179F99EB">
      <w:pPr>
        <w:ind w:firstLine="600" w:firstLineChars="200"/>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项目名称：</w:t>
      </w:r>
      <w:r>
        <w:rPr>
          <w:rFonts w:hint="eastAsia" w:ascii="仿宋" w:hAnsi="仿宋" w:eastAsia="仿宋" w:cs="仿宋"/>
          <w:color w:val="auto"/>
          <w:sz w:val="30"/>
          <w:szCs w:val="30"/>
          <w:vertAlign w:val="baseline"/>
          <w:lang w:val="en-US" w:eastAsia="zh-CN"/>
        </w:rPr>
        <w:t>和田地区区域医疗中心建设项目（二期）-设备采购包十一（二次）</w:t>
      </w:r>
    </w:p>
    <w:p w14:paraId="23938B9E">
      <w:pPr>
        <w:ind w:firstLine="600" w:firstLineChars="200"/>
        <w:rPr>
          <w:rFonts w:hint="eastAsia" w:ascii="仿宋" w:hAnsi="仿宋" w:eastAsia="仿宋" w:cs="仿宋"/>
          <w:color w:val="auto"/>
          <w:sz w:val="30"/>
          <w:szCs w:val="30"/>
        </w:rPr>
      </w:pPr>
      <w:r>
        <w:rPr>
          <w:rFonts w:hint="eastAsia" w:ascii="仿宋" w:hAnsi="仿宋" w:eastAsia="仿宋" w:cs="仿宋"/>
          <w:b w:val="0"/>
          <w:bCs w:val="0"/>
          <w:color w:val="auto"/>
          <w:kern w:val="0"/>
          <w:sz w:val="30"/>
          <w:szCs w:val="30"/>
          <w:lang w:val="en-US" w:eastAsia="zh-CN" w:bidi="ar"/>
        </w:rPr>
        <w:t>招标编号：</w:t>
      </w:r>
      <w:r>
        <w:rPr>
          <w:rFonts w:hint="eastAsia" w:ascii="仿宋" w:hAnsi="仿宋" w:eastAsia="仿宋" w:cs="仿宋"/>
          <w:color w:val="auto"/>
          <w:sz w:val="30"/>
          <w:szCs w:val="30"/>
          <w:vertAlign w:val="baseline"/>
          <w:lang w:val="en-US" w:eastAsia="zh-CN"/>
        </w:rPr>
        <w:t>XJZFCG-GK-2024-003号-11-2</w:t>
      </w:r>
    </w:p>
    <w:p w14:paraId="7FB8F763">
      <w:pPr>
        <w:pStyle w:val="30"/>
        <w:ind w:firstLine="640" w:firstLineChars="200"/>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采购人：</w:t>
      </w:r>
      <w:r>
        <w:rPr>
          <w:rFonts w:hint="eastAsia" w:ascii="仿宋" w:hAnsi="仿宋" w:eastAsia="仿宋" w:cs="仿宋"/>
          <w:color w:val="auto"/>
          <w:sz w:val="30"/>
          <w:szCs w:val="30"/>
          <w:vertAlign w:val="baseline"/>
          <w:lang w:val="en-US" w:eastAsia="zh-CN"/>
        </w:rPr>
        <w:t>和田地区卫生健康委员会</w:t>
      </w:r>
    </w:p>
    <w:p w14:paraId="0D8A64AD">
      <w:pPr>
        <w:pStyle w:val="30"/>
        <w:ind w:firstLine="640" w:firstLineChars="200"/>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采购代理机构：</w:t>
      </w:r>
      <w:r>
        <w:rPr>
          <w:rFonts w:hint="eastAsia" w:ascii="仿宋" w:hAnsi="仿宋" w:eastAsia="仿宋" w:cs="仿宋"/>
          <w:color w:val="auto"/>
          <w:sz w:val="30"/>
          <w:szCs w:val="30"/>
          <w:vertAlign w:val="baseline"/>
          <w:lang w:val="en-US" w:eastAsia="zh-CN"/>
        </w:rPr>
        <w:t>中科建疆工程管理有限公司</w:t>
      </w:r>
    </w:p>
    <w:p w14:paraId="1ACE3DF5">
      <w:pPr>
        <w:pStyle w:val="30"/>
        <w:ind w:firstLine="600" w:firstLineChars="200"/>
        <w:jc w:val="center"/>
        <w:rPr>
          <w:rFonts w:hint="eastAsia" w:ascii="仿宋" w:hAnsi="仿宋" w:eastAsia="仿宋" w:cs="仿宋"/>
          <w:b w:val="0"/>
          <w:bCs w:val="0"/>
          <w:color w:val="auto"/>
          <w:kern w:val="0"/>
          <w:sz w:val="28"/>
          <w:szCs w:val="28"/>
          <w:lang w:val="en-US" w:eastAsia="zh-CN" w:bidi="ar"/>
        </w:rPr>
      </w:pPr>
    </w:p>
    <w:p w14:paraId="7AA91ED2">
      <w:pPr>
        <w:pStyle w:val="30"/>
        <w:ind w:firstLine="600" w:firstLineChars="200"/>
        <w:jc w:val="center"/>
        <w:rPr>
          <w:rFonts w:hint="eastAsia" w:ascii="仿宋" w:hAnsi="仿宋" w:eastAsia="仿宋" w:cs="仿宋"/>
          <w:b w:val="0"/>
          <w:bCs w:val="0"/>
          <w:color w:val="auto"/>
          <w:kern w:val="0"/>
          <w:sz w:val="28"/>
          <w:szCs w:val="28"/>
          <w:lang w:val="en-US" w:eastAsia="zh-CN" w:bidi="ar"/>
        </w:rPr>
      </w:pPr>
    </w:p>
    <w:p w14:paraId="4416299E">
      <w:pPr>
        <w:pStyle w:val="30"/>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b w:val="0"/>
          <w:bCs w:val="0"/>
          <w:color w:val="auto"/>
          <w:kern w:val="0"/>
          <w:sz w:val="30"/>
          <w:szCs w:val="30"/>
          <w:lang w:val="en-US" w:eastAsia="zh-CN" w:bidi="ar"/>
        </w:rPr>
        <w:t>时间：</w:t>
      </w:r>
      <w:r>
        <w:rPr>
          <w:rFonts w:hint="eastAsia" w:ascii="仿宋" w:hAnsi="仿宋" w:eastAsia="仿宋" w:cs="仿宋"/>
          <w:color w:val="auto"/>
          <w:sz w:val="30"/>
          <w:szCs w:val="30"/>
          <w:vertAlign w:val="baseline"/>
          <w:lang w:val="en-US" w:eastAsia="zh-CN"/>
        </w:rPr>
        <w:t>2025年3月</w:t>
      </w:r>
    </w:p>
    <w:p w14:paraId="6B7CACF5">
      <w:pPr>
        <w:rPr>
          <w:rFonts w:hint="eastAsia" w:ascii="仿宋" w:hAnsi="仿宋" w:eastAsia="仿宋" w:cs="仿宋"/>
          <w:color w:val="auto"/>
        </w:rPr>
      </w:pPr>
    </w:p>
    <w:p w14:paraId="7B73CA92">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0845E78A">
      <w:pPr>
        <w:pStyle w:val="76"/>
        <w:pageBreakBefore w:val="0"/>
        <w:tabs>
          <w:tab w:val="left" w:pos="9214"/>
        </w:tabs>
        <w:kinsoku/>
        <w:wordWrap/>
        <w:topLinePunct w:val="0"/>
        <w:bidi w:val="0"/>
        <w:spacing w:line="360" w:lineRule="auto"/>
        <w:ind w:firstLine="0"/>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特别提醒：</w:t>
      </w:r>
    </w:p>
    <w:p w14:paraId="208E7198">
      <w:pPr>
        <w:spacing w:line="360" w:lineRule="auto"/>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投标企业采用银行转账或电汇的方式的，投标保证金由投标人基本账户汇出（投标保证金需一笔足额汇出，分笔汇出银行系统将不予统计），且不得以分公司的名义转账，投标保证金须在2025年04月02日11:00（北京时间）前到账，超过时间则不予认可。投标单位须在汇款单备注栏标明：XXX项目XXX包段（标段）或采购项目编号。本项目不换取保证金收据，由银行出具投标企业保证金缴纳情况。晚于规定时间缴纳保证金的企业，一切责任将由投标人自行承担。</w:t>
      </w:r>
    </w:p>
    <w:p w14:paraId="76700DA8">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投标企业下载招标文件后请仔细阅读，如对招标文件内容有质疑，投标人应在投标截止15日前按招标文件中载明的邮箱：562251287@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47A2F997">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为确保投标保证金的及时退还，评标结束后投标企业需提供保证金汇款凭证、开户许可证复印件、收据并注明开户行行号、联系方式（加盖公司鲜红公章）扫描发送中科建疆工程管理有限公司邮箱562251287@qq.com（注：废标项目投保证金在后续项目再次招标时银行系统不做统计，请投标企业及时办理退款）。</w:t>
      </w:r>
    </w:p>
    <w:p w14:paraId="76E57DD5">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4.政采云电子保函使用方法：1、登录新疆政府采购网，首页点击“电子保函”直接进入新疆政府采购电子保函申请页，点击【立即申请】2、依次完善页面显示的投保人信息（供应商信息），确认您要投保的项目信息，在投保的项目选择页面选择您需要投保的项目（可根据项目名称或项目保函进行搜索），选择投保项目后填写被保险人信息及投保内容。</w:t>
      </w:r>
    </w:p>
    <w:p w14:paraId="1B9DF5C7">
      <w:pPr>
        <w:pStyle w:val="13"/>
        <w:rPr>
          <w:rFonts w:hint="eastAsia" w:ascii="仿宋" w:hAnsi="仿宋" w:eastAsia="仿宋" w:cs="仿宋"/>
          <w:color w:val="auto"/>
        </w:rPr>
      </w:pPr>
    </w:p>
    <w:p w14:paraId="7D5B4B05">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758F3EE3">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目  录</w:t>
      </w:r>
    </w:p>
    <w:sdt>
      <w:sdtPr>
        <w:rPr>
          <w:rFonts w:hint="eastAsia" w:ascii="仿宋" w:hAnsi="仿宋" w:eastAsia="仿宋" w:cs="仿宋"/>
          <w:color w:val="auto"/>
          <w:kern w:val="2"/>
          <w:sz w:val="21"/>
          <w:szCs w:val="24"/>
          <w:lang w:val="en-US" w:eastAsia="zh-CN" w:bidi="ar-SA"/>
        </w:rPr>
        <w:id w:val="147451175"/>
        <w15:color w:val="DBDBDB"/>
        <w:docPartObj>
          <w:docPartGallery w:val="Table of Contents"/>
          <w:docPartUnique/>
        </w:docPartObj>
      </w:sdtPr>
      <w:sdtEndPr>
        <w:rPr>
          <w:rFonts w:hint="eastAsia" w:ascii="仿宋" w:hAnsi="仿宋" w:eastAsia="仿宋" w:cs="仿宋"/>
          <w:bCs/>
          <w:color w:val="auto"/>
          <w:spacing w:val="10"/>
          <w:kern w:val="0"/>
          <w:sz w:val="24"/>
          <w:szCs w:val="24"/>
          <w:lang w:val="en-US" w:eastAsia="zh-CN" w:bidi="ar-SA"/>
        </w:rPr>
      </w:sdtEndPr>
      <w:sdtContent>
        <w:p w14:paraId="53BA7B88">
          <w:pPr>
            <w:spacing w:before="0" w:beforeLines="0" w:after="0" w:afterLines="0" w:line="240" w:lineRule="auto"/>
            <w:ind w:left="0" w:leftChars="0" w:right="0" w:rightChars="0" w:firstLine="0" w:firstLineChars="0"/>
            <w:jc w:val="center"/>
            <w:rPr>
              <w:rFonts w:hint="eastAsia" w:ascii="仿宋" w:hAnsi="仿宋" w:eastAsia="仿宋" w:cs="仿宋"/>
              <w:color w:val="auto"/>
            </w:rPr>
          </w:pPr>
        </w:p>
        <w:p w14:paraId="0CB83D67">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TOC \o "1-1" \h \u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_Toc32601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z w:val="24"/>
              <w:szCs w:val="24"/>
              <w:lang w:val="en-US" w:eastAsia="zh-CN"/>
            </w:rPr>
            <w:t>第一章  投标邀请</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_Toc32601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61774A98">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_Toc14253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z w:val="24"/>
              <w:szCs w:val="24"/>
              <w:lang w:val="en-US" w:eastAsia="zh-CN"/>
            </w:rPr>
            <w:t>第二章  投标须知前附表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_Toc14253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74FF8A91">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_Toc3899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z w:val="24"/>
              <w:szCs w:val="24"/>
              <w:lang w:val="en-US" w:eastAsia="zh-CN"/>
            </w:rPr>
            <w:t>第三章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_Toc3899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2EBC331D">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_Toc4000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rPr>
            <w:t>第</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 xml:space="preserve">章  </w:t>
          </w:r>
          <w:r>
            <w:rPr>
              <w:rFonts w:hint="eastAsia" w:ascii="仿宋" w:hAnsi="仿宋" w:eastAsia="仿宋" w:cs="仿宋"/>
              <w:color w:val="auto"/>
              <w:sz w:val="24"/>
              <w:szCs w:val="24"/>
              <w:lang w:val="en-US" w:eastAsia="zh-CN"/>
            </w:rPr>
            <w:t>政府采购合同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_Toc4000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78FA7AEE">
          <w:pPr>
            <w:pStyle w:val="42"/>
            <w:tabs>
              <w:tab w:val="right" w:leader="dot" w:pos="8306"/>
            </w:tabs>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_Toc7984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color w:val="auto"/>
              <w:spacing w:val="0"/>
              <w:kern w:val="2"/>
              <w:sz w:val="24"/>
              <w:szCs w:val="24"/>
              <w:lang w:val="en-US" w:eastAsia="zh-CN" w:bidi="ar"/>
            </w:rPr>
            <w:t>第五章  采购需求</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4</w:t>
          </w:r>
        </w:p>
        <w:p w14:paraId="4A06945B">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_Toc3191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i w:val="0"/>
              <w:iCs w:val="0"/>
              <w:color w:val="auto"/>
              <w:sz w:val="24"/>
              <w:szCs w:val="24"/>
              <w:lang w:val="en-US" w:eastAsia="zh-CN"/>
            </w:rPr>
            <w:t>第六章  评标方法和标准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_Toc3191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0B43254E">
          <w:pPr>
            <w:pStyle w:val="42"/>
            <w:tabs>
              <w:tab w:val="right" w:leader="do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\l _Toc17967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bCs/>
              <w:i w:val="0"/>
              <w:iCs w:val="0"/>
              <w:color w:val="auto"/>
              <w:sz w:val="24"/>
              <w:szCs w:val="24"/>
              <w:lang w:val="en-US" w:eastAsia="zh-CN"/>
            </w:rPr>
            <w:t>第七章  投标文件格式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_Toc17967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fldChar w:fldCharType="end"/>
          </w:r>
        </w:p>
        <w:p w14:paraId="19C0A87F">
          <w:pPr>
            <w:pStyle w:val="30"/>
            <w:spacing w:line="360" w:lineRule="auto"/>
            <w:rPr>
              <w:rFonts w:hint="eastAsia" w:ascii="仿宋" w:hAnsi="仿宋" w:eastAsia="仿宋" w:cs="仿宋"/>
              <w:color w:val="auto"/>
              <w:sz w:val="24"/>
              <w:szCs w:val="24"/>
              <w:lang w:val="en-US" w:eastAsia="zh-CN"/>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color w:val="auto"/>
              <w:sz w:val="24"/>
              <w:szCs w:val="24"/>
              <w:lang w:val="en-US" w:eastAsia="zh-CN"/>
            </w:rPr>
            <w:fldChar w:fldCharType="end"/>
          </w:r>
        </w:p>
      </w:sdtContent>
    </w:sdt>
    <w:p w14:paraId="1AE2B30E">
      <w:pPr>
        <w:jc w:val="center"/>
        <w:outlineLvl w:val="0"/>
        <w:rPr>
          <w:rFonts w:hint="eastAsia" w:ascii="仿宋" w:hAnsi="仿宋" w:eastAsia="仿宋" w:cs="仿宋"/>
          <w:b/>
          <w:bCs/>
          <w:color w:val="auto"/>
          <w:sz w:val="32"/>
          <w:szCs w:val="32"/>
          <w:lang w:val="en-US" w:eastAsia="zh-CN"/>
        </w:rPr>
      </w:pPr>
      <w:bookmarkStart w:id="0" w:name="_Toc32601"/>
      <w:r>
        <w:rPr>
          <w:rFonts w:hint="eastAsia" w:ascii="仿宋" w:hAnsi="仿宋" w:eastAsia="仿宋" w:cs="仿宋"/>
          <w:b/>
          <w:bCs/>
          <w:color w:val="auto"/>
          <w:sz w:val="32"/>
          <w:szCs w:val="32"/>
          <w:lang w:val="en-US" w:eastAsia="zh-CN"/>
        </w:rPr>
        <w:t>第一章 投标邀请</w:t>
      </w:r>
      <w:bookmarkEnd w:id="0"/>
    </w:p>
    <w:p w14:paraId="049CCEC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color w:val="auto"/>
          <w:sz w:val="24"/>
          <w:szCs w:val="24"/>
          <w:lang w:val="en-US" w:eastAsia="zh-CN"/>
        </w:rPr>
        <w:t>项目概况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C42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C94B28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vertAlign w:val="baseline"/>
                <w:lang w:val="en-US" w:eastAsia="zh-CN"/>
              </w:rPr>
            </w:pPr>
            <w:r>
              <w:rPr>
                <w:rFonts w:hint="eastAsia" w:ascii="仿宋" w:hAnsi="仿宋" w:eastAsia="仿宋" w:cs="仿宋"/>
                <w:b w:val="0"/>
                <w:bCs w:val="0"/>
                <w:color w:val="auto"/>
                <w:sz w:val="24"/>
                <w:szCs w:val="24"/>
                <w:lang w:val="en-US" w:eastAsia="zh-CN"/>
              </w:rPr>
              <w:t>和田地区区域医疗中心建设项目（二期）-设备采购包十一（二次）的潜在投标人应在政采云平台线上获取获取招标文件，并于2025年04月02日 11:00（北京时间）前递交投标文件。</w:t>
            </w:r>
          </w:p>
        </w:tc>
      </w:tr>
    </w:tbl>
    <w:p w14:paraId="27D286B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一、项目基本情况</w:t>
      </w:r>
      <w:bookmarkEnd w:id="1"/>
      <w:bookmarkEnd w:id="2"/>
      <w:bookmarkEnd w:id="3"/>
      <w:bookmarkEnd w:id="4"/>
    </w:p>
    <w:p w14:paraId="4D2501E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项目编号：XJZFCG-GK-2024-003号-11-2</w:t>
      </w:r>
    </w:p>
    <w:p w14:paraId="4658286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项目名称：和田地区区域医疗中心建设项目（二期）-设备采购包十一（二次）</w:t>
      </w:r>
    </w:p>
    <w:p w14:paraId="0FF9067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采购方式：公开招标</w:t>
      </w:r>
    </w:p>
    <w:bookmarkEnd w:id="5"/>
    <w:p w14:paraId="29CD082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预算金额：4950300.00元</w:t>
      </w:r>
    </w:p>
    <w:p w14:paraId="5B467F4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最高限价：4950300.00元</w:t>
      </w:r>
    </w:p>
    <w:p w14:paraId="29E5ED8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采购需求：</w:t>
      </w:r>
      <w:bookmarkStart w:id="6" w:name="_Toc28359003"/>
      <w:bookmarkStart w:id="7" w:name="_Toc35393791"/>
      <w:bookmarkStart w:id="8" w:name="_Toc28359080"/>
      <w:bookmarkStart w:id="9" w:name="_Toc35393622"/>
    </w:p>
    <w:p w14:paraId="0EFFB8C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标项一</w:t>
      </w:r>
    </w:p>
    <w:p w14:paraId="33E1883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标项名称：和田地区区域医疗中心建设项目（二期）-设备采购包十一（二次）</w:t>
      </w:r>
    </w:p>
    <w:p w14:paraId="1D3C945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数量：1</w:t>
      </w:r>
    </w:p>
    <w:p w14:paraId="6149987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单位：批</w:t>
      </w:r>
    </w:p>
    <w:p w14:paraId="24CEFEF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预算金额（元）：4950300.00</w:t>
      </w:r>
    </w:p>
    <w:p w14:paraId="60E6D9BB">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简要规格描述或项目基本概况介绍、用途：病理科全套设备1套。</w:t>
      </w:r>
    </w:p>
    <w:p w14:paraId="19EE9A4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备注：具体参数详见采购需求</w:t>
      </w:r>
    </w:p>
    <w:p w14:paraId="29D71EC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合同履约期限：合同签订之日起 30天内全部安装、调试、试运行完毕。</w:t>
      </w:r>
    </w:p>
    <w:p w14:paraId="0E3A714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本项目（否）接受联合体投标。</w:t>
      </w:r>
    </w:p>
    <w:p w14:paraId="6C7527E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二、申请人的资格要求：</w:t>
      </w:r>
      <w:bookmarkEnd w:id="6"/>
      <w:bookmarkEnd w:id="7"/>
      <w:bookmarkEnd w:id="8"/>
      <w:bookmarkEnd w:id="9"/>
    </w:p>
    <w:p w14:paraId="00FD3A1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1.满足《中华人民共和国政府采购法》第二十二条规定；</w:t>
      </w:r>
    </w:p>
    <w:p w14:paraId="07ECF8E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bookmarkStart w:id="10" w:name="_Toc28359081"/>
      <w:bookmarkStart w:id="11" w:name="_Toc28359004"/>
      <w:r>
        <w:rPr>
          <w:rFonts w:hint="eastAsia" w:ascii="仿宋" w:hAnsi="仿宋" w:eastAsia="仿宋" w:cs="仿宋"/>
          <w:b w:val="0"/>
          <w:bCs w:val="0"/>
          <w:color w:val="auto"/>
          <w:sz w:val="24"/>
          <w:szCs w:val="24"/>
          <w:lang w:val="en-US" w:eastAsia="zh-CN"/>
        </w:rPr>
        <w:t>2.落实政府采购政策需满足的资格要求：标项一：本项目为非专门面向中小企业（含中型、小型、微型企业）采购项目，根据《政府采购促进中小企业发展管理办法》（财库[2020]46号）的规定，评标时将给予此类企业进行价格10%的优惠，用优惠后的价格参与评审。本项目所属行业为：工业。</w:t>
      </w:r>
    </w:p>
    <w:p w14:paraId="3008E94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3.本项目的特定资格要求：</w:t>
      </w:r>
    </w:p>
    <w:p w14:paraId="40A4D07B">
      <w:pPr>
        <w:pStyle w:val="3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货物若属于一类医疗器械，则无须提供此项；所有证件必须在有效期内；</w:t>
      </w:r>
    </w:p>
    <w:p w14:paraId="3A39E5A7">
      <w:pPr>
        <w:pStyle w:val="3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以上所需的证件、资料如有有效期规定的，均需在有效期内。</w:t>
      </w:r>
    </w:p>
    <w:p w14:paraId="0069CBDE">
      <w:pPr>
        <w:pStyle w:val="3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（2）投标人须提供所投产品有效的《中华人民共和国医疗器械注册证》，若注册证有附件的，还须提供附件；</w:t>
      </w:r>
    </w:p>
    <w:p w14:paraId="259834AA">
      <w:pPr>
        <w:pStyle w:val="3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（3）与采购人存在利害关系可能影响采购公正性的法人、其他组织或者个人，不得参加投标；</w:t>
      </w:r>
    </w:p>
    <w:p w14:paraId="36D23BD6">
      <w:pPr>
        <w:pStyle w:val="3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52E9A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12" w:name="_Toc35393623"/>
      <w:bookmarkStart w:id="13" w:name="_Toc35393792"/>
      <w:r>
        <w:rPr>
          <w:rFonts w:hint="eastAsia" w:ascii="仿宋" w:hAnsi="仿宋" w:eastAsia="仿宋" w:cs="仿宋"/>
          <w:b/>
          <w:bCs/>
          <w:color w:val="auto"/>
          <w:sz w:val="24"/>
          <w:szCs w:val="24"/>
          <w:lang w:val="en-US" w:eastAsia="zh-CN"/>
        </w:rPr>
        <w:t>三、获取招标文件</w:t>
      </w:r>
      <w:bookmarkEnd w:id="10"/>
      <w:bookmarkEnd w:id="11"/>
      <w:bookmarkEnd w:id="12"/>
      <w:bookmarkEnd w:id="13"/>
    </w:p>
    <w:p w14:paraId="4BDCEDD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时间：2025年03月13日至2025年04月01日，每天上午00:00至12:00，下午12:00至23:59（北京时间，法定节假日除外）</w:t>
      </w:r>
    </w:p>
    <w:p w14:paraId="48D4BCE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地点：政采云平台http://www.zcygov.cn/</w:t>
      </w:r>
    </w:p>
    <w:p w14:paraId="3EC232B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供应商登录政采云平台https://www.zcygov.cn/在线申请获取采购文件（进入“项目采购”应用，在获取采购文件菜单中选择项目，申请获取采购文件），或点击采购公告底部潜在供应商“获取采购文件”，页面跳转后登录，直接获取采购文件。</w:t>
      </w:r>
    </w:p>
    <w:p w14:paraId="2FC2F71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售价：0元/本</w:t>
      </w:r>
    </w:p>
    <w:p w14:paraId="444CF80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14" w:name="_Toc28359005"/>
      <w:bookmarkStart w:id="15" w:name="_Toc28359082"/>
      <w:bookmarkStart w:id="16" w:name="_Toc35393624"/>
      <w:bookmarkStart w:id="17" w:name="_Toc35393793"/>
      <w:r>
        <w:rPr>
          <w:rFonts w:hint="eastAsia" w:ascii="仿宋" w:hAnsi="仿宋" w:eastAsia="仿宋" w:cs="仿宋"/>
          <w:b/>
          <w:bCs/>
          <w:color w:val="auto"/>
          <w:sz w:val="24"/>
          <w:szCs w:val="24"/>
          <w:lang w:val="en-US" w:eastAsia="zh-CN"/>
        </w:rPr>
        <w:t>四、提交投标文件</w:t>
      </w:r>
      <w:bookmarkEnd w:id="14"/>
      <w:bookmarkEnd w:id="15"/>
      <w:r>
        <w:rPr>
          <w:rFonts w:hint="eastAsia" w:ascii="仿宋" w:hAnsi="仿宋" w:eastAsia="仿宋" w:cs="仿宋"/>
          <w:b/>
          <w:bCs/>
          <w:color w:val="auto"/>
          <w:sz w:val="24"/>
          <w:szCs w:val="24"/>
          <w:lang w:val="en-US" w:eastAsia="zh-CN"/>
        </w:rPr>
        <w:t>截止时间、开标时间和地点</w:t>
      </w:r>
      <w:bookmarkEnd w:id="16"/>
      <w:bookmarkEnd w:id="17"/>
    </w:p>
    <w:p w14:paraId="5FB21B9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bookmarkStart w:id="18" w:name="_Toc28359084"/>
      <w:bookmarkStart w:id="19" w:name="_Toc35393794"/>
      <w:bookmarkStart w:id="20" w:name="_Toc35393625"/>
      <w:bookmarkStart w:id="21" w:name="_Toc28359007"/>
      <w:r>
        <w:rPr>
          <w:rFonts w:hint="eastAsia" w:ascii="仿宋" w:hAnsi="仿宋" w:eastAsia="仿宋" w:cs="仿宋"/>
          <w:b w:val="0"/>
          <w:bCs w:val="0"/>
          <w:color w:val="auto"/>
          <w:sz w:val="24"/>
          <w:szCs w:val="24"/>
          <w:lang w:val="en-US" w:eastAsia="zh-CN"/>
        </w:rPr>
        <w:t>提交投标文件截止时间：2025年04月02日 11:00（北京时间）</w:t>
      </w:r>
    </w:p>
    <w:p w14:paraId="42B94D4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提交地点：投标人应于2025年04月02日 11:00(北京时间）之前将电子投标文件上传到“政采云”平台。应按照本项目招标文件和政采云平台的要求编制、加密传输投标文件。</w:t>
      </w:r>
    </w:p>
    <w:p w14:paraId="6269382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开标时间：2025年04月02日 11:00（北京时间）</w:t>
      </w:r>
    </w:p>
    <w:p w14:paraId="63A23A3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开标地点：政采云平台https://www.zcygov.cn/ 。</w:t>
      </w:r>
    </w:p>
    <w:p w14:paraId="4114D13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五、公告期限</w:t>
      </w:r>
      <w:bookmarkEnd w:id="18"/>
      <w:bookmarkEnd w:id="19"/>
      <w:bookmarkEnd w:id="20"/>
      <w:bookmarkEnd w:id="21"/>
    </w:p>
    <w:p w14:paraId="32F7E6A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自本公告发布之日起5个工作日。</w:t>
      </w:r>
    </w:p>
    <w:p w14:paraId="0140E6E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bookmarkStart w:id="22" w:name="_Toc35393626"/>
      <w:bookmarkStart w:id="23" w:name="_Toc35393795"/>
      <w:r>
        <w:rPr>
          <w:rFonts w:hint="eastAsia" w:ascii="仿宋" w:hAnsi="仿宋" w:eastAsia="仿宋" w:cs="仿宋"/>
          <w:b/>
          <w:bCs/>
          <w:color w:val="auto"/>
          <w:sz w:val="24"/>
          <w:szCs w:val="24"/>
          <w:lang w:val="en-US" w:eastAsia="zh-CN"/>
        </w:rPr>
        <w:t>六、其他补充事宜</w:t>
      </w:r>
      <w:bookmarkEnd w:id="22"/>
      <w:bookmarkEnd w:id="23"/>
    </w:p>
    <w:p w14:paraId="7A9310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bookmarkStart w:id="24" w:name="_Toc35393627"/>
      <w:bookmarkStart w:id="25" w:name="_Toc28359085"/>
      <w:bookmarkStart w:id="26" w:name="_Toc28359008"/>
      <w:bookmarkStart w:id="27" w:name="_Toc35393796"/>
      <w:r>
        <w:rPr>
          <w:rFonts w:hint="eastAsia" w:ascii="仿宋" w:hAnsi="仿宋" w:eastAsia="仿宋" w:cs="仿宋"/>
          <w:b w:val="0"/>
          <w:bCs w:val="0"/>
          <w:color w:val="auto"/>
          <w:sz w:val="24"/>
          <w:szCs w:val="24"/>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2E4B8E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2.各供应商应在开标前完成新疆政府采购网注册，并申领CA数字证书。因未注册、未办理CA数字证书等原因造成无法投标或投标失败等后果的由供应商自行承担。</w:t>
      </w:r>
    </w:p>
    <w:p w14:paraId="17C168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3.供应商可前往新疆政府采购网（http://www.ccgp-xinjiang.gov.cn/）下载专区，下载政采云电子投标客户端，安装完成后，可通过账号密码或CA登录客户端进行投标文件制作。</w:t>
      </w:r>
    </w:p>
    <w:p w14:paraId="693A00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4..供应商在开标时须携带制作加密电子投标文件所使用的CA锁，电脑须提前配置好浏览器，以便开标时在线解密。</w:t>
      </w:r>
    </w:p>
    <w:p w14:paraId="0E256D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b w:val="0"/>
          <w:bCs w:val="0"/>
          <w:color w:val="auto"/>
          <w:sz w:val="24"/>
          <w:szCs w:val="24"/>
          <w:lang w:val="en-US" w:eastAsia="zh-CN"/>
        </w:rPr>
        <w:t>5.投标供应商应当在投标截止时间前，将生成的“电子加密投标文件”上传递交至“政府采购云平台”，投标截止时间以后上传递交的投标文件将被“政府采购云平台”拒收。</w:t>
      </w:r>
    </w:p>
    <w:p w14:paraId="4CF0D5B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特别提示：</w:t>
      </w:r>
    </w:p>
    <w:p w14:paraId="3C98510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1、采购限额标准以上，200万元以下的货物和服务采购项目、400万元以下的工程采购项目，适宜由中小企业提供的，采购人应当专门面向中小企业采购。</w:t>
      </w:r>
    </w:p>
    <w:p w14:paraId="44158D6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0B89C52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3D07C0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F2937C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七、对本次招标提出询问，请按以下方式联系。</w:t>
      </w:r>
      <w:bookmarkEnd w:id="24"/>
      <w:bookmarkEnd w:id="25"/>
      <w:bookmarkEnd w:id="26"/>
      <w:bookmarkEnd w:id="27"/>
    </w:p>
    <w:p w14:paraId="6743A28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1.采购人信息</w:t>
      </w:r>
    </w:p>
    <w:p w14:paraId="7EC2534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称：和田地区卫生健康委员会</w:t>
      </w:r>
    </w:p>
    <w:p w14:paraId="79CB8A1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址：和田市迎宾路392号</w:t>
      </w:r>
    </w:p>
    <w:p w14:paraId="45AF3B22">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联系人：童先生</w:t>
      </w:r>
    </w:p>
    <w:p w14:paraId="74B8C70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联系电话：0903-2031122</w:t>
      </w:r>
    </w:p>
    <w:p w14:paraId="01F680E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2.采购代理机构信息</w:t>
      </w:r>
    </w:p>
    <w:p w14:paraId="0C14B27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称：中科建疆工程管理有限公司</w:t>
      </w:r>
    </w:p>
    <w:p w14:paraId="110328D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址：和田地区景苑公务员小区1号楼1608室</w:t>
      </w:r>
    </w:p>
    <w:p w14:paraId="1E1F7AA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联系人：夏先生</w:t>
      </w:r>
    </w:p>
    <w:p w14:paraId="20873D8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联系电话：0908-4230011 </w:t>
      </w:r>
    </w:p>
    <w:p w14:paraId="5AF9F84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3.同级政府采购监督管理部门名称：和田地区财政局政府采购管理科  </w:t>
      </w:r>
    </w:p>
    <w:p w14:paraId="1E497F7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联系人：董女士     </w:t>
      </w:r>
    </w:p>
    <w:p w14:paraId="3FCDC3E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联系电话：0903-2039229</w:t>
      </w:r>
    </w:p>
    <w:p w14:paraId="726EC673">
      <w:pPr>
        <w:pStyle w:val="27"/>
        <w:rPr>
          <w:rFonts w:hint="eastAsia" w:ascii="仿宋" w:hAnsi="仿宋" w:eastAsia="仿宋" w:cs="仿宋"/>
          <w:color w:val="auto"/>
          <w:lang w:val="en-US" w:eastAsia="zh-CN"/>
        </w:rPr>
      </w:pPr>
    </w:p>
    <w:p w14:paraId="4BF2766B">
      <w:pPr>
        <w:rPr>
          <w:rFonts w:hint="eastAsia" w:ascii="仿宋" w:hAnsi="仿宋" w:eastAsia="仿宋" w:cs="仿宋"/>
          <w:b/>
          <w:bCs/>
          <w:color w:val="auto"/>
          <w:sz w:val="32"/>
          <w:szCs w:val="32"/>
          <w:lang w:val="en-US" w:eastAsia="zh-CN"/>
        </w:rPr>
      </w:pPr>
      <w:bookmarkStart w:id="28" w:name="_Toc19959"/>
      <w:bookmarkStart w:id="29" w:name="_Toc14253"/>
      <w:r>
        <w:rPr>
          <w:rFonts w:hint="eastAsia" w:ascii="仿宋" w:hAnsi="仿宋" w:eastAsia="仿宋" w:cs="仿宋"/>
          <w:b/>
          <w:bCs/>
          <w:color w:val="auto"/>
          <w:sz w:val="32"/>
          <w:szCs w:val="32"/>
          <w:lang w:val="en-US" w:eastAsia="zh-CN"/>
        </w:rPr>
        <w:br w:type="page"/>
      </w:r>
    </w:p>
    <w:p w14:paraId="0AE2A2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第二章  投标须知前附表</w:t>
      </w:r>
      <w:bookmarkEnd w:id="28"/>
      <w:bookmarkEnd w:id="29"/>
    </w:p>
    <w:p w14:paraId="0821B32B">
      <w:pPr>
        <w:keepNext w:val="0"/>
        <w:keepLines w:val="0"/>
        <w:pageBreakBefore w:val="0"/>
        <w:widowControl w:val="0"/>
        <w:kinsoku/>
        <w:wordWrap/>
        <w:overflowPunct/>
        <w:topLinePunct w:val="0"/>
        <w:autoSpaceDE/>
        <w:autoSpaceDN/>
        <w:bidi w:val="0"/>
        <w:adjustRightInd w:val="0"/>
        <w:snapToGrid w:val="0"/>
        <w:spacing w:line="360" w:lineRule="auto"/>
        <w:ind w:right="-313" w:rightChars="-149"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本表是本招标项目的具体资料，是对投标人须知的具体补充和修改，如有矛盾，应以本前附表为准。</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7619"/>
      </w:tblGrid>
      <w:tr w14:paraId="4A60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9" w:type="pct"/>
            <w:tcBorders>
              <w:tl2br w:val="nil"/>
              <w:tr2bl w:val="nil"/>
            </w:tcBorders>
          </w:tcPr>
          <w:p w14:paraId="502C7566">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color w:val="auto"/>
                <w:kern w:val="0"/>
                <w:sz w:val="24"/>
                <w:szCs w:val="24"/>
                <w:u w:val="none"/>
                <w:vertAlign w:val="baseline"/>
                <w:lang w:val="en-US" w:eastAsia="zh-CN" w:bidi="ar"/>
              </w:rPr>
            </w:pPr>
            <w:r>
              <w:rPr>
                <w:rFonts w:hint="eastAsia" w:ascii="仿宋" w:hAnsi="仿宋" w:eastAsia="仿宋" w:cs="仿宋"/>
                <w:b/>
                <w:bCs/>
                <w:color w:val="auto"/>
                <w:kern w:val="0"/>
                <w:sz w:val="24"/>
                <w:szCs w:val="24"/>
                <w:u w:val="none"/>
                <w:vertAlign w:val="baseline"/>
                <w:lang w:val="en-US" w:eastAsia="zh-CN" w:bidi="ar"/>
              </w:rPr>
              <w:t>条款号</w:t>
            </w:r>
          </w:p>
        </w:tc>
        <w:tc>
          <w:tcPr>
            <w:tcW w:w="4470" w:type="pct"/>
            <w:tcBorders>
              <w:tl2br w:val="nil"/>
              <w:tr2bl w:val="nil"/>
            </w:tcBorders>
          </w:tcPr>
          <w:p w14:paraId="5208700D">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color w:val="auto"/>
                <w:kern w:val="0"/>
                <w:sz w:val="24"/>
                <w:szCs w:val="24"/>
                <w:u w:val="none"/>
                <w:vertAlign w:val="baseline"/>
                <w:lang w:val="en-US" w:eastAsia="zh-CN" w:bidi="ar"/>
              </w:rPr>
            </w:pPr>
            <w:r>
              <w:rPr>
                <w:rFonts w:hint="eastAsia" w:ascii="仿宋" w:hAnsi="仿宋" w:eastAsia="仿宋" w:cs="仿宋"/>
                <w:b/>
                <w:bCs/>
                <w:color w:val="auto"/>
                <w:kern w:val="0"/>
                <w:sz w:val="24"/>
                <w:szCs w:val="24"/>
                <w:u w:val="none"/>
                <w:vertAlign w:val="baseline"/>
                <w:lang w:val="en-US" w:eastAsia="zh-CN" w:bidi="ar"/>
              </w:rPr>
              <w:t>内容</w:t>
            </w:r>
          </w:p>
        </w:tc>
      </w:tr>
      <w:tr w14:paraId="0217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Borders>
              <w:tl2br w:val="nil"/>
              <w:tr2bl w:val="nil"/>
            </w:tcBorders>
            <w:vAlign w:val="center"/>
          </w:tcPr>
          <w:p w14:paraId="6E8E6E4E">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w:t>
            </w:r>
          </w:p>
        </w:tc>
        <w:tc>
          <w:tcPr>
            <w:tcW w:w="4470" w:type="pct"/>
            <w:tcBorders>
              <w:tl2br w:val="nil"/>
              <w:tr2bl w:val="nil"/>
            </w:tcBorders>
            <w:vAlign w:val="center"/>
          </w:tcPr>
          <w:p w14:paraId="6F18B09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采购人名称：和田地区卫生健康委员会</w:t>
            </w:r>
          </w:p>
          <w:p w14:paraId="39EC7F1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单位地址：和田市迎宾路392号</w:t>
            </w:r>
          </w:p>
          <w:p w14:paraId="49EFF7C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联系人：童先生</w:t>
            </w:r>
          </w:p>
          <w:p w14:paraId="0E2A60D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联系电话：0903-2031122</w:t>
            </w:r>
          </w:p>
        </w:tc>
      </w:tr>
      <w:tr w14:paraId="657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29" w:type="pct"/>
            <w:tcBorders>
              <w:tl2br w:val="nil"/>
              <w:tr2bl w:val="nil"/>
            </w:tcBorders>
            <w:vAlign w:val="center"/>
          </w:tcPr>
          <w:p w14:paraId="0D68FD3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w:t>
            </w:r>
          </w:p>
        </w:tc>
        <w:tc>
          <w:tcPr>
            <w:tcW w:w="4470" w:type="pct"/>
            <w:tcBorders>
              <w:tl2br w:val="nil"/>
              <w:tr2bl w:val="nil"/>
            </w:tcBorders>
            <w:vAlign w:val="center"/>
          </w:tcPr>
          <w:p w14:paraId="3A4BC554">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代理机构名称：中科建疆工程管理有限公司</w:t>
            </w:r>
          </w:p>
          <w:p w14:paraId="4E3B1ED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单位地址：和田地区景苑公务员小区1号楼1608室</w:t>
            </w:r>
          </w:p>
          <w:p w14:paraId="0BCB074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联系人：夏先生</w:t>
            </w:r>
          </w:p>
          <w:p w14:paraId="25148542">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联系电话：0908-4230011  17881605898</w:t>
            </w:r>
          </w:p>
          <w:p w14:paraId="204DEAD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电子邮箱：562251287@qq.com</w:t>
            </w:r>
          </w:p>
        </w:tc>
      </w:tr>
      <w:tr w14:paraId="6587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29" w:type="pct"/>
            <w:tcBorders>
              <w:tl2br w:val="nil"/>
              <w:tr2bl w:val="nil"/>
            </w:tcBorders>
            <w:vAlign w:val="center"/>
          </w:tcPr>
          <w:p w14:paraId="6986A64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3</w:t>
            </w:r>
          </w:p>
        </w:tc>
        <w:tc>
          <w:tcPr>
            <w:tcW w:w="4470" w:type="pct"/>
            <w:tcBorders>
              <w:tl2br w:val="nil"/>
              <w:tr2bl w:val="nil"/>
            </w:tcBorders>
            <w:vAlign w:val="center"/>
          </w:tcPr>
          <w:p w14:paraId="112A976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合格投标人的其他资格要求：</w:t>
            </w:r>
          </w:p>
          <w:p w14:paraId="053B466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1、符合《中华人民共和国政府采购法》第二十二条的规定；</w:t>
            </w:r>
          </w:p>
          <w:p w14:paraId="502418B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落实政府采购政策需满足的资格要求：标项1：本项目为非专门面向中小企业（含中型、小型、微型企业）采购项目，根据《政府采购促进中小企业发展管理办法》（财库[2020]46号）的规定，评标时将给予此类企业进行价格10%的优惠，用优惠后的价格参与评审。本项目所属行业为：工业。</w:t>
            </w:r>
          </w:p>
          <w:p w14:paraId="1B5870F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3、本项目的特定资格要求：</w:t>
            </w:r>
          </w:p>
          <w:p w14:paraId="23668D1B">
            <w:pPr>
              <w:pStyle w:val="30"/>
              <w:widowControl w:val="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1）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货物若属于一类医疗器械，则无须提供此项；所有证件必须在有效期内；以上所需的证件、资料如有有效期规定的，均需在有效期内；</w:t>
            </w:r>
          </w:p>
          <w:p w14:paraId="40A82456">
            <w:pPr>
              <w:pStyle w:val="30"/>
              <w:widowControl w:val="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（2）投标人须提供所投产品有效的《中华人民共和国医疗器械注册证》，若注册证有附件的，还须提供附件；</w:t>
            </w:r>
          </w:p>
          <w:p w14:paraId="2ACC3D8F">
            <w:pPr>
              <w:pStyle w:val="30"/>
              <w:widowControl w:val="0"/>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（3）与采购人存在利害关系可能影响采购公正性的法人、其他组织或者个人，不得参加投标；</w:t>
            </w:r>
          </w:p>
          <w:p w14:paraId="195AAA78">
            <w:pPr>
              <w:pStyle w:val="30"/>
              <w:widowControl w:val="0"/>
              <w:numPr>
                <w:ilvl w:val="0"/>
                <w:numId w:val="0"/>
              </w:numPr>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color w:val="auto"/>
                <w:sz w:val="24"/>
                <w:szCs w:val="24"/>
                <w:lang w:val="en-US" w:eastAsia="zh-CN"/>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36BD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29" w:type="pct"/>
            <w:tcBorders>
              <w:tl2br w:val="nil"/>
              <w:tr2bl w:val="nil"/>
            </w:tcBorders>
            <w:vAlign w:val="center"/>
          </w:tcPr>
          <w:p w14:paraId="7236172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4</w:t>
            </w:r>
          </w:p>
        </w:tc>
        <w:tc>
          <w:tcPr>
            <w:tcW w:w="4470" w:type="pct"/>
            <w:tcBorders>
              <w:tl2br w:val="nil"/>
              <w:tr2bl w:val="nil"/>
            </w:tcBorders>
            <w:vAlign w:val="center"/>
          </w:tcPr>
          <w:p w14:paraId="22BA7C2F">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是否允许采购进口产品：招标文件采购需求未明确标注采购进口产品的，拒绝进口产品参加。</w:t>
            </w:r>
          </w:p>
        </w:tc>
      </w:tr>
      <w:tr w14:paraId="012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1B7AC15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5</w:t>
            </w:r>
          </w:p>
        </w:tc>
        <w:tc>
          <w:tcPr>
            <w:tcW w:w="4470" w:type="pct"/>
            <w:tcBorders>
              <w:tl2br w:val="nil"/>
              <w:tr2bl w:val="nil"/>
            </w:tcBorders>
            <w:vAlign w:val="center"/>
          </w:tcPr>
          <w:p w14:paraId="795233D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（采购标的）所属行业：本项目所投货物如有中小企业制造商，行业划分标准所属行业为：工业。</w:t>
            </w:r>
          </w:p>
        </w:tc>
      </w:tr>
      <w:tr w14:paraId="0272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343C19B7">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6</w:t>
            </w:r>
          </w:p>
        </w:tc>
        <w:tc>
          <w:tcPr>
            <w:tcW w:w="4470" w:type="pct"/>
            <w:tcBorders>
              <w:tl2br w:val="nil"/>
              <w:tr2bl w:val="nil"/>
            </w:tcBorders>
            <w:vAlign w:val="center"/>
          </w:tcPr>
          <w:p w14:paraId="02F4AD8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是否为专门面向中小企业采购：</w:t>
            </w:r>
            <w:r>
              <w:rPr>
                <w:rFonts w:hint="eastAsia" w:ascii="仿宋" w:hAnsi="仿宋" w:eastAsia="仿宋" w:cs="仿宋"/>
                <w:b/>
                <w:bCs/>
                <w:color w:val="auto"/>
                <w:kern w:val="0"/>
                <w:sz w:val="24"/>
                <w:szCs w:val="24"/>
                <w:u w:val="none"/>
                <w:vertAlign w:val="baseline"/>
                <w:lang w:val="en-US" w:eastAsia="zh-CN" w:bidi="ar"/>
              </w:rPr>
              <w:t>否</w:t>
            </w:r>
          </w:p>
        </w:tc>
      </w:tr>
      <w:tr w14:paraId="508A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529" w:type="pct"/>
            <w:tcBorders>
              <w:tl2br w:val="nil"/>
              <w:tr2bl w:val="nil"/>
            </w:tcBorders>
            <w:vAlign w:val="center"/>
          </w:tcPr>
          <w:p w14:paraId="6920CC3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7</w:t>
            </w:r>
          </w:p>
        </w:tc>
        <w:tc>
          <w:tcPr>
            <w:tcW w:w="4470" w:type="pct"/>
            <w:tcBorders>
              <w:tl2br w:val="nil"/>
              <w:tr2bl w:val="nil"/>
            </w:tcBorders>
            <w:vAlign w:val="center"/>
          </w:tcPr>
          <w:p w14:paraId="302F420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本项目是否面向中小企业采购预留份额：</w:t>
            </w:r>
            <w:r>
              <w:rPr>
                <w:rFonts w:hint="eastAsia" w:ascii="仿宋" w:hAnsi="仿宋" w:eastAsia="仿宋" w:cs="仿宋"/>
                <w:b/>
                <w:bCs/>
                <w:color w:val="auto"/>
                <w:kern w:val="0"/>
                <w:sz w:val="24"/>
                <w:szCs w:val="24"/>
                <w:u w:val="none"/>
                <w:vertAlign w:val="baseline"/>
                <w:lang w:val="en-US" w:eastAsia="zh-CN" w:bidi="ar"/>
              </w:rPr>
              <w:t>否</w:t>
            </w:r>
            <w:r>
              <w:rPr>
                <w:rFonts w:hint="eastAsia" w:ascii="仿宋" w:hAnsi="仿宋" w:eastAsia="仿宋" w:cs="仿宋"/>
                <w:b w:val="0"/>
                <w:bCs w:val="0"/>
                <w:color w:val="auto"/>
                <w:kern w:val="0"/>
                <w:sz w:val="24"/>
                <w:szCs w:val="24"/>
                <w:u w:val="none"/>
                <w:vertAlign w:val="baseline"/>
                <w:lang w:val="en-US" w:eastAsia="zh-CN" w:bidi="ar"/>
              </w:rPr>
              <w:t xml:space="preserve"> </w:t>
            </w:r>
          </w:p>
          <w:p w14:paraId="67BEC1F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如为是，未达到下面比例的投标将被认定为</w:t>
            </w:r>
            <w:r>
              <w:rPr>
                <w:rFonts w:hint="eastAsia" w:ascii="仿宋" w:hAnsi="仿宋" w:eastAsia="仿宋" w:cs="仿宋"/>
                <w:b/>
                <w:bCs/>
                <w:color w:val="auto"/>
                <w:kern w:val="0"/>
                <w:sz w:val="24"/>
                <w:szCs w:val="24"/>
                <w:u w:val="none"/>
                <w:vertAlign w:val="baseline"/>
                <w:lang w:val="en-US" w:eastAsia="zh-CN" w:bidi="ar"/>
              </w:rPr>
              <w:t>投标无效</w:t>
            </w:r>
            <w:r>
              <w:rPr>
                <w:rFonts w:hint="eastAsia" w:ascii="仿宋" w:hAnsi="仿宋" w:eastAsia="仿宋" w:cs="仿宋"/>
                <w:b w:val="0"/>
                <w:bCs w:val="0"/>
                <w:color w:val="auto"/>
                <w:kern w:val="0"/>
                <w:sz w:val="24"/>
                <w:szCs w:val="24"/>
                <w:u w:val="none"/>
                <w:vertAlign w:val="baseline"/>
                <w:lang w:val="en-US" w:eastAsia="zh-CN" w:bidi="ar"/>
              </w:rPr>
              <w:t xml:space="preserve">。 </w:t>
            </w:r>
          </w:p>
          <w:p w14:paraId="381B1774">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请选择那种方式预留份额： </w:t>
            </w:r>
          </w:p>
          <w:p w14:paraId="39F088D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□要求投标人以联合体形式参加采购活动，且联合体中中小企业承担部分达到比例为</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%（不低于 30%）,其中预留给小微企业的比例不低于</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%（不低于 60%）。 </w:t>
            </w:r>
          </w:p>
          <w:p w14:paraId="1A3AE32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□要求获得采购合同的投标人将</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%（不低于30%）比例分包给一家或者多家中小企业, 其中预留给小微企业的比例不低于</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%（不低于 60%）。 </w:t>
            </w:r>
          </w:p>
        </w:tc>
      </w:tr>
      <w:tr w14:paraId="1D14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27F7D11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8</w:t>
            </w:r>
          </w:p>
        </w:tc>
        <w:tc>
          <w:tcPr>
            <w:tcW w:w="4470" w:type="pct"/>
            <w:tcBorders>
              <w:tl2br w:val="nil"/>
              <w:tr2bl w:val="nil"/>
            </w:tcBorders>
            <w:vAlign w:val="center"/>
          </w:tcPr>
          <w:p w14:paraId="0784A54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是否允许联合体投标：否</w:t>
            </w:r>
          </w:p>
        </w:tc>
      </w:tr>
      <w:tr w14:paraId="7965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06DC655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9</w:t>
            </w:r>
          </w:p>
        </w:tc>
        <w:tc>
          <w:tcPr>
            <w:tcW w:w="4470" w:type="pct"/>
            <w:tcBorders>
              <w:tl2br w:val="nil"/>
              <w:tr2bl w:val="nil"/>
            </w:tcBorders>
            <w:vAlign w:val="center"/>
          </w:tcPr>
          <w:p w14:paraId="7300558A">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联合体的其他资格要求：无</w:t>
            </w:r>
          </w:p>
        </w:tc>
      </w:tr>
      <w:tr w14:paraId="204F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0FE77A44">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10</w:t>
            </w:r>
          </w:p>
        </w:tc>
        <w:tc>
          <w:tcPr>
            <w:tcW w:w="4470" w:type="pct"/>
            <w:tcBorders>
              <w:tl2br w:val="nil"/>
              <w:tr2bl w:val="nil"/>
            </w:tcBorders>
            <w:vAlign w:val="center"/>
          </w:tcPr>
          <w:p w14:paraId="1530C2C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u w:val="none"/>
                <w:vertAlign w:val="baseline"/>
                <w:lang w:val="en-US" w:eastAsia="zh-CN" w:bidi="ar"/>
              </w:rPr>
              <w:t>项目预算金额：</w:t>
            </w:r>
            <w:r>
              <w:rPr>
                <w:rFonts w:hint="eastAsia" w:ascii="仿宋" w:hAnsi="仿宋" w:eastAsia="仿宋" w:cs="仿宋"/>
                <w:b w:val="0"/>
                <w:bCs w:val="0"/>
                <w:color w:val="auto"/>
                <w:sz w:val="24"/>
                <w:szCs w:val="24"/>
                <w:lang w:val="en-US" w:eastAsia="zh-CN"/>
              </w:rPr>
              <w:t>4950300.00元</w:t>
            </w:r>
          </w:p>
          <w:p w14:paraId="19040BE8">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最高限价：</w:t>
            </w:r>
            <w:r>
              <w:rPr>
                <w:rFonts w:hint="eastAsia" w:ascii="仿宋" w:hAnsi="仿宋" w:eastAsia="仿宋" w:cs="仿宋"/>
                <w:b w:val="0"/>
                <w:bCs w:val="0"/>
                <w:color w:val="auto"/>
                <w:sz w:val="24"/>
                <w:szCs w:val="24"/>
                <w:lang w:val="en-US" w:eastAsia="zh-CN"/>
              </w:rPr>
              <w:t>4950300.00元</w:t>
            </w:r>
          </w:p>
          <w:p w14:paraId="0ED9936A">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lang w:val="en-US" w:eastAsia="zh-CN"/>
              </w:rPr>
            </w:pPr>
            <w:r>
              <w:rPr>
                <w:rFonts w:hint="eastAsia" w:ascii="仿宋" w:hAnsi="仿宋" w:eastAsia="仿宋" w:cs="仿宋"/>
                <w:b w:val="0"/>
                <w:bCs w:val="0"/>
                <w:color w:val="auto"/>
                <w:kern w:val="0"/>
                <w:sz w:val="24"/>
                <w:szCs w:val="24"/>
                <w:u w:val="none"/>
                <w:vertAlign w:val="baseline"/>
                <w:lang w:val="en-US" w:eastAsia="zh-CN" w:bidi="ar"/>
              </w:rPr>
              <w:t>投标报价不得超过最高限价。</w:t>
            </w:r>
          </w:p>
        </w:tc>
      </w:tr>
      <w:tr w14:paraId="05BC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29" w:type="pct"/>
            <w:tcBorders>
              <w:tl2br w:val="nil"/>
              <w:tr2bl w:val="nil"/>
            </w:tcBorders>
            <w:vAlign w:val="center"/>
          </w:tcPr>
          <w:p w14:paraId="35AE0064">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11</w:t>
            </w:r>
          </w:p>
        </w:tc>
        <w:tc>
          <w:tcPr>
            <w:tcW w:w="4470" w:type="pct"/>
            <w:tcBorders>
              <w:tl2br w:val="nil"/>
              <w:tr2bl w:val="nil"/>
            </w:tcBorders>
            <w:vAlign w:val="center"/>
          </w:tcPr>
          <w:p w14:paraId="76B2EB4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是否组织现场考察或者召开答疑会：否 </w:t>
            </w:r>
          </w:p>
          <w:p w14:paraId="6305888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组织现场考察或者召开答疑会相关要求：</w:t>
            </w:r>
          </w:p>
          <w:p w14:paraId="771C9165">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w:t>
            </w:r>
            <w:r>
              <w:rPr>
                <w:rFonts w:hint="eastAsia" w:ascii="仿宋" w:hAnsi="仿宋" w:eastAsia="仿宋" w:cs="仿宋"/>
                <w:b w:val="0"/>
                <w:bCs w:val="0"/>
                <w:color w:val="auto"/>
                <w:kern w:val="0"/>
                <w:sz w:val="24"/>
                <w:szCs w:val="24"/>
                <w:u w:val="single"/>
                <w:vertAlign w:val="baseline"/>
                <w:lang w:val="en-US" w:eastAsia="zh-CN" w:bidi="ar"/>
              </w:rPr>
              <w:t xml:space="preserve">                              </w:t>
            </w:r>
            <w:r>
              <w:rPr>
                <w:rFonts w:hint="eastAsia" w:ascii="仿宋" w:hAnsi="仿宋" w:eastAsia="仿宋" w:cs="仿宋"/>
                <w:b w:val="0"/>
                <w:bCs w:val="0"/>
                <w:color w:val="auto"/>
                <w:kern w:val="0"/>
                <w:sz w:val="24"/>
                <w:szCs w:val="24"/>
                <w:u w:val="none"/>
                <w:vertAlign w:val="baseline"/>
                <w:lang w:val="en-US" w:eastAsia="zh-CN" w:bidi="ar"/>
              </w:rPr>
              <w:t xml:space="preserve"> </w:t>
            </w:r>
          </w:p>
          <w:p w14:paraId="798182AF">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□将在招标文件提供期限截止后以书面形式通知所有获取招标文件的潜在投标人</w:t>
            </w:r>
          </w:p>
        </w:tc>
      </w:tr>
      <w:tr w14:paraId="291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29" w:type="pct"/>
            <w:tcBorders>
              <w:tl2br w:val="nil"/>
              <w:tr2bl w:val="nil"/>
            </w:tcBorders>
            <w:vAlign w:val="center"/>
          </w:tcPr>
          <w:p w14:paraId="7682EB29">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12</w:t>
            </w:r>
          </w:p>
        </w:tc>
        <w:tc>
          <w:tcPr>
            <w:tcW w:w="4470" w:type="pct"/>
            <w:tcBorders>
              <w:tl2br w:val="nil"/>
              <w:tr2bl w:val="nil"/>
            </w:tcBorders>
            <w:vAlign w:val="center"/>
          </w:tcPr>
          <w:p w14:paraId="01691D5B">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是否需要提供样品：否 </w:t>
            </w:r>
          </w:p>
          <w:p w14:paraId="1D021E61">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提供样品要求包括：（样品的制作标准和要求、接收及退还，样品检测报告，检测机构、检测内容等内容）</w:t>
            </w:r>
          </w:p>
        </w:tc>
      </w:tr>
      <w:tr w14:paraId="33B5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9" w:type="pct"/>
            <w:tcBorders>
              <w:tl2br w:val="nil"/>
              <w:tr2bl w:val="nil"/>
            </w:tcBorders>
            <w:vAlign w:val="center"/>
          </w:tcPr>
          <w:p w14:paraId="4623BAA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13</w:t>
            </w:r>
          </w:p>
        </w:tc>
        <w:tc>
          <w:tcPr>
            <w:tcW w:w="4470" w:type="pct"/>
            <w:tcBorders>
              <w:tl2br w:val="nil"/>
              <w:tr2bl w:val="nil"/>
            </w:tcBorders>
            <w:vAlign w:val="center"/>
          </w:tcPr>
          <w:p w14:paraId="7B7F0DD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如投标人对多个包进行投标，可以中标</w:t>
            </w:r>
            <w:r>
              <w:rPr>
                <w:rFonts w:hint="eastAsia" w:ascii="仿宋" w:hAnsi="仿宋" w:eastAsia="仿宋" w:cs="仿宋"/>
                <w:b/>
                <w:bCs/>
                <w:color w:val="auto"/>
                <w:kern w:val="0"/>
                <w:sz w:val="24"/>
                <w:szCs w:val="24"/>
                <w:u w:val="single"/>
                <w:vertAlign w:val="baseline"/>
                <w:lang w:val="en-US" w:eastAsia="zh-CN" w:bidi="ar"/>
              </w:rPr>
              <w:t>多</w:t>
            </w:r>
            <w:r>
              <w:rPr>
                <w:rFonts w:hint="eastAsia" w:ascii="仿宋" w:hAnsi="仿宋" w:eastAsia="仿宋" w:cs="仿宋"/>
                <w:b w:val="0"/>
                <w:bCs w:val="0"/>
                <w:color w:val="auto"/>
                <w:kern w:val="0"/>
                <w:sz w:val="24"/>
                <w:szCs w:val="24"/>
                <w:u w:val="none"/>
                <w:vertAlign w:val="baseline"/>
                <w:lang w:val="en-US" w:eastAsia="zh-CN" w:bidi="ar"/>
              </w:rPr>
              <w:t>包</w:t>
            </w:r>
          </w:p>
        </w:tc>
      </w:tr>
      <w:tr w14:paraId="5BC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29" w:type="pct"/>
            <w:tcBorders>
              <w:tl2br w:val="nil"/>
              <w:tr2bl w:val="nil"/>
            </w:tcBorders>
            <w:vAlign w:val="center"/>
          </w:tcPr>
          <w:p w14:paraId="0C43499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14</w:t>
            </w:r>
          </w:p>
        </w:tc>
        <w:tc>
          <w:tcPr>
            <w:tcW w:w="4470" w:type="pct"/>
            <w:tcBorders>
              <w:tl2br w:val="nil"/>
              <w:tr2bl w:val="nil"/>
            </w:tcBorders>
            <w:vAlign w:val="center"/>
          </w:tcPr>
          <w:p w14:paraId="514C82A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保证金形式：电汇、网银或投标保函等非现金形式</w:t>
            </w:r>
          </w:p>
          <w:p w14:paraId="6E9BFA8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保证金数额：49000.00元</w:t>
            </w:r>
          </w:p>
          <w:p w14:paraId="3F32212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保证金收款人：中科建疆工程管理有限公司</w:t>
            </w:r>
          </w:p>
          <w:p w14:paraId="2C43AD1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保证金收款账号：3018000109000245909</w:t>
            </w:r>
          </w:p>
          <w:p w14:paraId="3DEC479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保证收款银行: 中国工商银行股份有限公司阿克陶支行</w:t>
            </w:r>
          </w:p>
          <w:p w14:paraId="36304521">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行    号：J8932000570001</w:t>
            </w:r>
          </w:p>
          <w:p w14:paraId="307BD14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1.以电汇或银行转账形式缴纳保证金的投标人注意事项：</w:t>
            </w:r>
          </w:p>
          <w:p w14:paraId="0668C25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(1)在汇款附言（或银行摘要）中，标明项目编号、包号（如分包）。每个项目须按照分包分别提交投标保证金，如：“</w:t>
            </w:r>
            <w:r>
              <w:rPr>
                <w:rFonts w:hint="eastAsia" w:ascii="仿宋" w:hAnsi="仿宋" w:eastAsia="仿宋" w:cs="仿宋"/>
                <w:b w:val="0"/>
                <w:bCs w:val="0"/>
                <w:color w:val="auto"/>
                <w:sz w:val="24"/>
                <w:szCs w:val="24"/>
                <w:lang w:val="en-US" w:eastAsia="zh-CN"/>
              </w:rPr>
              <w:t>XJZFCG-GK-2024-003号-11-2</w:t>
            </w:r>
            <w:r>
              <w:rPr>
                <w:rFonts w:hint="eastAsia" w:ascii="仿宋" w:hAnsi="仿宋" w:eastAsia="仿宋" w:cs="仿宋"/>
                <w:color w:val="auto"/>
                <w:sz w:val="24"/>
                <w:szCs w:val="24"/>
                <w:lang w:val="en-US" w:eastAsia="zh-CN"/>
              </w:rPr>
              <w:t>”。</w:t>
            </w:r>
          </w:p>
          <w:p w14:paraId="7404719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(2)投标保证金必须以网银、电汇、银行柜台公对公转账等方式由投标人的企业基本账户汇出，并开具银行汇款凭证。 </w:t>
            </w:r>
          </w:p>
          <w:p w14:paraId="68FD5CE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投标保证金必须在投标截止时间（投标文件提交时间）前缴纳至招标公司账户，投标人应在投标截止时间前2-3个工作日完成保证金缴纳工作。投标人需自行评估因异地、跨行、公休日等因素造成的投标保证金到账延迟风险，并承担相应责任。 </w:t>
            </w:r>
          </w:p>
          <w:p w14:paraId="5CAD8E4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(4)投标保证金的提交以招标公司账户到账时间为准，开标时若查询未汇入指定账户，视同未交纳投标保证金，投标将予以否决。</w:t>
            </w:r>
          </w:p>
          <w:p w14:paraId="4940552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2.政采云电子保函使用方法：</w:t>
            </w:r>
          </w:p>
          <w:p w14:paraId="0A4D7EDA">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（1）登录新疆政府采购网，首页点击“电子保函”直接进入新疆政府采购电子保函申请页，点击【立即申请】；</w:t>
            </w:r>
          </w:p>
          <w:p w14:paraId="0AEC9CD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依次完善页面显示的投保人信息（供应商信息），确认您要投保的项目信息，在投标项目选择页面选择您需要投保的项目（可根据项目名称或项目保函进行搜索），选择投保项目后填写被保险人信息及投保内容。</w:t>
            </w:r>
          </w:p>
          <w:p w14:paraId="03B1CB3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保函投保金额(元)：49000.00元</w:t>
            </w:r>
          </w:p>
          <w:p w14:paraId="4F93524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保函承保期限：2025年04月02日--2025年06月30日（90日历天）</w:t>
            </w:r>
          </w:p>
        </w:tc>
      </w:tr>
      <w:tr w14:paraId="27B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43D4949">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15</w:t>
            </w:r>
          </w:p>
        </w:tc>
        <w:tc>
          <w:tcPr>
            <w:tcW w:w="4470" w:type="pct"/>
            <w:tcBorders>
              <w:tl2br w:val="nil"/>
              <w:tr2bl w:val="nil"/>
            </w:tcBorders>
            <w:vAlign w:val="center"/>
          </w:tcPr>
          <w:p w14:paraId="06323F1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投标有效期：90日历日 </w:t>
            </w:r>
          </w:p>
        </w:tc>
      </w:tr>
      <w:tr w14:paraId="6949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pct"/>
            <w:tcBorders>
              <w:tl2br w:val="nil"/>
              <w:tr2bl w:val="nil"/>
            </w:tcBorders>
            <w:vAlign w:val="center"/>
          </w:tcPr>
          <w:p w14:paraId="39400F62">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4470" w:type="pct"/>
            <w:tcBorders>
              <w:tl2br w:val="nil"/>
              <w:tr2bl w:val="nil"/>
            </w:tcBorders>
            <w:vAlign w:val="center"/>
          </w:tcPr>
          <w:p w14:paraId="35F8990B">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☑采用不见面开标（电子标）：</w:t>
            </w:r>
          </w:p>
          <w:p w14:paraId="3860546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本项目实行网上不见面投标，采用电子投标文件。若供应商参与投标，自行承担投标一切费用。</w:t>
            </w:r>
          </w:p>
          <w:p w14:paraId="4635DEC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各供应商应在开标前完成新疆政府采购网注册，并申领CA数字证书。因未注册、未办理CA数字证书等原因造成无法投标或投标失败等后果由供应商自行承担。</w:t>
            </w:r>
          </w:p>
          <w:p w14:paraId="07DC15D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为电子招投标，投标人需要使用CA加密设备，有意向参与新疆区域电子开评标的供应商，请自行进行申领。供应商将政采云电子交易客户端下载、安装完成后，可通过账号密码或CA登录客户端进行投标文件制作。在使用政采云投标客户端时，建议使用WIN7及以上操作系统。客户端请至新疆政府采购网（https://www.zcygov.cn/）下载专区查看，如有问题可拨打政采云客户服务热线95763进行咨询。</w:t>
            </w:r>
          </w:p>
          <w:p w14:paraId="30C06A7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人应于2025年04月02日11:00时整之前将电子投标文件上传到“政采云”平台。应按照本项目招标文件和政采云平台的要求编制、加密传输投标文件。供应商在使用系统进行投标的过程中遇到涉及平台使用的任何问题，可致电政采云平台技术支持热线95763咨询。</w:t>
            </w:r>
          </w:p>
          <w:p w14:paraId="39F192D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5、招标文件解密时间：解密时间为30分钟，在规定时间内未按时解密的，视为投标文件撤回。</w:t>
            </w:r>
          </w:p>
          <w:p w14:paraId="3FAFE58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"mailto:开标结束后，请将生成的备份标书（未加密）发邮箱593778797@qq.com。填写邮件时标题\“项目简称+公司全称\”。"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开标结束后，各投标人将上传政府采购网的投标文件使用A4双面打印胶装成册（一式两份）递交或邮寄至中科建疆工程管理有限公司。</w:t>
            </w:r>
            <w:r>
              <w:rPr>
                <w:rFonts w:hint="eastAsia" w:ascii="仿宋" w:hAnsi="仿宋" w:eastAsia="仿宋" w:cs="仿宋"/>
                <w:color w:val="auto"/>
                <w:sz w:val="24"/>
                <w:szCs w:val="24"/>
                <w:lang w:val="en-US" w:eastAsia="zh-CN"/>
              </w:rPr>
              <w:fldChar w:fldCharType="end"/>
            </w:r>
          </w:p>
        </w:tc>
      </w:tr>
      <w:tr w14:paraId="3C22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70616A6">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17</w:t>
            </w:r>
          </w:p>
        </w:tc>
        <w:tc>
          <w:tcPr>
            <w:tcW w:w="4470" w:type="pct"/>
            <w:tcBorders>
              <w:tl2br w:val="nil"/>
              <w:tr2bl w:val="nil"/>
            </w:tcBorders>
            <w:vAlign w:val="center"/>
          </w:tcPr>
          <w:p w14:paraId="175F076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投标截止时间：</w:t>
            </w:r>
            <w:r>
              <w:rPr>
                <w:rFonts w:hint="eastAsia" w:ascii="仿宋" w:hAnsi="仿宋" w:eastAsia="仿宋" w:cs="仿宋"/>
                <w:b w:val="0"/>
                <w:bCs w:val="0"/>
                <w:color w:val="auto"/>
                <w:sz w:val="24"/>
                <w:szCs w:val="24"/>
                <w:lang w:val="en-US" w:eastAsia="zh-CN"/>
              </w:rPr>
              <w:t>2025年04月02日11:00（北京时间）</w:t>
            </w:r>
            <w:r>
              <w:rPr>
                <w:rFonts w:hint="eastAsia" w:ascii="仿宋" w:hAnsi="仿宋" w:eastAsia="仿宋" w:cs="仿宋"/>
                <w:b w:val="0"/>
                <w:bCs w:val="0"/>
                <w:color w:val="auto"/>
                <w:kern w:val="0"/>
                <w:sz w:val="24"/>
                <w:szCs w:val="24"/>
                <w:u w:val="none"/>
                <w:vertAlign w:val="baseline"/>
                <w:lang w:val="en-US" w:eastAsia="zh-CN" w:bidi="ar"/>
              </w:rPr>
              <w:t xml:space="preserve"> </w:t>
            </w:r>
          </w:p>
        </w:tc>
      </w:tr>
      <w:tr w14:paraId="6F58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570B6E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18</w:t>
            </w:r>
          </w:p>
        </w:tc>
        <w:tc>
          <w:tcPr>
            <w:tcW w:w="4470" w:type="pct"/>
            <w:tcBorders>
              <w:tl2br w:val="nil"/>
              <w:tr2bl w:val="nil"/>
            </w:tcBorders>
            <w:vAlign w:val="center"/>
          </w:tcPr>
          <w:p w14:paraId="3A4EF93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开标时间：同投标截止时间 </w:t>
            </w:r>
          </w:p>
          <w:p w14:paraId="67906EF0">
            <w:pPr>
              <w:spacing w:line="360" w:lineRule="auto"/>
              <w:jc w:val="left"/>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开标地点：政采云平台https://www.zcygov.cn/ </w:t>
            </w:r>
          </w:p>
        </w:tc>
      </w:tr>
      <w:tr w14:paraId="328D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29" w:type="pct"/>
            <w:tcBorders>
              <w:tl2br w:val="nil"/>
              <w:tr2bl w:val="nil"/>
            </w:tcBorders>
            <w:vAlign w:val="center"/>
          </w:tcPr>
          <w:p w14:paraId="79945A7F">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19</w:t>
            </w:r>
          </w:p>
        </w:tc>
        <w:tc>
          <w:tcPr>
            <w:tcW w:w="4470" w:type="pct"/>
            <w:tcBorders>
              <w:tl2br w:val="nil"/>
              <w:tr2bl w:val="nil"/>
            </w:tcBorders>
            <w:vAlign w:val="center"/>
          </w:tcPr>
          <w:p w14:paraId="20C542F9">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信用查询时间：递交投标截止时间</w:t>
            </w:r>
          </w:p>
        </w:tc>
      </w:tr>
      <w:tr w14:paraId="42A5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9" w:type="pct"/>
            <w:tcBorders>
              <w:tl2br w:val="nil"/>
              <w:tr2bl w:val="nil"/>
            </w:tcBorders>
            <w:vAlign w:val="center"/>
          </w:tcPr>
          <w:p w14:paraId="5D60A881">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20</w:t>
            </w:r>
          </w:p>
        </w:tc>
        <w:tc>
          <w:tcPr>
            <w:tcW w:w="4470" w:type="pct"/>
            <w:tcBorders>
              <w:tl2br w:val="nil"/>
              <w:tr2bl w:val="nil"/>
            </w:tcBorders>
            <w:vAlign w:val="center"/>
          </w:tcPr>
          <w:p w14:paraId="3C99E22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default"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核心产品：/</w:t>
            </w:r>
          </w:p>
        </w:tc>
      </w:tr>
      <w:tr w14:paraId="3A8C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29" w:type="pct"/>
            <w:tcBorders>
              <w:tl2br w:val="nil"/>
              <w:tr2bl w:val="nil"/>
            </w:tcBorders>
            <w:vAlign w:val="center"/>
          </w:tcPr>
          <w:p w14:paraId="02C8B4C8">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21</w:t>
            </w:r>
          </w:p>
        </w:tc>
        <w:tc>
          <w:tcPr>
            <w:tcW w:w="4470" w:type="pct"/>
            <w:tcBorders>
              <w:tl2br w:val="nil"/>
              <w:tr2bl w:val="nil"/>
            </w:tcBorders>
            <w:vAlign w:val="center"/>
          </w:tcPr>
          <w:p w14:paraId="3D198A0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评标方法：综合评分法</w:t>
            </w:r>
          </w:p>
        </w:tc>
      </w:tr>
      <w:tr w14:paraId="6375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3D76AEA6">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22</w:t>
            </w:r>
          </w:p>
        </w:tc>
        <w:tc>
          <w:tcPr>
            <w:tcW w:w="4470" w:type="pct"/>
            <w:tcBorders>
              <w:tl2br w:val="nil"/>
              <w:tr2bl w:val="nil"/>
            </w:tcBorders>
            <w:vAlign w:val="center"/>
          </w:tcPr>
          <w:p w14:paraId="10BAE0CD">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推荐中标候选投标人的数量：3</w:t>
            </w:r>
          </w:p>
        </w:tc>
      </w:tr>
      <w:tr w14:paraId="47B4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29" w:type="pct"/>
            <w:tcBorders>
              <w:tl2br w:val="nil"/>
              <w:tr2bl w:val="nil"/>
            </w:tcBorders>
            <w:vAlign w:val="center"/>
          </w:tcPr>
          <w:p w14:paraId="789698A4">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23</w:t>
            </w:r>
          </w:p>
        </w:tc>
        <w:tc>
          <w:tcPr>
            <w:tcW w:w="4470" w:type="pct"/>
            <w:tcBorders>
              <w:tl2br w:val="nil"/>
              <w:tr2bl w:val="nil"/>
            </w:tcBorders>
            <w:vAlign w:val="center"/>
          </w:tcPr>
          <w:p w14:paraId="05E277F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招标人是否委托评标委员会直接确定中标人：否 </w:t>
            </w:r>
          </w:p>
        </w:tc>
      </w:tr>
      <w:tr w14:paraId="6BAC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29" w:type="pct"/>
            <w:tcBorders>
              <w:tl2br w:val="nil"/>
              <w:tr2bl w:val="nil"/>
            </w:tcBorders>
            <w:vAlign w:val="center"/>
          </w:tcPr>
          <w:p w14:paraId="14723DAC">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24</w:t>
            </w:r>
          </w:p>
        </w:tc>
        <w:tc>
          <w:tcPr>
            <w:tcW w:w="4470" w:type="pct"/>
            <w:tcBorders>
              <w:tl2br w:val="nil"/>
              <w:tr2bl w:val="nil"/>
            </w:tcBorders>
            <w:vAlign w:val="center"/>
          </w:tcPr>
          <w:p w14:paraId="2AB1FC4C">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评审小组的组建及评审专家的确方式：采购单位依法组建评审小组共7人组成，其中采购人代表2人和专家评委5人。小组确定方式：</w:t>
            </w:r>
          </w:p>
          <w:p w14:paraId="60F2304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计算机随机抽取语音通知方式</w:t>
            </w:r>
          </w:p>
          <w:p w14:paraId="03A1DEA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□其他方式：</w:t>
            </w:r>
          </w:p>
        </w:tc>
      </w:tr>
      <w:tr w14:paraId="5FE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4ACAC741">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25</w:t>
            </w:r>
          </w:p>
        </w:tc>
        <w:tc>
          <w:tcPr>
            <w:tcW w:w="4470" w:type="pct"/>
            <w:tcBorders>
              <w:tl2br w:val="nil"/>
              <w:tr2bl w:val="nil"/>
            </w:tcBorders>
          </w:tcPr>
          <w:p w14:paraId="65C8D17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提交履约保证金的时间：签订合同前 </w:t>
            </w:r>
          </w:p>
          <w:p w14:paraId="69765F0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履约保证金金额：不超过合同总价的10% ，具体金额以合同约定为准</w:t>
            </w:r>
          </w:p>
          <w:p w14:paraId="624750FD">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履约保证金形式：以网银、电汇、履约保函等非现金方式缴纳，合同履行完毕后无质量问题，由采购人一次性退回。</w:t>
            </w:r>
          </w:p>
        </w:tc>
      </w:tr>
      <w:tr w14:paraId="4E3D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418217EB">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26</w:t>
            </w:r>
          </w:p>
        </w:tc>
        <w:tc>
          <w:tcPr>
            <w:tcW w:w="4470" w:type="pct"/>
            <w:tcBorders>
              <w:tl2br w:val="nil"/>
              <w:tr2bl w:val="nil"/>
            </w:tcBorders>
          </w:tcPr>
          <w:p w14:paraId="38B9E95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1、是否由中标人缴纳招标代理费：是 </w:t>
            </w:r>
          </w:p>
          <w:p w14:paraId="6A5C35F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招标代理费：参照发改价格【2015】299号文（货物招标类）差额累计法收取招标代理服务费</w:t>
            </w:r>
            <w:r>
              <w:rPr>
                <w:rFonts w:hint="eastAsia" w:asciiTheme="minorEastAsia" w:hAnsiTheme="minorEastAsia" w:cstheme="minorEastAsia"/>
                <w:color w:val="auto"/>
                <w:sz w:val="24"/>
                <w:szCs w:val="24"/>
                <w:lang w:val="en-US" w:eastAsia="zh-CN"/>
              </w:rPr>
              <w:t>。</w:t>
            </w: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 xml:space="preserve">参照100万元以下1.5%，100-500万元1.1%，500-1000万元0.8%，1000-5000万元0.5%按差额累进法计算收取。  </w:t>
            </w:r>
          </w:p>
          <w:p w14:paraId="4ACE7F6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支付形式：电汇、网银等非现金形式 </w:t>
            </w:r>
          </w:p>
          <w:p w14:paraId="79945FA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3、支付时间：领取中标通知书的同时</w:t>
            </w:r>
          </w:p>
          <w:p w14:paraId="3F8C460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4、服务费缴纳账号： </w:t>
            </w:r>
          </w:p>
          <w:p w14:paraId="4A2CCFB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收款单位全称：中科建疆工程管理有限公司</w:t>
            </w:r>
          </w:p>
          <w:p w14:paraId="5CC6A47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银行账号：3018000109000245909</w:t>
            </w:r>
          </w:p>
          <w:p w14:paraId="13607C7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开户行： 中国工商银行股份有限公司阿克陶支行</w:t>
            </w:r>
          </w:p>
          <w:p w14:paraId="7A0B762E">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银行行号：J8932000570001</w:t>
            </w:r>
          </w:p>
        </w:tc>
      </w:tr>
      <w:tr w14:paraId="5C38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9" w:type="pct"/>
            <w:tcBorders>
              <w:tl2br w:val="nil"/>
              <w:tr2bl w:val="nil"/>
            </w:tcBorders>
            <w:vAlign w:val="center"/>
          </w:tcPr>
          <w:p w14:paraId="067441E5">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27</w:t>
            </w:r>
          </w:p>
        </w:tc>
        <w:tc>
          <w:tcPr>
            <w:tcW w:w="4470" w:type="pct"/>
            <w:tcBorders>
              <w:tl2br w:val="nil"/>
              <w:tr2bl w:val="nil"/>
            </w:tcBorders>
          </w:tcPr>
          <w:p w14:paraId="07761CE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 xml:space="preserve">针对同一采购程序环节的质疑次数： </w:t>
            </w:r>
          </w:p>
          <w:p w14:paraId="3456B3A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sym w:font="Wingdings 2" w:char="0052"/>
            </w:r>
            <w:r>
              <w:rPr>
                <w:rFonts w:hint="eastAsia" w:ascii="仿宋" w:hAnsi="仿宋" w:eastAsia="仿宋" w:cs="仿宋"/>
                <w:b w:val="0"/>
                <w:bCs w:val="0"/>
                <w:color w:val="auto"/>
                <w:kern w:val="0"/>
                <w:sz w:val="24"/>
                <w:szCs w:val="24"/>
                <w:u w:val="none"/>
                <w:vertAlign w:val="baseline"/>
                <w:lang w:val="en-US" w:eastAsia="zh-CN" w:bidi="ar"/>
              </w:rPr>
              <w:t xml:space="preserve">一次性提出 </w:t>
            </w:r>
            <w:r>
              <w:rPr>
                <w:rFonts w:hint="eastAsia" w:ascii="仿宋" w:hAnsi="仿宋" w:eastAsia="仿宋" w:cs="仿宋"/>
                <w:b w:val="0"/>
                <w:bCs w:val="0"/>
                <w:color w:val="auto"/>
                <w:kern w:val="0"/>
                <w:sz w:val="24"/>
                <w:szCs w:val="24"/>
                <w:u w:val="none"/>
                <w:vertAlign w:val="baseline"/>
                <w:lang w:val="en-US" w:eastAsia="zh-CN" w:bidi="ar"/>
              </w:rPr>
              <w:sym w:font="Wingdings 2" w:char="00A3"/>
            </w:r>
            <w:r>
              <w:rPr>
                <w:rFonts w:hint="eastAsia" w:ascii="仿宋" w:hAnsi="仿宋" w:eastAsia="仿宋" w:cs="仿宋"/>
                <w:b w:val="0"/>
                <w:bCs w:val="0"/>
                <w:color w:val="auto"/>
                <w:kern w:val="0"/>
                <w:sz w:val="24"/>
                <w:szCs w:val="24"/>
                <w:u w:val="none"/>
                <w:vertAlign w:val="baseline"/>
                <w:lang w:val="en-US" w:eastAsia="zh-CN" w:bidi="ar"/>
              </w:rPr>
              <w:t>多次提出</w:t>
            </w:r>
          </w:p>
        </w:tc>
      </w:tr>
      <w:tr w14:paraId="23E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5000" w:type="pct"/>
            <w:gridSpan w:val="2"/>
            <w:tcBorders>
              <w:tl2br w:val="nil"/>
              <w:tr2bl w:val="nil"/>
            </w:tcBorders>
            <w:vAlign w:val="top"/>
          </w:tcPr>
          <w:p w14:paraId="2F70CA5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适用于本投标人须知的额外增加的变动：</w:t>
            </w:r>
          </w:p>
          <w:p w14:paraId="570500A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1、付款方式：签订合同后支付合同金额的40%，项目服务完成后支付30%，验收审计结束后支付30%（具体以合同签订为准）。</w:t>
            </w:r>
          </w:p>
          <w:p w14:paraId="4184B2D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2、验收要求：政府采购合同履行全部安装、调试、试运行完毕后，收到中标人验收申请10日内组织履约验收。</w:t>
            </w:r>
          </w:p>
          <w:p w14:paraId="67F454BD">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3、质保期限：自货物验收合格之日起设备整机免费质保二年（含二年）以上（招标文件第五章另有规定，执行招标文件第五章中规定）。</w:t>
            </w:r>
          </w:p>
          <w:p w14:paraId="1450029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4、交货期：合同签订之日起 30天内全部安装、调试、试运行完毕。</w:t>
            </w:r>
          </w:p>
          <w:p w14:paraId="643DD68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kern w:val="0"/>
                <w:sz w:val="24"/>
                <w:szCs w:val="24"/>
                <w:u w:val="none"/>
                <w:vertAlign w:val="baseline"/>
                <w:lang w:val="en-US" w:eastAsia="zh-CN" w:bidi="ar"/>
              </w:rPr>
            </w:pPr>
            <w:r>
              <w:rPr>
                <w:rFonts w:hint="eastAsia" w:ascii="仿宋" w:hAnsi="仿宋" w:eastAsia="仿宋" w:cs="仿宋"/>
                <w:b w:val="0"/>
                <w:bCs w:val="0"/>
                <w:color w:val="auto"/>
                <w:kern w:val="0"/>
                <w:sz w:val="24"/>
                <w:szCs w:val="24"/>
                <w:u w:val="none"/>
                <w:vertAlign w:val="baseline"/>
                <w:lang w:val="en-US" w:eastAsia="zh-CN" w:bidi="ar"/>
              </w:rPr>
              <w:t>5、供货地址：采购人指定地点。</w:t>
            </w:r>
          </w:p>
          <w:p w14:paraId="49C16A8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lang w:val="en-US" w:eastAsia="zh-CN"/>
              </w:rPr>
            </w:pPr>
            <w:r>
              <w:rPr>
                <w:rFonts w:hint="eastAsia" w:ascii="仿宋" w:hAnsi="仿宋" w:eastAsia="仿宋" w:cs="仿宋"/>
                <w:b w:val="0"/>
                <w:bCs w:val="0"/>
                <w:color w:val="auto"/>
                <w:kern w:val="0"/>
                <w:sz w:val="24"/>
                <w:szCs w:val="24"/>
                <w:u w:val="none"/>
                <w:vertAlign w:val="baseline"/>
                <w:lang w:val="en-US" w:eastAsia="zh-CN" w:bidi="ar"/>
              </w:rPr>
              <w:t>6、本招标文件所叙需加盖公章、法定代表人章，如采用不见面开标（电子标）均为电子签章。</w:t>
            </w:r>
          </w:p>
        </w:tc>
      </w:tr>
    </w:tbl>
    <w:p w14:paraId="7CCDB31C">
      <w:pPr>
        <w:pStyle w:val="43"/>
        <w:spacing w:line="440" w:lineRule="exac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rPr>
        <w:t>、本表内容与</w:t>
      </w:r>
      <w:r>
        <w:rPr>
          <w:rFonts w:hint="eastAsia" w:ascii="仿宋" w:hAnsi="仿宋" w:eastAsia="仿宋" w:cs="仿宋"/>
          <w:color w:val="auto"/>
          <w:sz w:val="24"/>
          <w:szCs w:val="22"/>
          <w:highlight w:val="none"/>
          <w:lang w:val="en-US" w:eastAsia="zh-CN"/>
        </w:rPr>
        <w:t>招标</w:t>
      </w:r>
      <w:r>
        <w:rPr>
          <w:rFonts w:hint="eastAsia" w:ascii="仿宋" w:hAnsi="仿宋" w:eastAsia="仿宋" w:cs="仿宋"/>
          <w:color w:val="auto"/>
          <w:sz w:val="24"/>
          <w:szCs w:val="22"/>
          <w:highlight w:val="none"/>
        </w:rPr>
        <w:t>文件其它内容不一致的，应当以本表内容为准。</w:t>
      </w:r>
    </w:p>
    <w:p w14:paraId="56199E34">
      <w:pPr>
        <w:pStyle w:val="43"/>
        <w:spacing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、本表中“</w:t>
      </w:r>
      <w:r>
        <w:rPr>
          <w:rFonts w:hint="eastAsia" w:ascii="仿宋" w:hAnsi="仿宋" w:eastAsia="仿宋" w:cs="仿宋"/>
          <w:color w:val="auto"/>
          <w:sz w:val="24"/>
          <w:szCs w:val="22"/>
          <w:highlight w:val="none"/>
        </w:rPr>
        <w:fldChar w:fldCharType="begin"/>
      </w:r>
      <w:r>
        <w:rPr>
          <w:rFonts w:hint="eastAsia" w:ascii="仿宋" w:hAnsi="仿宋" w:eastAsia="仿宋" w:cs="仿宋"/>
          <w:color w:val="auto"/>
          <w:sz w:val="24"/>
          <w:szCs w:val="22"/>
          <w:highlight w:val="none"/>
        </w:rPr>
        <w:instrText xml:space="preserve"> eq \o\ac(□,√)</w:instrText>
      </w:r>
      <w:r>
        <w:rPr>
          <w:rFonts w:hint="eastAsia" w:ascii="仿宋" w:hAnsi="仿宋" w:eastAsia="仿宋" w:cs="仿宋"/>
          <w:color w:val="auto"/>
          <w:sz w:val="24"/>
          <w:szCs w:val="22"/>
          <w:highlight w:val="none"/>
        </w:rPr>
        <w:fldChar w:fldCharType="end"/>
      </w:r>
      <w:r>
        <w:rPr>
          <w:rFonts w:hint="eastAsia" w:ascii="仿宋" w:hAnsi="仿宋" w:eastAsia="仿宋" w:cs="仿宋"/>
          <w:color w:val="auto"/>
          <w:sz w:val="24"/>
          <w:szCs w:val="22"/>
          <w:highlight w:val="none"/>
        </w:rPr>
        <w:t>”标示选择使用该项，“□”标示不选择使用该项。</w:t>
      </w:r>
      <w:bookmarkStart w:id="30" w:name="EB61dc4c9ac9c04154b29a6c247670320a"/>
      <w:bookmarkEnd w:id="30"/>
    </w:p>
    <w:p w14:paraId="421B4532">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br w:type="page"/>
      </w:r>
    </w:p>
    <w:p w14:paraId="22361BB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0"/>
        <w:rPr>
          <w:rFonts w:hint="eastAsia" w:ascii="仿宋" w:hAnsi="仿宋" w:eastAsia="仿宋" w:cs="仿宋"/>
          <w:b/>
          <w:bCs/>
          <w:color w:val="auto"/>
          <w:sz w:val="32"/>
          <w:szCs w:val="32"/>
          <w:lang w:val="en-US" w:eastAsia="zh-CN"/>
        </w:rPr>
      </w:pPr>
      <w:bookmarkStart w:id="31" w:name="_Toc3899"/>
      <w:r>
        <w:rPr>
          <w:rFonts w:hint="eastAsia" w:ascii="仿宋" w:hAnsi="仿宋" w:eastAsia="仿宋" w:cs="仿宋"/>
          <w:b/>
          <w:bCs/>
          <w:color w:val="auto"/>
          <w:sz w:val="32"/>
          <w:szCs w:val="32"/>
          <w:lang w:val="en-US" w:eastAsia="zh-CN"/>
        </w:rPr>
        <w:t>第三章 投标人须知</w:t>
      </w:r>
      <w:bookmarkEnd w:id="31"/>
    </w:p>
    <w:p w14:paraId="00CDE35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一、说 明</w:t>
      </w:r>
    </w:p>
    <w:p w14:paraId="46D7CF2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p>
    <w:p w14:paraId="722AD040">
      <w:pPr>
        <w:keepNext w:val="0"/>
        <w:keepLines w:val="0"/>
        <w:pageBreakBefore w:val="0"/>
        <w:widowControl w:val="0"/>
        <w:kinsoku/>
        <w:wordWrap/>
        <w:overflowPunct/>
        <w:topLinePunct w:val="0"/>
        <w:autoSpaceDE/>
        <w:autoSpaceDN/>
        <w:bidi w:val="0"/>
        <w:adjustRightInd w:val="0"/>
        <w:snapToGrid w:val="0"/>
        <w:spacing w:line="440" w:lineRule="exact"/>
        <w:ind w:left="638" w:leftChars="0" w:right="0" w:rightChars="0" w:hanging="638" w:hangingChars="265"/>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1.  采购人、采购代理机构及投标人 </w:t>
      </w:r>
    </w:p>
    <w:p w14:paraId="1E592FEF">
      <w:pPr>
        <w:keepNext w:val="0"/>
        <w:keepLines w:val="0"/>
        <w:pageBreakBefore w:val="0"/>
        <w:widowControl w:val="0"/>
        <w:kinsoku/>
        <w:wordWrap/>
        <w:overflowPunct/>
        <w:topLinePunct w:val="0"/>
        <w:autoSpaceDE/>
        <w:autoSpaceDN/>
        <w:bidi w:val="0"/>
        <w:adjustRightInd w:val="0"/>
        <w:snapToGrid w:val="0"/>
        <w:spacing w:line="440" w:lineRule="exact"/>
        <w:ind w:left="660" w:leftChars="0" w:hanging="660" w:hangingChars="27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 采购人：是指依法进行政府采购的</w:t>
      </w:r>
      <w:r>
        <w:rPr>
          <w:rFonts w:hint="eastAsia" w:ascii="仿宋" w:hAnsi="仿宋" w:eastAsia="仿宋" w:cs="仿宋"/>
          <w:b w:val="0"/>
          <w:bCs w:val="0"/>
          <w:color w:val="auto"/>
          <w:sz w:val="24"/>
          <w:szCs w:val="24"/>
          <w:u w:val="single"/>
          <w:lang w:val="en-US" w:eastAsia="zh-CN"/>
        </w:rPr>
        <w:t>和田地区卫生健康委员会</w:t>
      </w:r>
      <w:r>
        <w:rPr>
          <w:rFonts w:hint="eastAsia" w:ascii="仿宋" w:hAnsi="仿宋" w:eastAsia="仿宋" w:cs="仿宋"/>
          <w:b w:val="0"/>
          <w:bCs w:val="0"/>
          <w:color w:val="auto"/>
          <w:sz w:val="24"/>
          <w:szCs w:val="24"/>
          <w:lang w:val="en-US" w:eastAsia="zh-CN"/>
        </w:rPr>
        <w:t>。</w:t>
      </w:r>
    </w:p>
    <w:p w14:paraId="0404EDB9">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t>1.2 采购代理机构：本次招标的采购代理机构为</w:t>
      </w:r>
      <w:r>
        <w:rPr>
          <w:rFonts w:hint="eastAsia" w:ascii="仿宋" w:hAnsi="仿宋" w:eastAsia="仿宋" w:cs="仿宋"/>
          <w:b w:val="0"/>
          <w:bCs w:val="0"/>
          <w:color w:val="auto"/>
          <w:sz w:val="24"/>
          <w:szCs w:val="24"/>
          <w:u w:val="single"/>
          <w:lang w:val="en-US" w:eastAsia="zh-CN"/>
        </w:rPr>
        <w:t>中科建疆工程管理有限公司</w:t>
      </w:r>
      <w:r>
        <w:rPr>
          <w:rFonts w:hint="eastAsia" w:ascii="仿宋" w:hAnsi="仿宋" w:eastAsia="仿宋" w:cs="仿宋"/>
          <w:b w:val="0"/>
          <w:bCs w:val="0"/>
          <w:color w:val="auto"/>
          <w:sz w:val="24"/>
          <w:szCs w:val="24"/>
          <w:u w:val="none"/>
          <w:lang w:val="en-US" w:eastAsia="zh-CN"/>
        </w:rPr>
        <w:t>。</w:t>
      </w:r>
    </w:p>
    <w:p w14:paraId="6073811D">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 投标人：是指响应招标、参加投标竞争的法人、非法人组织或者自然人。潜在投标人：以招标文件规定的方式获取本项目招标文件的法人、非法人组织或者自然人。</w:t>
      </w:r>
    </w:p>
    <w:p w14:paraId="51545D3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投标人须满足以下条件： </w:t>
      </w:r>
    </w:p>
    <w:p w14:paraId="213E263F">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1.3.1 在中华人民共和国境内注册，能够独立承担民事责任，有生产或供应能力的本国投标人，包括法人、非法人组织或者自然人。 </w:t>
      </w:r>
    </w:p>
    <w:p w14:paraId="0A8DF117">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1.3.2 具备《中华人民共和国政府采购法》第二十二条关于投标人条件的规定，遵守国家、本项目采购人本级和上级财政部门政府采购的有关规定。 </w:t>
      </w:r>
    </w:p>
    <w:p w14:paraId="7638C63D">
      <w:pPr>
        <w:keepNext w:val="0"/>
        <w:keepLines w:val="0"/>
        <w:pageBreakBefore w:val="0"/>
        <w:widowControl w:val="0"/>
        <w:kinsoku/>
        <w:wordWrap/>
        <w:overflowPunct/>
        <w:topLinePunct w:val="0"/>
        <w:autoSpaceDE/>
        <w:autoSpaceDN/>
        <w:bidi w:val="0"/>
        <w:adjustRightInd w:val="0"/>
        <w:snapToGrid w:val="0"/>
        <w:spacing w:line="440" w:lineRule="exact"/>
        <w:ind w:left="660" w:leftChars="0" w:hanging="660" w:hangingChars="27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1.3.3 以招标文件规定的方式获得了本项目的招标文件。 </w:t>
      </w:r>
    </w:p>
    <w:p w14:paraId="3297C55B">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1.3.4 符合</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中规定的其他资格要求。</w:t>
      </w:r>
    </w:p>
    <w:p w14:paraId="208AB74B">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 如经财政主管部门批准可以采购进口产品，将在</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中写明。但投标人应保证所投产品可履行合法报通关手续进入中国关境内。若</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中未写明允许采购进口产品，如投标人所投产品为进口产品，其投标将作为无效投标被拒绝。</w:t>
      </w:r>
    </w:p>
    <w:p w14:paraId="22BDF934">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 </w:t>
      </w:r>
    </w:p>
    <w:p w14:paraId="1487CEE7">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1.5.1 投标标的所属行业见</w:t>
      </w:r>
      <w:r>
        <w:rPr>
          <w:rFonts w:hint="eastAsia" w:ascii="仿宋" w:hAnsi="仿宋" w:eastAsia="仿宋" w:cs="仿宋"/>
          <w:b w:val="0"/>
          <w:bCs w:val="0"/>
          <w:color w:val="auto"/>
          <w:sz w:val="24"/>
          <w:szCs w:val="24"/>
          <w:u w:val="single"/>
          <w:lang w:val="en-US" w:eastAsia="zh-CN"/>
        </w:rPr>
        <w:t>投标人须知前附表</w:t>
      </w:r>
      <w:r>
        <w:rPr>
          <w:rFonts w:hint="eastAsia" w:ascii="仿宋" w:hAnsi="仿宋" w:eastAsia="仿宋" w:cs="仿宋"/>
          <w:b w:val="0"/>
          <w:bCs w:val="0"/>
          <w:color w:val="auto"/>
          <w:sz w:val="24"/>
          <w:szCs w:val="24"/>
          <w:lang w:val="en-US" w:eastAsia="zh-CN"/>
        </w:rPr>
        <w:t xml:space="preserve">。 </w:t>
      </w:r>
    </w:p>
    <w:p w14:paraId="2D23BAC3">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1.5.2 若投标须知前附表中写明专门面向中小企业采购的，如投标人所提供的货物为非中小企业制造，其投标将被认定为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 xml:space="preserve">。承接企业如为监狱企业或残疾人福利性单位的，视同为小型、微型企业。 </w:t>
      </w:r>
    </w:p>
    <w:p w14:paraId="200CCB79">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1.5.3 本项目是否面向中小企业采购预留份额、措施及比例见投标人须知前附表，未达到上述比例的投标将被认定为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 xml:space="preserve">。承接企业如为监狱企业或残疾人福利性单位的，视同为小型、微型企业。 </w:t>
      </w:r>
    </w:p>
    <w:p w14:paraId="6F21A201">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1.5.4 享受中小企业扶持政策获得政府采购合同的，小微企业不得将合同分包给大中型企业，中型企业不得将合同分包给大型企业。</w:t>
      </w:r>
    </w:p>
    <w:p w14:paraId="11B3F4B2">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 如投标须知前附表中允许联合体投标，对联合体规定如下： </w:t>
      </w:r>
    </w:p>
    <w:p w14:paraId="3F8B9955">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1.6.1 两个以上投标人可以组成一个投标联合体，以一个投标人的身份投标。 </w:t>
      </w:r>
    </w:p>
    <w:p w14:paraId="2413F724">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1.6.2 联合体各方均应符合《中华人民共和国政府采购法》第二十二条规定的条件，遵守国家、本项目采购人本级和上级财政部门政府采购的有关规定。</w:t>
      </w:r>
    </w:p>
    <w:p w14:paraId="420211A4">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1.6.3 采购人根据采购项目对投标人的特殊要求，联合体中至少应当有一方符合相关规定。 </w:t>
      </w:r>
    </w:p>
    <w:p w14:paraId="54808C3A">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1.6.4 联合体各方应签订共同投标协议，明确约定联合体各方承担的工作和相应的责任，并将共同投标协议连同投标文件一并提交采购人或采购代理机构。 </w:t>
      </w:r>
    </w:p>
    <w:p w14:paraId="5236A816">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7CE852C0">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1.6.6 联合体中有同类资质的投标人按照联合体分工承担相同工作的，按照资质等级较低的投标人确定资质等级。 </w:t>
      </w:r>
    </w:p>
    <w:p w14:paraId="41FF15DC">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1.6.7 以联合体形式参加政府采购活动的，联合体各方不得再单独参加或者与其他投标人另外组成联合体参加本项目投标，否则相关投标将被认定为投标无效。 </w:t>
      </w:r>
    </w:p>
    <w:p w14:paraId="04D83B9F">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1.6.8 对联合体投标的其他资格要求见</w:t>
      </w:r>
      <w:r>
        <w:rPr>
          <w:rFonts w:hint="eastAsia" w:ascii="仿宋" w:hAnsi="仿宋" w:eastAsia="仿宋" w:cs="仿宋"/>
          <w:b w:val="0"/>
          <w:bCs w:val="0"/>
          <w:color w:val="auto"/>
          <w:sz w:val="24"/>
          <w:szCs w:val="24"/>
          <w:u w:val="single"/>
          <w:lang w:val="en-US" w:eastAsia="zh-CN"/>
        </w:rPr>
        <w:t>投标须知前附表</w:t>
      </w:r>
      <w:r>
        <w:rPr>
          <w:rFonts w:hint="eastAsia" w:ascii="仿宋" w:hAnsi="仿宋" w:eastAsia="仿宋" w:cs="仿宋"/>
          <w:b w:val="0"/>
          <w:bCs w:val="0"/>
          <w:color w:val="auto"/>
          <w:sz w:val="24"/>
          <w:szCs w:val="24"/>
          <w:lang w:val="en-US" w:eastAsia="zh-CN"/>
        </w:rPr>
        <w:t xml:space="preserve">。 </w:t>
      </w:r>
    </w:p>
    <w:p w14:paraId="0EA439E2">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 单位负责人为同一人或者存在直接控股、管理关系的不同投标人，其投标将被认定为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 xml:space="preserve">。 </w:t>
      </w:r>
    </w:p>
    <w:p w14:paraId="4438091F">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 为本项目提供整体设计、规范编制或者项目管理、监理、检测等服务的投标人，其投标将被认定为</w:t>
      </w:r>
      <w:r>
        <w:rPr>
          <w:rFonts w:hint="eastAsia" w:ascii="仿宋" w:hAnsi="仿宋" w:eastAsia="仿宋" w:cs="仿宋"/>
          <w:b/>
          <w:bCs/>
          <w:color w:val="auto"/>
          <w:sz w:val="24"/>
          <w:szCs w:val="24"/>
          <w:lang w:val="en-US" w:eastAsia="zh-CN"/>
        </w:rPr>
        <w:t>投标无效</w:t>
      </w:r>
      <w:r>
        <w:rPr>
          <w:rFonts w:hint="eastAsia" w:ascii="仿宋" w:hAnsi="仿宋" w:eastAsia="仿宋" w:cs="仿宋"/>
          <w:b w:val="0"/>
          <w:bCs w:val="0"/>
          <w:color w:val="auto"/>
          <w:sz w:val="24"/>
          <w:szCs w:val="24"/>
          <w:lang w:val="en-US" w:eastAsia="zh-CN"/>
        </w:rPr>
        <w:t>。</w:t>
      </w:r>
    </w:p>
    <w:p w14:paraId="7FE23BF4">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kern w:val="2"/>
          <w:sz w:val="24"/>
          <w:szCs w:val="24"/>
          <w:lang w:val="en-US" w:eastAsia="zh-CN" w:bidi="ar-SA"/>
        </w:rPr>
        <w:t xml:space="preserve">2．资金来源 </w:t>
      </w:r>
    </w:p>
    <w:p w14:paraId="5B767A51">
      <w:pPr>
        <w:keepNext w:val="0"/>
        <w:keepLines w:val="0"/>
        <w:pageBreakBefore w:val="0"/>
        <w:widowControl w:val="0"/>
        <w:kinsoku/>
        <w:wordWrap/>
        <w:overflowPunct/>
        <w:topLinePunct w:val="0"/>
        <w:autoSpaceDE/>
        <w:autoSpaceDN/>
        <w:bidi w:val="0"/>
        <w:adjustRightInd w:val="0"/>
        <w:snapToGrid w:val="0"/>
        <w:spacing w:line="440" w:lineRule="exact"/>
        <w:ind w:left="-2" w:leftChars="0" w:right="-48" w:rightChars="-23" w:firstLine="0" w:firstLine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2.1 本项目的采购人已获得足以支付本次招标后所签订的合同项下的资金（包括财政性资金和本项目采购中无法与财政性资金分割的非财政性资金）。 </w:t>
      </w:r>
    </w:p>
    <w:p w14:paraId="728A144F">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2.2 项目预算金额和最高限价见</w:t>
      </w:r>
      <w:r>
        <w:rPr>
          <w:rFonts w:hint="eastAsia" w:ascii="仿宋" w:hAnsi="仿宋" w:eastAsia="仿宋" w:cs="仿宋"/>
          <w:b w:val="0"/>
          <w:bCs w:val="0"/>
          <w:i w:val="0"/>
          <w:iCs w:val="0"/>
          <w:color w:val="auto"/>
          <w:sz w:val="24"/>
          <w:szCs w:val="24"/>
          <w:u w:val="single"/>
          <w:lang w:val="en-US" w:eastAsia="zh-CN"/>
        </w:rPr>
        <w:t>投标须知前附表</w:t>
      </w:r>
      <w:r>
        <w:rPr>
          <w:rFonts w:hint="eastAsia" w:ascii="仿宋" w:hAnsi="仿宋" w:eastAsia="仿宋" w:cs="仿宋"/>
          <w:b w:val="0"/>
          <w:bCs w:val="0"/>
          <w:i w:val="0"/>
          <w:iCs w:val="0"/>
          <w:color w:val="auto"/>
          <w:sz w:val="24"/>
          <w:szCs w:val="24"/>
          <w:lang w:val="en-US" w:eastAsia="zh-CN"/>
        </w:rPr>
        <w:t xml:space="preserve">。 </w:t>
      </w:r>
    </w:p>
    <w:p w14:paraId="55AF8E75">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2.3 投标人报价超过招标文件规定的预算金额或者最高限价的，其投标将被认定为</w:t>
      </w:r>
      <w:r>
        <w:rPr>
          <w:rFonts w:hint="eastAsia" w:ascii="仿宋" w:hAnsi="仿宋" w:eastAsia="仿宋" w:cs="仿宋"/>
          <w:b/>
          <w:bCs/>
          <w:i w:val="0"/>
          <w:iCs w:val="0"/>
          <w:color w:val="auto"/>
          <w:sz w:val="24"/>
          <w:szCs w:val="24"/>
          <w:lang w:val="en-US" w:eastAsia="zh-CN"/>
        </w:rPr>
        <w:t>投标无效</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bCs/>
          <w:i w:val="0"/>
          <w:iCs w:val="0"/>
          <w:color w:val="auto"/>
          <w:sz w:val="24"/>
          <w:szCs w:val="24"/>
          <w:lang w:val="en-US" w:eastAsia="zh-CN"/>
        </w:rPr>
        <w:t xml:space="preserve"> </w:t>
      </w:r>
    </w:p>
    <w:p w14:paraId="1EC168B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3. 投标费用 </w:t>
      </w:r>
    </w:p>
    <w:p w14:paraId="1625E5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不论投标的结果如何，投标人应承担所有与投标有关的费用。 </w:t>
      </w:r>
    </w:p>
    <w:p w14:paraId="7195808C">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4. 适用法律 </w:t>
      </w:r>
    </w:p>
    <w:p w14:paraId="754E31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本项目采购人、采购代理机构、投标人、评标委员会的相关行为均受《中华人民共和国政府采购法》、《中华人民共和国政府采购法实施条例》及本项目本级和上级财政部门政府采购有关规定的约束，</w:t>
      </w:r>
      <w:r>
        <w:rPr>
          <w:rFonts w:hint="eastAsia" w:ascii="仿宋" w:hAnsi="仿宋" w:eastAsia="仿宋" w:cs="仿宋"/>
          <w:color w:val="auto"/>
          <w:sz w:val="24"/>
        </w:rPr>
        <w:t>其权利受到上述法律法规的保护</w:t>
      </w:r>
      <w:r>
        <w:rPr>
          <w:rFonts w:hint="eastAsia" w:ascii="仿宋" w:hAnsi="仿宋" w:eastAsia="仿宋" w:cs="仿宋"/>
          <w:b w:val="0"/>
          <w:bCs w:val="0"/>
          <w:i w:val="0"/>
          <w:iCs w:val="0"/>
          <w:color w:val="auto"/>
          <w:sz w:val="24"/>
          <w:szCs w:val="24"/>
          <w:lang w:val="en-US" w:eastAsia="zh-CN"/>
        </w:rPr>
        <w:t xml:space="preserve">。 </w:t>
      </w:r>
    </w:p>
    <w:p w14:paraId="7B6B113B">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p>
    <w:p w14:paraId="7243385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745" w:leftChars="0" w:hanging="745" w:hangingChars="265"/>
        <w:jc w:val="center"/>
        <w:textAlignment w:val="auto"/>
        <w:rPr>
          <w:rFonts w:hint="eastAsia" w:ascii="仿宋" w:hAnsi="仿宋" w:eastAsia="仿宋" w:cs="仿宋"/>
          <w:b w:val="0"/>
          <w:bCs w:val="0"/>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二 招标文件</w:t>
      </w:r>
    </w:p>
    <w:p w14:paraId="29A8E961">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p>
    <w:p w14:paraId="3644CD00">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5.  招标文件构成 </w:t>
      </w:r>
    </w:p>
    <w:p w14:paraId="66A951E0">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5.1</w:t>
      </w:r>
      <w:r>
        <w:rPr>
          <w:rFonts w:hint="eastAsia" w:ascii="仿宋" w:hAnsi="仿宋" w:eastAsia="仿宋" w:cs="仿宋"/>
          <w:b w:val="0"/>
          <w:bCs w:val="0"/>
          <w:i w:val="0"/>
          <w:iCs w:val="0"/>
          <w:color w:val="auto"/>
          <w:spacing w:val="48"/>
          <w:w w:val="100"/>
          <w:kern w:val="0"/>
          <w:sz w:val="24"/>
          <w:szCs w:val="24"/>
          <w:fitText w:val="216" w:id="947675201"/>
          <w:lang w:val="en-US" w:eastAsia="zh-CN"/>
        </w:rPr>
        <w:t xml:space="preserve"> </w:t>
      </w:r>
      <w:r>
        <w:rPr>
          <w:rFonts w:hint="eastAsia" w:ascii="仿宋" w:hAnsi="仿宋" w:eastAsia="仿宋" w:cs="仿宋"/>
          <w:b w:val="0"/>
          <w:bCs w:val="0"/>
          <w:i w:val="0"/>
          <w:iCs w:val="0"/>
          <w:color w:val="auto"/>
          <w:sz w:val="24"/>
          <w:szCs w:val="24"/>
          <w:lang w:val="en-US" w:eastAsia="zh-CN"/>
        </w:rPr>
        <w:t xml:space="preserve">要求提供货物及伴随服务及工程的内容及详细技术需求、投标须知和合同条件等在招标文件中均有说明。 </w:t>
      </w:r>
    </w:p>
    <w:p w14:paraId="140DBC19">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招标文件共七章。各册的内容如下： </w:t>
      </w:r>
    </w:p>
    <w:p w14:paraId="31A33ECE">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第一章 投标邀请书 </w:t>
      </w:r>
    </w:p>
    <w:p w14:paraId="37D7BCE1">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第二章 投标须知前附表 </w:t>
      </w:r>
    </w:p>
    <w:p w14:paraId="14E45715">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第三章 投标人须知</w:t>
      </w:r>
    </w:p>
    <w:p w14:paraId="7A8E5964">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第四章 政府采购合同 </w:t>
      </w:r>
    </w:p>
    <w:p w14:paraId="08B220C0">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第五章 采购需求 </w:t>
      </w:r>
    </w:p>
    <w:p w14:paraId="1E37895D">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第六章 评标方法和标准</w:t>
      </w:r>
    </w:p>
    <w:p w14:paraId="1D0526CB">
      <w:pPr>
        <w:keepNext w:val="0"/>
        <w:keepLines w:val="0"/>
        <w:pageBreakBefore w:val="0"/>
        <w:widowControl w:val="0"/>
        <w:kinsoku/>
        <w:wordWrap/>
        <w:overflowPunct/>
        <w:topLinePunct w:val="0"/>
        <w:autoSpaceDE/>
        <w:autoSpaceDN/>
        <w:bidi w:val="0"/>
        <w:adjustRightInd w:val="0"/>
        <w:snapToGrid w:val="0"/>
        <w:spacing w:line="440" w:lineRule="exact"/>
        <w:ind w:left="634" w:leftChars="302" w:firstLine="4" w:firstLineChars="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 xml:space="preserve">第七章 投标文件格式 </w:t>
      </w:r>
    </w:p>
    <w:p w14:paraId="5179D38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5.2 招标文件中有不一致的，有澄清的部分以最终的澄清更正内容为准；未澄清的，以</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为准；</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不涉及的内容，以编排在后的最后描述为准。</w:t>
      </w:r>
    </w:p>
    <w:p w14:paraId="787761E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5.3 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仿宋" w:hAnsi="仿宋" w:eastAsia="仿宋" w:cs="仿宋"/>
          <w:b/>
          <w:bCs/>
          <w:color w:val="auto"/>
          <w:spacing w:val="0"/>
          <w:kern w:val="2"/>
          <w:sz w:val="24"/>
          <w:szCs w:val="24"/>
          <w:u w:val="none"/>
          <w:lang w:val="en-US" w:eastAsia="zh-CN" w:bidi="ar"/>
        </w:rPr>
        <w:t>投标被拒绝</w:t>
      </w:r>
      <w:r>
        <w:rPr>
          <w:rFonts w:hint="eastAsia" w:ascii="仿宋" w:hAnsi="仿宋" w:eastAsia="仿宋" w:cs="仿宋"/>
          <w:b w:val="0"/>
          <w:bCs w:val="0"/>
          <w:color w:val="auto"/>
          <w:spacing w:val="0"/>
          <w:kern w:val="2"/>
          <w:sz w:val="24"/>
          <w:szCs w:val="24"/>
          <w:u w:val="none"/>
          <w:lang w:val="en-US" w:eastAsia="zh-CN" w:bidi="ar"/>
        </w:rPr>
        <w:t xml:space="preserve">。 </w:t>
      </w:r>
    </w:p>
    <w:p w14:paraId="461E01B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jc w:val="lef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5.4 现场考察或者答疑会及相关事项见</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 </w:t>
      </w:r>
    </w:p>
    <w:p w14:paraId="3896425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5.5 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，对样品的评审方法及评审标准见招标文件第六章。 </w:t>
      </w:r>
    </w:p>
    <w:p w14:paraId="61D2A2B0">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6. 招标文件的澄清与修改 </w:t>
      </w:r>
    </w:p>
    <w:p w14:paraId="612CDBB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6.1 采购人可主动地或在解答投标人提出的澄清问题时对招标文件进行澄清或修改。采购代理机构将以发布澄清（更正）公告的方式，澄清或修改招标文件，澄清或修改内容作为招标文件的组成部分。 </w:t>
      </w:r>
    </w:p>
    <w:p w14:paraId="7A557B7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14:paraId="1883076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因潜在投标人原因或通讯线路故障导致通知逾期送达或无法送达，采购代理机构不因此承担任何责任，有关的招标采购活动可以继续有效进行。</w:t>
      </w:r>
    </w:p>
    <w:p w14:paraId="6E9C60F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6.3  为了保证对招标文件的澄清和修改满足法律的时限要求，任何要求对招标文件进行澄清的投标人，均应在投标截止期十五日前，以书面形式将澄清要求通知采购人或采购代理机构。采购人或采购代理机构将发布澄清公告或澄清通知，澄清内容为招标文件的组成部分。 </w:t>
      </w:r>
    </w:p>
    <w:p w14:paraId="17447A7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 xml:space="preserve">7. 投标截止时间的顺延 </w:t>
      </w:r>
    </w:p>
    <w:p w14:paraId="4F201C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为使投标人有足够的时间对招标文件的澄清或者修改部分进行研究而准备投标或因其他原因，采购人将依法决定是否顺延投标截止时间。</w:t>
      </w:r>
    </w:p>
    <w:p w14:paraId="15096C2E">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p>
    <w:p w14:paraId="415F2D7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三 投标文件的编制</w:t>
      </w:r>
    </w:p>
    <w:p w14:paraId="15D731B6">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i w:val="0"/>
          <w:iCs w:val="0"/>
          <w:color w:val="auto"/>
          <w:sz w:val="24"/>
          <w:szCs w:val="24"/>
          <w:lang w:val="en-US" w:eastAsia="zh-CN"/>
        </w:rPr>
      </w:pPr>
    </w:p>
    <w:p w14:paraId="4ACA2AA2">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8. 投标范围及投标文件中标准和计量单位的使用 </w:t>
      </w:r>
    </w:p>
    <w:p w14:paraId="04FABA2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8.1 投标人可对招标文件中一个或几个分包货物进行投标，除非在</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中另有规定。 </w:t>
      </w:r>
    </w:p>
    <w:p w14:paraId="2B8BDB6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8.2 投标人应当对所投分包招标文件采购需求中“采购需求一览表”所列的所有内容进行投标，如仅响应分包中的部分内容，其该包投标将被认定为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77B0DA0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8.3 无论招标文件中是否要求，投标人所投货物及其伴随的服务和工程均应符合国家强制性标准。 </w:t>
      </w:r>
    </w:p>
    <w:p w14:paraId="122133B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8.4 除招标文件中有特殊要求外，投标文件中所使用的计量单位，应采用中华人民共和国法定计量单位。 </w:t>
      </w:r>
    </w:p>
    <w:p w14:paraId="6D30CC2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9.  投标文件组成 </w:t>
      </w:r>
    </w:p>
    <w:p w14:paraId="7D06345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9.1 投标文件由“资格证明文件、经济、商务及技术文件”组成。投标人应完整地按照招标文件提供的投标文件格式及要求编写投标文件。投标文件中资格审查和符合性审查涉及的事项不满足招标文件要求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E2E401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9.2 上述文件应按照招标文件的规定签署和单位电子签章或经公章授权的其他单位章（以下统称公章）。采用公章授权方式的，应当在投标文件中附公章授权书（格式自定）。 </w:t>
      </w:r>
    </w:p>
    <w:p w14:paraId="02C6E9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10. 证明投标标的的合格性和符合招标文件规定的技术</w:t>
      </w:r>
      <w:r>
        <w:rPr>
          <w:rFonts w:hint="eastAsia" w:ascii="仿宋" w:hAnsi="仿宋" w:eastAsia="仿宋" w:cs="仿宋"/>
          <w:b w:val="0"/>
          <w:bCs w:val="0"/>
          <w:color w:val="auto"/>
          <w:spacing w:val="0"/>
          <w:kern w:val="2"/>
          <w:sz w:val="24"/>
          <w:szCs w:val="24"/>
          <w:u w:val="none"/>
          <w:lang w:val="en-US" w:eastAsia="zh-CN" w:bidi="ar"/>
        </w:rPr>
        <w:t xml:space="preserve">文件 </w:t>
      </w:r>
    </w:p>
    <w:p w14:paraId="08DBE80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10.1 投标人应提交证明文件，证明其投标标的符合招标文件规定。该证明文件是投标文件的技术文件。 </w:t>
      </w:r>
    </w:p>
    <w:p w14:paraId="1BE4F3F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10.2 上款所述的证明文件，可以是文字资料、图纸和数据，它包括：</w:t>
      </w:r>
    </w:p>
    <w:p w14:paraId="28406E9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（1）货物主要技术指标和性能的详细说明。 </w:t>
      </w:r>
    </w:p>
    <w:p w14:paraId="0A207B5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right="-48" w:rightChars="-23"/>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（2）货物从买方开始使用至招标文件规定的保质期内正常、连续地使用所必须的备件和专用工具清单，包括备件和专用工具的货源及现行价格。 </w:t>
      </w:r>
    </w:p>
    <w:p w14:paraId="30B116A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right="-48" w:rightChars="-23"/>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（3）对照招标文件技术规格，逐条说明所提供货物和服务已对招标文件的技术规格做出了实质性的响应，或申明与技术规格条文的偏差和例外。</w:t>
      </w:r>
    </w:p>
    <w:p w14:paraId="1181C51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10.3 投标人应注意采购人在技术规格中指出的工艺、材料和设备的参照品牌、牌号或分类号仅起说明作用，并没有任何限制性。投标人在投标中可以选用替代品牌、牌号或分类号，但这些替代要实质上相当于技术规格的要求。采购人、采购代理机构承诺不以上述参考品牌、牌号或分类号作为评标时判定其投标是否有效的标准。 </w:t>
      </w:r>
    </w:p>
    <w:p w14:paraId="4CE0FADB">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10.4 本条所指证明文件不包括对招标文件相关部分的文字、图标的复制。</w:t>
      </w:r>
    </w:p>
    <w:p w14:paraId="5DAC0E9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11. 投标报价 </w:t>
      </w:r>
    </w:p>
    <w:p w14:paraId="093647F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11.1 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予行为，将导致其</w:t>
      </w:r>
      <w:r>
        <w:rPr>
          <w:rFonts w:hint="eastAsia" w:ascii="仿宋" w:hAnsi="仿宋" w:eastAsia="仿宋" w:cs="仿宋"/>
          <w:b/>
          <w:bCs/>
          <w:color w:val="auto"/>
          <w:spacing w:val="0"/>
          <w:kern w:val="2"/>
          <w:sz w:val="24"/>
          <w:szCs w:val="24"/>
          <w:u w:val="none"/>
          <w:lang w:val="en-US" w:eastAsia="zh-CN" w:bidi="ar"/>
        </w:rPr>
        <w:t>投标被拒绝</w:t>
      </w:r>
      <w:r>
        <w:rPr>
          <w:rFonts w:hint="eastAsia" w:ascii="仿宋" w:hAnsi="仿宋" w:eastAsia="仿宋" w:cs="仿宋"/>
          <w:b w:val="0"/>
          <w:bCs w:val="0"/>
          <w:color w:val="auto"/>
          <w:spacing w:val="0"/>
          <w:kern w:val="2"/>
          <w:sz w:val="24"/>
          <w:szCs w:val="24"/>
          <w:u w:val="none"/>
          <w:lang w:val="en-US" w:eastAsia="zh-CN" w:bidi="ar"/>
        </w:rPr>
        <w:t xml:space="preserve">。 </w:t>
      </w:r>
    </w:p>
    <w:p w14:paraId="23BADF4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11.2 投标人应在投标分项报价表上标明货物及伴随的服务和工程的单价（如适用）和总价，并由法定代表人或委托代理人签署。 </w:t>
      </w:r>
    </w:p>
    <w:p w14:paraId="14E9A1F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11.3 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6431072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11.4 每种货物及伴随的服务和工程只能有一个投标报价，否则其投标将被认定为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，采购人不接受具有附加条件的报价。 </w:t>
      </w:r>
    </w:p>
    <w:p w14:paraId="415616C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11.5 投标分项报价表上的价格应按下列方式填写：</w:t>
      </w:r>
    </w:p>
    <w:p w14:paraId="20779A5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投标货物（包括备品备件、专用工具等）的安装、调试、检验、技术服务、培训和招标文件要求提供的所有伴随服务、工程等费用，货物运至最终目的地的运输费和保险费用总和。</w:t>
      </w:r>
    </w:p>
    <w:p w14:paraId="2BD65EE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12. 投标保证金 </w:t>
      </w:r>
    </w:p>
    <w:p w14:paraId="0930E8B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12.1 投标人应提交</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中规定的投标保证金，并作为其投标的一部分。 </w:t>
      </w:r>
    </w:p>
    <w:p w14:paraId="3D59598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12.2 投标保证金是为了保护采购人和采购代理机构免遭因投标人的行为蒙受损失而要求的。 </w:t>
      </w:r>
    </w:p>
    <w:p w14:paraId="48A4608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下列任何情况发生，投标保证金不予退还： </w:t>
      </w:r>
    </w:p>
    <w:p w14:paraId="09DFFF7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（1）在投标有效期内，投标人撤回投标的； </w:t>
      </w:r>
    </w:p>
    <w:p w14:paraId="24D16C2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（2）中标人不按本招标文件的规定与采购人签订合同的； </w:t>
      </w:r>
    </w:p>
    <w:p w14:paraId="0E6B240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（3）中标人不按本招标文件的规定提交履约保证金的； </w:t>
      </w:r>
    </w:p>
    <w:p w14:paraId="50D042B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（4）存在的串通投标情形的；</w:t>
      </w:r>
    </w:p>
    <w:p w14:paraId="316D1781">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（5）存在向采购人、代理机构或评标专家行贿事实的；</w:t>
      </w:r>
    </w:p>
    <w:p w14:paraId="7FB373B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（6）法律、法规规定的其它情况。 </w:t>
      </w:r>
    </w:p>
    <w:p w14:paraId="3960AF3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12.3 投标保证金可采用下列形式之一： </w:t>
      </w:r>
    </w:p>
    <w:p w14:paraId="330D8A3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电汇、支票、投标保函，以及</w:t>
      </w:r>
      <w:r>
        <w:rPr>
          <w:rFonts w:hint="eastAsia" w:ascii="仿宋" w:hAnsi="仿宋" w:eastAsia="仿宋" w:cs="仿宋"/>
          <w:b w:val="0"/>
          <w:bCs w:val="0"/>
          <w:i w:val="0"/>
          <w:i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中可接受的其他形式； </w:t>
      </w:r>
    </w:p>
    <w:p w14:paraId="5BAF8D1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12.4 投标人没有根据本须知 12.1 和第 12.3 条规定提交投标保证金的，其投标将被认定为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22C549A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采用电汇、转账、支票等形式提交投标保证金的，投标人则应充分考虑入账时间，以确保投标保证金能按时进入指定账户。根据银行信息交换和付款时间，建议投标人投标截止日前2-3 个工作日提交投标保证金。如投标人未及时提交投标保证，导致投标保证金不能按时汇入指定账户的，将按照废标处理。</w:t>
      </w:r>
    </w:p>
    <w:p w14:paraId="58D47C9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12.5 联合体投标的，可以由联合体中的一方或者共同提交投标保证金，以一方名义提交投标保证金的，对联合体各方均具有约束力。 </w:t>
      </w:r>
    </w:p>
    <w:p w14:paraId="0FDFFED1">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12.6 中标人应在与采购人签订合同之日起5个工作日内及时联系采购代理机构办理投标保证金退还手续。 </w:t>
      </w:r>
    </w:p>
    <w:p w14:paraId="796D8C6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未中标投标人的投标保证金将在中标通知书发出之日起5个工作日内，及时联系采购人或采购代理机构办理退还投标保证金手续，因投标人自身原因导致无法及时退还的，采购人或采购代理机构将不承担资金占用费。 </w:t>
      </w:r>
    </w:p>
    <w:p w14:paraId="685F2AC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13. 投标有效期 </w:t>
      </w:r>
    </w:p>
    <w:p w14:paraId="68D1297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13.1 投标应在规定的提交投标文件截止之日起，按照</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中规定时间内保持有效。投标有效期不满足要求的投标，其投标将被认定为投标无效。 </w:t>
      </w:r>
    </w:p>
    <w:p w14:paraId="1D9686C5">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 </w:t>
      </w:r>
    </w:p>
    <w:p w14:paraId="7C078B4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14. 投标文件的制作</w:t>
      </w:r>
      <w:r>
        <w:rPr>
          <w:rFonts w:hint="eastAsia" w:ascii="仿宋" w:hAnsi="仿宋" w:eastAsia="仿宋" w:cs="仿宋"/>
          <w:b w:val="0"/>
          <w:bCs w:val="0"/>
          <w:color w:val="auto"/>
          <w:spacing w:val="0"/>
          <w:kern w:val="2"/>
          <w:sz w:val="24"/>
          <w:szCs w:val="24"/>
          <w:u w:val="none"/>
          <w:lang w:val="en-US" w:eastAsia="zh-CN" w:bidi="ar"/>
        </w:rPr>
        <w:t xml:space="preserve"> </w:t>
      </w:r>
    </w:p>
    <w:p w14:paraId="676E1BC3">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color w:val="auto"/>
          <w:sz w:val="24"/>
          <w:szCs w:val="24"/>
          <w:lang w:val="en-US" w:eastAsia="zh-CN"/>
        </w:rPr>
        <w:t>□采用见面开标（非电子标）：</w:t>
      </w:r>
    </w:p>
    <w:p w14:paraId="675B0D2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14.1 投标人应</w:t>
      </w:r>
      <w:r>
        <w:rPr>
          <w:rFonts w:hint="eastAsia" w:ascii="仿宋" w:hAnsi="仿宋" w:eastAsia="仿宋" w:cs="仿宋"/>
          <w:b w:val="0"/>
          <w:bCs w:val="0"/>
          <w:color w:val="auto"/>
          <w:spacing w:val="0"/>
          <w:kern w:val="2"/>
          <w:sz w:val="24"/>
          <w:szCs w:val="24"/>
          <w:u w:val="single"/>
          <w:lang w:val="en-US" w:eastAsia="zh-CN" w:bidi="ar"/>
        </w:rPr>
        <w:t>按投标须知前附表</w:t>
      </w:r>
      <w:r>
        <w:rPr>
          <w:rFonts w:hint="eastAsia" w:ascii="仿宋" w:hAnsi="仿宋" w:eastAsia="仿宋" w:cs="仿宋"/>
          <w:b w:val="0"/>
          <w:bCs w:val="0"/>
          <w:color w:val="auto"/>
          <w:spacing w:val="0"/>
          <w:kern w:val="2"/>
          <w:sz w:val="24"/>
          <w:szCs w:val="24"/>
          <w:u w:val="none"/>
          <w:lang w:val="en-US" w:eastAsia="zh-CN" w:bidi="ar"/>
        </w:rPr>
        <w:t xml:space="preserve">中的规定，准备和递交投标文件正本、副本和电子文档，每份投标文件封皮须清楚地标明“正本”或“副本”。投标文件的副本可采用正本的复印件，若正本和副本不一致，以正本为准。 </w:t>
      </w:r>
    </w:p>
    <w:p w14:paraId="18802A9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电子签章的投标文件，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4F8A80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14.3 所有投标文件采用不可拆装的胶订方式装订或其他不可拆装的方式装订成册，否则将被被认定为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1E0D807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14.4 投标文件因字迹潦草、表达不清或装订不当所引起的后果由投标人负责。</w:t>
      </w:r>
    </w:p>
    <w:p w14:paraId="2AEB89F6">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 </w:t>
      </w: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采用不见面开标（电子标）：</w:t>
      </w:r>
    </w:p>
    <w:p w14:paraId="39A2DA2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14.5电子标按平台相关规定执行。 </w:t>
      </w:r>
    </w:p>
    <w:p w14:paraId="6FBA4E03">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p>
    <w:p w14:paraId="2CB767AF">
      <w:pPr>
        <w:keepNext w:val="0"/>
        <w:keepLines w:val="0"/>
        <w:pageBreakBefore w:val="0"/>
        <w:widowControl w:val="0"/>
        <w:kinsoku/>
        <w:wordWrap/>
        <w:overflowPunct/>
        <w:topLinePunct w:val="0"/>
        <w:autoSpaceDE/>
        <w:autoSpaceDN/>
        <w:bidi w:val="0"/>
        <w:adjustRightInd w:val="0"/>
        <w:snapToGrid w:val="0"/>
        <w:spacing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四  投标文件的递交</w:t>
      </w:r>
    </w:p>
    <w:p w14:paraId="735A1766">
      <w:pPr>
        <w:keepNext w:val="0"/>
        <w:keepLines w:val="0"/>
        <w:pageBreakBefore w:val="0"/>
        <w:widowControl w:val="0"/>
        <w:kinsoku/>
        <w:wordWrap/>
        <w:overflowPunct/>
        <w:topLinePunct w:val="0"/>
        <w:autoSpaceDE/>
        <w:autoSpaceDN/>
        <w:bidi w:val="0"/>
        <w:adjustRightInd w:val="0"/>
        <w:snapToGrid w:val="0"/>
        <w:spacing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p>
    <w:p w14:paraId="47FCC6CB">
      <w:pPr>
        <w:pStyle w:val="30"/>
        <w:keepNext w:val="0"/>
        <w:keepLines w:val="0"/>
        <w:pageBreakBefore w:val="0"/>
        <w:widowControl w:val="0"/>
        <w:numPr>
          <w:ilvl w:val="0"/>
          <w:numId w:val="3"/>
        </w:numPr>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投标文件的密封和标记 </w:t>
      </w:r>
    </w:p>
    <w:p w14:paraId="3CF75727">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color w:val="auto"/>
          <w:sz w:val="24"/>
          <w:szCs w:val="24"/>
          <w:lang w:val="en-US" w:eastAsia="zh-CN"/>
        </w:rPr>
        <w:t>□采用见面开标（非电子标）：</w:t>
      </w:r>
    </w:p>
    <w:p w14:paraId="6DE6DED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15.1 投标文件应当用不能被他人知悉或更换投标文件内容的方式密封。投标人应承担封装失误产生的任何后果。 </w:t>
      </w:r>
    </w:p>
    <w:p w14:paraId="7D92AC6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15.2 所有包装封皮和信封上均应： </w:t>
      </w:r>
    </w:p>
    <w:p w14:paraId="05ECFDF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（1）注明招标公告中指明的项目名称、招标编号、分包名称及包号（如有）、投标人名称和“在（开标时间）之前不得启封”的字样。 </w:t>
      </w:r>
    </w:p>
    <w:p w14:paraId="755AD90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（2）在封口处加盖投标人公章，或由法定代表人或委托代理人签字。 </w:t>
      </w:r>
    </w:p>
    <w:p w14:paraId="2DD149C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15.3 如果投标文件未按上述要求密封，将被</w:t>
      </w:r>
      <w:r>
        <w:rPr>
          <w:rFonts w:hint="eastAsia" w:ascii="仿宋" w:hAnsi="仿宋" w:eastAsia="仿宋" w:cs="仿宋"/>
          <w:b/>
          <w:bCs/>
          <w:color w:val="auto"/>
          <w:spacing w:val="0"/>
          <w:kern w:val="2"/>
          <w:sz w:val="24"/>
          <w:szCs w:val="24"/>
          <w:u w:val="none"/>
          <w:lang w:val="en-US" w:eastAsia="zh-CN" w:bidi="ar"/>
        </w:rPr>
        <w:t>拒绝</w:t>
      </w:r>
      <w:r>
        <w:rPr>
          <w:rFonts w:hint="eastAsia" w:ascii="仿宋" w:hAnsi="仿宋" w:eastAsia="仿宋" w:cs="仿宋"/>
          <w:b w:val="0"/>
          <w:bCs w:val="0"/>
          <w:color w:val="auto"/>
          <w:spacing w:val="0"/>
          <w:kern w:val="2"/>
          <w:sz w:val="24"/>
          <w:szCs w:val="24"/>
          <w:u w:val="none"/>
          <w:lang w:val="en-US" w:eastAsia="zh-CN" w:bidi="ar"/>
        </w:rPr>
        <w:t>接收。</w:t>
      </w:r>
    </w:p>
    <w:p w14:paraId="543D0ED0">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 </w:t>
      </w:r>
      <w:r>
        <w:rPr>
          <w:rFonts w:hint="eastAsia" w:ascii="仿宋" w:hAnsi="仿宋" w:eastAsia="仿宋" w:cs="仿宋"/>
          <w:color w:val="auto"/>
          <w:sz w:val="24"/>
          <w:szCs w:val="24"/>
          <w:lang w:val="en-US" w:eastAsia="zh-CN"/>
        </w:rPr>
        <w:sym w:font="Wingdings 2" w:char="0052"/>
      </w:r>
      <w:r>
        <w:rPr>
          <w:rFonts w:hint="eastAsia" w:ascii="仿宋" w:hAnsi="仿宋" w:eastAsia="仿宋" w:cs="仿宋"/>
          <w:color w:val="auto"/>
          <w:sz w:val="24"/>
          <w:szCs w:val="24"/>
          <w:lang w:val="en-US" w:eastAsia="zh-CN"/>
        </w:rPr>
        <w:t>采用不见面开标（电子标）：</w:t>
      </w:r>
    </w:p>
    <w:p w14:paraId="28A0EE6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0" w:leftChars="0"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拒绝。</w:t>
      </w:r>
    </w:p>
    <w:p w14:paraId="33F4ADF4">
      <w:pPr>
        <w:pStyle w:val="59"/>
        <w:keepNext w:val="0"/>
        <w:keepLines w:val="0"/>
        <w:pageBreakBefore w:val="0"/>
        <w:kinsoku/>
        <w:wordWrap/>
        <w:overflowPunct/>
        <w:topLinePunct w:val="0"/>
        <w:autoSpaceDE/>
        <w:autoSpaceDN/>
        <w:bidi w:val="0"/>
        <w:adjustRightInd w:val="0"/>
        <w:snapToGrid w:val="0"/>
        <w:spacing w:line="360" w:lineRule="auto"/>
        <w:ind w:firstLine="723" w:firstLineChars="3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kern w:val="0"/>
          <w:sz w:val="24"/>
          <w:szCs w:val="24"/>
          <w:highlight w:val="none"/>
        </w:rPr>
        <w:t>是否采用不见面开标详见供应商须知前附表</w:t>
      </w:r>
    </w:p>
    <w:p w14:paraId="44AD1F28">
      <w:pPr>
        <w:pStyle w:val="30"/>
        <w:keepNext w:val="0"/>
        <w:keepLines w:val="0"/>
        <w:pageBreakBefore w:val="0"/>
        <w:widowControl w:val="0"/>
        <w:kinsoku/>
        <w:wordWrap/>
        <w:overflowPunct/>
        <w:topLinePunct w:val="0"/>
        <w:autoSpaceDE/>
        <w:autoSpaceDN/>
        <w:bidi w:val="0"/>
        <w:adjustRightInd w:val="0"/>
        <w:snapToGrid w:val="0"/>
        <w:spacing w:before="0" w:after="0" w:line="360" w:lineRule="auto"/>
        <w:ind w:left="638" w:leftChars="0" w:hanging="638"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16. 投标截止</w:t>
      </w:r>
      <w:r>
        <w:rPr>
          <w:rFonts w:hint="eastAsia" w:ascii="仿宋" w:hAnsi="仿宋" w:eastAsia="仿宋" w:cs="仿宋"/>
          <w:b w:val="0"/>
          <w:bCs w:val="0"/>
          <w:color w:val="auto"/>
          <w:spacing w:val="0"/>
          <w:kern w:val="2"/>
          <w:sz w:val="24"/>
          <w:szCs w:val="24"/>
          <w:u w:val="none"/>
          <w:lang w:val="en-US" w:eastAsia="zh-CN" w:bidi="ar"/>
        </w:rPr>
        <w:t xml:space="preserve"> </w:t>
      </w:r>
    </w:p>
    <w:p w14:paraId="6677AE75">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16.1 投标人应在</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中规定的截止时间前，将投标文件递交到招标公告中规定的地点。 </w:t>
      </w:r>
    </w:p>
    <w:p w14:paraId="56ABB9C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16.2 采购人和采购代理机构将拒绝并原封退回在投标截止期后送达的任何投标文件。 </w:t>
      </w:r>
    </w:p>
    <w:p w14:paraId="6ABF945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086F313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17. 投标文件的接收、修改与撤回 </w:t>
      </w:r>
    </w:p>
    <w:p w14:paraId="6B63682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17.1 采购人和采购代理机构将按招标文件规定的时间和地点接收投标文件。 </w:t>
      </w:r>
    </w:p>
    <w:p w14:paraId="6A5E3FB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17.2 采购人或者采购代理机构收到投标文件后，应当如实记载投标文件的送达时间和密封情况，并向投标人出具签收回执。 </w:t>
      </w:r>
    </w:p>
    <w:p w14:paraId="6255EC1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 </w:t>
      </w:r>
    </w:p>
    <w:p w14:paraId="68E7AF1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递交投标文件以后，如果投标人要进行撤回的，须提出书面通知并在投标截止时间前送达开标地点，采购人和采购代理机构将予以接受。 </w:t>
      </w:r>
    </w:p>
    <w:p w14:paraId="4B5F613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17.4 在投标截止时间之后，投标人不得对其投标文件做任何修改。除投标人不足3家未开标外，采购人和采购代理机构对所接收投标文件概不退回。</w:t>
      </w:r>
    </w:p>
    <w:p w14:paraId="625D0AA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17.5 从投标截止期至投标人在投标书中承诺的投标有效期之间，投标人不得撤回其投标，否则其投标保证金将按照本须知第12条规定予以没收。</w:t>
      </w:r>
    </w:p>
    <w:p w14:paraId="78580830">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p>
    <w:p w14:paraId="5F9FB1D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745" w:leftChars="0" w:hanging="745" w:hangingChars="265"/>
        <w:jc w:val="center"/>
        <w:textAlignment w:val="auto"/>
        <w:rPr>
          <w:rFonts w:hint="eastAsia" w:ascii="仿宋" w:hAnsi="仿宋" w:eastAsia="仿宋" w:cs="仿宋"/>
          <w:b/>
          <w:bCs/>
          <w:color w:val="auto"/>
          <w:spacing w:val="0"/>
          <w:kern w:val="2"/>
          <w:sz w:val="28"/>
          <w:szCs w:val="28"/>
          <w:u w:val="none"/>
          <w:lang w:val="en-US" w:eastAsia="zh-CN" w:bidi="ar"/>
        </w:rPr>
      </w:pPr>
      <w:r>
        <w:rPr>
          <w:rFonts w:hint="eastAsia" w:ascii="仿宋" w:hAnsi="仿宋" w:eastAsia="仿宋" w:cs="仿宋"/>
          <w:b/>
          <w:bCs/>
          <w:color w:val="auto"/>
          <w:spacing w:val="0"/>
          <w:kern w:val="2"/>
          <w:sz w:val="28"/>
          <w:szCs w:val="28"/>
          <w:u w:val="none"/>
          <w:lang w:val="en-US" w:eastAsia="zh-CN" w:bidi="ar"/>
        </w:rPr>
        <w:t>五 开标及评标</w:t>
      </w:r>
    </w:p>
    <w:p w14:paraId="49646947">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18. 开标 </w:t>
      </w:r>
    </w:p>
    <w:p w14:paraId="33FF1C2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18.1 采购人和采购代理机构将按投标须知前附表中规定的开标时间和地点组织公开开标并邀请所有投标人代表参加。投标人不足3 家的，不予开标。 </w:t>
      </w:r>
    </w:p>
    <w:p w14:paraId="2157BDD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18.2 开标时，由投标人或其推选的代表检查投标文件的密封情况，经记录后，由采购人或采购代理机构当众拆封、宣读投标人名称、投标价格及招标文件规定的内容。对于投标人在投标截止时间前递交的投标声明，在开标时当众宣读，评标时有效。未宣读的投标价格、价格折扣等实质内容，评标时不予承认。 </w:t>
      </w:r>
    </w:p>
    <w:p w14:paraId="7AA1B23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18.3 采购人或采购代理机构将对开标过程进行记录，由参加开标的各投标人代表和相关工作人员签字确认，并存档备查。投标人未派代表参加开标的，视同投标人认可开标结果。 </w:t>
      </w:r>
    </w:p>
    <w:p w14:paraId="6806FE2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18.4 投标人代表对开标过程和开标记录有疑义，以及认为开标现场采购人、采购代理机构相关工作人员有需要回避的情形的，应当场提出询问或者回避申请。 </w:t>
      </w:r>
    </w:p>
    <w:p w14:paraId="76665ED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19. 资格审查及组建评标委员会 </w:t>
      </w:r>
    </w:p>
    <w:p w14:paraId="2D6ADE4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19.1 采购人或采购代理机构依据法律法规和招标文件中规定的内容，对投标人及其投标货物及服务的资格进行审查，未通过资格审查的投标人不进入评标；资格证明文件未装在“投标文件”中的，将被认定为未通过资格审查；通过资格审查的投标人少于三家的，不进行评标。</w:t>
      </w:r>
    </w:p>
    <w:p w14:paraId="6BC728D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19.2 采购人或采购代理机构将按</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中规定的时间查询投标人的信用记录。 </w:t>
      </w:r>
    </w:p>
    <w:p w14:paraId="5EB4FD7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0D8559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以联合体形式参加投标的，联合体任何成员存在以上不良信用记录的，联合体投标将被认定为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7AD8B6B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19.2.2 采购人或采购代理机构经办人将查询网页打印、签字并存档备查。投标人不良信用记录以采购人或采购代理机构查询结果为准。投标人自行提供的与网站信息不一致的其他证明材料亦不作为资格审查依据。 </w:t>
      </w:r>
    </w:p>
    <w:p w14:paraId="04744DD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在本招标文件规定的查询时间之外，网站信息发生的任何变更均不作为资格审查依据。 </w:t>
      </w:r>
    </w:p>
    <w:p w14:paraId="060C87F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19.3 按照《中华人民共和国政府采购法》、《中华人民共和国政府采购法实施条例》及本项目本级和上级财政部门的有关规定依法组建的评标委员会，负责评标工作。 </w:t>
      </w:r>
    </w:p>
    <w:p w14:paraId="3CD353A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20. 投标文件的符合性审查与澄清 </w:t>
      </w:r>
    </w:p>
    <w:p w14:paraId="68B10AF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20.1 符合性检查是指依据招标文件的规定，从投标文件的有效性、完整性和对招标文件的响应程度进行审查，以确定是否对招标文件的实质性要求做出响应。 </w:t>
      </w:r>
    </w:p>
    <w:p w14:paraId="2868A934">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 投标文件的澄清 </w:t>
      </w:r>
    </w:p>
    <w:p w14:paraId="77C2DB2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1" w:leftChars="0" w:firstLine="0" w:firstLineChars="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 </w:t>
      </w:r>
    </w:p>
    <w:p w14:paraId="7B807E4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20.2.2 投标人的澄清、说明或补正将作为投标文件的一部分。 </w:t>
      </w:r>
    </w:p>
    <w:p w14:paraId="48827C0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6" w:leftChars="0" w:hanging="636" w:hangingChars="265"/>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20.2.3 投标文件报价出现前后不一致的，按照下列规定修正： </w:t>
      </w:r>
    </w:p>
    <w:p w14:paraId="44850B72">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（一）投标文件中开标一览表（报价表）内容与投标文件中相应内容不一致的，以开标一览表（报价表）为准； </w:t>
      </w:r>
    </w:p>
    <w:p w14:paraId="42F14CA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（二）大写金额和小写金额不一致的，以大写金额为准；</w:t>
      </w:r>
    </w:p>
    <w:p w14:paraId="1DB28AA5">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（三）单价金额小数点或者百分比有明显错位的，以开标一览表的总价为准，并修改单价； </w:t>
      </w:r>
    </w:p>
    <w:p w14:paraId="0B6C25E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（四）总价金额与按单价汇总金额不一致的，以单价金额计算结果为准。 </w:t>
      </w:r>
    </w:p>
    <w:p w14:paraId="5A20A0CE">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同时出现两种以上不一致的，按照前款规定的顺序修正。修正后的报价经投标人确认后产生约束力，投标人不确认的，其投标将被认定为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01DB5A9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对不同文字文本投标文件的解释发生异议的，以汉语语言文本为准。 </w:t>
      </w:r>
    </w:p>
    <w:p w14:paraId="4B3CBAF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20.3 投标人所投货物所伴随的服务如被列入财政部与国家主管部门颁发的节能产品或环境标志产品品目清单，应提供处于有效期之内认证证书等相关证明，在评标时予以优先采购，具体优先采购办法见第六章评标方法和标准。 </w:t>
      </w:r>
    </w:p>
    <w:p w14:paraId="30AEAD9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20.4 政府采购货物或服务项目中涉及商品包装和快递包装的，投标人提供产品及相关快递服务的具体包装要求请详见《商品包装政府采购需求标准（试行）》、《快递包装政府采购需求标准（试行）》。</w:t>
      </w:r>
    </w:p>
    <w:p w14:paraId="11E30A4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20.5 如一个分包内只有一种产品，不同投标人所投产品为同一品牌的，按如下方式处理： </w:t>
      </w:r>
    </w:p>
    <w:p w14:paraId="0FE8995E">
      <w:pPr>
        <w:keepNext w:val="0"/>
        <w:keepLines w:val="0"/>
        <w:pageBreakBefore w:val="0"/>
        <w:widowControl w:val="0"/>
        <w:kinsoku/>
        <w:wordWrap/>
        <w:overflowPunct/>
        <w:topLinePunct w:val="0"/>
        <w:autoSpaceDE/>
        <w:autoSpaceDN/>
        <w:bidi w:val="0"/>
        <w:adjustRightInd w:val="0"/>
        <w:snapToGrid w:val="0"/>
        <w:spacing w:line="440" w:lineRule="exact"/>
        <w:ind w:left="-2"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3D219100">
      <w:pPr>
        <w:keepNext w:val="0"/>
        <w:keepLines w:val="0"/>
        <w:pageBreakBefore w:val="0"/>
        <w:widowControl w:val="0"/>
        <w:kinsoku/>
        <w:wordWrap/>
        <w:overflowPunct/>
        <w:topLinePunct w:val="0"/>
        <w:autoSpaceDE/>
        <w:autoSpaceDN/>
        <w:bidi w:val="0"/>
        <w:adjustRightInd w:val="0"/>
        <w:snapToGrid w:val="0"/>
        <w:spacing w:line="440" w:lineRule="exact"/>
        <w:ind w:left="-2"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1EFE214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20.6 如一个分包内包含多种产品的，采购人或采购代理机构将在</w:t>
      </w:r>
      <w:r>
        <w:rPr>
          <w:rFonts w:hint="eastAsia" w:ascii="仿宋" w:hAnsi="仿宋" w:eastAsia="仿宋" w:cs="仿宋"/>
          <w:b w:val="0"/>
          <w:bCs w:val="0"/>
          <w:color w:val="auto"/>
          <w:spacing w:val="0"/>
          <w:kern w:val="2"/>
          <w:sz w:val="24"/>
          <w:szCs w:val="24"/>
          <w:u w:val="single"/>
          <w:lang w:val="en-US" w:eastAsia="zh-CN" w:bidi="ar"/>
        </w:rPr>
        <w:t>投标人须知前附表</w:t>
      </w:r>
      <w:r>
        <w:rPr>
          <w:rFonts w:hint="eastAsia" w:ascii="仿宋" w:hAnsi="仿宋" w:eastAsia="仿宋" w:cs="仿宋"/>
          <w:b w:val="0"/>
          <w:bCs w:val="0"/>
          <w:color w:val="auto"/>
          <w:spacing w:val="0"/>
          <w:kern w:val="2"/>
          <w:sz w:val="24"/>
          <w:szCs w:val="24"/>
          <w:u w:val="none"/>
          <w:lang w:val="en-US" w:eastAsia="zh-CN" w:bidi="ar"/>
        </w:rPr>
        <w:t xml:space="preserve">中载明核心产品，多家投标人提供的所有核心产品品牌均相同的，按第 20.5条规定处理。 </w:t>
      </w:r>
    </w:p>
    <w:p w14:paraId="5341638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21. 投标偏离 </w:t>
      </w:r>
    </w:p>
    <w:p w14:paraId="5F4D4D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对于投标文件中不构成实质性偏差的不正规、不一致或不规则，评标委员会可以接受，但这种接受不能损坏或影响任何投标人的相对排序。 </w:t>
      </w:r>
    </w:p>
    <w:p w14:paraId="42E794A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left="638" w:leftChars="0" w:hanging="638" w:hangingChars="265"/>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 xml:space="preserve">22. 无效投标 </w:t>
      </w:r>
    </w:p>
    <w:p w14:paraId="7C2C7ADF">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22.1 在比较与评价之前，根据招标文件的规定，评标委员会要审查每份投标文件是否实质上响应了招标文件的要求。实质上响应的投标应该是与招标文件要求的全部条款、条件和规格相符，没有重大偏离的投标。 </w:t>
      </w:r>
    </w:p>
    <w:p w14:paraId="7D97F3E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对关键条款的偏离、保留和反对，将被认为是实质上的偏离，其投标将被认定为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。评标委员会决定投标的响应性只根据招标文件要求、投标文件内容及财政主管部门指定相关信息发布媒体。 </w:t>
      </w:r>
    </w:p>
    <w:p w14:paraId="5FFD9408">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22.2 实质上没有响应招标文件要求的投标将被认定为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。投标人不得通过修正或撤销不符合要求的偏离或保留从而使其投标成为实质上响应的投标。如发现下列情况之一的，其投标将被认定为</w:t>
      </w:r>
      <w:r>
        <w:rPr>
          <w:rFonts w:hint="eastAsia" w:ascii="仿宋" w:hAnsi="仿宋" w:eastAsia="仿宋" w:cs="仿宋"/>
          <w:b/>
          <w:bCs/>
          <w:color w:val="auto"/>
          <w:spacing w:val="0"/>
          <w:kern w:val="2"/>
          <w:sz w:val="24"/>
          <w:szCs w:val="24"/>
          <w:u w:val="none"/>
          <w:lang w:val="en-US" w:eastAsia="zh-CN" w:bidi="ar"/>
        </w:rPr>
        <w:t>投标无效</w:t>
      </w:r>
      <w:r>
        <w:rPr>
          <w:rFonts w:hint="eastAsia" w:ascii="仿宋" w:hAnsi="仿宋" w:eastAsia="仿宋" w:cs="仿宋"/>
          <w:b w:val="0"/>
          <w:bCs w:val="0"/>
          <w:color w:val="auto"/>
          <w:spacing w:val="0"/>
          <w:kern w:val="2"/>
          <w:sz w:val="24"/>
          <w:szCs w:val="24"/>
          <w:u w:val="none"/>
          <w:lang w:val="en-US" w:eastAsia="zh-CN" w:bidi="ar"/>
        </w:rPr>
        <w:t xml:space="preserve">： </w:t>
      </w:r>
    </w:p>
    <w:p w14:paraId="6B5948B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（1） 未按招标文件规定的形式和金额交纳投标保证金的； </w:t>
      </w:r>
    </w:p>
    <w:p w14:paraId="3048B3BA">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（2） 未按照招标文件规定要求签署、电子签章的； </w:t>
      </w:r>
    </w:p>
    <w:p w14:paraId="62E6BE2C">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（3） 未满足招标文件中技术条款的实质性要求； </w:t>
      </w:r>
    </w:p>
    <w:p w14:paraId="21D17791">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（4） 属于串通投标，或者依法被视为串通投标； </w:t>
      </w:r>
    </w:p>
    <w:p w14:paraId="069119FB">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（5） 投标文件含有采购人不能接受的附加条件的； </w:t>
      </w:r>
    </w:p>
    <w:p w14:paraId="7CAE961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 评标委员会认为投标人的报价明显低于其他通过符合性检查投标人的报价，有可能影响履约的，且投标人未按照规定证明其报价合理性的； </w:t>
      </w:r>
    </w:p>
    <w:p w14:paraId="7F1080E6">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（7） 属于招标文件规定的其他无效投标情形； </w:t>
      </w:r>
    </w:p>
    <w:p w14:paraId="784F87F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（8） 不符合法规和招标文件中规定的其他实质性要求的。 </w:t>
      </w:r>
    </w:p>
    <w:p w14:paraId="798E9632">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i w:val="0"/>
          <w:iCs w:val="0"/>
          <w:color w:val="auto"/>
          <w:spacing w:val="0"/>
          <w:kern w:val="2"/>
          <w:sz w:val="24"/>
          <w:szCs w:val="24"/>
          <w:u w:val="none"/>
          <w:lang w:val="en-US" w:eastAsia="zh-CN" w:bidi="ar"/>
        </w:rPr>
      </w:pPr>
      <w:bookmarkStart w:id="32" w:name="_Toc507399470"/>
      <w:r>
        <w:rPr>
          <w:rFonts w:hint="eastAsia" w:ascii="仿宋" w:hAnsi="仿宋" w:eastAsia="仿宋" w:cs="仿宋"/>
          <w:b/>
          <w:bCs/>
          <w:i w:val="0"/>
          <w:iCs w:val="0"/>
          <w:color w:val="auto"/>
          <w:spacing w:val="0"/>
          <w:kern w:val="2"/>
          <w:sz w:val="24"/>
          <w:szCs w:val="24"/>
          <w:u w:val="none"/>
          <w:lang w:val="en-US" w:eastAsia="zh-CN" w:bidi="ar"/>
        </w:rPr>
        <w:t>23.  比较与评价</w:t>
      </w:r>
      <w:bookmarkEnd w:id="32"/>
    </w:p>
    <w:p w14:paraId="7C69A43F">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i w:val="0"/>
          <w:iCs w:val="0"/>
          <w:color w:val="auto"/>
          <w:spacing w:val="0"/>
          <w:kern w:val="2"/>
          <w:sz w:val="24"/>
          <w:szCs w:val="24"/>
          <w:u w:val="none"/>
          <w:lang w:val="en-US" w:eastAsia="zh-CN" w:bidi="ar"/>
        </w:rPr>
      </w:pPr>
      <w:r>
        <w:rPr>
          <w:rFonts w:hint="eastAsia" w:ascii="仿宋" w:hAnsi="仿宋" w:eastAsia="仿宋" w:cs="仿宋"/>
          <w:b w:val="0"/>
          <w:bCs w:val="0"/>
          <w:i w:val="0"/>
          <w:iCs w:val="0"/>
          <w:color w:val="auto"/>
          <w:spacing w:val="0"/>
          <w:kern w:val="2"/>
          <w:sz w:val="24"/>
          <w:szCs w:val="24"/>
          <w:u w:val="none"/>
          <w:lang w:val="en-US" w:eastAsia="zh-CN" w:bidi="ar"/>
        </w:rPr>
        <w:t>23.1 经符合性检查合格的投标文件，评标委员会将根据招标文件确定的评标方法和标准，对其技术部分和商务部分作进一步的比较和评价。</w:t>
      </w:r>
    </w:p>
    <w:p w14:paraId="7A360B11">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23.2 评标严格按照招标文件的要求和条件进行。根据实际情况，在</w:t>
      </w:r>
      <w:r>
        <w:rPr>
          <w:rFonts w:hint="eastAsia" w:ascii="仿宋" w:hAnsi="仿宋" w:eastAsia="仿宋" w:cs="仿宋"/>
          <w:b w:val="0"/>
          <w:bCs w:val="0"/>
          <w:color w:val="auto"/>
          <w:spacing w:val="0"/>
          <w:kern w:val="2"/>
          <w:sz w:val="24"/>
          <w:szCs w:val="24"/>
          <w:u w:val="single"/>
          <w:lang w:val="en-US" w:eastAsia="zh-CN" w:bidi="ar"/>
        </w:rPr>
        <w:t>投标人须知前附表</w:t>
      </w:r>
      <w:r>
        <w:rPr>
          <w:rFonts w:hint="eastAsia" w:ascii="仿宋" w:hAnsi="仿宋" w:eastAsia="仿宋" w:cs="仿宋"/>
          <w:b w:val="0"/>
          <w:bCs w:val="0"/>
          <w:color w:val="auto"/>
          <w:spacing w:val="0"/>
          <w:kern w:val="2"/>
          <w:sz w:val="24"/>
          <w:szCs w:val="24"/>
          <w:u w:val="none"/>
          <w:lang w:val="en-US" w:eastAsia="zh-CN" w:bidi="ar"/>
        </w:rPr>
        <w:t>中规定采用下列一种评标方法，详细评标标准见招标文件第六章：</w:t>
      </w:r>
    </w:p>
    <w:p w14:paraId="7BCA4B3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（1）最低评标价法，是指投标文件满足招标文件全部实质性要求，且投标报价最低的投标人为中标候选人的评标方法。</w:t>
      </w:r>
    </w:p>
    <w:p w14:paraId="454DC50B">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（2）综合评分法，是指投标文件满足招标文件全部实质性要求，且按照评审因素的量化指标评审得分最高的投标人为中标候选人的评标方法。</w:t>
      </w:r>
    </w:p>
    <w:p w14:paraId="54AF1DEC">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33" w:name="sendNo"/>
      <w:r>
        <w:rPr>
          <w:rFonts w:hint="eastAsia" w:ascii="仿宋" w:hAnsi="仿宋" w:eastAsia="仿宋" w:cs="仿宋"/>
          <w:b w:val="0"/>
          <w:bCs w:val="0"/>
          <w:color w:val="auto"/>
          <w:spacing w:val="0"/>
          <w:kern w:val="2"/>
          <w:sz w:val="24"/>
          <w:szCs w:val="24"/>
          <w:u w:val="none"/>
          <w:lang w:val="en-US" w:eastAsia="zh-CN" w:bidi="ar"/>
        </w:rPr>
        <w:t>财库〔</w:t>
      </w:r>
      <w:bookmarkEnd w:id="33"/>
      <w:r>
        <w:rPr>
          <w:rFonts w:hint="eastAsia" w:ascii="仿宋" w:hAnsi="仿宋" w:eastAsia="仿宋" w:cs="仿宋"/>
          <w:b w:val="0"/>
          <w:bCs w:val="0"/>
          <w:color w:val="auto"/>
          <w:spacing w:val="0"/>
          <w:kern w:val="2"/>
          <w:sz w:val="24"/>
          <w:szCs w:val="24"/>
          <w:u w:val="none"/>
          <w:lang w:val="en-US" w:eastAsia="zh-CN" w:bidi="ar"/>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101D21D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34" w:name="_Toc520356168"/>
      <w:bookmarkStart w:id="35" w:name="_Toc507399471"/>
      <w:r>
        <w:rPr>
          <w:rFonts w:hint="eastAsia" w:ascii="仿宋" w:hAnsi="仿宋" w:eastAsia="仿宋" w:cs="仿宋"/>
          <w:b/>
          <w:bCs/>
          <w:color w:val="auto"/>
          <w:spacing w:val="0"/>
          <w:kern w:val="2"/>
          <w:sz w:val="24"/>
          <w:szCs w:val="24"/>
          <w:u w:val="none"/>
          <w:lang w:val="en-US" w:eastAsia="zh-CN" w:bidi="ar"/>
        </w:rPr>
        <w:t>24</w:t>
      </w:r>
      <w:bookmarkEnd w:id="34"/>
      <w:r>
        <w:rPr>
          <w:rFonts w:hint="eastAsia" w:ascii="仿宋" w:hAnsi="仿宋" w:eastAsia="仿宋" w:cs="仿宋"/>
          <w:b/>
          <w:bCs/>
          <w:color w:val="auto"/>
          <w:spacing w:val="0"/>
          <w:kern w:val="2"/>
          <w:sz w:val="24"/>
          <w:szCs w:val="24"/>
          <w:u w:val="none"/>
          <w:lang w:val="en-US" w:eastAsia="zh-CN" w:bidi="ar"/>
        </w:rPr>
        <w:t>.  废标</w:t>
      </w:r>
      <w:bookmarkEnd w:id="35"/>
    </w:p>
    <w:p w14:paraId="15E13BF9">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出现下列情形之一，将导致项目废标即本项目的所有投标被拒绝： </w:t>
      </w:r>
    </w:p>
    <w:p w14:paraId="290D6C8D">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（1）符合专业条件的投标人或者对招标文件做实质性响应的投标人不足三家；</w:t>
      </w:r>
    </w:p>
    <w:p w14:paraId="2682C3C8">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（2）出现影响采购公正的违法、违规行为的；</w:t>
      </w:r>
    </w:p>
    <w:p w14:paraId="5CD84F7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（3）投标人的报价均超过了采购预算，采购人不能支付的；</w:t>
      </w:r>
    </w:p>
    <w:p w14:paraId="2719EC84">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（4）因重大变故，采购任务取消的。</w:t>
      </w:r>
    </w:p>
    <w:p w14:paraId="114F8B7C">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25.  保密原则</w:t>
      </w:r>
    </w:p>
    <w:p w14:paraId="78F4B40D">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25.1 评标将在严格保密的情况下进行。</w:t>
      </w:r>
    </w:p>
    <w:p w14:paraId="21F8493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25.2 政府采购评审专家应当遵守评审工作纪律，不得泄露评审文件、评审情况和评审中获悉的商业秘密。</w:t>
      </w:r>
    </w:p>
    <w:p w14:paraId="112BCDCA">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25.3 投标人试图影响采购人、采购代理机构和评标委员会的任何活动，将导致其</w:t>
      </w:r>
      <w:r>
        <w:rPr>
          <w:rFonts w:hint="eastAsia" w:ascii="仿宋" w:hAnsi="仿宋" w:eastAsia="仿宋" w:cs="仿宋"/>
          <w:b/>
          <w:bCs/>
          <w:color w:val="auto"/>
          <w:spacing w:val="0"/>
          <w:kern w:val="2"/>
          <w:sz w:val="24"/>
          <w:szCs w:val="24"/>
          <w:u w:val="none"/>
          <w:lang w:val="en-US" w:eastAsia="zh-CN" w:bidi="ar"/>
        </w:rPr>
        <w:t>投标被拒绝</w:t>
      </w:r>
      <w:r>
        <w:rPr>
          <w:rFonts w:hint="eastAsia" w:ascii="仿宋" w:hAnsi="仿宋" w:eastAsia="仿宋" w:cs="仿宋"/>
          <w:b w:val="0"/>
          <w:bCs w:val="0"/>
          <w:color w:val="auto"/>
          <w:spacing w:val="0"/>
          <w:kern w:val="2"/>
          <w:sz w:val="24"/>
          <w:szCs w:val="24"/>
          <w:u w:val="none"/>
          <w:lang w:val="en-US" w:eastAsia="zh-CN" w:bidi="ar"/>
        </w:rPr>
        <w:t>，并承担相应的法律责任。</w:t>
      </w:r>
    </w:p>
    <w:p w14:paraId="3F277C5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center"/>
        <w:textAlignment w:val="auto"/>
        <w:rPr>
          <w:rFonts w:hint="eastAsia" w:ascii="仿宋" w:hAnsi="仿宋" w:eastAsia="仿宋" w:cs="仿宋"/>
          <w:b/>
          <w:bCs/>
          <w:color w:val="auto"/>
          <w:spacing w:val="0"/>
          <w:kern w:val="2"/>
          <w:sz w:val="24"/>
          <w:szCs w:val="24"/>
          <w:u w:val="none"/>
          <w:lang w:val="en-US" w:eastAsia="zh-CN" w:bidi="ar"/>
        </w:rPr>
      </w:pPr>
      <w:bookmarkStart w:id="36" w:name="_Toc216582810"/>
      <w:bookmarkStart w:id="37" w:name="_Toc507399473"/>
    </w:p>
    <w:p w14:paraId="057FC4B3">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center"/>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六   确定中标</w:t>
      </w:r>
      <w:bookmarkEnd w:id="36"/>
      <w:bookmarkEnd w:id="37"/>
    </w:p>
    <w:p w14:paraId="67F02B83">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p>
    <w:p w14:paraId="77D1DC19">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38" w:name="_Toc507399474"/>
      <w:bookmarkStart w:id="39" w:name="_Ref467307010"/>
      <w:bookmarkStart w:id="40" w:name="_Toc520356170"/>
      <w:r>
        <w:rPr>
          <w:rFonts w:hint="eastAsia" w:ascii="仿宋" w:hAnsi="仿宋" w:eastAsia="仿宋" w:cs="仿宋"/>
          <w:b/>
          <w:bCs/>
          <w:color w:val="auto"/>
          <w:spacing w:val="0"/>
          <w:kern w:val="2"/>
          <w:sz w:val="24"/>
          <w:szCs w:val="24"/>
          <w:u w:val="none"/>
          <w:lang w:val="en-US" w:eastAsia="zh-CN" w:bidi="ar"/>
        </w:rPr>
        <w:t>26.  中标候选人的确定原则及标准</w:t>
      </w:r>
      <w:bookmarkEnd w:id="38"/>
      <w:bookmarkEnd w:id="39"/>
      <w:bookmarkEnd w:id="40"/>
    </w:p>
    <w:p w14:paraId="2D008A3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除评标委员会受采购人委托直接确定中标人的情形外，对实质上响应招标文件的投标人按下列方法进行排序，确定中标候选人： </w:t>
      </w:r>
    </w:p>
    <w:p w14:paraId="0DC5951E">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5443D33">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（2）采用综合评分法的，评标结果按评审后得分由高到低顺序排列。得分相同的，按投标报价由低到高顺序排列（详见招标文件第六章）。</w:t>
      </w:r>
    </w:p>
    <w:p w14:paraId="26422D44">
      <w:pPr>
        <w:keepNext w:val="0"/>
        <w:keepLines w:val="0"/>
        <w:pageBreakBefore w:val="0"/>
        <w:widowControl w:val="0"/>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27.  确定中标候选人和中标人</w:t>
      </w:r>
    </w:p>
    <w:p w14:paraId="23EE2519">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27.1 评标委员会将根据评标标准，按</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 xml:space="preserve">中规定数量推荐中标候选人。 </w:t>
      </w:r>
    </w:p>
    <w:p w14:paraId="40AD29CB">
      <w:pPr>
        <w:keepNext w:val="0"/>
        <w:keepLines w:val="0"/>
        <w:pageBreakBefore w:val="0"/>
        <w:widowControl w:val="0"/>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27.2 按投标须知前附表中规定，由评标委员会直接确定中标人。</w:t>
      </w:r>
    </w:p>
    <w:p w14:paraId="442429A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28.  采购任务取消</w:t>
      </w:r>
    </w:p>
    <w:p w14:paraId="60D24BA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当采购任务取消时，为维护国家和社会公共利益，采购人有权拒绝任何投标人中标，且对受影响的投标人不承担任何责任。</w:t>
      </w:r>
    </w:p>
    <w:p w14:paraId="64FBAE4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29.  中标通知书</w:t>
      </w:r>
    </w:p>
    <w:p w14:paraId="56101D6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29.1 在投标有效期内，中标人确定后，采购人或者采购代理机构发布中标公告。在公告中标结果的同时，向中标人发出中标通知书。</w:t>
      </w:r>
    </w:p>
    <w:p w14:paraId="6A79C78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29.2 中标通知书是合同的组成部分。</w:t>
      </w:r>
    </w:p>
    <w:p w14:paraId="52E42CA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30.  签订合同</w:t>
      </w:r>
    </w:p>
    <w:p w14:paraId="1359CCB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30.1 中标人应当自发出中标通知书之日起30日内，与采购人签订合同。</w:t>
      </w:r>
    </w:p>
    <w:p w14:paraId="2FC3B53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30.2 招标文件、中标人的投标文件及其澄清文件等，均为签订合同的依据。</w:t>
      </w:r>
    </w:p>
    <w:p w14:paraId="2783909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30.3 中标人拒绝与采购人签订合同的，采购人可以按照评审报告推荐的中标候选人名单排序，确定下一候选人为中标人，也可以重新开展政府采购活动。</w:t>
      </w:r>
    </w:p>
    <w:p w14:paraId="689C661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30.4 当出现法规规定的中标无效情形时，采购人可与排名下一位的中标候选人另行签订合同，或依法重新开展采购活动。</w:t>
      </w:r>
    </w:p>
    <w:p w14:paraId="74EB058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1" w:name="_Toc507399479"/>
      <w:r>
        <w:rPr>
          <w:rFonts w:hint="eastAsia" w:ascii="仿宋" w:hAnsi="仿宋" w:eastAsia="仿宋" w:cs="仿宋"/>
          <w:b/>
          <w:bCs/>
          <w:color w:val="auto"/>
          <w:spacing w:val="0"/>
          <w:kern w:val="2"/>
          <w:sz w:val="24"/>
          <w:szCs w:val="24"/>
          <w:u w:val="none"/>
          <w:lang w:val="en-US" w:eastAsia="zh-CN" w:bidi="ar"/>
        </w:rPr>
        <w:t>31.  履约保证金</w:t>
      </w:r>
      <w:bookmarkEnd w:id="41"/>
    </w:p>
    <w:p w14:paraId="55190A1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31.1 中标人应按照</w:t>
      </w:r>
      <w:r>
        <w:rPr>
          <w:rFonts w:hint="eastAsia" w:ascii="仿宋" w:hAnsi="仿宋" w:eastAsia="仿宋" w:cs="仿宋"/>
          <w:b w:val="0"/>
          <w:bCs w:val="0"/>
          <w:color w:val="auto"/>
          <w:spacing w:val="0"/>
          <w:kern w:val="2"/>
          <w:sz w:val="24"/>
          <w:szCs w:val="24"/>
          <w:u w:val="single"/>
          <w:lang w:val="en-US" w:eastAsia="zh-CN" w:bidi="ar"/>
        </w:rPr>
        <w:t>投标人须知前附表</w:t>
      </w:r>
      <w:r>
        <w:rPr>
          <w:rFonts w:hint="eastAsia" w:ascii="仿宋" w:hAnsi="仿宋" w:eastAsia="仿宋" w:cs="仿宋"/>
          <w:b w:val="0"/>
          <w:bCs w:val="0"/>
          <w:color w:val="auto"/>
          <w:spacing w:val="0"/>
          <w:kern w:val="2"/>
          <w:sz w:val="24"/>
          <w:szCs w:val="24"/>
          <w:u w:val="none"/>
          <w:lang w:val="en-US" w:eastAsia="zh-CN" w:bidi="ar"/>
        </w:rPr>
        <w:t>规定的金额、形式和时间向采购人缴纳履约保证金。</w:t>
      </w:r>
    </w:p>
    <w:p w14:paraId="1172F5C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31.2 经采购人同意，中标人也可以自愿采用其他履约保证金的提供方式。</w:t>
      </w:r>
    </w:p>
    <w:p w14:paraId="0D6A5DE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1" w:leftChars="0" w:firstLine="0" w:firstLineChars="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31.3 如果中标人没有按照上述第30条或31.1条的规定执行，将视为放弃中标资格，中标人的投标保证金将被没收。在此情况下，采购人可确定下一候选人为中标人，也可以重新开展政府采购活动。</w:t>
      </w:r>
    </w:p>
    <w:p w14:paraId="5D1D54C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2" w:name="_Toc507399480"/>
      <w:r>
        <w:rPr>
          <w:rFonts w:hint="eastAsia" w:ascii="仿宋" w:hAnsi="仿宋" w:eastAsia="仿宋" w:cs="仿宋"/>
          <w:b/>
          <w:bCs/>
          <w:color w:val="auto"/>
          <w:spacing w:val="0"/>
          <w:kern w:val="2"/>
          <w:sz w:val="24"/>
          <w:szCs w:val="24"/>
          <w:u w:val="none"/>
          <w:lang w:val="en-US" w:eastAsia="zh-CN" w:bidi="ar"/>
        </w:rPr>
        <w:t>32.  招标代理费</w:t>
      </w:r>
      <w:bookmarkEnd w:id="42"/>
    </w:p>
    <w:p w14:paraId="37885E64">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bookmarkStart w:id="43" w:name="_Toc507399482"/>
      <w:r>
        <w:rPr>
          <w:rFonts w:hint="eastAsia" w:ascii="仿宋" w:hAnsi="仿宋" w:eastAsia="仿宋" w:cs="仿宋"/>
          <w:b w:val="0"/>
          <w:bCs w:val="0"/>
          <w:color w:val="auto"/>
          <w:spacing w:val="0"/>
          <w:kern w:val="2"/>
          <w:sz w:val="24"/>
          <w:szCs w:val="24"/>
          <w:u w:val="none"/>
          <w:lang w:val="en-US" w:eastAsia="zh-CN" w:bidi="ar"/>
        </w:rPr>
        <w:t>采购人须按照投标须知前附表中规定的时间、形式、金额，向招标代理机构支付中标服务费。</w:t>
      </w:r>
    </w:p>
    <w:p w14:paraId="6124CCA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33.  廉洁自律规定</w:t>
      </w:r>
      <w:bookmarkEnd w:id="43"/>
    </w:p>
    <w:p w14:paraId="77F63DF4">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33.1 采购代理机构工作人员不得以不正当手段获取政府采购代理业务，不得与采购人、投标人恶意串通操纵政府采购活动。</w:t>
      </w:r>
    </w:p>
    <w:p w14:paraId="4DDBD2F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33.2 采购代理机构工作人员不得接受采购人或者投标人组织的宴请、旅游、娱乐，不得收受礼品、现金、有价证券等，不得向采购人或者投标人报销应当由个人承担的费用。</w:t>
      </w:r>
    </w:p>
    <w:p w14:paraId="4832C87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4" w:name="_Toc507399483"/>
      <w:r>
        <w:rPr>
          <w:rFonts w:hint="eastAsia" w:ascii="仿宋" w:hAnsi="仿宋" w:eastAsia="仿宋" w:cs="仿宋"/>
          <w:b/>
          <w:bCs/>
          <w:color w:val="auto"/>
          <w:spacing w:val="0"/>
          <w:kern w:val="2"/>
          <w:sz w:val="24"/>
          <w:szCs w:val="24"/>
          <w:u w:val="none"/>
          <w:lang w:val="en-US" w:eastAsia="zh-CN" w:bidi="ar"/>
        </w:rPr>
        <w:t>34.  人员回避</w:t>
      </w:r>
      <w:bookmarkEnd w:id="44"/>
    </w:p>
    <w:p w14:paraId="608D38C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347D240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8" w:leftChars="0" w:hanging="638" w:hangingChars="265"/>
        <w:jc w:val="both"/>
        <w:textAlignment w:val="auto"/>
        <w:rPr>
          <w:rFonts w:hint="eastAsia" w:ascii="仿宋" w:hAnsi="仿宋" w:eastAsia="仿宋" w:cs="仿宋"/>
          <w:b/>
          <w:bCs/>
          <w:color w:val="auto"/>
          <w:spacing w:val="0"/>
          <w:kern w:val="2"/>
          <w:sz w:val="24"/>
          <w:szCs w:val="24"/>
          <w:u w:val="none"/>
          <w:lang w:val="en-US" w:eastAsia="zh-CN" w:bidi="ar"/>
        </w:rPr>
      </w:pPr>
      <w:bookmarkStart w:id="45" w:name="_Toc507399484"/>
      <w:r>
        <w:rPr>
          <w:rFonts w:hint="eastAsia" w:ascii="仿宋" w:hAnsi="仿宋" w:eastAsia="仿宋" w:cs="仿宋"/>
          <w:b/>
          <w:bCs/>
          <w:color w:val="auto"/>
          <w:spacing w:val="0"/>
          <w:kern w:val="2"/>
          <w:sz w:val="24"/>
          <w:szCs w:val="24"/>
          <w:u w:val="none"/>
          <w:lang w:val="en-US" w:eastAsia="zh-CN" w:bidi="ar"/>
        </w:rPr>
        <w:t>35.  质疑与接收</w:t>
      </w:r>
      <w:bookmarkEnd w:id="45"/>
    </w:p>
    <w:p w14:paraId="352B175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35.1 投标人认为采购文件、采购过程和中标结果使自己的权益受到损害的，根据《中华人民共和国政府采购法》、《政府采购法实施条例》和《政府采购质疑和投诉办法》的有关规定，可以依法向采购人或采购代理机构提出质疑。</w:t>
      </w:r>
    </w:p>
    <w:p w14:paraId="4B94A5D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35.2 投标人应按照财政部制定的《政府采购质疑函范本》格式（可从财政部官方网站下载）和《政府采购质疑和投诉办法》的要求，在法定质疑期内以纸质形式提出质疑，针对同一采购程序环节的质疑次数见</w:t>
      </w:r>
      <w:r>
        <w:rPr>
          <w:rFonts w:hint="eastAsia" w:ascii="仿宋" w:hAnsi="仿宋" w:eastAsia="仿宋" w:cs="仿宋"/>
          <w:b w:val="0"/>
          <w:bCs w:val="0"/>
          <w:color w:val="auto"/>
          <w:spacing w:val="0"/>
          <w:kern w:val="2"/>
          <w:sz w:val="24"/>
          <w:szCs w:val="24"/>
          <w:u w:val="single"/>
          <w:lang w:val="en-US" w:eastAsia="zh-CN" w:bidi="ar"/>
        </w:rPr>
        <w:t>投标须知前附表</w:t>
      </w:r>
      <w:r>
        <w:rPr>
          <w:rFonts w:hint="eastAsia" w:ascii="仿宋" w:hAnsi="仿宋" w:eastAsia="仿宋" w:cs="仿宋"/>
          <w:b w:val="0"/>
          <w:bCs w:val="0"/>
          <w:color w:val="auto"/>
          <w:spacing w:val="0"/>
          <w:kern w:val="2"/>
          <w:sz w:val="24"/>
          <w:szCs w:val="24"/>
          <w:u w:val="none"/>
          <w:lang w:val="en-US" w:eastAsia="zh-CN" w:bidi="ar"/>
        </w:rPr>
        <w:t>。</w:t>
      </w:r>
    </w:p>
    <w:p w14:paraId="10ECFF1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超出法定质疑期的、重复提出的、分次提出的或内容、形式不符合《政府采购质疑和投诉办法》的，投标人将依法承担不利后果。</w:t>
      </w:r>
    </w:p>
    <w:p w14:paraId="1F8B631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636" w:leftChars="0" w:hanging="636" w:hangingChars="265"/>
        <w:jc w:val="both"/>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35.3 采购代理机构质疑函接收部门、联系电话和通讯地址</w:t>
      </w:r>
    </w:p>
    <w:p w14:paraId="4F87EA9D">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bookmarkStart w:id="46" w:name="_Toc507399488"/>
      <w:r>
        <w:rPr>
          <w:rFonts w:hint="eastAsia" w:ascii="仿宋" w:hAnsi="仿宋" w:eastAsia="仿宋" w:cs="仿宋"/>
          <w:b w:val="0"/>
          <w:bCs w:val="0"/>
          <w:color w:val="auto"/>
          <w:spacing w:val="0"/>
          <w:kern w:val="2"/>
          <w:sz w:val="24"/>
          <w:szCs w:val="24"/>
          <w:u w:val="none"/>
          <w:lang w:val="en-US" w:eastAsia="zh-CN" w:bidi="ar"/>
        </w:rPr>
        <w:t xml:space="preserve">联系部门：中科建疆工程管理有限公司招标部 </w:t>
      </w:r>
    </w:p>
    <w:p w14:paraId="6D3D42F3">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联系电话：0908-4230011</w:t>
      </w:r>
    </w:p>
    <w:p w14:paraId="21261750">
      <w:pPr>
        <w:pStyle w:val="30"/>
        <w:keepNext w:val="0"/>
        <w:keepLines w:val="0"/>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通讯地址：和田地区景苑公务员小区1号楼1608室</w:t>
      </w:r>
    </w:p>
    <w:p w14:paraId="68A8B389">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br w:type="page"/>
      </w:r>
    </w:p>
    <w:p w14:paraId="2711D8CA">
      <w:pPr>
        <w:pStyle w:val="4"/>
        <w:tabs>
          <w:tab w:val="left" w:pos="900"/>
        </w:tabs>
        <w:spacing w:before="0" w:after="0" w:line="360" w:lineRule="auto"/>
        <w:ind w:left="1080" w:leftChars="257" w:hanging="540"/>
        <w:jc w:val="center"/>
        <w:outlineLvl w:val="0"/>
        <w:rPr>
          <w:rFonts w:hint="eastAsia" w:ascii="仿宋" w:hAnsi="仿宋" w:eastAsia="仿宋" w:cs="仿宋"/>
          <w:color w:val="auto"/>
          <w:sz w:val="32"/>
          <w:szCs w:val="32"/>
          <w:u w:val="none"/>
        </w:rPr>
      </w:pPr>
      <w:bookmarkStart w:id="47" w:name="_Toc4000"/>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 xml:space="preserve">章  </w:t>
      </w:r>
      <w:bookmarkEnd w:id="46"/>
      <w:r>
        <w:rPr>
          <w:rFonts w:hint="eastAsia" w:ascii="仿宋" w:hAnsi="仿宋" w:eastAsia="仿宋" w:cs="仿宋"/>
          <w:color w:val="auto"/>
          <w:sz w:val="32"/>
          <w:szCs w:val="32"/>
          <w:u w:val="none"/>
          <w:lang w:val="en-US" w:eastAsia="zh-CN"/>
        </w:rPr>
        <w:t>政府采购合同</w:t>
      </w:r>
      <w:bookmarkEnd w:id="47"/>
    </w:p>
    <w:p w14:paraId="3014D25D">
      <w:pPr>
        <w:tabs>
          <w:tab w:val="left" w:pos="720"/>
        </w:tabs>
        <w:spacing w:line="360" w:lineRule="auto"/>
        <w:jc w:val="center"/>
        <w:rPr>
          <w:rFonts w:hint="eastAsia" w:ascii="仿宋" w:hAnsi="仿宋" w:eastAsia="仿宋" w:cs="仿宋"/>
          <w:b/>
          <w:color w:val="auto"/>
          <w:sz w:val="24"/>
          <w:szCs w:val="21"/>
          <w:highlight w:val="none"/>
          <w:lang w:val="en-US" w:eastAsia="zh-CN"/>
        </w:rPr>
      </w:pPr>
      <w:bookmarkStart w:id="48" w:name="_Toc7984"/>
      <w:r>
        <w:rPr>
          <w:rFonts w:hint="eastAsia" w:ascii="仿宋" w:hAnsi="仿宋" w:eastAsia="仿宋" w:cs="仿宋"/>
          <w:b/>
          <w:color w:val="auto"/>
          <w:sz w:val="24"/>
          <w:szCs w:val="21"/>
          <w:highlight w:val="none"/>
        </w:rPr>
        <w:t>合同</w:t>
      </w:r>
      <w:r>
        <w:rPr>
          <w:rFonts w:hint="eastAsia" w:ascii="仿宋" w:hAnsi="仿宋" w:eastAsia="仿宋" w:cs="仿宋"/>
          <w:b/>
          <w:color w:val="auto"/>
          <w:sz w:val="24"/>
          <w:szCs w:val="21"/>
          <w:highlight w:val="none"/>
          <w:lang w:val="en-US" w:eastAsia="zh-CN"/>
        </w:rPr>
        <w:t>参考模板</w:t>
      </w:r>
    </w:p>
    <w:p w14:paraId="56A236C5">
      <w:pPr>
        <w:pStyle w:val="12"/>
        <w:spacing w:after="0"/>
        <w:jc w:val="center"/>
        <w:rPr>
          <w:rFonts w:hint="eastAsia" w:ascii="仿宋" w:hAnsi="仿宋" w:eastAsia="仿宋" w:cs="仿宋"/>
          <w:b/>
          <w:bCs/>
          <w:color w:val="auto"/>
          <w:spacing w:val="-20"/>
          <w:kern w:val="44"/>
          <w:sz w:val="48"/>
          <w:szCs w:val="48"/>
        </w:rPr>
      </w:pPr>
      <w:bookmarkStart w:id="49" w:name="_Toc3995"/>
    </w:p>
    <w:p w14:paraId="0C3CACF3">
      <w:pPr>
        <w:pStyle w:val="12"/>
        <w:spacing w:after="0"/>
        <w:jc w:val="center"/>
        <w:rPr>
          <w:rFonts w:hint="eastAsia" w:ascii="仿宋" w:hAnsi="仿宋" w:eastAsia="仿宋" w:cs="仿宋"/>
          <w:b/>
          <w:bCs/>
          <w:color w:val="auto"/>
          <w:spacing w:val="-20"/>
          <w:kern w:val="44"/>
          <w:sz w:val="48"/>
          <w:szCs w:val="48"/>
        </w:rPr>
      </w:pPr>
    </w:p>
    <w:p w14:paraId="425BCD21">
      <w:pPr>
        <w:pStyle w:val="12"/>
        <w:spacing w:after="0"/>
        <w:jc w:val="center"/>
        <w:rPr>
          <w:rFonts w:hint="eastAsia" w:ascii="仿宋" w:hAnsi="仿宋" w:eastAsia="仿宋" w:cs="仿宋"/>
          <w:b/>
          <w:bCs/>
          <w:color w:val="auto"/>
          <w:spacing w:val="-20"/>
          <w:kern w:val="44"/>
          <w:sz w:val="48"/>
          <w:szCs w:val="48"/>
        </w:rPr>
      </w:pPr>
    </w:p>
    <w:p w14:paraId="4AF4F542">
      <w:pPr>
        <w:pStyle w:val="12"/>
        <w:spacing w:after="0"/>
        <w:jc w:val="center"/>
        <w:rPr>
          <w:rFonts w:hint="eastAsia" w:ascii="仿宋" w:hAnsi="仿宋" w:eastAsia="仿宋" w:cs="仿宋"/>
          <w:b/>
          <w:bCs/>
          <w:color w:val="auto"/>
          <w:spacing w:val="-20"/>
          <w:kern w:val="44"/>
          <w:sz w:val="48"/>
          <w:szCs w:val="48"/>
        </w:rPr>
      </w:pPr>
    </w:p>
    <w:p w14:paraId="10A98F86">
      <w:pPr>
        <w:pStyle w:val="12"/>
        <w:spacing w:after="0"/>
        <w:jc w:val="center"/>
        <w:rPr>
          <w:rFonts w:hint="eastAsia" w:ascii="仿宋" w:hAnsi="仿宋" w:eastAsia="仿宋" w:cs="仿宋"/>
          <w:b/>
          <w:bCs/>
          <w:color w:val="auto"/>
          <w:spacing w:val="-20"/>
          <w:kern w:val="44"/>
          <w:sz w:val="48"/>
          <w:szCs w:val="48"/>
        </w:rPr>
      </w:pPr>
    </w:p>
    <w:p w14:paraId="767F3446">
      <w:pPr>
        <w:pStyle w:val="12"/>
        <w:spacing w:after="0"/>
        <w:jc w:val="center"/>
        <w:rPr>
          <w:rFonts w:hint="eastAsia" w:ascii="仿宋" w:hAnsi="仿宋" w:eastAsia="仿宋" w:cs="仿宋"/>
          <w:b/>
          <w:bCs/>
          <w:color w:val="auto"/>
          <w:spacing w:val="-20"/>
          <w:kern w:val="44"/>
          <w:sz w:val="48"/>
          <w:szCs w:val="48"/>
        </w:rPr>
      </w:pPr>
      <w:r>
        <w:rPr>
          <w:rFonts w:hint="eastAsia" w:ascii="仿宋" w:hAnsi="仿宋" w:eastAsia="仿宋" w:cs="仿宋"/>
          <w:b/>
          <w:bCs/>
          <w:color w:val="auto"/>
          <w:spacing w:val="-20"/>
          <w:kern w:val="44"/>
          <w:sz w:val="48"/>
          <w:szCs w:val="48"/>
        </w:rPr>
        <w:t>政府采购</w:t>
      </w:r>
      <w:r>
        <w:rPr>
          <w:rFonts w:hint="eastAsia" w:ascii="仿宋" w:hAnsi="仿宋" w:eastAsia="仿宋" w:cs="仿宋"/>
          <w:b/>
          <w:bCs/>
          <w:color w:val="auto"/>
          <w:spacing w:val="-20"/>
          <w:kern w:val="44"/>
          <w:sz w:val="48"/>
          <w:szCs w:val="48"/>
          <w:lang w:eastAsia="zh-CN"/>
        </w:rPr>
        <w:t>货物买卖</w:t>
      </w:r>
      <w:r>
        <w:rPr>
          <w:rFonts w:hint="eastAsia" w:ascii="仿宋" w:hAnsi="仿宋" w:eastAsia="仿宋" w:cs="仿宋"/>
          <w:b/>
          <w:bCs/>
          <w:color w:val="auto"/>
          <w:spacing w:val="-20"/>
          <w:kern w:val="44"/>
          <w:sz w:val="48"/>
          <w:szCs w:val="48"/>
        </w:rPr>
        <w:t>合同</w:t>
      </w:r>
    </w:p>
    <w:p w14:paraId="2255341B">
      <w:pPr>
        <w:pStyle w:val="12"/>
        <w:spacing w:after="0"/>
        <w:jc w:val="center"/>
        <w:rPr>
          <w:rFonts w:hint="eastAsia" w:ascii="仿宋" w:hAnsi="仿宋" w:eastAsia="仿宋" w:cs="仿宋"/>
          <w:b/>
          <w:bCs/>
          <w:color w:val="auto"/>
          <w:spacing w:val="-20"/>
          <w:kern w:val="44"/>
          <w:sz w:val="48"/>
          <w:szCs w:val="48"/>
          <w:lang w:eastAsia="zh-CN"/>
        </w:rPr>
      </w:pPr>
      <w:r>
        <w:rPr>
          <w:rFonts w:hint="eastAsia" w:ascii="仿宋" w:hAnsi="仿宋" w:eastAsia="仿宋" w:cs="仿宋"/>
          <w:b/>
          <w:bCs/>
          <w:color w:val="auto"/>
          <w:spacing w:val="-20"/>
          <w:kern w:val="44"/>
          <w:sz w:val="48"/>
          <w:szCs w:val="48"/>
          <w:lang w:eastAsia="zh-CN"/>
        </w:rPr>
        <w:t>（试行）</w:t>
      </w:r>
    </w:p>
    <w:p w14:paraId="50429A6D">
      <w:pPr>
        <w:rPr>
          <w:rFonts w:hint="eastAsia" w:ascii="仿宋" w:hAnsi="仿宋" w:eastAsia="仿宋" w:cs="仿宋"/>
          <w:b/>
          <w:bCs/>
          <w:color w:val="auto"/>
          <w:spacing w:val="-20"/>
          <w:kern w:val="44"/>
          <w:sz w:val="40"/>
          <w:szCs w:val="40"/>
        </w:rPr>
      </w:pPr>
    </w:p>
    <w:p w14:paraId="35364617">
      <w:pPr>
        <w:rPr>
          <w:rFonts w:hint="eastAsia" w:ascii="仿宋" w:hAnsi="仿宋" w:eastAsia="仿宋" w:cs="仿宋"/>
          <w:b/>
          <w:bCs/>
          <w:color w:val="auto"/>
          <w:spacing w:val="-20"/>
          <w:kern w:val="44"/>
          <w:sz w:val="40"/>
          <w:szCs w:val="40"/>
        </w:rPr>
      </w:pPr>
    </w:p>
    <w:p w14:paraId="5F130599">
      <w:pPr>
        <w:rPr>
          <w:rFonts w:hint="eastAsia" w:ascii="仿宋" w:hAnsi="仿宋" w:eastAsia="仿宋" w:cs="仿宋"/>
          <w:b/>
          <w:bCs/>
          <w:color w:val="auto"/>
          <w:spacing w:val="-20"/>
          <w:kern w:val="44"/>
          <w:sz w:val="40"/>
          <w:szCs w:val="40"/>
        </w:rPr>
      </w:pPr>
    </w:p>
    <w:p w14:paraId="7A635ECD">
      <w:pPr>
        <w:spacing w:line="360" w:lineRule="auto"/>
        <w:ind w:left="420" w:leftChars="200"/>
        <w:rPr>
          <w:rFonts w:hint="eastAsia" w:ascii="仿宋" w:hAnsi="仿宋" w:eastAsia="仿宋" w:cs="仿宋"/>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sz w:val="32"/>
          <w:szCs w:val="32"/>
          <w:u w:val="single"/>
        </w:rPr>
        <w:t xml:space="preserve">                             </w:t>
      </w:r>
    </w:p>
    <w:p w14:paraId="6FD9D4F7">
      <w:pPr>
        <w:spacing w:line="360" w:lineRule="auto"/>
        <w:ind w:left="420" w:left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合同编号：</w:t>
      </w:r>
      <w:r>
        <w:rPr>
          <w:rFonts w:hint="eastAsia" w:ascii="仿宋" w:hAnsi="仿宋" w:eastAsia="仿宋" w:cs="仿宋"/>
          <w:color w:val="auto"/>
          <w:sz w:val="32"/>
          <w:szCs w:val="32"/>
          <w:u w:val="single"/>
        </w:rPr>
        <w:t xml:space="preserve">                             </w:t>
      </w:r>
    </w:p>
    <w:p w14:paraId="05EAFFBC">
      <w:pPr>
        <w:spacing w:line="360" w:lineRule="auto"/>
        <w:ind w:left="420" w:leftChars="200"/>
        <w:rPr>
          <w:rFonts w:hint="eastAsia" w:ascii="仿宋" w:hAnsi="仿宋" w:eastAsia="仿宋" w:cs="仿宋"/>
          <w:color w:val="auto"/>
          <w:sz w:val="32"/>
          <w:szCs w:val="32"/>
        </w:rPr>
      </w:pPr>
      <w:r>
        <w:rPr>
          <w:rFonts w:hint="eastAsia" w:ascii="仿宋" w:hAnsi="仿宋" w:eastAsia="仿宋" w:cs="仿宋"/>
          <w:color w:val="auto"/>
          <w:sz w:val="32"/>
          <w:szCs w:val="32"/>
        </w:rPr>
        <w:t>甲    方：</w:t>
      </w:r>
      <w:r>
        <w:rPr>
          <w:rFonts w:hint="eastAsia" w:ascii="仿宋" w:hAnsi="仿宋" w:eastAsia="仿宋" w:cs="仿宋"/>
          <w:color w:val="auto"/>
          <w:sz w:val="32"/>
          <w:szCs w:val="32"/>
          <w:u w:val="single"/>
        </w:rPr>
        <w:t xml:space="preserve">                             </w:t>
      </w:r>
    </w:p>
    <w:p w14:paraId="5B47B770">
      <w:pPr>
        <w:spacing w:line="360" w:lineRule="auto"/>
        <w:ind w:left="420" w:left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乙    方：</w:t>
      </w:r>
      <w:r>
        <w:rPr>
          <w:rFonts w:hint="eastAsia" w:ascii="仿宋" w:hAnsi="仿宋" w:eastAsia="仿宋" w:cs="仿宋"/>
          <w:color w:val="auto"/>
          <w:sz w:val="32"/>
          <w:szCs w:val="32"/>
          <w:u w:val="single"/>
        </w:rPr>
        <w:t xml:space="preserve">                             </w:t>
      </w:r>
    </w:p>
    <w:p w14:paraId="6EA0DB80">
      <w:pPr>
        <w:spacing w:line="360" w:lineRule="auto"/>
        <w:ind w:left="420" w:leftChars="200"/>
        <w:rPr>
          <w:rFonts w:hint="eastAsia" w:ascii="仿宋" w:hAnsi="仿宋" w:eastAsia="仿宋" w:cs="仿宋"/>
          <w:color w:val="auto"/>
          <w:sz w:val="32"/>
          <w:szCs w:val="32"/>
        </w:rPr>
      </w:pP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p>
    <w:p w14:paraId="1978EA96">
      <w:pPr>
        <w:rPr>
          <w:rFonts w:hint="eastAsia" w:ascii="仿宋" w:hAnsi="仿宋" w:eastAsia="仿宋" w:cs="仿宋"/>
          <w:color w:val="auto"/>
        </w:rPr>
      </w:pPr>
    </w:p>
    <w:p w14:paraId="555E4A8A">
      <w:pPr>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14:paraId="4A34E2DA">
      <w:pPr>
        <w:rPr>
          <w:rFonts w:hint="eastAsia" w:ascii="仿宋" w:hAnsi="仿宋" w:eastAsia="仿宋" w:cs="仿宋"/>
          <w:color w:val="auto"/>
          <w:sz w:val="44"/>
          <w:szCs w:val="44"/>
        </w:rPr>
      </w:pPr>
    </w:p>
    <w:p w14:paraId="5089EEBD">
      <w:pPr>
        <w:rPr>
          <w:rFonts w:hint="eastAsia" w:ascii="仿宋" w:hAnsi="仿宋" w:eastAsia="仿宋" w:cs="仿宋"/>
          <w:color w:val="auto"/>
          <w:sz w:val="44"/>
          <w:szCs w:val="44"/>
        </w:rPr>
      </w:pPr>
    </w:p>
    <w:p w14:paraId="1F341A47">
      <w:pPr>
        <w:jc w:val="center"/>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使</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用</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说</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明</w:t>
      </w:r>
    </w:p>
    <w:p w14:paraId="54A0DA2A">
      <w:pPr>
        <w:ind w:firstLine="560" w:firstLineChars="200"/>
        <w:rPr>
          <w:rFonts w:hint="eastAsia" w:ascii="仿宋" w:hAnsi="仿宋" w:eastAsia="仿宋" w:cs="仿宋"/>
          <w:color w:val="auto"/>
          <w:sz w:val="28"/>
          <w:szCs w:val="28"/>
          <w:lang w:val="en-US" w:eastAsia="zh-CN"/>
        </w:rPr>
      </w:pPr>
    </w:p>
    <w:p w14:paraId="1115F6A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1.本合同标准文本适用于购买现成货物的采购项目，不包括需要供应商定制开发、创新研发的货物采购项目。</w:t>
      </w:r>
    </w:p>
    <w:p w14:paraId="59A081BE">
      <w:pPr>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2.本合同标准文本为政府采购货物买卖合同编制提供参考，可以结合采购项目具体情况，对文本作必要的调整修订后使用。</w:t>
      </w:r>
    </w:p>
    <w:p w14:paraId="7B08AFDE">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3.本合同标准文本各条款中，如涉及填写多家供应商、制造商，多种采购标的、分包主要内容等信息的，可根据采购项目具体情况添加信息项。</w:t>
      </w:r>
    </w:p>
    <w:p w14:paraId="5B1624AD">
      <w:pPr>
        <w:ind w:firstLine="880" w:firstLineChars="200"/>
        <w:jc w:val="both"/>
        <w:rPr>
          <w:rFonts w:hint="eastAsia" w:ascii="仿宋" w:hAnsi="仿宋" w:eastAsia="仿宋" w:cs="仿宋"/>
          <w:color w:val="auto"/>
          <w:sz w:val="44"/>
          <w:szCs w:val="4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49"/>
    <w:p w14:paraId="029E6E64">
      <w:pPr>
        <w:pStyle w:val="3"/>
        <w:adjustRightInd w:val="0"/>
        <w:snapToGrid w:val="0"/>
        <w:spacing w:beforeLines="0" w:line="400" w:lineRule="exact"/>
        <w:jc w:val="center"/>
        <w:rPr>
          <w:rFonts w:hint="eastAsia" w:ascii="仿宋" w:hAnsi="仿宋" w:eastAsia="仿宋" w:cs="仿宋"/>
          <w:b w:val="0"/>
          <w:bCs w:val="0"/>
          <w:color w:val="auto"/>
          <w:sz w:val="28"/>
          <w:szCs w:val="28"/>
        </w:rPr>
      </w:pPr>
      <w:bookmarkStart w:id="50" w:name="_Toc22209"/>
      <w:r>
        <w:rPr>
          <w:rFonts w:hint="eastAsia" w:ascii="仿宋" w:hAnsi="仿宋" w:eastAsia="仿宋" w:cs="仿宋"/>
          <w:b w:val="0"/>
          <w:bCs w:val="0"/>
          <w:color w:val="auto"/>
          <w:sz w:val="28"/>
          <w:szCs w:val="28"/>
        </w:rPr>
        <w:t>第一节 政府采购合同协议书</w:t>
      </w:r>
      <w:bookmarkEnd w:id="50"/>
    </w:p>
    <w:p w14:paraId="4C40F8DD">
      <w:pPr>
        <w:pStyle w:val="3"/>
        <w:adjustRightInd w:val="0"/>
        <w:snapToGrid w:val="0"/>
        <w:spacing w:beforeLines="0" w:line="400" w:lineRule="exact"/>
        <w:jc w:val="center"/>
        <w:rPr>
          <w:rFonts w:hint="eastAsia" w:ascii="仿宋" w:hAnsi="仿宋" w:eastAsia="仿宋" w:cs="仿宋"/>
          <w:b w:val="0"/>
          <w:bCs w:val="0"/>
          <w:color w:val="auto"/>
          <w:sz w:val="28"/>
          <w:szCs w:val="28"/>
        </w:rPr>
      </w:pPr>
    </w:p>
    <w:p w14:paraId="28E4151B">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szCs w:val="21"/>
        </w:rPr>
        <w:t>甲方（全称）：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（采购人</w:t>
      </w:r>
      <w:r>
        <w:rPr>
          <w:rFonts w:hint="eastAsia" w:ascii="仿宋" w:hAnsi="仿宋" w:eastAsia="仿宋" w:cs="仿宋"/>
          <w:color w:val="auto"/>
          <w:szCs w:val="21"/>
          <w:lang w:eastAsia="zh-CN"/>
        </w:rPr>
        <w:t>、受采购人委托签订合同的单位</w:t>
      </w:r>
      <w:r>
        <w:rPr>
          <w:rFonts w:hint="eastAsia" w:ascii="仿宋" w:hAnsi="仿宋" w:eastAsia="仿宋" w:cs="仿宋"/>
          <w:color w:val="auto"/>
          <w:szCs w:val="21"/>
        </w:rPr>
        <w:t>或采购</w:t>
      </w:r>
      <w:r>
        <w:rPr>
          <w:rFonts w:hint="eastAsia" w:ascii="仿宋" w:hAnsi="仿宋" w:eastAsia="仿宋" w:cs="仿宋"/>
          <w:color w:val="auto"/>
          <w:szCs w:val="21"/>
          <w:lang w:val="en-US" w:eastAsia="zh-CN"/>
        </w:rPr>
        <w:tab/>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文件约定的合同甲方）</w:t>
      </w:r>
    </w:p>
    <w:p w14:paraId="23CF6982">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szCs w:val="21"/>
        </w:rPr>
        <w:t>乙方</w:t>
      </w:r>
      <w:r>
        <w:rPr>
          <w:rFonts w:hint="eastAsia" w:ascii="仿宋" w:hAnsi="仿宋" w:eastAsia="仿宋" w:cs="仿宋"/>
          <w:color w:val="auto"/>
          <w:szCs w:val="21"/>
          <w:lang w:val="en-US" w:eastAsia="zh-CN"/>
        </w:rPr>
        <w:t>1</w:t>
      </w:r>
      <w:r>
        <w:rPr>
          <w:rFonts w:hint="eastAsia" w:ascii="仿宋" w:hAnsi="仿宋" w:eastAsia="仿宋" w:cs="仿宋"/>
          <w:color w:val="auto"/>
          <w:szCs w:val="21"/>
        </w:rPr>
        <w:t>（全称）：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（供应商）</w:t>
      </w:r>
    </w:p>
    <w:p w14:paraId="0C8DD504">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szCs w:val="21"/>
        </w:rPr>
        <w:t>乙方2（全称）：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（联合体成员供应商或其他合同主体）（如有）</w:t>
      </w:r>
    </w:p>
    <w:p w14:paraId="033203F7">
      <w:pPr>
        <w:adjustRightInd w:val="0"/>
        <w:snapToGrid w:val="0"/>
        <w:spacing w:before="0" w:beforeLines="0" w:line="400" w:lineRule="exact"/>
        <w:rPr>
          <w:rFonts w:hint="eastAsia" w:ascii="仿宋" w:hAnsi="仿宋" w:eastAsia="仿宋" w:cs="仿宋"/>
          <w:color w:val="auto"/>
          <w:szCs w:val="21"/>
        </w:rPr>
      </w:pPr>
      <w:r>
        <w:rPr>
          <w:rFonts w:hint="eastAsia" w:ascii="仿宋" w:hAnsi="仿宋" w:eastAsia="仿宋" w:cs="仿宋"/>
          <w:color w:val="auto"/>
          <w:lang w:eastAsia="zh-CN"/>
        </w:rPr>
        <w:t>乙方</w:t>
      </w:r>
      <w:r>
        <w:rPr>
          <w:rFonts w:hint="eastAsia" w:ascii="仿宋" w:hAnsi="仿宋" w:eastAsia="仿宋" w:cs="仿宋"/>
          <w:color w:val="auto"/>
          <w:szCs w:val="21"/>
          <w:lang w:val="en-US" w:eastAsia="zh-CN"/>
        </w:rPr>
        <w:t>3</w:t>
      </w:r>
      <w:r>
        <w:rPr>
          <w:rFonts w:hint="eastAsia" w:ascii="仿宋" w:hAnsi="仿宋" w:eastAsia="仿宋" w:cs="仿宋"/>
          <w:color w:val="auto"/>
          <w:lang w:val="en-US" w:eastAsia="zh-CN"/>
        </w:rPr>
        <w:t>（全称）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（联合体成员供应商或其他合同主体）（如有）</w:t>
      </w:r>
    </w:p>
    <w:p w14:paraId="721FF941">
      <w:pPr>
        <w:spacing w:beforeLines="0" w:line="400" w:lineRule="exact"/>
        <w:rPr>
          <w:rFonts w:hint="eastAsia" w:ascii="仿宋" w:hAnsi="仿宋" w:eastAsia="仿宋" w:cs="仿宋"/>
          <w:color w:val="auto"/>
          <w:lang w:val="en-US" w:eastAsia="zh-CN"/>
        </w:rPr>
      </w:pPr>
    </w:p>
    <w:p w14:paraId="5F8A6BDB">
      <w:pPr>
        <w:pStyle w:val="14"/>
        <w:adjustRightInd w:val="0"/>
        <w:snapToGrid w:val="0"/>
        <w:spacing w:before="0" w:beforeLines="0" w:after="0" w:line="400" w:lineRule="exact"/>
        <w:ind w:left="0" w:leftChars="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依据《中华人民共和国民法典》</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《中华人民共和国政府采购法》等有关的法律法规，以及</w:t>
      </w:r>
      <w:r>
        <w:rPr>
          <w:rFonts w:hint="eastAsia" w:ascii="仿宋" w:hAnsi="仿宋" w:eastAsia="仿宋" w:cs="仿宋"/>
          <w:i w:val="0"/>
          <w:iCs w:val="0"/>
          <w:color w:val="auto"/>
          <w:sz w:val="21"/>
          <w:szCs w:val="21"/>
          <w:u w:val="none"/>
          <w:lang w:eastAsia="zh-CN"/>
        </w:rPr>
        <w:t>本采购项目</w:t>
      </w:r>
      <w:r>
        <w:rPr>
          <w:rFonts w:hint="eastAsia" w:ascii="仿宋" w:hAnsi="仿宋" w:eastAsia="仿宋" w:cs="仿宋"/>
          <w:color w:val="auto"/>
          <w:sz w:val="21"/>
          <w:szCs w:val="21"/>
        </w:rPr>
        <w:t>的</w:t>
      </w:r>
      <w:r>
        <w:rPr>
          <w:rFonts w:hint="eastAsia" w:ascii="仿宋" w:hAnsi="仿宋" w:eastAsia="仿宋" w:cs="仿宋"/>
          <w:color w:val="auto"/>
          <w:sz w:val="21"/>
          <w:szCs w:val="21"/>
          <w:lang w:eastAsia="zh-CN"/>
        </w:rPr>
        <w:t>招标</w:t>
      </w:r>
      <w:r>
        <w:rPr>
          <w:rFonts w:hint="eastAsia" w:ascii="仿宋" w:hAnsi="仿宋" w:eastAsia="仿宋" w:cs="仿宋"/>
          <w:color w:val="auto"/>
          <w:sz w:val="21"/>
          <w:szCs w:val="21"/>
          <w:lang w:val="en-US" w:eastAsia="zh-CN"/>
        </w:rPr>
        <w:t>/谈判</w:t>
      </w:r>
      <w:r>
        <w:rPr>
          <w:rFonts w:hint="eastAsia" w:ascii="仿宋" w:hAnsi="仿宋" w:eastAsia="仿宋" w:cs="仿宋"/>
          <w:color w:val="auto"/>
          <w:sz w:val="21"/>
          <w:szCs w:val="21"/>
          <w:lang w:eastAsia="zh-CN"/>
        </w:rPr>
        <w:t>文件等</w:t>
      </w:r>
      <w:r>
        <w:rPr>
          <w:rFonts w:hint="eastAsia" w:ascii="仿宋" w:hAnsi="仿宋" w:eastAsia="仿宋" w:cs="仿宋"/>
          <w:color w:val="auto"/>
          <w:sz w:val="21"/>
          <w:szCs w:val="21"/>
        </w:rPr>
        <w:t>采购文件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乙方的《投标（响应）文件》及《中标（成交）通知书》，甲乙双方同意签订本合同。具体情况及要求如下：     </w:t>
      </w:r>
    </w:p>
    <w:p w14:paraId="4AADBB66">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项目信息</w:t>
      </w:r>
    </w:p>
    <w:p w14:paraId="49AC5CB1">
      <w:pPr>
        <w:pStyle w:val="14"/>
        <w:numPr>
          <w:ilvl w:val="0"/>
          <w:numId w:val="5"/>
        </w:numPr>
        <w:adjustRightInd w:val="0"/>
        <w:snapToGrid w:val="0"/>
        <w:spacing w:before="0" w:beforeLines="0" w:after="0" w:line="400" w:lineRule="exact"/>
        <w:ind w:left="0" w:leftChars="0"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采购项目名称：</w:t>
      </w:r>
      <w:r>
        <w:rPr>
          <w:rFonts w:hint="eastAsia" w:ascii="仿宋" w:hAnsi="仿宋" w:eastAsia="仿宋" w:cs="仿宋"/>
          <w:color w:val="auto"/>
          <w:sz w:val="21"/>
          <w:szCs w:val="21"/>
          <w:u w:val="single"/>
        </w:rPr>
        <w:t xml:space="preserve">                                          </w:t>
      </w:r>
    </w:p>
    <w:p w14:paraId="13A4100E">
      <w:pPr>
        <w:pStyle w:val="14"/>
        <w:numPr>
          <w:ilvl w:val="0"/>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 xml:space="preserve">         采购项目编号：</w:t>
      </w:r>
      <w:r>
        <w:rPr>
          <w:rFonts w:hint="eastAsia" w:ascii="仿宋" w:hAnsi="仿宋" w:eastAsia="仿宋" w:cs="仿宋"/>
          <w:color w:val="auto"/>
          <w:sz w:val="21"/>
          <w:szCs w:val="21"/>
          <w:u w:val="single"/>
        </w:rPr>
        <w:t xml:space="preserve">                                          </w:t>
      </w:r>
    </w:p>
    <w:p w14:paraId="6F7C951A">
      <w:pPr>
        <w:pStyle w:val="14"/>
        <w:adjustRightInd w:val="0"/>
        <w:snapToGrid w:val="0"/>
        <w:spacing w:before="0" w:beforeLines="0" w:after="0" w:line="400" w:lineRule="exact"/>
        <w:ind w:left="0" w:leftChars="0" w:firstLine="420" w:firstLineChars="200"/>
        <w:rPr>
          <w:rFonts w:hint="eastAsia" w:ascii="仿宋" w:hAnsi="仿宋" w:eastAsia="仿宋" w:cs="仿宋"/>
          <w:color w:val="auto"/>
          <w:szCs w:val="21"/>
        </w:rPr>
      </w:pPr>
      <w:r>
        <w:rPr>
          <w:rFonts w:hint="eastAsia" w:ascii="仿宋" w:hAnsi="仿宋" w:eastAsia="仿宋" w:cs="仿宋"/>
          <w:color w:val="auto"/>
          <w:sz w:val="21"/>
          <w:szCs w:val="21"/>
        </w:rPr>
        <w:t>（2）采购计划编号：</w:t>
      </w:r>
      <w:r>
        <w:rPr>
          <w:rFonts w:hint="eastAsia" w:ascii="仿宋" w:hAnsi="仿宋" w:eastAsia="仿宋" w:cs="仿宋"/>
          <w:color w:val="auto"/>
          <w:sz w:val="21"/>
          <w:szCs w:val="21"/>
          <w:u w:val="single"/>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65613622">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（3）项目内容：</w:t>
      </w:r>
    </w:p>
    <w:p w14:paraId="485775FD">
      <w:pPr>
        <w:adjustRightInd w:val="0"/>
        <w:snapToGrid w:val="0"/>
        <w:spacing w:before="0" w:beforeLines="0"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采购标的及数量</w:t>
      </w:r>
      <w:r>
        <w:rPr>
          <w:rFonts w:hint="eastAsia" w:ascii="仿宋" w:hAnsi="仿宋" w:eastAsia="仿宋" w:cs="仿宋"/>
          <w:color w:val="auto"/>
          <w:szCs w:val="21"/>
          <w:lang w:val="en-US" w:eastAsia="zh-CN"/>
        </w:rPr>
        <w:t>（台/套</w:t>
      </w:r>
      <w:r>
        <w:rPr>
          <w:rFonts w:hint="eastAsia" w:ascii="仿宋" w:hAnsi="仿宋" w:eastAsia="仿宋" w:cs="仿宋"/>
          <w:color w:val="auto"/>
          <w:szCs w:val="21"/>
          <w:lang w:val="en" w:eastAsia="zh-CN"/>
        </w:rPr>
        <w:t>/个/架/组等</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w:t>
      </w:r>
    </w:p>
    <w:p w14:paraId="480922AE">
      <w:pPr>
        <w:numPr>
          <w:ilvl w:val="0"/>
          <w:numId w:val="0"/>
        </w:numPr>
        <w:adjustRightInd w:val="0"/>
        <w:snapToGrid w:val="0"/>
        <w:spacing w:before="0" w:beforeLines="0" w:line="400" w:lineRule="exact"/>
        <w:ind w:firstLine="420" w:firstLineChars="200"/>
        <w:rPr>
          <w:rFonts w:hint="eastAsia" w:ascii="仿宋" w:hAnsi="仿宋" w:eastAsia="仿宋" w:cs="仿宋"/>
          <w:color w:val="auto"/>
          <w:szCs w:val="21"/>
          <w:lang w:val="en"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lang w:val="en-US" w:eastAsia="zh-CN"/>
        </w:rPr>
        <w:t>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 w:eastAsia="zh-CN"/>
        </w:rPr>
        <w:t xml:space="preserve">     </w:t>
      </w:r>
      <w:r>
        <w:rPr>
          <w:rFonts w:hint="eastAsia" w:ascii="仿宋" w:hAnsi="仿宋" w:eastAsia="仿宋" w:cs="仿宋"/>
          <w:color w:val="auto"/>
          <w:szCs w:val="21"/>
          <w:lang w:val="en-US" w:eastAsia="zh-CN"/>
        </w:rPr>
        <w:t>规格型号：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lang w:val="en" w:eastAsia="zh-CN"/>
        </w:rPr>
        <w:t xml:space="preserve">   </w:t>
      </w:r>
    </w:p>
    <w:p w14:paraId="29592740">
      <w:pPr>
        <w:adjustRightInd w:val="0"/>
        <w:snapToGrid w:val="0"/>
        <w:spacing w:before="0" w:beforeLines="0" w:line="400" w:lineRule="exact"/>
        <w:ind w:firstLine="945" w:firstLineChars="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采购标的的技术要求、商务要求具体见附件。</w:t>
      </w:r>
    </w:p>
    <w:p w14:paraId="7017C1D1">
      <w:pPr>
        <w:numPr>
          <w:ilvl w:val="0"/>
          <w:numId w:val="0"/>
        </w:numPr>
        <w:adjustRightInd w:val="0"/>
        <w:snapToGrid w:val="0"/>
        <w:spacing w:before="0" w:beforeLines="0" w:line="400" w:lineRule="exact"/>
        <w:ind w:firstLine="945" w:firstLineChars="4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①涉及信息类产品，请填写该产品关键部件的品牌、型号：</w:t>
      </w:r>
    </w:p>
    <w:p w14:paraId="7341F7AB">
      <w:pPr>
        <w:numPr>
          <w:ilvl w:val="0"/>
          <w:numId w:val="0"/>
        </w:numPr>
        <w:adjustRightInd w:val="0"/>
        <w:snapToGrid w:val="0"/>
        <w:spacing w:before="0" w:beforeLines="0" w:line="400" w:lineRule="exact"/>
        <w:ind w:firstLine="420" w:firstLineChars="200"/>
        <w:rPr>
          <w:rFonts w:hint="eastAsia" w:ascii="仿宋" w:hAnsi="仿宋" w:eastAsia="仿宋" w:cs="仿宋"/>
          <w:color w:val="auto"/>
          <w:kern w:val="0"/>
          <w:szCs w:val="21"/>
          <w:u w:val="single"/>
          <w:lang w:val="en-US" w:eastAsia="zh-CN"/>
        </w:rPr>
      </w:pPr>
      <w:r>
        <w:rPr>
          <w:rFonts w:hint="eastAsia" w:ascii="仿宋" w:hAnsi="仿宋" w:eastAsia="仿宋" w:cs="仿宋"/>
          <w:color w:val="auto"/>
          <w:szCs w:val="21"/>
          <w:lang w:val="en-US" w:eastAsia="zh-CN"/>
        </w:rPr>
        <w:t xml:space="preserve">     标的名称：</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single"/>
          <w:lang w:val="en" w:eastAsia="zh-CN"/>
        </w:rPr>
        <w:t xml:space="preserve">               </w:t>
      </w:r>
      <w:r>
        <w:rPr>
          <w:rFonts w:hint="eastAsia" w:ascii="仿宋" w:hAnsi="仿宋" w:eastAsia="仿宋" w:cs="仿宋"/>
          <w:color w:val="auto"/>
          <w:kern w:val="0"/>
          <w:szCs w:val="21"/>
          <w:u w:val="single"/>
          <w:lang w:val="en-US" w:eastAsia="zh-CN"/>
        </w:rPr>
        <w:t xml:space="preserve">    </w:t>
      </w:r>
    </w:p>
    <w:p w14:paraId="0F9C4BB0">
      <w:pPr>
        <w:numPr>
          <w:ilvl w:val="0"/>
          <w:numId w:val="0"/>
        </w:numPr>
        <w:adjustRightInd w:val="0"/>
        <w:snapToGrid w:val="0"/>
        <w:spacing w:before="0" w:beforeLines="0"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关键部件：</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none"/>
          <w:lang w:val="en-US" w:eastAsia="zh-CN"/>
        </w:rPr>
        <w:t xml:space="preserve"> </w:t>
      </w:r>
      <w:r>
        <w:rPr>
          <w:rFonts w:hint="eastAsia" w:ascii="仿宋" w:hAnsi="仿宋" w:eastAsia="仿宋" w:cs="仿宋"/>
          <w:color w:val="auto"/>
          <w:szCs w:val="21"/>
          <w:lang w:val="en-US" w:eastAsia="zh-CN"/>
        </w:rPr>
        <w:t>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lang w:val="en-US" w:eastAsia="zh-CN"/>
        </w:rPr>
        <w:t>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w:t>
      </w:r>
    </w:p>
    <w:p w14:paraId="2F38E4E5">
      <w:pPr>
        <w:pStyle w:val="78"/>
        <w:spacing w:beforeLine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kern w:val="2"/>
          <w:sz w:val="21"/>
          <w:szCs w:val="21"/>
          <w:lang w:val="en-US" w:eastAsia="zh-CN"/>
        </w:rPr>
        <w:t>关键部件</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品牌：</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型号：</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w:t>
      </w:r>
    </w:p>
    <w:p w14:paraId="07DBD72A">
      <w:pPr>
        <w:pStyle w:val="78"/>
        <w:spacing w:beforeLine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关键部件：</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品牌：</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型号：</w:t>
      </w:r>
      <w:r>
        <w:rPr>
          <w:rFonts w:hint="eastAsia" w:ascii="仿宋" w:hAnsi="仿宋" w:eastAsia="仿宋" w:cs="仿宋"/>
          <w:color w:val="auto"/>
          <w:sz w:val="21"/>
          <w:szCs w:val="21"/>
          <w:u w:val="single"/>
          <w:lang w:val="en-US" w:eastAsia="zh-CN"/>
        </w:rPr>
        <w:t xml:space="preserve">       </w:t>
      </w:r>
    </w:p>
    <w:p w14:paraId="4C939DE4">
      <w:pPr>
        <w:pStyle w:val="78"/>
        <w:numPr>
          <w:ilvl w:val="0"/>
          <w:numId w:val="0"/>
        </w:numPr>
        <w:adjustRightInd w:val="0"/>
        <w:snapToGrid w:val="0"/>
        <w:spacing w:before="0" w:beforeLines="0" w:line="400" w:lineRule="exact"/>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D0CF5EC">
      <w:pPr>
        <w:pStyle w:val="78"/>
        <w:numPr>
          <w:ilvl w:val="0"/>
          <w:numId w:val="0"/>
        </w:numPr>
        <w:adjustRightInd w:val="0"/>
        <w:snapToGrid w:val="0"/>
        <w:spacing w:before="0" w:beforeLines="0" w:line="400" w:lineRule="exact"/>
        <w:ind w:firstLine="0" w:firstLine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②涉及车辆采购，请填写是否属于新能源汽车：</w:t>
      </w:r>
    </w:p>
    <w:p w14:paraId="32E47967">
      <w:pPr>
        <w:pStyle w:val="78"/>
        <w:numPr>
          <w:ilvl w:val="0"/>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rPr>
        <w:t>是</w:t>
      </w:r>
      <w:r>
        <w:rPr>
          <w:rFonts w:hint="eastAsia" w:ascii="仿宋" w:hAnsi="仿宋" w:eastAsia="仿宋" w:cs="仿宋"/>
          <w:iCs w:val="0"/>
          <w:color w:val="auto"/>
          <w:sz w:val="21"/>
          <w:szCs w:val="21"/>
          <w:lang w:eastAsia="zh-CN"/>
        </w:rPr>
        <w:t>，《政府采购品目分类目录》底级品目名称</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数量：</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金额：</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iCs w:val="0"/>
          <w:color w:val="auto"/>
          <w:sz w:val="21"/>
          <w:szCs w:val="21"/>
          <w:lang w:val="en-US" w:eastAsia="zh-CN"/>
        </w:rPr>
        <w:t xml:space="preserve"> </w:t>
      </w:r>
    </w:p>
    <w:p w14:paraId="5CC0B54C">
      <w:pPr>
        <w:pStyle w:val="78"/>
        <w:numPr>
          <w:ilvl w:val="0"/>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lang w:eastAsia="zh-CN"/>
        </w:rPr>
      </w:pP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否</w:t>
      </w:r>
    </w:p>
    <w:p w14:paraId="0DDD2374">
      <w:pPr>
        <w:pStyle w:val="78"/>
        <w:numPr>
          <w:ilvl w:val="0"/>
          <w:numId w:val="0"/>
        </w:numPr>
        <w:adjustRightInd w:val="0"/>
        <w:snapToGrid w:val="0"/>
        <w:spacing w:before="0" w:beforeLines="0" w:line="400" w:lineRule="exact"/>
        <w:ind w:left="0" w:firstLine="0" w:firstLineChars="0"/>
        <w:rPr>
          <w:rFonts w:hint="eastAsia" w:ascii="仿宋" w:hAnsi="仿宋" w:eastAsia="仿宋" w:cs="仿宋"/>
          <w:iCs w:val="0"/>
          <w:color w:val="auto"/>
          <w:sz w:val="21"/>
          <w:szCs w:val="21"/>
          <w:lang w:val="en-US" w:eastAsia="zh-CN"/>
        </w:rPr>
      </w:pP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lang w:val="en" w:eastAsia="zh-CN"/>
        </w:rPr>
        <w:t>4</w:t>
      </w:r>
      <w:r>
        <w:rPr>
          <w:rFonts w:hint="eastAsia" w:ascii="仿宋" w:hAnsi="仿宋" w:eastAsia="仿宋" w:cs="仿宋"/>
          <w:iCs w:val="0"/>
          <w:color w:val="auto"/>
          <w:sz w:val="21"/>
          <w:szCs w:val="21"/>
          <w:lang w:val="en-US" w:eastAsia="zh-CN"/>
        </w:rPr>
        <w:t>）政府采购组织形式：</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政府集中采购</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val="en-US" w:eastAsia="zh-CN"/>
        </w:rPr>
        <w:t xml:space="preserve">部门集中采购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val="en-US" w:eastAsia="zh-CN"/>
        </w:rPr>
        <w:t>分散采购</w:t>
      </w:r>
    </w:p>
    <w:p w14:paraId="7C7BC7F4">
      <w:pPr>
        <w:pStyle w:val="78"/>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lang w:eastAsia="zh-CN"/>
        </w:rPr>
      </w:pPr>
      <w:r>
        <w:rPr>
          <w:rFonts w:hint="eastAsia" w:ascii="仿宋" w:hAnsi="仿宋" w:eastAsia="仿宋" w:cs="仿宋"/>
          <w:iCs w:val="0"/>
          <w:color w:val="auto"/>
          <w:sz w:val="21"/>
          <w:szCs w:val="21"/>
          <w:lang w:val="en-US" w:eastAsia="zh-CN"/>
        </w:rPr>
        <w:t>（</w:t>
      </w:r>
      <w:r>
        <w:rPr>
          <w:rFonts w:hint="eastAsia" w:ascii="仿宋" w:hAnsi="仿宋" w:eastAsia="仿宋" w:cs="仿宋"/>
          <w:iCs w:val="0"/>
          <w:color w:val="auto"/>
          <w:sz w:val="21"/>
          <w:szCs w:val="21"/>
          <w:lang w:val="en" w:eastAsia="zh-CN"/>
        </w:rPr>
        <w:t>5</w:t>
      </w:r>
      <w:r>
        <w:rPr>
          <w:rFonts w:hint="eastAsia" w:ascii="仿宋" w:hAnsi="仿宋" w:eastAsia="仿宋" w:cs="仿宋"/>
          <w:iCs w:val="0"/>
          <w:color w:val="auto"/>
          <w:sz w:val="21"/>
          <w:szCs w:val="21"/>
          <w:lang w:val="en-US" w:eastAsia="zh-CN"/>
        </w:rPr>
        <w:t>）政府采购方式：</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公开招标</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邀请招标</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竞争性谈判</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竞争性磋商</w:t>
      </w:r>
    </w:p>
    <w:p w14:paraId="68B497C1">
      <w:pPr>
        <w:pStyle w:val="78"/>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u w:val="single"/>
          <w:lang w:val="en-US" w:eastAsia="zh-CN"/>
        </w:rPr>
      </w:pPr>
      <w:r>
        <w:rPr>
          <w:rFonts w:hint="eastAsia" w:ascii="仿宋" w:hAnsi="仿宋" w:eastAsia="仿宋" w:cs="仿宋"/>
          <w:color w:val="auto"/>
          <w:szCs w:val="21"/>
          <w:u w:val="none"/>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询价</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单一来源</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框架协议</w:t>
      </w:r>
      <w:r>
        <w:rPr>
          <w:rFonts w:hint="eastAsia" w:ascii="仿宋" w:hAnsi="仿宋" w:eastAsia="仿宋" w:cs="仿宋"/>
          <w:iCs w:val="0"/>
          <w:color w:val="auto"/>
          <w:sz w:val="21"/>
          <w:szCs w:val="21"/>
          <w:lang w:val="en-US" w:eastAsia="zh-CN"/>
        </w:rPr>
        <w:t xml:space="preserve"> </w:t>
      </w:r>
      <w:r>
        <w:rPr>
          <w:rFonts w:hint="eastAsia" w:ascii="仿宋" w:hAnsi="仿宋" w:eastAsia="仿宋" w:cs="仿宋"/>
          <w:iCs w:val="0"/>
          <w:color w:val="auto"/>
          <w:sz w:val="21"/>
          <w:szCs w:val="21"/>
        </w:rPr>
        <w:sym w:font="Wingdings" w:char="00A8"/>
      </w:r>
      <w:r>
        <w:rPr>
          <w:rFonts w:hint="eastAsia" w:ascii="仿宋" w:hAnsi="仿宋" w:eastAsia="仿宋" w:cs="仿宋"/>
          <w:iCs w:val="0"/>
          <w:color w:val="auto"/>
          <w:sz w:val="21"/>
          <w:szCs w:val="21"/>
          <w:lang w:eastAsia="zh-CN"/>
        </w:rPr>
        <w:t>其他：</w:t>
      </w:r>
      <w:r>
        <w:rPr>
          <w:rFonts w:hint="eastAsia" w:ascii="仿宋" w:hAnsi="仿宋" w:eastAsia="仿宋" w:cs="仿宋"/>
          <w:iCs w:val="0"/>
          <w:color w:val="auto"/>
          <w:sz w:val="21"/>
          <w:szCs w:val="21"/>
          <w:u w:val="single"/>
          <w:lang w:val="en-US" w:eastAsia="zh-CN"/>
        </w:rPr>
        <w:t xml:space="preserve">          </w:t>
      </w:r>
    </w:p>
    <w:p w14:paraId="187AA34E">
      <w:pPr>
        <w:pStyle w:val="78"/>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u w:val="none"/>
          <w:lang w:val="en-US" w:eastAsia="zh-CN"/>
        </w:rPr>
      </w:pPr>
      <w:r>
        <w:rPr>
          <w:rFonts w:hint="eastAsia" w:ascii="仿宋" w:hAnsi="仿宋" w:eastAsia="仿宋" w:cs="仿宋"/>
          <w:iCs w:val="0"/>
          <w:color w:val="auto"/>
          <w:sz w:val="21"/>
          <w:szCs w:val="21"/>
          <w:u w:val="none"/>
          <w:lang w:val="en-US" w:eastAsia="zh-CN"/>
        </w:rPr>
        <w:t>（注：在框架协议采购的第二阶段，可选择使用该合同文本）</w:t>
      </w:r>
    </w:p>
    <w:p w14:paraId="001F2060">
      <w:pPr>
        <w:pStyle w:val="78"/>
        <w:numPr>
          <w:ilvl w:val="0"/>
          <w:numId w:val="0"/>
        </w:numPr>
        <w:adjustRightInd w:val="0"/>
        <w:snapToGrid w:val="0"/>
        <w:spacing w:before="0" w:beforeLines="0" w:line="400" w:lineRule="exact"/>
        <w:ind w:firstLine="220" w:firstLineChars="100"/>
        <w:rPr>
          <w:rFonts w:hint="eastAsia" w:ascii="仿宋" w:hAnsi="仿宋" w:eastAsia="仿宋" w:cs="仿宋"/>
          <w:color w:val="auto"/>
          <w:w w:val="100"/>
          <w:kern w:val="2"/>
          <w:sz w:val="21"/>
          <w:szCs w:val="21"/>
          <w:lang w:val="en-US" w:eastAsia="zh-CN" w:bidi="ar-SA"/>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val="en" w:eastAsia="zh-CN"/>
        </w:rPr>
        <w:t>6</w:t>
      </w:r>
      <w:r>
        <w:rPr>
          <w:rFonts w:hint="eastAsia" w:ascii="仿宋" w:hAnsi="仿宋" w:eastAsia="仿宋" w:cs="仿宋"/>
          <w:color w:val="auto"/>
          <w:szCs w:val="21"/>
          <w:lang w:val="en-US" w:eastAsia="zh-CN"/>
        </w:rPr>
        <w:t>）</w:t>
      </w:r>
      <w:r>
        <w:rPr>
          <w:rFonts w:hint="eastAsia" w:ascii="仿宋" w:hAnsi="仿宋" w:eastAsia="仿宋" w:cs="仿宋"/>
          <w:color w:val="auto"/>
          <w:w w:val="100"/>
          <w:kern w:val="2"/>
          <w:sz w:val="21"/>
          <w:szCs w:val="21"/>
          <w:lang w:val="en-US" w:eastAsia="zh-CN" w:bidi="ar-SA"/>
        </w:rPr>
        <w:t>中标（成交）采购标的制造商是否为中小企业：</w:t>
      </w:r>
      <w:r>
        <w:rPr>
          <w:rFonts w:hint="eastAsia" w:ascii="仿宋" w:hAnsi="仿宋" w:eastAsia="仿宋" w:cs="仿宋"/>
          <w:color w:val="auto"/>
          <w:w w:val="100"/>
          <w:kern w:val="2"/>
          <w:sz w:val="21"/>
          <w:szCs w:val="21"/>
          <w:lang w:val="en-US" w:eastAsia="zh-CN" w:bidi="ar-SA"/>
        </w:rPr>
        <w:sym w:font="Wingdings" w:char="00A8"/>
      </w:r>
      <w:r>
        <w:rPr>
          <w:rFonts w:hint="eastAsia" w:ascii="仿宋" w:hAnsi="仿宋" w:eastAsia="仿宋" w:cs="仿宋"/>
          <w:color w:val="auto"/>
          <w:w w:val="100"/>
          <w:kern w:val="2"/>
          <w:sz w:val="21"/>
          <w:szCs w:val="21"/>
          <w:lang w:val="en-US" w:eastAsia="zh-CN" w:bidi="ar-SA"/>
        </w:rPr>
        <w:t xml:space="preserve">是      </w:t>
      </w:r>
      <w:r>
        <w:rPr>
          <w:rFonts w:hint="eastAsia" w:ascii="仿宋" w:hAnsi="仿宋" w:eastAsia="仿宋" w:cs="仿宋"/>
          <w:color w:val="auto"/>
          <w:w w:val="100"/>
          <w:kern w:val="2"/>
          <w:sz w:val="21"/>
          <w:szCs w:val="21"/>
          <w:lang w:val="en-US" w:eastAsia="zh-CN" w:bidi="ar-SA"/>
        </w:rPr>
        <w:sym w:font="Wingdings" w:char="00A8"/>
      </w:r>
      <w:r>
        <w:rPr>
          <w:rFonts w:hint="eastAsia" w:ascii="仿宋" w:hAnsi="仿宋" w:eastAsia="仿宋" w:cs="仿宋"/>
          <w:color w:val="auto"/>
          <w:w w:val="100"/>
          <w:kern w:val="2"/>
          <w:sz w:val="21"/>
          <w:szCs w:val="21"/>
          <w:lang w:val="en-US" w:eastAsia="zh-CN" w:bidi="ar-SA"/>
        </w:rPr>
        <w:t>否</w:t>
      </w:r>
    </w:p>
    <w:p w14:paraId="4CC63EE1">
      <w:pPr>
        <w:numPr>
          <w:ilvl w:val="0"/>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rPr>
      </w:pPr>
      <w:r>
        <w:rPr>
          <w:rFonts w:hint="eastAsia" w:ascii="仿宋" w:hAnsi="仿宋" w:eastAsia="仿宋" w:cs="仿宋"/>
          <w:color w:val="auto"/>
          <w:w w:val="100"/>
          <w:szCs w:val="21"/>
          <w:lang w:val="en-US" w:eastAsia="zh-CN"/>
        </w:rPr>
        <w:t xml:space="preserve">         本合同</w:t>
      </w:r>
      <w:r>
        <w:rPr>
          <w:rFonts w:hint="eastAsia" w:ascii="仿宋" w:hAnsi="仿宋" w:eastAsia="仿宋" w:cs="仿宋"/>
          <w:color w:val="auto"/>
          <w:w w:val="100"/>
          <w:szCs w:val="21"/>
        </w:rPr>
        <w:t>是否</w:t>
      </w:r>
      <w:r>
        <w:rPr>
          <w:rFonts w:hint="eastAsia" w:ascii="仿宋" w:hAnsi="仿宋" w:eastAsia="仿宋" w:cs="仿宋"/>
          <w:color w:val="auto"/>
          <w:w w:val="100"/>
          <w:szCs w:val="21"/>
          <w:lang w:eastAsia="zh-CN"/>
        </w:rPr>
        <w:t>为专门面向</w:t>
      </w:r>
      <w:r>
        <w:rPr>
          <w:rFonts w:hint="eastAsia" w:ascii="仿宋" w:hAnsi="仿宋" w:eastAsia="仿宋" w:cs="仿宋"/>
          <w:color w:val="auto"/>
          <w:w w:val="100"/>
          <w:szCs w:val="21"/>
        </w:rPr>
        <w:t>中小企业</w:t>
      </w:r>
      <w:r>
        <w:rPr>
          <w:rFonts w:hint="eastAsia" w:ascii="仿宋" w:hAnsi="仿宋" w:eastAsia="仿宋" w:cs="仿宋"/>
          <w:color w:val="auto"/>
          <w:w w:val="100"/>
          <w:szCs w:val="21"/>
          <w:lang w:eastAsia="zh-CN"/>
        </w:rPr>
        <w:t>的采</w:t>
      </w:r>
      <w:r>
        <w:rPr>
          <w:rFonts w:hint="eastAsia" w:ascii="仿宋" w:hAnsi="仿宋" w:eastAsia="仿宋" w:cs="仿宋"/>
          <w:color w:val="auto"/>
          <w:w w:val="100"/>
          <w:szCs w:val="21"/>
          <w:shd w:val="clear" w:color="auto" w:fill="auto"/>
          <w:lang w:eastAsia="zh-CN"/>
        </w:rPr>
        <w:t>购</w:t>
      </w:r>
      <w:r>
        <w:rPr>
          <w:rFonts w:hint="eastAsia" w:ascii="仿宋" w:hAnsi="仿宋" w:eastAsia="仿宋" w:cs="仿宋"/>
          <w:color w:val="auto"/>
          <w:w w:val="100"/>
          <w:szCs w:val="21"/>
          <w:shd w:val="clear" w:color="auto" w:fill="auto"/>
        </w:rPr>
        <w:t>合同</w:t>
      </w:r>
      <w:r>
        <w:rPr>
          <w:rFonts w:hint="eastAsia" w:ascii="仿宋" w:hAnsi="仿宋" w:eastAsia="仿宋" w:cs="仿宋"/>
          <w:color w:val="auto"/>
          <w:w w:val="100"/>
          <w:szCs w:val="21"/>
          <w:shd w:val="clear" w:color="auto" w:fill="auto"/>
          <w:lang w:eastAsia="zh-CN"/>
        </w:rPr>
        <w:t>（中小企业预留合同）</w:t>
      </w:r>
      <w:r>
        <w:rPr>
          <w:rFonts w:hint="eastAsia" w:ascii="仿宋" w:hAnsi="仿宋" w:eastAsia="仿宋" w:cs="仿宋"/>
          <w:color w:val="auto"/>
          <w:szCs w:val="21"/>
          <w:shd w:val="clear" w:color="auto" w:fill="auto"/>
        </w:rPr>
        <w:t>：</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75A77822">
      <w:pPr>
        <w:numPr>
          <w:ilvl w:val="0"/>
          <w:numId w:val="0"/>
        </w:numPr>
        <w:adjustRightInd w:val="0"/>
        <w:snapToGrid w:val="0"/>
        <w:spacing w:before="0" w:beforeLines="0" w:line="400" w:lineRule="exact"/>
        <w:ind w:firstLine="0" w:firstLineChars="0"/>
        <w:rPr>
          <w:rFonts w:hint="eastAsia" w:ascii="仿宋" w:hAnsi="仿宋" w:eastAsia="仿宋" w:cs="仿宋"/>
          <w:iCs/>
          <w:color w:val="auto"/>
          <w:szCs w:val="21"/>
        </w:rPr>
      </w:pPr>
      <w:r>
        <w:rPr>
          <w:rFonts w:hint="eastAsia" w:ascii="仿宋" w:hAnsi="仿宋" w:eastAsia="仿宋" w:cs="仿宋"/>
          <w:color w:val="auto"/>
          <w:lang w:val="en-US" w:eastAsia="zh-CN"/>
        </w:rPr>
        <w:t xml:space="preserve">         若本项目不专门面向中小企业采购，是否给予小微企业评审优惠：</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3F625B6A">
      <w:pPr>
        <w:numPr>
          <w:ilvl w:val="0"/>
          <w:numId w:val="0"/>
        </w:numPr>
        <w:adjustRightInd w:val="0"/>
        <w:snapToGrid w:val="0"/>
        <w:spacing w:before="0" w:beforeLines="0" w:line="400" w:lineRule="exact"/>
        <w:ind w:firstLine="0" w:firstLineChars="0"/>
        <w:rPr>
          <w:rFonts w:hint="eastAsia" w:ascii="仿宋" w:hAnsi="仿宋" w:eastAsia="仿宋" w:cs="仿宋"/>
          <w:iCs/>
          <w:color w:val="auto"/>
          <w:szCs w:val="21"/>
        </w:rPr>
      </w:pPr>
      <w:r>
        <w:rPr>
          <w:rFonts w:hint="eastAsia" w:ascii="仿宋" w:hAnsi="仿宋" w:eastAsia="仿宋" w:cs="仿宋"/>
          <w:color w:val="auto"/>
          <w:lang w:val="en-US" w:eastAsia="zh-CN"/>
        </w:rPr>
        <w:t xml:space="preserve">         中标（成交）采购标的制造商是否为残疾人福利性单位：</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2C6852B6">
      <w:pPr>
        <w:numPr>
          <w:ilvl w:val="0"/>
          <w:numId w:val="0"/>
        </w:numPr>
        <w:snapToGrid w:val="0"/>
        <w:spacing w:beforeLines="0" w:line="400" w:lineRule="exact"/>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中标（成交）采购标的制造商是否为监狱企业：</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2B1C408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 w:eastAsia="zh-CN"/>
        </w:rPr>
        <w:t>7</w:t>
      </w:r>
      <w:r>
        <w:rPr>
          <w:rFonts w:hint="eastAsia" w:ascii="仿宋" w:hAnsi="仿宋" w:eastAsia="仿宋" w:cs="仿宋"/>
          <w:color w:val="auto"/>
          <w:szCs w:val="21"/>
        </w:rPr>
        <w:t>）合同是否分包：</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是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否</w:t>
      </w:r>
    </w:p>
    <w:p w14:paraId="0EBAB33C">
      <w:pPr>
        <w:adjustRightInd w:val="0"/>
        <w:snapToGrid w:val="0"/>
        <w:spacing w:before="0" w:beforeLines="0" w:line="400" w:lineRule="exact"/>
        <w:ind w:firstLine="840" w:firstLineChars="40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分包主要内容：</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06DD52C4">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u w:val="none"/>
          <w:lang w:val="en-US" w:eastAsia="zh-CN"/>
        </w:rPr>
        <w:t xml:space="preserve"> </w:t>
      </w:r>
      <w:r>
        <w:rPr>
          <w:rFonts w:hint="eastAsia" w:ascii="仿宋" w:hAnsi="仿宋" w:eastAsia="仿宋" w:cs="仿宋"/>
          <w:color w:val="auto"/>
          <w:szCs w:val="21"/>
        </w:rPr>
        <w:t>分包</w:t>
      </w: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（如供应商和制造商不同，请分别填写）</w:t>
      </w:r>
      <w:r>
        <w:rPr>
          <w:rFonts w:hint="eastAsia" w:ascii="仿宋" w:hAnsi="仿宋" w:eastAsia="仿宋" w:cs="仿宋"/>
          <w:color w:val="auto"/>
          <w:szCs w:val="21"/>
          <w:highlight w:val="none"/>
        </w:rPr>
        <w:t>：</w:t>
      </w:r>
    </w:p>
    <w:p w14:paraId="61516D71">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151CA214">
      <w:pPr>
        <w:adjustRightInd w:val="0"/>
        <w:snapToGrid w:val="0"/>
        <w:spacing w:before="0" w:beforeLines="0" w:line="400" w:lineRule="exact"/>
        <w:ind w:firstLine="840" w:firstLineChars="400"/>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rPr>
        <w:t>类型</w:t>
      </w:r>
      <w:r>
        <w:rPr>
          <w:rFonts w:hint="eastAsia" w:ascii="仿宋" w:hAnsi="仿宋" w:eastAsia="仿宋" w:cs="仿宋"/>
          <w:color w:val="auto"/>
          <w:szCs w:val="21"/>
          <w:highlight w:val="none"/>
          <w:lang w:eastAsia="zh-CN"/>
        </w:rPr>
        <w:t>（如果供应商和制造商不同，只填写制造商类型）</w:t>
      </w:r>
      <w:r>
        <w:rPr>
          <w:rFonts w:hint="eastAsia" w:ascii="仿宋" w:hAnsi="仿宋" w:eastAsia="仿宋" w:cs="仿宋"/>
          <w:color w:val="auto"/>
          <w:szCs w:val="21"/>
        </w:rPr>
        <w:t>：</w:t>
      </w:r>
    </w:p>
    <w:p w14:paraId="3A367E8B">
      <w:pPr>
        <w:adjustRightInd w:val="0"/>
        <w:snapToGrid w:val="0"/>
        <w:spacing w:beforeLines="0" w:line="400" w:lineRule="exact"/>
        <w:ind w:firstLine="840" w:firstLineChars="40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大型企业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中型企业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小微型企业</w:t>
      </w:r>
      <w:r>
        <w:rPr>
          <w:rFonts w:hint="eastAsia" w:ascii="仿宋" w:hAnsi="仿宋" w:eastAsia="仿宋" w:cs="仿宋"/>
          <w:iCs/>
          <w:color w:val="auto"/>
          <w:szCs w:val="21"/>
          <w:lang w:val="en-US" w:eastAsia="zh-CN"/>
        </w:rPr>
        <w:t xml:space="preserve">  </w:t>
      </w:r>
    </w:p>
    <w:p w14:paraId="55ED0043">
      <w:pPr>
        <w:adjustRightInd w:val="0"/>
        <w:snapToGrid w:val="0"/>
        <w:spacing w:beforeLines="0" w:line="400" w:lineRule="exact"/>
        <w:ind w:firstLine="840" w:firstLineChars="400"/>
        <w:rPr>
          <w:rFonts w:hint="eastAsia" w:ascii="仿宋" w:hAnsi="仿宋" w:eastAsia="仿宋" w:cs="仿宋"/>
          <w:color w:val="auto"/>
          <w:u w:val="none"/>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残疾人福利性单位</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监狱</w:t>
      </w:r>
      <w:r>
        <w:rPr>
          <w:rFonts w:hint="eastAsia" w:ascii="仿宋" w:hAnsi="仿宋" w:eastAsia="仿宋" w:cs="仿宋"/>
          <w:iCs/>
          <w:color w:val="auto"/>
          <w:szCs w:val="21"/>
        </w:rPr>
        <w:t>企业</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其他</w:t>
      </w:r>
    </w:p>
    <w:p w14:paraId="6BCB9832">
      <w:pPr>
        <w:numPr>
          <w:ilvl w:val="0"/>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lang w:val="en" w:eastAsia="zh-CN"/>
        </w:rPr>
        <w:t>8</w:t>
      </w:r>
      <w:r>
        <w:rPr>
          <w:rFonts w:hint="eastAsia" w:ascii="仿宋" w:hAnsi="仿宋" w:eastAsia="仿宋" w:cs="仿宋"/>
          <w:color w:val="auto"/>
          <w:szCs w:val="21"/>
          <w:highlight w:val="none"/>
          <w:u w:val="none"/>
          <w:lang w:val="en-US" w:eastAsia="zh-CN"/>
        </w:rPr>
        <w:t>）中标（成交）供应商是否为外商投资企业：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E412F0D">
      <w:pPr>
        <w:pStyle w:val="78"/>
        <w:tabs>
          <w:tab w:val="left" w:pos="1340"/>
        </w:tabs>
        <w:spacing w:beforeLine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u w:val="none"/>
          <w:lang w:val="en-US" w:eastAsia="zh-CN"/>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val="en-US" w:eastAsia="zh-CN"/>
        </w:rPr>
        <w:t>部分由外国投资者投资</w:t>
      </w:r>
    </w:p>
    <w:p w14:paraId="3358A108">
      <w:pPr>
        <w:numPr>
          <w:ilvl w:val="0"/>
          <w:numId w:val="0"/>
        </w:numPr>
        <w:adjustRightInd w:val="0"/>
        <w:snapToGrid w:val="0"/>
        <w:spacing w:before="0" w:beforeLines="0" w:line="400" w:lineRule="exact"/>
        <w:ind w:firstLine="420" w:firstLineChars="20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w:t>
      </w:r>
      <w:r>
        <w:rPr>
          <w:rFonts w:hint="eastAsia" w:ascii="仿宋" w:hAnsi="仿宋" w:eastAsia="仿宋" w:cs="仿宋"/>
          <w:b w:val="0"/>
          <w:bCs w:val="0"/>
          <w:color w:val="auto"/>
          <w:sz w:val="21"/>
          <w:szCs w:val="21"/>
          <w:u w:val="none"/>
          <w:lang w:val="en" w:eastAsia="zh-CN"/>
        </w:rPr>
        <w:t>9</w:t>
      </w:r>
      <w:r>
        <w:rPr>
          <w:rFonts w:hint="eastAsia" w:ascii="仿宋" w:hAnsi="仿宋" w:eastAsia="仿宋" w:cs="仿宋"/>
          <w:b w:val="0"/>
          <w:bCs w:val="0"/>
          <w:color w:val="auto"/>
          <w:sz w:val="21"/>
          <w:szCs w:val="21"/>
          <w:u w:val="none"/>
          <w:lang w:val="en-US" w:eastAsia="zh-CN"/>
        </w:rPr>
        <w:t>）是否涉及进口产品：</w:t>
      </w:r>
    </w:p>
    <w:p w14:paraId="35E133C0">
      <w:pPr>
        <w:numPr>
          <w:ilvl w:val="0"/>
          <w:numId w:val="0"/>
        </w:numPr>
        <w:adjustRightInd w:val="0"/>
        <w:snapToGrid w:val="0"/>
        <w:spacing w:before="0" w:beforeLines="0" w:line="400" w:lineRule="exact"/>
        <w:ind w:firstLine="840" w:firstLineChars="400"/>
        <w:rPr>
          <w:rFonts w:hint="eastAsia" w:ascii="仿宋" w:hAnsi="仿宋" w:eastAsia="仿宋" w:cs="仿宋"/>
          <w:color w:val="auto"/>
          <w:szCs w:val="21"/>
          <w:u w:val="single"/>
          <w:lang w:val="en-US" w:eastAsia="zh-CN"/>
        </w:rPr>
      </w:pP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，《政府采购品目分类目录》底级品目名称</w:t>
      </w:r>
      <w:r>
        <w:rPr>
          <w:rFonts w:hint="eastAsia" w:ascii="仿宋" w:hAnsi="仿宋" w:eastAsia="仿宋" w:cs="仿宋"/>
          <w:color w:val="auto"/>
          <w:szCs w:val="21"/>
          <w:lang w:val="en-US" w:eastAsia="zh-CN"/>
        </w:rPr>
        <w:t>：</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金额：</w:t>
      </w:r>
      <w:r>
        <w:rPr>
          <w:rFonts w:hint="eastAsia" w:ascii="仿宋" w:hAnsi="仿宋" w:eastAsia="仿宋" w:cs="仿宋"/>
          <w:color w:val="auto"/>
          <w:szCs w:val="21"/>
          <w:u w:val="single"/>
          <w:lang w:val="en-US" w:eastAsia="zh-CN"/>
        </w:rPr>
        <w:t xml:space="preserve">        </w:t>
      </w:r>
    </w:p>
    <w:p w14:paraId="2900CD27">
      <w:pPr>
        <w:numPr>
          <w:ilvl w:val="0"/>
          <w:numId w:val="0"/>
        </w:numPr>
        <w:adjustRightInd w:val="0"/>
        <w:snapToGrid w:val="0"/>
        <w:spacing w:before="0" w:beforeLines="0" w:line="400" w:lineRule="exact"/>
        <w:ind w:firstLine="840" w:firstLineChars="400"/>
        <w:rPr>
          <w:rFonts w:hint="eastAsia" w:ascii="仿宋" w:hAnsi="仿宋" w:eastAsia="仿宋" w:cs="仿宋"/>
          <w:iCs w:val="0"/>
          <w:color w:val="auto"/>
          <w:szCs w:val="21"/>
        </w:rPr>
      </w:pPr>
      <w:r>
        <w:rPr>
          <w:rFonts w:hint="eastAsia" w:ascii="仿宋" w:hAnsi="仿宋" w:eastAsia="仿宋" w:cs="仿宋"/>
          <w:color w:val="auto"/>
          <w:szCs w:val="21"/>
          <w:lang w:val="en-US" w:eastAsia="zh-CN"/>
        </w:rPr>
        <w:t xml:space="preserve">        国别：</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lang w:val="en-US" w:eastAsia="zh-CN"/>
        </w:rPr>
        <w:t xml:space="preserve"> 品牌：</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none"/>
          <w:lang w:val="en-US" w:eastAsia="zh-CN"/>
        </w:rPr>
        <w:t xml:space="preserve"> 规格型号：</w:t>
      </w:r>
      <w:r>
        <w:rPr>
          <w:rFonts w:hint="eastAsia" w:ascii="仿宋" w:hAnsi="仿宋" w:eastAsia="仿宋" w:cs="仿宋"/>
          <w:color w:val="auto"/>
          <w:szCs w:val="21"/>
          <w:u w:val="single"/>
          <w:lang w:val="en-US" w:eastAsia="zh-CN"/>
        </w:rPr>
        <w:t xml:space="preserve">        </w:t>
      </w:r>
      <w:r>
        <w:rPr>
          <w:rFonts w:hint="eastAsia" w:ascii="仿宋" w:hAnsi="仿宋" w:eastAsia="仿宋" w:cs="仿宋"/>
          <w:iCs w:val="0"/>
          <w:color w:val="auto"/>
          <w:szCs w:val="21"/>
        </w:rPr>
        <w:t xml:space="preserve">      </w:t>
      </w:r>
    </w:p>
    <w:p w14:paraId="1EB2C2D9">
      <w:pPr>
        <w:adjustRightInd w:val="0"/>
        <w:snapToGrid w:val="0"/>
        <w:spacing w:before="0" w:beforeLines="0" w:line="400" w:lineRule="exact"/>
        <w:ind w:firstLine="840" w:firstLineChars="400"/>
        <w:rPr>
          <w:rFonts w:hint="eastAsia" w:ascii="仿宋" w:hAnsi="仿宋" w:eastAsia="仿宋" w:cs="仿宋"/>
          <w:color w:val="auto"/>
          <w:szCs w:val="21"/>
          <w:u w:val="none"/>
          <w:lang w:val="en-US" w:eastAsia="zh-CN"/>
        </w:rPr>
      </w:pP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lang w:eastAsia="zh-CN"/>
        </w:rPr>
        <w:t>否</w:t>
      </w:r>
    </w:p>
    <w:p w14:paraId="5F5207C5">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（1</w:t>
      </w:r>
      <w:r>
        <w:rPr>
          <w:rFonts w:hint="eastAsia" w:ascii="仿宋" w:hAnsi="仿宋" w:eastAsia="仿宋" w:cs="仿宋"/>
          <w:b w:val="0"/>
          <w:bCs w:val="0"/>
          <w:color w:val="auto"/>
          <w:sz w:val="21"/>
          <w:szCs w:val="21"/>
          <w:u w:val="none"/>
          <w:lang w:val="en" w:eastAsia="zh-CN"/>
        </w:rPr>
        <w:t>0</w:t>
      </w:r>
      <w:r>
        <w:rPr>
          <w:rFonts w:hint="eastAsia" w:ascii="仿宋" w:hAnsi="仿宋" w:eastAsia="仿宋" w:cs="仿宋"/>
          <w:b w:val="0"/>
          <w:bCs w:val="0"/>
          <w:color w:val="auto"/>
          <w:sz w:val="21"/>
          <w:szCs w:val="21"/>
          <w:u w:val="none"/>
          <w:lang w:val="en-US" w:eastAsia="zh-CN"/>
        </w:rPr>
        <w:t>）是否涉及节能产品：</w:t>
      </w:r>
    </w:p>
    <w:p w14:paraId="0E10178F">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，《节能产品政府采购品目清单》的底级品目名称：</w:t>
      </w:r>
      <w:r>
        <w:rPr>
          <w:rFonts w:hint="eastAsia" w:ascii="仿宋" w:hAnsi="仿宋" w:eastAsia="仿宋" w:cs="仿宋"/>
          <w:color w:val="auto"/>
          <w:szCs w:val="21"/>
          <w:u w:val="single"/>
          <w:lang w:val="en-US" w:eastAsia="zh-CN"/>
        </w:rPr>
        <w:t xml:space="preserve">         </w:t>
      </w:r>
      <w:r>
        <w:rPr>
          <w:rFonts w:hint="eastAsia" w:ascii="仿宋" w:hAnsi="仿宋" w:eastAsia="仿宋" w:cs="仿宋"/>
          <w:iCs/>
          <w:color w:val="auto"/>
          <w:szCs w:val="21"/>
          <w:lang w:val="en-US" w:eastAsia="zh-CN"/>
        </w:rPr>
        <w:t xml:space="preserve">     </w:t>
      </w:r>
    </w:p>
    <w:p w14:paraId="69807067">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05080672">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rPr>
      </w:pPr>
      <w:r>
        <w:rPr>
          <w:rFonts w:hint="eastAsia" w:ascii="仿宋" w:hAnsi="仿宋" w:eastAsia="仿宋" w:cs="仿宋"/>
          <w:iCs/>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p>
    <w:p w14:paraId="15BF48B7">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是否涉及环境标志产品：</w:t>
      </w:r>
    </w:p>
    <w:p w14:paraId="0C54FF00">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lang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是</w:t>
      </w:r>
      <w:r>
        <w:rPr>
          <w:rFonts w:hint="eastAsia" w:ascii="仿宋" w:hAnsi="仿宋" w:eastAsia="仿宋" w:cs="仿宋"/>
          <w:iCs w:val="0"/>
          <w:color w:val="auto"/>
          <w:szCs w:val="21"/>
          <w:lang w:eastAsia="zh-CN"/>
        </w:rPr>
        <w:t>，《环境标志产品政府采购品目清单》的底级品目名称：</w:t>
      </w:r>
      <w:r>
        <w:rPr>
          <w:rFonts w:hint="eastAsia" w:ascii="仿宋" w:hAnsi="仿宋" w:eastAsia="仿宋" w:cs="仿宋"/>
          <w:color w:val="auto"/>
          <w:szCs w:val="21"/>
          <w:u w:val="single"/>
          <w:lang w:val="en-US" w:eastAsia="zh-CN"/>
        </w:rPr>
        <w:t xml:space="preserve">         </w:t>
      </w:r>
      <w:r>
        <w:rPr>
          <w:rFonts w:hint="eastAsia" w:ascii="仿宋" w:hAnsi="仿宋" w:eastAsia="仿宋" w:cs="仿宋"/>
          <w:iCs/>
          <w:color w:val="auto"/>
          <w:szCs w:val="21"/>
          <w:lang w:val="en-US" w:eastAsia="zh-CN"/>
        </w:rPr>
        <w:t xml:space="preserve"> </w:t>
      </w:r>
    </w:p>
    <w:p w14:paraId="7FF64390">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1C925A2E">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p>
    <w:p w14:paraId="32E47549">
      <w:pPr>
        <w:pStyle w:val="78"/>
        <w:numPr>
          <w:ilvl w:val="0"/>
          <w:numId w:val="0"/>
        </w:numPr>
        <w:adjustRightInd w:val="0"/>
        <w:snapToGrid w:val="0"/>
        <w:spacing w:before="0" w:beforeLines="0" w:line="400" w:lineRule="exact"/>
        <w:ind w:firstLine="0" w:firstLineChars="0"/>
        <w:rPr>
          <w:rFonts w:hint="eastAsia" w:ascii="仿宋" w:hAnsi="仿宋" w:eastAsia="仿宋" w:cs="仿宋"/>
          <w:iCs w:val="0"/>
          <w:color w:val="auto"/>
          <w:kern w:val="2"/>
          <w:sz w:val="21"/>
          <w:szCs w:val="21"/>
          <w:u w:val="none"/>
          <w:lang w:val="en-US" w:eastAsia="zh-CN"/>
        </w:rPr>
      </w:pPr>
      <w:r>
        <w:rPr>
          <w:rFonts w:hint="eastAsia" w:ascii="仿宋" w:hAnsi="仿宋" w:eastAsia="仿宋" w:cs="仿宋"/>
          <w:b w:val="0"/>
          <w:bCs w:val="0"/>
          <w:color w:val="auto"/>
          <w:sz w:val="21"/>
          <w:szCs w:val="21"/>
          <w:u w:val="none"/>
          <w:lang w:val="en-US" w:eastAsia="zh-CN"/>
        </w:rPr>
        <w:t xml:space="preserve">          </w:t>
      </w:r>
      <w:r>
        <w:rPr>
          <w:rFonts w:hint="eastAsia" w:ascii="仿宋" w:hAnsi="仿宋" w:eastAsia="仿宋" w:cs="仿宋"/>
          <w:b w:val="0"/>
          <w:bCs w:val="0"/>
          <w:color w:val="auto"/>
          <w:kern w:val="2"/>
          <w:sz w:val="21"/>
          <w:szCs w:val="21"/>
          <w:u w:val="none"/>
          <w:lang w:val="en-US" w:eastAsia="zh-CN"/>
        </w:rPr>
        <w:t>是否涉及绿色产品：</w:t>
      </w:r>
      <w:r>
        <w:rPr>
          <w:rFonts w:hint="eastAsia" w:ascii="仿宋" w:hAnsi="仿宋" w:eastAsia="仿宋" w:cs="仿宋"/>
          <w:iCs w:val="0"/>
          <w:color w:val="auto"/>
          <w:kern w:val="2"/>
          <w:sz w:val="21"/>
          <w:szCs w:val="21"/>
          <w:u w:val="none"/>
          <w:lang w:val="en-US" w:eastAsia="zh-CN"/>
        </w:rPr>
        <w:t xml:space="preserve"> </w:t>
      </w:r>
    </w:p>
    <w:p w14:paraId="4246AE5A">
      <w:pPr>
        <w:pStyle w:val="78"/>
        <w:spacing w:beforeLines="0"/>
        <w:ind w:firstLine="420" w:firstLineChars="0"/>
        <w:rPr>
          <w:rFonts w:hint="eastAsia" w:ascii="仿宋" w:hAnsi="仿宋" w:eastAsia="仿宋" w:cs="仿宋"/>
          <w:color w:val="auto"/>
          <w:szCs w:val="21"/>
          <w:u w:val="single"/>
          <w:lang w:val="en-US" w:eastAsia="zh-CN"/>
        </w:rPr>
      </w:pPr>
      <w:r>
        <w:rPr>
          <w:rFonts w:hint="eastAsia" w:ascii="仿宋" w:hAnsi="仿宋" w:eastAsia="仿宋" w:cs="仿宋"/>
          <w:iCs w:val="0"/>
          <w:color w:val="auto"/>
          <w:kern w:val="2"/>
          <w:sz w:val="21"/>
          <w:szCs w:val="21"/>
          <w:u w:val="none"/>
          <w:lang w:val="en-US" w:eastAsia="zh-CN"/>
        </w:rPr>
        <w:t xml:space="preserve">     </w:t>
      </w:r>
      <w:r>
        <w:rPr>
          <w:rFonts w:hint="eastAsia" w:ascii="仿宋" w:hAnsi="仿宋" w:eastAsia="仿宋" w:cs="仿宋"/>
          <w:iCs w:val="0"/>
          <w:color w:val="auto"/>
          <w:kern w:val="2"/>
          <w:sz w:val="21"/>
          <w:szCs w:val="21"/>
          <w:u w:val="none"/>
        </w:rPr>
        <w:sym w:font="Wingdings" w:char="00A8"/>
      </w:r>
      <w:r>
        <w:rPr>
          <w:rFonts w:hint="eastAsia" w:ascii="仿宋" w:hAnsi="仿宋" w:eastAsia="仿宋" w:cs="仿宋"/>
          <w:iCs w:val="0"/>
          <w:color w:val="auto"/>
          <w:kern w:val="2"/>
          <w:sz w:val="21"/>
          <w:szCs w:val="21"/>
          <w:u w:val="none"/>
        </w:rPr>
        <w:t>是</w:t>
      </w:r>
      <w:r>
        <w:rPr>
          <w:rFonts w:hint="eastAsia" w:ascii="仿宋" w:hAnsi="仿宋" w:eastAsia="仿宋" w:cs="仿宋"/>
          <w:iCs w:val="0"/>
          <w:color w:val="auto"/>
          <w:kern w:val="2"/>
          <w:sz w:val="21"/>
          <w:szCs w:val="21"/>
          <w:u w:val="none"/>
          <w:lang w:eastAsia="zh-CN"/>
        </w:rPr>
        <w:t>，绿色产品政府采购相关政策确定的底级品目名称：</w:t>
      </w:r>
      <w:r>
        <w:rPr>
          <w:rFonts w:hint="eastAsia" w:ascii="仿宋" w:hAnsi="仿宋" w:eastAsia="仿宋" w:cs="仿宋"/>
          <w:color w:val="auto"/>
          <w:szCs w:val="21"/>
          <w:u w:val="single"/>
          <w:lang w:val="en-US" w:eastAsia="zh-CN"/>
        </w:rPr>
        <w:t xml:space="preserve">         </w:t>
      </w:r>
    </w:p>
    <w:p w14:paraId="12B6F666">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lang w:val="en-US"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强制采购</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优先采购</w:t>
      </w:r>
      <w:r>
        <w:rPr>
          <w:rFonts w:hint="eastAsia" w:ascii="仿宋" w:hAnsi="仿宋" w:eastAsia="仿宋" w:cs="仿宋"/>
          <w:iCs/>
          <w:color w:val="auto"/>
          <w:szCs w:val="21"/>
          <w:lang w:val="en-US" w:eastAsia="zh-CN"/>
        </w:rPr>
        <w:t xml:space="preserve">    </w:t>
      </w:r>
    </w:p>
    <w:p w14:paraId="4DD16312">
      <w:pPr>
        <w:pStyle w:val="78"/>
        <w:spacing w:beforeLines="0"/>
        <w:ind w:firstLine="420" w:firstLineChars="0"/>
        <w:rPr>
          <w:rFonts w:hint="eastAsia" w:ascii="仿宋" w:hAnsi="仿宋" w:eastAsia="仿宋" w:cs="仿宋"/>
          <w:b w:val="0"/>
          <w:bCs w:val="0"/>
          <w:color w:val="auto"/>
          <w:sz w:val="21"/>
          <w:szCs w:val="21"/>
          <w:u w:val="none"/>
          <w:lang w:val="en-US" w:eastAsia="zh-CN"/>
        </w:rPr>
      </w:pPr>
      <w:r>
        <w:rPr>
          <w:rFonts w:hint="eastAsia" w:ascii="仿宋" w:hAnsi="仿宋" w:eastAsia="仿宋" w:cs="仿宋"/>
          <w:iCs w:val="0"/>
          <w:color w:val="auto"/>
          <w:kern w:val="2"/>
          <w:sz w:val="21"/>
          <w:szCs w:val="21"/>
          <w:u w:val="none"/>
          <w:lang w:val="en-US" w:eastAsia="zh-CN"/>
        </w:rPr>
        <w:t xml:space="preserve">     </w:t>
      </w:r>
      <w:r>
        <w:rPr>
          <w:rFonts w:hint="eastAsia" w:ascii="仿宋" w:hAnsi="仿宋" w:eastAsia="仿宋" w:cs="仿宋"/>
          <w:iCs w:val="0"/>
          <w:color w:val="auto"/>
          <w:kern w:val="2"/>
          <w:sz w:val="21"/>
          <w:szCs w:val="21"/>
          <w:u w:val="none"/>
        </w:rPr>
        <w:sym w:font="Wingdings" w:char="00A8"/>
      </w:r>
      <w:r>
        <w:rPr>
          <w:rFonts w:hint="eastAsia" w:ascii="仿宋" w:hAnsi="仿宋" w:eastAsia="仿宋" w:cs="仿宋"/>
          <w:iCs w:val="0"/>
          <w:color w:val="auto"/>
          <w:kern w:val="2"/>
          <w:sz w:val="21"/>
          <w:szCs w:val="21"/>
          <w:u w:val="none"/>
        </w:rPr>
        <w:t>否</w:t>
      </w:r>
    </w:p>
    <w:p w14:paraId="752C49CA">
      <w:pPr>
        <w:numPr>
          <w:ilvl w:val="0"/>
          <w:numId w:val="0"/>
        </w:numPr>
        <w:adjustRightInd w:val="0"/>
        <w:snapToGrid w:val="0"/>
        <w:spacing w:before="0" w:beforeLines="0" w:line="400" w:lineRule="exact"/>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（1</w:t>
      </w:r>
      <w:r>
        <w:rPr>
          <w:rFonts w:hint="eastAsia" w:ascii="仿宋" w:hAnsi="仿宋" w:eastAsia="仿宋" w:cs="仿宋"/>
          <w:color w:val="auto"/>
          <w:szCs w:val="21"/>
          <w:lang w:val="en" w:eastAsia="zh-CN"/>
        </w:rPr>
        <w:t>1</w:t>
      </w:r>
      <w:r>
        <w:rPr>
          <w:rFonts w:hint="eastAsia" w:ascii="仿宋" w:hAnsi="仿宋" w:eastAsia="仿宋" w:cs="仿宋"/>
          <w:color w:val="auto"/>
          <w:szCs w:val="21"/>
          <w:lang w:val="en-US" w:eastAsia="zh-CN"/>
        </w:rPr>
        <w:t>）涉及商品包装和快递包装的，是否参考</w:t>
      </w:r>
      <w:r>
        <w:rPr>
          <w:rFonts w:hint="eastAsia" w:ascii="仿宋" w:hAnsi="仿宋" w:eastAsia="仿宋" w:cs="仿宋"/>
          <w:color w:val="auto"/>
          <w:szCs w:val="21"/>
        </w:rPr>
        <w:t>《商品包装政府采购需求标准（试行）》、《快递包装政府采购需求标准（试行）》</w:t>
      </w:r>
      <w:r>
        <w:rPr>
          <w:rFonts w:hint="eastAsia" w:ascii="仿宋" w:hAnsi="仿宋" w:eastAsia="仿宋" w:cs="仿宋"/>
          <w:color w:val="auto"/>
          <w:szCs w:val="21"/>
          <w:lang w:eastAsia="zh-CN"/>
        </w:rPr>
        <w:t>明确产品及相关快递服务的具体包装要求：</w:t>
      </w:r>
    </w:p>
    <w:p w14:paraId="59CB7D41">
      <w:pPr>
        <w:numPr>
          <w:ilvl w:val="0"/>
          <w:numId w:val="0"/>
        </w:numPr>
        <w:adjustRightInd w:val="0"/>
        <w:snapToGrid w:val="0"/>
        <w:spacing w:before="0" w:beforeLines="0" w:line="400" w:lineRule="exact"/>
        <w:ind w:firstLine="840" w:firstLineChars="400"/>
        <w:rPr>
          <w:rFonts w:hint="eastAsia" w:ascii="仿宋" w:hAnsi="仿宋" w:eastAsia="仿宋" w:cs="仿宋"/>
          <w:iCs w:val="0"/>
          <w:color w:val="auto"/>
          <w:szCs w:val="21"/>
          <w:lang w:val="en-US" w:eastAsia="zh-CN"/>
        </w:rPr>
      </w:pP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 xml:space="preserve">是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rPr>
        <w:t>否</w:t>
      </w:r>
      <w:r>
        <w:rPr>
          <w:rFonts w:hint="eastAsia" w:ascii="仿宋" w:hAnsi="仿宋" w:eastAsia="仿宋" w:cs="仿宋"/>
          <w:iCs w:val="0"/>
          <w:color w:val="auto"/>
          <w:szCs w:val="21"/>
          <w:lang w:val="en-US" w:eastAsia="zh-CN"/>
        </w:rPr>
        <w:t xml:space="preserve">      </w:t>
      </w:r>
      <w:r>
        <w:rPr>
          <w:rFonts w:hint="eastAsia" w:ascii="仿宋" w:hAnsi="仿宋" w:eastAsia="仿宋" w:cs="仿宋"/>
          <w:iCs w:val="0"/>
          <w:color w:val="auto"/>
          <w:szCs w:val="21"/>
        </w:rPr>
        <w:sym w:font="Wingdings" w:char="00A8"/>
      </w:r>
      <w:r>
        <w:rPr>
          <w:rFonts w:hint="eastAsia" w:ascii="仿宋" w:hAnsi="仿宋" w:eastAsia="仿宋" w:cs="仿宋"/>
          <w:iCs w:val="0"/>
          <w:color w:val="auto"/>
          <w:szCs w:val="21"/>
          <w:lang w:eastAsia="zh-CN"/>
        </w:rPr>
        <w:t>不涉及</w:t>
      </w:r>
    </w:p>
    <w:p w14:paraId="71E3FD08">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p w14:paraId="5255962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（1）合同金额小写：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4F5AFE36">
      <w:pPr>
        <w:adjustRightInd w:val="0"/>
        <w:snapToGrid w:val="0"/>
        <w:spacing w:before="0" w:beforeLines="0" w:line="400" w:lineRule="exact"/>
        <w:ind w:left="0" w:firstLine="0" w:firstLineChars="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4218A7C7">
      <w:pPr>
        <w:adjustRightInd w:val="0"/>
        <w:snapToGrid w:val="0"/>
        <w:spacing w:before="0" w:beforeLines="0" w:line="400" w:lineRule="exact"/>
        <w:ind w:firstLine="0" w:firstLineChars="0"/>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分包金额</w:t>
      </w:r>
      <w:r>
        <w:rPr>
          <w:rFonts w:hint="eastAsia" w:ascii="仿宋" w:hAnsi="仿宋" w:eastAsia="仿宋" w:cs="仿宋"/>
          <w:color w:val="auto"/>
          <w:szCs w:val="21"/>
          <w:lang w:eastAsia="zh-CN"/>
        </w:rPr>
        <w:t>（如有）</w:t>
      </w:r>
      <w:r>
        <w:rPr>
          <w:rFonts w:hint="eastAsia" w:ascii="仿宋" w:hAnsi="仿宋" w:eastAsia="仿宋" w:cs="仿宋"/>
          <w:color w:val="auto"/>
          <w:szCs w:val="21"/>
        </w:rPr>
        <w:t>小写：</w:t>
      </w:r>
      <w:r>
        <w:rPr>
          <w:rFonts w:hint="eastAsia" w:ascii="仿宋" w:hAnsi="仿宋" w:eastAsia="仿宋" w:cs="仿宋"/>
          <w:color w:val="auto"/>
          <w:szCs w:val="21"/>
          <w:u w:val="single"/>
        </w:rPr>
        <w:t xml:space="preserve">                   </w:t>
      </w:r>
    </w:p>
    <w:p w14:paraId="75C34EF8">
      <w:pPr>
        <w:adjustRightInd w:val="0"/>
        <w:snapToGrid w:val="0"/>
        <w:spacing w:before="0" w:beforeLines="0" w:line="400" w:lineRule="exact"/>
        <w:ind w:firstLine="0" w:firstLineChars="0"/>
        <w:rPr>
          <w:rFonts w:hint="eastAsia" w:ascii="仿宋" w:hAnsi="仿宋" w:eastAsia="仿宋" w:cs="仿宋"/>
          <w:color w:val="auto"/>
          <w:szCs w:val="21"/>
          <w:u w:val="single"/>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p>
    <w:p w14:paraId="2E485C53">
      <w:pPr>
        <w:adjustRightInd w:val="0"/>
        <w:snapToGrid w:val="0"/>
        <w:spacing w:before="0" w:beforeLines="0" w:line="400" w:lineRule="exact"/>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    （注：固定单价合同应填写单价和最高限价）</w:t>
      </w:r>
    </w:p>
    <w:p w14:paraId="3503F47E">
      <w:pPr>
        <w:numPr>
          <w:ilvl w:val="0"/>
          <w:numId w:val="0"/>
        </w:numPr>
        <w:adjustRightInd w:val="0"/>
        <w:snapToGrid w:val="0"/>
        <w:spacing w:before="0" w:beforeLines="0" w:line="400" w:lineRule="exact"/>
        <w:ind w:firstLine="0" w:firstLineChars="0"/>
        <w:rPr>
          <w:rFonts w:hint="eastAsia" w:ascii="仿宋" w:hAnsi="仿宋" w:eastAsia="仿宋" w:cs="仿宋"/>
          <w:color w:val="auto"/>
          <w:szCs w:val="21"/>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w:t>
      </w:r>
      <w:r>
        <w:rPr>
          <w:rFonts w:hint="eastAsia" w:ascii="仿宋" w:hAnsi="仿宋" w:eastAsia="仿宋" w:cs="仿宋"/>
          <w:color w:val="auto"/>
          <w:szCs w:val="21"/>
        </w:rPr>
        <w:t>合同定价方式</w:t>
      </w:r>
      <w:r>
        <w:rPr>
          <w:rFonts w:hint="eastAsia" w:ascii="仿宋" w:hAnsi="仿宋" w:eastAsia="仿宋" w:cs="仿宋"/>
          <w:color w:val="auto"/>
          <w:szCs w:val="21"/>
          <w:lang w:eastAsia="zh-CN"/>
        </w:rPr>
        <w:t>（采用组合定价方式的，可以勾选多项）</w:t>
      </w:r>
      <w:r>
        <w:rPr>
          <w:rFonts w:hint="eastAsia" w:ascii="仿宋" w:hAnsi="仿宋" w:eastAsia="仿宋" w:cs="仿宋"/>
          <w:color w:val="auto"/>
          <w:szCs w:val="21"/>
        </w:rPr>
        <w:t>：</w:t>
      </w:r>
    </w:p>
    <w:p w14:paraId="50E7A9D6">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固定总价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固定单价</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固定费率</w:t>
      </w:r>
      <w:r>
        <w:rPr>
          <w:rFonts w:hint="eastAsia" w:ascii="仿宋" w:hAnsi="仿宋" w:eastAsia="仿宋" w:cs="仿宋"/>
          <w:iCs/>
          <w:color w:val="auto"/>
          <w:szCs w:val="21"/>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 xml:space="preserve">成本补偿 </w:t>
      </w:r>
      <w:r>
        <w:rPr>
          <w:rFonts w:hint="eastAsia" w:ascii="仿宋" w:hAnsi="仿宋" w:eastAsia="仿宋" w:cs="仿宋"/>
          <w:iCs/>
          <w:color w:val="auto"/>
          <w:szCs w:val="21"/>
        </w:rPr>
        <w:sym w:font="Wingdings" w:char="00A8"/>
      </w:r>
      <w:r>
        <w:rPr>
          <w:rFonts w:hint="eastAsia" w:ascii="仿宋" w:hAnsi="仿宋" w:eastAsia="仿宋" w:cs="仿宋"/>
          <w:iCs/>
          <w:color w:val="auto"/>
          <w:szCs w:val="21"/>
        </w:rPr>
        <w:t>绩效激励</w:t>
      </w:r>
      <w:r>
        <w:rPr>
          <w:rFonts w:hint="eastAsia" w:ascii="仿宋" w:hAnsi="仿宋" w:eastAsia="仿宋" w:cs="仿宋"/>
          <w:iCs/>
          <w:color w:val="auto"/>
          <w:szCs w:val="21"/>
          <w:lang w:val="en-US" w:eastAsia="zh-CN"/>
        </w:rPr>
        <w:t xml:space="preserve"> </w:t>
      </w:r>
      <w:r>
        <w:rPr>
          <w:rFonts w:hint="eastAsia" w:ascii="仿宋" w:hAnsi="仿宋" w:eastAsia="仿宋" w:cs="仿宋"/>
          <w:iCs/>
          <w:color w:val="auto"/>
          <w:szCs w:val="21"/>
        </w:rPr>
        <w:sym w:font="Wingdings" w:char="00A8"/>
      </w:r>
      <w:r>
        <w:rPr>
          <w:rFonts w:hint="eastAsia" w:ascii="仿宋" w:hAnsi="仿宋" w:eastAsia="仿宋" w:cs="仿宋"/>
          <w:iCs/>
          <w:color w:val="auto"/>
          <w:szCs w:val="21"/>
          <w:lang w:eastAsia="zh-CN"/>
        </w:rPr>
        <w:t>其他</w:t>
      </w:r>
      <w:r>
        <w:rPr>
          <w:rFonts w:hint="eastAsia" w:ascii="仿宋" w:hAnsi="仿宋" w:eastAsia="仿宋" w:cs="仿宋"/>
          <w:color w:val="auto"/>
          <w:szCs w:val="21"/>
          <w:u w:val="single"/>
        </w:rPr>
        <w:t xml:space="preserve">       </w:t>
      </w:r>
    </w:p>
    <w:p w14:paraId="6983360F">
      <w:pPr>
        <w:pStyle w:val="69"/>
        <w:spacing w:beforeLines="0" w:line="400" w:lineRule="exact"/>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）付款方式（按项目实际勾选填写）：</w:t>
      </w:r>
    </w:p>
    <w:p w14:paraId="43F7082E">
      <w:pPr>
        <w:adjustRightInd w:val="0"/>
        <w:snapToGrid w:val="0"/>
        <w:spacing w:before="0" w:beforeLines="0" w:line="400" w:lineRule="exact"/>
        <w:ind w:firstLine="630" w:firstLineChars="300"/>
        <w:rPr>
          <w:rFonts w:hint="eastAsia" w:ascii="仿宋" w:hAnsi="仿宋" w:eastAsia="仿宋" w:cs="仿宋"/>
          <w:color w:val="auto"/>
          <w:szCs w:val="21"/>
          <w:u w:val="single"/>
        </w:rPr>
      </w:pPr>
      <w:r>
        <w:rPr>
          <w:rFonts w:hint="eastAsia" w:ascii="仿宋" w:hAnsi="仿宋" w:eastAsia="仿宋" w:cs="仿宋"/>
          <w:color w:val="auto"/>
          <w:szCs w:val="21"/>
        </w:rPr>
        <w:sym w:font="Wingdings" w:char="00A8"/>
      </w:r>
      <w:r>
        <w:rPr>
          <w:rFonts w:hint="eastAsia" w:ascii="仿宋" w:hAnsi="仿宋" w:eastAsia="仿宋" w:cs="仿宋"/>
          <w:color w:val="auto"/>
          <w:szCs w:val="21"/>
        </w:rPr>
        <w:t>全额付款：</w:t>
      </w:r>
      <w:r>
        <w:rPr>
          <w:rFonts w:hint="eastAsia" w:ascii="仿宋" w:hAnsi="仿宋" w:eastAsia="仿宋" w:cs="仿宋"/>
          <w:color w:val="auto"/>
          <w:szCs w:val="21"/>
          <w:u w:val="single"/>
        </w:rPr>
        <w:t xml:space="preserve">     （应</w:t>
      </w:r>
      <w:r>
        <w:rPr>
          <w:rFonts w:hint="eastAsia" w:ascii="仿宋" w:hAnsi="仿宋" w:eastAsia="仿宋" w:cs="仿宋"/>
          <w:color w:val="auto"/>
          <w:szCs w:val="21"/>
          <w:u w:val="single"/>
          <w:lang w:eastAsia="zh-CN"/>
        </w:rPr>
        <w:t>明确</w:t>
      </w:r>
      <w:r>
        <w:rPr>
          <w:rFonts w:hint="eastAsia" w:ascii="仿宋" w:hAnsi="仿宋" w:eastAsia="仿宋" w:cs="仿宋"/>
          <w:color w:val="auto"/>
          <w:szCs w:val="21"/>
          <w:u w:val="single"/>
        </w:rPr>
        <w:t>一次性支付合同款项</w:t>
      </w:r>
      <w:r>
        <w:rPr>
          <w:rFonts w:hint="eastAsia" w:ascii="仿宋" w:hAnsi="仿宋" w:eastAsia="仿宋" w:cs="仿宋"/>
          <w:color w:val="auto"/>
          <w:szCs w:val="21"/>
          <w:u w:val="single"/>
          <w:lang w:eastAsia="zh-CN"/>
        </w:rPr>
        <w:t>的条件</w:t>
      </w:r>
      <w:r>
        <w:rPr>
          <w:rFonts w:hint="eastAsia" w:ascii="仿宋" w:hAnsi="仿宋" w:eastAsia="仿宋" w:cs="仿宋"/>
          <w:color w:val="auto"/>
          <w:szCs w:val="21"/>
          <w:u w:val="single"/>
        </w:rPr>
        <w:t xml:space="preserve">）                    </w:t>
      </w:r>
    </w:p>
    <w:p w14:paraId="4C548BFB">
      <w:pPr>
        <w:snapToGrid w:val="0"/>
        <w:spacing w:beforeLines="0" w:line="400" w:lineRule="exact"/>
        <w:ind w:firstLine="630" w:firstLineChars="300"/>
        <w:rPr>
          <w:rFonts w:hint="eastAsia" w:ascii="仿宋" w:hAnsi="仿宋" w:eastAsia="仿宋" w:cs="仿宋"/>
          <w:color w:val="auto"/>
        </w:rPr>
      </w:pPr>
      <w:r>
        <w:rPr>
          <w:rFonts w:hint="eastAsia" w:ascii="仿宋" w:hAnsi="仿宋" w:eastAsia="仿宋" w:cs="仿宋"/>
          <w:color w:val="auto"/>
          <w:szCs w:val="21"/>
        </w:rPr>
        <w:sym w:font="Wingdings" w:char="00A8"/>
      </w:r>
      <w:r>
        <w:rPr>
          <w:rFonts w:hint="eastAsia" w:ascii="仿宋" w:hAnsi="仿宋" w:eastAsia="仿宋" w:cs="仿宋"/>
          <w:color w:val="auto"/>
          <w:szCs w:val="21"/>
        </w:rPr>
        <w:t>分期付款：</w:t>
      </w:r>
      <w:r>
        <w:rPr>
          <w:rFonts w:hint="eastAsia" w:ascii="仿宋" w:hAnsi="仿宋" w:eastAsia="仿宋" w:cs="仿宋"/>
          <w:color w:val="auto"/>
          <w:szCs w:val="21"/>
          <w:u w:val="single"/>
        </w:rPr>
        <w:t xml:space="preserve">  （应明确分期支付合同款项的各期比例和支付条件</w:t>
      </w:r>
      <w:r>
        <w:rPr>
          <w:rFonts w:hint="eastAsia" w:ascii="仿宋" w:hAnsi="仿宋" w:eastAsia="仿宋" w:cs="仿宋"/>
          <w:color w:val="auto"/>
          <w:szCs w:val="21"/>
          <w:u w:val="single"/>
          <w:lang w:eastAsia="zh-CN"/>
        </w:rPr>
        <w:t>，各期支付条件应与分期履约验收情况挂钩</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none"/>
          <w:lang w:eastAsia="zh-CN"/>
        </w:rPr>
        <w:t>，</w:t>
      </w:r>
      <w:r>
        <w:rPr>
          <w:rFonts w:hint="eastAsia" w:ascii="仿宋" w:hAnsi="仿宋" w:eastAsia="仿宋" w:cs="仿宋"/>
          <w:color w:val="auto"/>
          <w:szCs w:val="21"/>
          <w:lang w:eastAsia="zh-CN"/>
        </w:rPr>
        <w:t>其中涉及预付款的</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（应明确预付款的支付比例和支付条件） </w:t>
      </w:r>
    </w:p>
    <w:p w14:paraId="2BE15EEE">
      <w:pPr>
        <w:adjustRightInd w:val="0"/>
        <w:snapToGrid w:val="0"/>
        <w:spacing w:before="0" w:beforeLines="0" w:line="400" w:lineRule="exact"/>
        <w:ind w:firstLine="630" w:firstLineChars="300"/>
        <w:rPr>
          <w:rFonts w:hint="eastAsia" w:ascii="仿宋" w:hAnsi="仿宋" w:eastAsia="仿宋" w:cs="仿宋"/>
          <w:color w:val="auto"/>
          <w:szCs w:val="21"/>
          <w:u w:val="single"/>
        </w:rPr>
      </w:pPr>
      <w:r>
        <w:rPr>
          <w:rFonts w:hint="eastAsia" w:ascii="仿宋" w:hAnsi="仿宋" w:eastAsia="仿宋" w:cs="仿宋"/>
          <w:color w:val="auto"/>
          <w:szCs w:val="21"/>
        </w:rPr>
        <w:sym w:font="Wingdings" w:char="00A8"/>
      </w:r>
      <w:r>
        <w:rPr>
          <w:rFonts w:hint="eastAsia" w:ascii="仿宋" w:hAnsi="仿宋" w:eastAsia="仿宋" w:cs="仿宋"/>
          <w:color w:val="auto"/>
          <w:szCs w:val="21"/>
        </w:rPr>
        <w:t>成本补偿：</w:t>
      </w:r>
      <w:r>
        <w:rPr>
          <w:rFonts w:hint="eastAsia" w:ascii="仿宋" w:hAnsi="仿宋" w:eastAsia="仿宋" w:cs="仿宋"/>
          <w:color w:val="auto"/>
          <w:szCs w:val="21"/>
          <w:u w:val="single"/>
        </w:rPr>
        <w:t xml:space="preserve">      （应明确按照成本补偿方式的支付方式和支付条件）   </w:t>
      </w:r>
    </w:p>
    <w:p w14:paraId="54B6438F">
      <w:pPr>
        <w:adjustRightInd w:val="0"/>
        <w:snapToGrid w:val="0"/>
        <w:spacing w:before="0" w:beforeLines="0" w:line="400" w:lineRule="exact"/>
        <w:ind w:firstLine="630" w:firstLineChars="300"/>
        <w:rPr>
          <w:rFonts w:hint="eastAsia" w:ascii="仿宋" w:hAnsi="仿宋" w:eastAsia="仿宋" w:cs="仿宋"/>
          <w:color w:val="auto"/>
          <w:szCs w:val="21"/>
        </w:rPr>
      </w:pPr>
      <w:r>
        <w:rPr>
          <w:rFonts w:hint="eastAsia" w:ascii="仿宋" w:hAnsi="仿宋" w:eastAsia="仿宋" w:cs="仿宋"/>
          <w:color w:val="auto"/>
          <w:szCs w:val="21"/>
        </w:rPr>
        <w:sym w:font="Wingdings" w:char="00A8"/>
      </w:r>
      <w:r>
        <w:rPr>
          <w:rFonts w:hint="eastAsia" w:ascii="仿宋" w:hAnsi="仿宋" w:eastAsia="仿宋" w:cs="仿宋"/>
          <w:color w:val="auto"/>
          <w:szCs w:val="21"/>
        </w:rPr>
        <w:t>绩效激励：</w:t>
      </w:r>
      <w:r>
        <w:rPr>
          <w:rFonts w:hint="eastAsia" w:ascii="仿宋" w:hAnsi="仿宋" w:eastAsia="仿宋" w:cs="仿宋"/>
          <w:color w:val="auto"/>
          <w:szCs w:val="21"/>
          <w:u w:val="single"/>
        </w:rPr>
        <w:t xml:space="preserve">      （应明确按照绩效激励方式的支付方式和支付条件）   </w:t>
      </w:r>
    </w:p>
    <w:p w14:paraId="37D0068B">
      <w:pPr>
        <w:numPr>
          <w:ilvl w:val="0"/>
          <w:numId w:val="4"/>
        </w:numPr>
        <w:adjustRightInd w:val="0"/>
        <w:snapToGrid w:val="0"/>
        <w:spacing w:before="0" w:beforeLines="0" w:line="400" w:lineRule="exact"/>
        <w:ind w:firstLine="422" w:firstLineChars="200"/>
        <w:rPr>
          <w:rFonts w:hint="eastAsia" w:ascii="仿宋" w:hAnsi="仿宋" w:eastAsia="仿宋" w:cs="仿宋"/>
          <w:b/>
          <w:bCs w:val="0"/>
          <w:color w:val="auto"/>
          <w:szCs w:val="21"/>
          <w:u w:val="single"/>
        </w:rPr>
      </w:pPr>
      <w:r>
        <w:rPr>
          <w:rFonts w:hint="eastAsia" w:ascii="仿宋" w:hAnsi="仿宋" w:eastAsia="仿宋" w:cs="仿宋"/>
          <w:b/>
          <w:bCs w:val="0"/>
          <w:color w:val="auto"/>
          <w:szCs w:val="21"/>
        </w:rPr>
        <w:t>合同履行</w:t>
      </w:r>
    </w:p>
    <w:p w14:paraId="2AC12023">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（1）起始日期：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日，完成日期：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14BC958E">
      <w:pPr>
        <w:adjustRightInd w:val="0"/>
        <w:snapToGrid w:val="0"/>
        <w:spacing w:before="0" w:beforeLines="0" w:line="400" w:lineRule="exact"/>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color w:val="auto"/>
          <w:szCs w:val="21"/>
          <w:lang w:eastAsia="zh-CN"/>
        </w:rPr>
        <w:t>履约</w:t>
      </w:r>
      <w:r>
        <w:rPr>
          <w:rFonts w:hint="eastAsia" w:ascii="仿宋" w:hAnsi="仿宋" w:eastAsia="仿宋" w:cs="仿宋"/>
          <w:color w:val="auto"/>
          <w:szCs w:val="21"/>
        </w:rPr>
        <w:t>地点</w:t>
      </w:r>
      <w:r>
        <w:rPr>
          <w:rFonts w:hint="eastAsia" w:ascii="仿宋" w:hAnsi="仿宋" w:eastAsia="仿宋" w:cs="仿宋"/>
          <w:b w:val="0"/>
          <w:bCs/>
          <w:color w:val="auto"/>
          <w:szCs w:val="21"/>
        </w:rPr>
        <w:t>：</w:t>
      </w:r>
      <w:r>
        <w:rPr>
          <w:rFonts w:hint="eastAsia" w:ascii="仿宋" w:hAnsi="仿宋" w:eastAsia="仿宋" w:cs="仿宋"/>
          <w:color w:val="auto"/>
          <w:szCs w:val="21"/>
          <w:u w:val="single"/>
        </w:rPr>
        <w:t xml:space="preserve">                             </w:t>
      </w:r>
    </w:p>
    <w:p w14:paraId="0E9D3A7B">
      <w:pPr>
        <w:adjustRightInd w:val="0"/>
        <w:snapToGrid w:val="0"/>
        <w:spacing w:before="0" w:beforeLines="0" w:line="400" w:lineRule="exact"/>
        <w:ind w:firstLine="420" w:firstLineChars="200"/>
        <w:rPr>
          <w:rFonts w:hint="eastAsia" w:ascii="仿宋" w:hAnsi="仿宋" w:eastAsia="仿宋" w:cs="仿宋"/>
          <w:color w:val="auto"/>
          <w:sz w:val="21"/>
          <w:szCs w:val="21"/>
          <w:lang w:eastAsia="zh-CN"/>
        </w:rPr>
      </w:pPr>
      <w:r>
        <w:rPr>
          <w:rFonts w:hint="eastAsia" w:ascii="仿宋" w:hAnsi="仿宋" w:eastAsia="仿宋" w:cs="仿宋"/>
          <w:bCs/>
          <w:color w:val="auto"/>
          <w:szCs w:val="21"/>
        </w:rPr>
        <w:t>（3）履约担保：</w:t>
      </w:r>
      <w:r>
        <w:rPr>
          <w:rFonts w:hint="eastAsia" w:ascii="仿宋" w:hAnsi="仿宋" w:eastAsia="仿宋" w:cs="仿宋"/>
          <w:color w:val="auto"/>
          <w:sz w:val="21"/>
          <w:lang w:val="en-US" w:eastAsia="zh-CN"/>
        </w:rPr>
        <w:t>是否收取履约保证金：</w:t>
      </w:r>
      <w:r>
        <w:rPr>
          <w:rFonts w:hint="eastAsia" w:ascii="仿宋" w:hAnsi="仿宋" w:eastAsia="仿宋" w:cs="仿宋"/>
          <w:color w:val="auto"/>
          <w:sz w:val="21"/>
          <w:szCs w:val="21"/>
        </w:rPr>
        <w:sym w:font="Wingdings" w:char="00A8"/>
      </w:r>
      <w:r>
        <w:rPr>
          <w:rFonts w:hint="eastAsia" w:ascii="仿宋" w:hAnsi="仿宋" w:eastAsia="仿宋" w:cs="仿宋"/>
          <w:color w:val="auto"/>
          <w:sz w:val="21"/>
          <w:szCs w:val="21"/>
          <w:lang w:eastAsia="zh-CN"/>
        </w:rPr>
        <w:t>是</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color w:val="auto"/>
          <w:sz w:val="21"/>
          <w:szCs w:val="21"/>
          <w:lang w:eastAsia="zh-CN"/>
        </w:rPr>
        <w:t>否</w:t>
      </w:r>
    </w:p>
    <w:p w14:paraId="528DE043">
      <w:pPr>
        <w:pStyle w:val="78"/>
        <w:spacing w:beforeLines="0"/>
        <w:rPr>
          <w:rFonts w:hint="eastAsia" w:ascii="仿宋" w:hAnsi="仿宋" w:eastAsia="仿宋" w:cs="仿宋"/>
          <w:color w:val="auto"/>
          <w:sz w:val="21"/>
          <w:lang w:val="en-US" w:eastAsia="zh-CN"/>
        </w:rPr>
      </w:pPr>
      <w:r>
        <w:rPr>
          <w:rFonts w:hint="eastAsia" w:ascii="仿宋" w:hAnsi="仿宋" w:eastAsia="仿宋" w:cs="仿宋"/>
          <w:bCs/>
          <w:color w:val="auto"/>
          <w:szCs w:val="21"/>
          <w:u w:val="none"/>
          <w:lang w:val="en-US" w:eastAsia="zh-CN"/>
        </w:rPr>
        <w:t xml:space="preserve">  </w:t>
      </w:r>
      <w:r>
        <w:rPr>
          <w:rFonts w:hint="eastAsia" w:ascii="仿宋" w:hAnsi="仿宋" w:eastAsia="仿宋" w:cs="仿宋"/>
          <w:color w:val="auto"/>
          <w:sz w:val="21"/>
          <w:lang w:val="en-US" w:eastAsia="zh-CN"/>
        </w:rPr>
        <w:t xml:space="preserve">  收取履约保证金形式：</w:t>
      </w:r>
      <w:r>
        <w:rPr>
          <w:rFonts w:hint="eastAsia" w:ascii="仿宋" w:hAnsi="仿宋" w:eastAsia="仿宋" w:cs="仿宋"/>
          <w:bCs/>
          <w:color w:val="auto"/>
          <w:sz w:val="21"/>
          <w:szCs w:val="21"/>
          <w:u w:val="single"/>
        </w:rPr>
        <w:t xml:space="preserve">                            </w:t>
      </w:r>
    </w:p>
    <w:p w14:paraId="494A96C9">
      <w:pPr>
        <w:pStyle w:val="78"/>
        <w:spacing w:beforeLines="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 xml:space="preserve">    收取履约保证金金额：</w:t>
      </w:r>
      <w:r>
        <w:rPr>
          <w:rFonts w:hint="eastAsia" w:ascii="仿宋" w:hAnsi="仿宋" w:eastAsia="仿宋" w:cs="仿宋"/>
          <w:bCs/>
          <w:color w:val="auto"/>
          <w:sz w:val="21"/>
          <w:szCs w:val="21"/>
          <w:u w:val="single"/>
        </w:rPr>
        <w:t xml:space="preserve">                            </w:t>
      </w:r>
    </w:p>
    <w:p w14:paraId="541A9703">
      <w:pPr>
        <w:snapToGrid w:val="0"/>
        <w:spacing w:beforeLines="0"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bCs/>
          <w:color w:val="auto"/>
          <w:szCs w:val="21"/>
          <w:u w:val="none"/>
          <w:lang w:val="en-US" w:eastAsia="zh-CN"/>
        </w:rPr>
        <w:t xml:space="preserve">    履约担保期限</w:t>
      </w:r>
      <w:r>
        <w:rPr>
          <w:rFonts w:hint="eastAsia" w:ascii="仿宋" w:hAnsi="仿宋" w:eastAsia="仿宋" w:cs="仿宋"/>
          <w:bCs/>
          <w:color w:val="auto"/>
          <w:szCs w:val="21"/>
          <w:u w:val="none"/>
          <w:lang w:eastAsia="zh-CN"/>
        </w:rPr>
        <w:t>：</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u w:val="single"/>
          <w:lang w:val="en-US" w:eastAsia="zh-CN"/>
        </w:rPr>
        <w:t xml:space="preserve">                     </w:t>
      </w:r>
      <w:r>
        <w:rPr>
          <w:rFonts w:hint="eastAsia" w:ascii="仿宋" w:hAnsi="仿宋" w:eastAsia="仿宋" w:cs="仿宋"/>
          <w:bCs/>
          <w:color w:val="auto"/>
          <w:sz w:val="21"/>
          <w:szCs w:val="21"/>
          <w:u w:val="single"/>
        </w:rPr>
        <w:t xml:space="preserve">       </w:t>
      </w:r>
    </w:p>
    <w:p w14:paraId="5BAFE87F">
      <w:p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（4）分期履行要求：</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r>
        <w:rPr>
          <w:rFonts w:hint="eastAsia" w:ascii="仿宋" w:hAnsi="仿宋" w:eastAsia="仿宋" w:cs="仿宋"/>
          <w:bCs/>
          <w:color w:val="auto"/>
          <w:szCs w:val="21"/>
          <w:u w:val="single"/>
        </w:rPr>
        <w:t xml:space="preserve"> </w:t>
      </w:r>
    </w:p>
    <w:p w14:paraId="71F4721D">
      <w:pPr>
        <w:adjustRightInd w:val="0"/>
        <w:snapToGrid w:val="0"/>
        <w:spacing w:before="0" w:beforeLines="0" w:line="400" w:lineRule="exact"/>
        <w:ind w:firstLine="420" w:firstLineChars="200"/>
        <w:rPr>
          <w:rFonts w:hint="eastAsia" w:ascii="仿宋" w:hAnsi="仿宋" w:eastAsia="仿宋" w:cs="仿宋"/>
          <w:color w:val="auto"/>
          <w:szCs w:val="21"/>
          <w:u w:val="single"/>
        </w:rPr>
      </w:pPr>
      <w:r>
        <w:rPr>
          <w:rFonts w:hint="eastAsia" w:ascii="仿宋" w:hAnsi="仿宋" w:eastAsia="仿宋" w:cs="仿宋"/>
          <w:bCs/>
          <w:color w:val="auto"/>
          <w:szCs w:val="21"/>
        </w:rPr>
        <w:t>（5）</w:t>
      </w:r>
      <w:r>
        <w:rPr>
          <w:rFonts w:hint="eastAsia" w:ascii="仿宋" w:hAnsi="仿宋" w:eastAsia="仿宋" w:cs="仿宋"/>
          <w:bCs/>
          <w:color w:val="auto"/>
          <w:szCs w:val="21"/>
          <w:lang w:eastAsia="zh-CN"/>
        </w:rPr>
        <w:t>风险处置措施和替代方案</w:t>
      </w:r>
      <w:r>
        <w:rPr>
          <w:rFonts w:hint="eastAsia" w:ascii="仿宋" w:hAnsi="仿宋" w:eastAsia="仿宋" w:cs="仿宋"/>
          <w:bCs/>
          <w:color w:val="auto"/>
          <w:szCs w:val="21"/>
        </w:rPr>
        <w:t>：</w:t>
      </w:r>
      <w:r>
        <w:rPr>
          <w:rFonts w:hint="eastAsia" w:ascii="仿宋" w:hAnsi="仿宋" w:eastAsia="仿宋" w:cs="仿宋"/>
          <w:color w:val="auto"/>
          <w:szCs w:val="21"/>
          <w:u w:val="single"/>
        </w:rPr>
        <w:t xml:space="preserve">                                                               </w:t>
      </w:r>
    </w:p>
    <w:p w14:paraId="0D113280">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合同验收</w:t>
      </w:r>
    </w:p>
    <w:p w14:paraId="2C1F3317">
      <w:pPr>
        <w:numPr>
          <w:ilvl w:val="0"/>
          <w:numId w:val="6"/>
        </w:num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验收组织方式：</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自行组织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委托第三方组织</w:t>
      </w:r>
    </w:p>
    <w:p w14:paraId="723FA86E">
      <w:pPr>
        <w:numPr>
          <w:ilvl w:val="0"/>
          <w:numId w:val="0"/>
        </w:numPr>
        <w:adjustRightInd w:val="0"/>
        <w:snapToGrid w:val="0"/>
        <w:spacing w:before="0" w:beforeLines="0" w:line="400" w:lineRule="exact"/>
        <w:rPr>
          <w:rFonts w:hint="eastAsia" w:ascii="仿宋" w:hAnsi="仿宋" w:eastAsia="仿宋" w:cs="仿宋"/>
          <w:bCs/>
          <w:color w:val="auto"/>
          <w:szCs w:val="21"/>
        </w:rPr>
      </w:pPr>
      <w:r>
        <w:rPr>
          <w:rFonts w:hint="eastAsia" w:ascii="仿宋" w:hAnsi="仿宋" w:eastAsia="仿宋" w:cs="仿宋"/>
          <w:bCs/>
          <w:color w:val="auto"/>
          <w:szCs w:val="21"/>
          <w:lang w:val="en-US" w:eastAsia="zh-CN"/>
        </w:rPr>
        <w:t xml:space="preserve">         </w:t>
      </w:r>
      <w:r>
        <w:rPr>
          <w:rFonts w:hint="eastAsia" w:ascii="仿宋" w:hAnsi="仿宋" w:eastAsia="仿宋" w:cs="仿宋"/>
          <w:bCs/>
          <w:color w:val="auto"/>
          <w:szCs w:val="21"/>
        </w:rPr>
        <w:t>验收主体：</w:t>
      </w:r>
      <w:r>
        <w:rPr>
          <w:rFonts w:hint="eastAsia" w:ascii="仿宋" w:hAnsi="仿宋" w:eastAsia="仿宋" w:cs="仿宋"/>
          <w:bCs/>
          <w:color w:val="auto"/>
          <w:szCs w:val="21"/>
          <w:u w:val="single"/>
        </w:rPr>
        <w:t xml:space="preserve">                  </w:t>
      </w:r>
    </w:p>
    <w:p w14:paraId="4B2864C5">
      <w:pPr>
        <w:adjustRightInd w:val="0"/>
        <w:snapToGrid w:val="0"/>
        <w:spacing w:before="0" w:beforeLines="0" w:line="400" w:lineRule="exact"/>
        <w:ind w:firstLine="0" w:firstLineChars="0"/>
        <w:rPr>
          <w:rFonts w:hint="eastAsia" w:ascii="仿宋" w:hAnsi="仿宋" w:eastAsia="仿宋" w:cs="仿宋"/>
          <w:bCs/>
          <w:color w:val="auto"/>
          <w:szCs w:val="21"/>
        </w:rPr>
      </w:pPr>
      <w:r>
        <w:rPr>
          <w:rFonts w:hint="eastAsia" w:ascii="仿宋" w:hAnsi="仿宋" w:eastAsia="仿宋" w:cs="仿宋"/>
          <w:bCs/>
          <w:color w:val="auto"/>
          <w:szCs w:val="21"/>
          <w:lang w:val="en-US" w:eastAsia="zh-CN"/>
        </w:rPr>
        <w:t xml:space="preserve">        </w:t>
      </w:r>
      <w:r>
        <w:rPr>
          <w:rFonts w:hint="eastAsia" w:ascii="仿宋" w:hAnsi="仿宋" w:eastAsia="仿宋" w:cs="仿宋"/>
          <w:bCs/>
          <w:color w:val="auto"/>
          <w:szCs w:val="21"/>
        </w:rPr>
        <w:t>是否邀请本项目的其他供应商</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1B6996DC">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rPr>
        <w:t>是否邀请专家</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42032EE3">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rPr>
        <w:t>是否邀请服务对象</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1959D236">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rPr>
        <w:t>是否邀请第三方检测机构</w:t>
      </w:r>
      <w:r>
        <w:rPr>
          <w:rFonts w:hint="eastAsia" w:ascii="仿宋" w:hAnsi="仿宋" w:eastAsia="仿宋" w:cs="仿宋"/>
          <w:bCs/>
          <w:color w:val="auto"/>
          <w:szCs w:val="21"/>
          <w:lang w:eastAsia="zh-CN"/>
        </w:rPr>
        <w:t>参加验收</w:t>
      </w:r>
      <w:r>
        <w:rPr>
          <w:rFonts w:hint="eastAsia" w:ascii="仿宋" w:hAnsi="仿宋" w:eastAsia="仿宋" w:cs="仿宋"/>
          <w:bCs/>
          <w:color w:val="auto"/>
          <w:szCs w:val="21"/>
        </w:rPr>
        <w:t>：</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508B80DF">
      <w:pPr>
        <w:adjustRightInd w:val="0"/>
        <w:snapToGrid w:val="0"/>
        <w:spacing w:before="0" w:beforeLines="0" w:line="400" w:lineRule="exact"/>
        <w:ind w:firstLine="840" w:firstLineChars="400"/>
        <w:rPr>
          <w:rFonts w:hint="eastAsia" w:ascii="仿宋" w:hAnsi="仿宋" w:eastAsia="仿宋" w:cs="仿宋"/>
          <w:bCs/>
          <w:color w:val="auto"/>
          <w:szCs w:val="21"/>
        </w:rPr>
      </w:pPr>
      <w:r>
        <w:rPr>
          <w:rFonts w:hint="eastAsia" w:ascii="仿宋" w:hAnsi="仿宋" w:eastAsia="仿宋" w:cs="仿宋"/>
          <w:bCs/>
          <w:color w:val="auto"/>
          <w:szCs w:val="21"/>
          <w:lang w:eastAsia="zh-CN"/>
        </w:rPr>
        <w:t>是否进行抽查检测：</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是</w:t>
      </w:r>
      <w:r>
        <w:rPr>
          <w:rFonts w:hint="eastAsia" w:ascii="仿宋" w:hAnsi="仿宋" w:eastAsia="仿宋" w:cs="仿宋"/>
          <w:bCs/>
          <w:color w:val="auto"/>
          <w:szCs w:val="21"/>
          <w:lang w:eastAsia="zh-CN"/>
        </w:rPr>
        <w:t>，抽查比例：</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r>
        <w:rPr>
          <w:rFonts w:hint="eastAsia" w:ascii="仿宋" w:hAnsi="仿宋" w:eastAsia="仿宋" w:cs="仿宋"/>
          <w:bCs/>
          <w:color w:val="auto"/>
          <w:szCs w:val="21"/>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7084E812">
      <w:pPr>
        <w:adjustRightInd w:val="0"/>
        <w:snapToGrid w:val="0"/>
        <w:spacing w:before="0" w:beforeLines="0" w:line="400" w:lineRule="exact"/>
        <w:ind w:firstLine="840" w:firstLineChars="400"/>
        <w:rPr>
          <w:rFonts w:hint="eastAsia" w:ascii="仿宋" w:hAnsi="仿宋" w:eastAsia="仿宋" w:cs="仿宋"/>
          <w:bCs/>
          <w:color w:val="auto"/>
          <w:szCs w:val="21"/>
          <w:u w:val="single"/>
          <w:lang w:eastAsia="zh-CN"/>
        </w:rPr>
      </w:pPr>
      <w:r>
        <w:rPr>
          <w:rFonts w:hint="eastAsia" w:ascii="仿宋" w:hAnsi="仿宋" w:eastAsia="仿宋" w:cs="仿宋"/>
          <w:bCs/>
          <w:color w:val="auto"/>
          <w:szCs w:val="21"/>
          <w:lang w:val="en-US" w:eastAsia="zh-CN"/>
        </w:rPr>
        <w:t>是否存在破坏性检测：</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是</w:t>
      </w:r>
      <w:r>
        <w:rPr>
          <w:rFonts w:hint="eastAsia" w:ascii="仿宋" w:hAnsi="仿宋" w:eastAsia="仿宋" w:cs="仿宋"/>
          <w:bCs/>
          <w:color w:val="auto"/>
          <w:szCs w:val="21"/>
          <w:lang w:eastAsia="zh-CN"/>
        </w:rPr>
        <w:t>，</w:t>
      </w:r>
      <w:r>
        <w:rPr>
          <w:rFonts w:hint="eastAsia" w:ascii="仿宋" w:hAnsi="仿宋" w:eastAsia="仿宋" w:cs="仿宋"/>
          <w:bCs/>
          <w:color w:val="auto"/>
          <w:szCs w:val="21"/>
          <w:u w:val="single"/>
          <w:lang w:eastAsia="zh-CN"/>
        </w:rPr>
        <w:t>（应明确对被破坏的检测产品的处理方式）</w:t>
      </w:r>
    </w:p>
    <w:p w14:paraId="361AF923">
      <w:pPr>
        <w:adjustRightInd w:val="0"/>
        <w:snapToGrid w:val="0"/>
        <w:spacing w:before="0" w:beforeLines="0" w:line="400" w:lineRule="exact"/>
        <w:ind w:firstLine="840" w:firstLineChars="400"/>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否</w:t>
      </w:r>
    </w:p>
    <w:p w14:paraId="40A57559">
      <w:pPr>
        <w:adjustRightInd w:val="0"/>
        <w:snapToGrid w:val="0"/>
        <w:spacing w:before="0" w:beforeLines="0" w:line="400" w:lineRule="exact"/>
        <w:ind w:firstLine="840" w:firstLineChars="400"/>
        <w:rPr>
          <w:rFonts w:hint="eastAsia" w:ascii="仿宋" w:hAnsi="仿宋" w:eastAsia="仿宋" w:cs="仿宋"/>
          <w:bCs/>
          <w:color w:val="auto"/>
          <w:szCs w:val="21"/>
          <w:u w:val="single"/>
        </w:rPr>
      </w:pPr>
      <w:r>
        <w:rPr>
          <w:rFonts w:hint="eastAsia" w:ascii="仿宋" w:hAnsi="仿宋" w:eastAsia="仿宋" w:cs="仿宋"/>
          <w:bCs/>
          <w:color w:val="auto"/>
          <w:szCs w:val="21"/>
        </w:rPr>
        <w:t>验收组织的其他事项：</w:t>
      </w:r>
      <w:r>
        <w:rPr>
          <w:rFonts w:hint="eastAsia" w:ascii="仿宋" w:hAnsi="仿宋" w:eastAsia="仿宋" w:cs="仿宋"/>
          <w:bCs/>
          <w:color w:val="auto"/>
          <w:szCs w:val="21"/>
          <w:u w:val="single"/>
        </w:rPr>
        <w:t xml:space="preserve">                </w:t>
      </w:r>
    </w:p>
    <w:p w14:paraId="01428ACD">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（2）履约验收时间：</w:t>
      </w:r>
      <w:r>
        <w:rPr>
          <w:rFonts w:hint="eastAsia" w:ascii="仿宋" w:hAnsi="仿宋" w:eastAsia="仿宋" w:cs="仿宋"/>
          <w:bCs/>
          <w:color w:val="auto"/>
          <w:szCs w:val="21"/>
          <w:u w:val="single"/>
        </w:rPr>
        <w:t>（计划于何时验收/供应商提出验收申请之日起   日内组织验收）</w:t>
      </w:r>
      <w:r>
        <w:rPr>
          <w:rFonts w:hint="eastAsia" w:ascii="仿宋" w:hAnsi="仿宋" w:eastAsia="仿宋" w:cs="仿宋"/>
          <w:bCs/>
          <w:color w:val="auto"/>
          <w:szCs w:val="21"/>
          <w:u w:val="single"/>
          <w:lang w:val="en-US" w:eastAsia="zh-CN"/>
        </w:rPr>
        <w:t xml:space="preserve"> </w:t>
      </w:r>
    </w:p>
    <w:p w14:paraId="47BFD125">
      <w:p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（3）履约验收方式：</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 xml:space="preserve">一次性验收         </w:t>
      </w:r>
    </w:p>
    <w:p w14:paraId="06E3021C">
      <w:pPr>
        <w:adjustRightInd w:val="0"/>
        <w:snapToGrid w:val="0"/>
        <w:spacing w:before="0" w:beforeLines="0" w:line="400" w:lineRule="exact"/>
        <w:ind w:firstLine="0" w:firstLineChars="0"/>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 xml:space="preserve">                       </w:t>
      </w:r>
      <w:r>
        <w:rPr>
          <w:rFonts w:hint="eastAsia" w:ascii="仿宋" w:hAnsi="仿宋" w:eastAsia="仿宋" w:cs="仿宋"/>
          <w:color w:val="auto"/>
          <w:sz w:val="21"/>
          <w:szCs w:val="21"/>
        </w:rPr>
        <w:sym w:font="Wingdings" w:char="00A8"/>
      </w:r>
      <w:r>
        <w:rPr>
          <w:rFonts w:hint="eastAsia" w:ascii="仿宋" w:hAnsi="仿宋" w:eastAsia="仿宋" w:cs="仿宋"/>
          <w:bCs/>
          <w:color w:val="auto"/>
          <w:szCs w:val="21"/>
        </w:rPr>
        <w:t>分期/分项验收</w:t>
      </w:r>
      <w:r>
        <w:rPr>
          <w:rFonts w:hint="eastAsia" w:ascii="仿宋" w:hAnsi="仿宋" w:eastAsia="仿宋" w:cs="仿宋"/>
          <w:bCs/>
          <w:color w:val="auto"/>
          <w:szCs w:val="21"/>
          <w:lang w:eastAsia="zh-CN"/>
        </w:rPr>
        <w:t>：</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eastAsia="zh-CN"/>
        </w:rPr>
        <w:t>（应明确分期</w:t>
      </w:r>
      <w:r>
        <w:rPr>
          <w:rFonts w:hint="eastAsia" w:ascii="仿宋" w:hAnsi="仿宋" w:eastAsia="仿宋" w:cs="仿宋"/>
          <w:bCs/>
          <w:color w:val="auto"/>
          <w:szCs w:val="21"/>
          <w:u w:val="single"/>
          <w:lang w:val="en" w:eastAsia="zh-CN"/>
        </w:rPr>
        <w:t>/分项验收的工作安排</w:t>
      </w:r>
      <w:r>
        <w:rPr>
          <w:rFonts w:hint="eastAsia" w:ascii="仿宋" w:hAnsi="仿宋" w:eastAsia="仿宋" w:cs="仿宋"/>
          <w:bCs/>
          <w:color w:val="auto"/>
          <w:szCs w:val="21"/>
          <w:u w:val="single"/>
          <w:lang w:eastAsia="zh-CN"/>
        </w:rPr>
        <w:t>）</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 xml:space="preserve"> </w:t>
      </w:r>
    </w:p>
    <w:p w14:paraId="746B1165">
      <w:pPr>
        <w:adjustRightInd w:val="0"/>
        <w:snapToGrid w:val="0"/>
        <w:spacing w:before="0" w:beforeLines="0" w:line="40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（4）履约验收程序：</w:t>
      </w:r>
      <w:r>
        <w:rPr>
          <w:rFonts w:hint="eastAsia" w:ascii="仿宋" w:hAnsi="仿宋" w:eastAsia="仿宋" w:cs="仿宋"/>
          <w:bCs/>
          <w:color w:val="auto"/>
          <w:szCs w:val="21"/>
          <w:u w:val="single"/>
        </w:rPr>
        <w:t xml:space="preserve">                                         </w:t>
      </w:r>
    </w:p>
    <w:p w14:paraId="560FDAE4">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（5）履约验收的内容：</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Cs w:val="21"/>
          <w:u w:val="single"/>
        </w:rPr>
        <w:t xml:space="preserve">                                      </w:t>
      </w:r>
    </w:p>
    <w:p w14:paraId="149CCC29">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（6）履约验收标准：</w:t>
      </w:r>
      <w:r>
        <w:rPr>
          <w:rFonts w:hint="eastAsia" w:ascii="仿宋" w:hAnsi="仿宋" w:eastAsia="仿宋" w:cs="仿宋"/>
          <w:bCs/>
          <w:color w:val="auto"/>
          <w:szCs w:val="21"/>
          <w:u w:val="single"/>
        </w:rPr>
        <w:t xml:space="preserve">                                         </w:t>
      </w:r>
    </w:p>
    <w:p w14:paraId="791EA672">
      <w:pPr>
        <w:pStyle w:val="78"/>
        <w:spacing w:beforeLines="0"/>
        <w:rPr>
          <w:rFonts w:hint="eastAsia" w:ascii="仿宋" w:hAnsi="仿宋" w:eastAsia="仿宋" w:cs="仿宋"/>
          <w:color w:val="auto"/>
          <w:sz w:val="21"/>
          <w:lang w:eastAsia="zh-CN"/>
        </w:rPr>
      </w:pPr>
      <w:r>
        <w:rPr>
          <w:rFonts w:hint="eastAsia" w:ascii="仿宋" w:hAnsi="仿宋" w:eastAsia="仿宋" w:cs="仿宋"/>
          <w:bCs/>
          <w:color w:val="auto"/>
          <w:sz w:val="21"/>
          <w:szCs w:val="21"/>
          <w:u w:val="none"/>
          <w:lang w:eastAsia="zh-CN"/>
        </w:rPr>
        <w:t>（</w:t>
      </w:r>
      <w:r>
        <w:rPr>
          <w:rFonts w:hint="eastAsia" w:ascii="仿宋" w:hAnsi="仿宋" w:eastAsia="仿宋" w:cs="仿宋"/>
          <w:bCs/>
          <w:color w:val="auto"/>
          <w:sz w:val="21"/>
          <w:szCs w:val="21"/>
          <w:u w:val="none"/>
          <w:lang w:val="en-US" w:eastAsia="zh-CN"/>
        </w:rPr>
        <w:t>7</w:t>
      </w:r>
      <w:r>
        <w:rPr>
          <w:rFonts w:hint="eastAsia" w:ascii="仿宋" w:hAnsi="仿宋" w:eastAsia="仿宋" w:cs="仿宋"/>
          <w:bCs/>
          <w:color w:val="auto"/>
          <w:sz w:val="21"/>
          <w:szCs w:val="21"/>
          <w:u w:val="none"/>
          <w:lang w:eastAsia="zh-CN"/>
        </w:rPr>
        <w:t>）是否以采购活动中供应商提供的样品作为参考：</w:t>
      </w:r>
      <w:r>
        <w:rPr>
          <w:rFonts w:hint="eastAsia" w:ascii="仿宋" w:hAnsi="仿宋" w:eastAsia="仿宋" w:cs="仿宋"/>
          <w:color w:val="auto"/>
          <w:sz w:val="21"/>
          <w:szCs w:val="21"/>
        </w:rPr>
        <w:sym w:font="Wingdings" w:char="00A8"/>
      </w:r>
      <w:r>
        <w:rPr>
          <w:rFonts w:hint="eastAsia" w:ascii="仿宋" w:hAnsi="仿宋" w:eastAsia="仿宋" w:cs="仿宋"/>
          <w:bCs/>
          <w:color w:val="auto"/>
          <w:sz w:val="21"/>
          <w:szCs w:val="21"/>
        </w:rPr>
        <w:t xml:space="preserve">是  </w:t>
      </w:r>
      <w:r>
        <w:rPr>
          <w:rFonts w:hint="eastAsia" w:ascii="仿宋" w:hAnsi="仿宋" w:eastAsia="仿宋" w:cs="仿宋"/>
          <w:color w:val="auto"/>
          <w:sz w:val="21"/>
          <w:szCs w:val="21"/>
        </w:rPr>
        <w:sym w:font="Wingdings" w:char="00A8"/>
      </w:r>
      <w:r>
        <w:rPr>
          <w:rFonts w:hint="eastAsia" w:ascii="仿宋" w:hAnsi="仿宋" w:eastAsia="仿宋" w:cs="仿宋"/>
          <w:bCs/>
          <w:color w:val="auto"/>
          <w:sz w:val="21"/>
          <w:szCs w:val="21"/>
        </w:rPr>
        <w:t>否</w:t>
      </w:r>
    </w:p>
    <w:p w14:paraId="2AEA7891">
      <w:pPr>
        <w:adjustRightInd w:val="0"/>
        <w:snapToGrid w:val="0"/>
        <w:spacing w:before="0" w:beforeLines="0" w:line="40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rPr>
        <w:t>（8）履约验收其他事项：</w:t>
      </w:r>
      <w:r>
        <w:rPr>
          <w:rFonts w:hint="eastAsia" w:ascii="仿宋" w:hAnsi="仿宋" w:eastAsia="仿宋" w:cs="仿宋"/>
          <w:bCs/>
          <w:color w:val="auto"/>
          <w:szCs w:val="21"/>
          <w:u w:val="single"/>
        </w:rPr>
        <w:t xml:space="preserve">      </w:t>
      </w:r>
      <w:r>
        <w:rPr>
          <w:rFonts w:hint="eastAsia" w:ascii="仿宋" w:hAnsi="仿宋" w:eastAsia="仿宋" w:cs="仿宋"/>
          <w:bCs/>
          <w:i w:val="0"/>
          <w:iCs w:val="0"/>
          <w:color w:val="auto"/>
          <w:szCs w:val="21"/>
          <w:u w:val="single"/>
        </w:rPr>
        <w:t>（产权过户登记等）</w:t>
      </w:r>
      <w:r>
        <w:rPr>
          <w:rFonts w:hint="eastAsia" w:ascii="仿宋" w:hAnsi="仿宋" w:eastAsia="仿宋" w:cs="仿宋"/>
          <w:bCs/>
          <w:color w:val="auto"/>
          <w:szCs w:val="21"/>
          <w:u w:val="single"/>
        </w:rPr>
        <w:t xml:space="preserve">          </w:t>
      </w:r>
    </w:p>
    <w:p w14:paraId="39C76350">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组成合同的文件</w:t>
      </w:r>
    </w:p>
    <w:p w14:paraId="582BA7A7">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本协议书与下列文件一起构成合同文件，如下述文件之间有任何抵触、矛盾或歧义，应按以下顺序解释：</w:t>
      </w:r>
    </w:p>
    <w:p w14:paraId="05C9AF29">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0E791F7A">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2</w:t>
      </w:r>
      <w:r>
        <w:rPr>
          <w:rFonts w:hint="eastAsia" w:ascii="仿宋" w:hAnsi="仿宋" w:eastAsia="仿宋" w:cs="仿宋"/>
          <w:color w:val="auto"/>
          <w:szCs w:val="21"/>
        </w:rPr>
        <w:t>）政府采购合同专用条款</w:t>
      </w:r>
    </w:p>
    <w:p w14:paraId="1034851F">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）政府采购合同通用条款</w:t>
      </w:r>
    </w:p>
    <w:p w14:paraId="2FEBF6A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645B41C0">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）投标（响应）文件</w:t>
      </w:r>
    </w:p>
    <w:p w14:paraId="7ADE50E3">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（6）采购文件</w:t>
      </w:r>
    </w:p>
    <w:p w14:paraId="1082844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（7）有关技术文件，图纸</w:t>
      </w:r>
    </w:p>
    <w:p w14:paraId="47CF78BB">
      <w:pPr>
        <w:pStyle w:val="78"/>
        <w:spacing w:beforeLines="0"/>
        <w:rPr>
          <w:rFonts w:hint="eastAsia" w:ascii="仿宋" w:hAnsi="仿宋" w:eastAsia="仿宋" w:cs="仿宋"/>
          <w:color w:val="auto"/>
          <w:kern w:val="2"/>
          <w:sz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p>
    <w:p w14:paraId="7D1B3212">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合同生效</w:t>
      </w:r>
    </w:p>
    <w:p w14:paraId="4A5B7E90">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本合同自</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生效。</w:t>
      </w:r>
    </w:p>
    <w:p w14:paraId="652A3D3C">
      <w:pPr>
        <w:numPr>
          <w:ilvl w:val="0"/>
          <w:numId w:val="4"/>
        </w:numPr>
        <w:adjustRightInd w:val="0"/>
        <w:snapToGrid w:val="0"/>
        <w:spacing w:before="0" w:beforeLines="0" w:line="400" w:lineRule="exact"/>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合同份数</w:t>
      </w:r>
    </w:p>
    <w:p w14:paraId="3E6C58BF">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本合同一式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r>
        <w:rPr>
          <w:rFonts w:hint="eastAsia" w:ascii="仿宋" w:hAnsi="仿宋" w:eastAsia="仿宋" w:cs="仿宋"/>
          <w:color w:val="auto"/>
          <w:szCs w:val="21"/>
          <w:lang w:eastAsia="zh-CN"/>
        </w:rPr>
        <w:t>甲方</w:t>
      </w:r>
      <w:r>
        <w:rPr>
          <w:rFonts w:hint="eastAsia" w:ascii="仿宋" w:hAnsi="仿宋" w:eastAsia="仿宋" w:cs="仿宋"/>
          <w:color w:val="auto"/>
          <w:szCs w:val="21"/>
        </w:rPr>
        <w:t>执</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w:t>
      </w:r>
      <w:r>
        <w:rPr>
          <w:rFonts w:hint="eastAsia" w:ascii="仿宋" w:hAnsi="仿宋" w:eastAsia="仿宋" w:cs="仿宋"/>
          <w:color w:val="auto"/>
          <w:szCs w:val="21"/>
          <w:lang w:eastAsia="zh-CN"/>
        </w:rPr>
        <w:t>乙方</w:t>
      </w:r>
      <w:r>
        <w:rPr>
          <w:rFonts w:hint="eastAsia" w:ascii="仿宋" w:hAnsi="仿宋" w:eastAsia="仿宋" w:cs="仿宋"/>
          <w:color w:val="auto"/>
          <w:szCs w:val="21"/>
        </w:rPr>
        <w:t>执</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份，均具有同等法律效力。</w:t>
      </w:r>
    </w:p>
    <w:p w14:paraId="2259DF64">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合同订立时间：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4FEC3E10">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合同订立地点：</w:t>
      </w:r>
      <w:r>
        <w:rPr>
          <w:rFonts w:hint="eastAsia" w:ascii="仿宋" w:hAnsi="仿宋" w:eastAsia="仿宋" w:cs="仿宋"/>
          <w:color w:val="auto"/>
          <w:szCs w:val="21"/>
          <w:u w:val="single"/>
        </w:rPr>
        <w:t xml:space="preserve">                           </w:t>
      </w:r>
    </w:p>
    <w:p w14:paraId="41AA6DA4">
      <w:pPr>
        <w:adjustRightInd w:val="0"/>
        <w:snapToGrid w:val="0"/>
        <w:spacing w:before="0" w:beforeLines="0" w:line="400" w:lineRule="exact"/>
        <w:ind w:firstLine="420" w:firstLineChars="200"/>
        <w:rPr>
          <w:rFonts w:hint="eastAsia" w:ascii="仿宋" w:hAnsi="仿宋" w:eastAsia="仿宋" w:cs="仿宋"/>
          <w:color w:val="auto"/>
        </w:rPr>
      </w:pPr>
      <w:r>
        <w:rPr>
          <w:rFonts w:hint="eastAsia" w:ascii="仿宋" w:hAnsi="仿宋" w:eastAsia="仿宋" w:cs="仿宋"/>
          <w:color w:val="auto"/>
          <w:szCs w:val="21"/>
        </w:rPr>
        <w:t>附件：具体标</w:t>
      </w:r>
      <w:r>
        <w:rPr>
          <w:rFonts w:hint="eastAsia" w:ascii="仿宋" w:hAnsi="仿宋" w:eastAsia="仿宋" w:cs="仿宋"/>
          <w:color w:val="auto"/>
          <w:szCs w:val="21"/>
          <w:lang w:eastAsia="zh-CN"/>
        </w:rPr>
        <w:t>的及其</w:t>
      </w:r>
      <w:r>
        <w:rPr>
          <w:rFonts w:hint="eastAsia" w:ascii="仿宋" w:hAnsi="仿宋" w:eastAsia="仿宋" w:cs="仿宋"/>
          <w:color w:val="auto"/>
          <w:szCs w:val="21"/>
          <w:highlight w:val="none"/>
          <w:u w:val="none"/>
          <w:lang w:val="en-US" w:eastAsia="zh-CN"/>
        </w:rPr>
        <w:t>技术要求和商务要求</w:t>
      </w:r>
      <w:r>
        <w:rPr>
          <w:rFonts w:hint="eastAsia" w:ascii="仿宋" w:hAnsi="仿宋" w:eastAsia="仿宋" w:cs="仿宋"/>
          <w:color w:val="auto"/>
          <w:szCs w:val="21"/>
        </w:rPr>
        <w:t>、联合协议、分包</w:t>
      </w:r>
      <w:r>
        <w:rPr>
          <w:rFonts w:hint="eastAsia" w:ascii="仿宋" w:hAnsi="仿宋" w:eastAsia="仿宋" w:cs="仿宋"/>
          <w:color w:val="auto"/>
          <w:szCs w:val="21"/>
          <w:lang w:eastAsia="zh-CN"/>
        </w:rPr>
        <w:t>意向</w:t>
      </w:r>
      <w:r>
        <w:rPr>
          <w:rFonts w:hint="eastAsia" w:ascii="仿宋" w:hAnsi="仿宋" w:eastAsia="仿宋" w:cs="仿宋"/>
          <w:color w:val="auto"/>
          <w:szCs w:val="21"/>
        </w:rPr>
        <w:t>协议等。</w:t>
      </w:r>
    </w:p>
    <w:p w14:paraId="48C450E8">
      <w:pPr>
        <w:pStyle w:val="69"/>
        <w:spacing w:beforeLines="0" w:line="400" w:lineRule="exact"/>
        <w:rPr>
          <w:rFonts w:hint="eastAsia" w:ascii="仿宋" w:hAnsi="仿宋" w:eastAsia="仿宋" w:cs="仿宋"/>
          <w:color w:val="auto"/>
        </w:rPr>
      </w:pPr>
    </w:p>
    <w:p w14:paraId="679A3F67">
      <w:pPr>
        <w:pStyle w:val="3"/>
        <w:spacing w:beforeLines="0" w:line="40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lang w:val="en"/>
        </w:rPr>
        <w:t xml:space="preserve">   </w:t>
      </w:r>
    </w:p>
    <w:p w14:paraId="008503ED">
      <w:pPr>
        <w:rPr>
          <w:rFonts w:hint="eastAsia" w:ascii="仿宋" w:hAnsi="仿宋" w:eastAsia="仿宋" w:cs="仿宋"/>
          <w:color w:val="auto"/>
        </w:rPr>
      </w:pPr>
      <w:r>
        <w:rPr>
          <w:rFonts w:hint="eastAsia" w:ascii="仿宋" w:hAnsi="仿宋" w:eastAsia="仿宋" w:cs="仿宋"/>
          <w:color w:val="auto"/>
        </w:rPr>
        <w:br w:type="page"/>
      </w:r>
    </w:p>
    <w:p w14:paraId="2B4C8DFF">
      <w:pPr>
        <w:pStyle w:val="69"/>
        <w:rPr>
          <w:rFonts w:hint="eastAsia" w:ascii="仿宋" w:hAnsi="仿宋" w:eastAsia="仿宋" w:cs="仿宋"/>
          <w:color w:val="auto"/>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8"/>
        <w:gridCol w:w="2651"/>
        <w:gridCol w:w="2175"/>
        <w:gridCol w:w="2326"/>
      </w:tblGrid>
      <w:tr w14:paraId="599602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7C428445">
            <w:pPr>
              <w:adjustRightInd w:val="0"/>
              <w:snapToGrid w:val="0"/>
              <w:spacing w:line="300" w:lineRule="exact"/>
              <w:jc w:val="center"/>
              <w:rPr>
                <w:rFonts w:hint="eastAsia" w:ascii="仿宋" w:hAnsi="仿宋" w:eastAsia="仿宋" w:cs="仿宋"/>
                <w:color w:val="auto"/>
              </w:rPr>
            </w:pPr>
            <w:r>
              <w:rPr>
                <w:rFonts w:hint="eastAsia" w:ascii="仿宋" w:hAnsi="仿宋" w:eastAsia="仿宋" w:cs="仿宋"/>
                <w:color w:val="auto"/>
                <w:szCs w:val="21"/>
              </w:rPr>
              <w:t>甲方（采购人</w:t>
            </w:r>
            <w:r>
              <w:rPr>
                <w:rFonts w:hint="eastAsia" w:ascii="仿宋" w:hAnsi="仿宋" w:eastAsia="仿宋" w:cs="仿宋"/>
                <w:color w:val="auto"/>
                <w:szCs w:val="21"/>
                <w:lang w:eastAsia="zh-CN"/>
              </w:rPr>
              <w:t>、受采购人委托签订合同的单位</w:t>
            </w:r>
            <w:r>
              <w:rPr>
                <w:rFonts w:hint="eastAsia" w:ascii="仿宋" w:hAnsi="仿宋" w:eastAsia="仿宋" w:cs="仿宋"/>
                <w:color w:val="auto"/>
                <w:szCs w:val="21"/>
              </w:rPr>
              <w:t>或采购文件约定的合同甲方）</w:t>
            </w:r>
          </w:p>
        </w:tc>
        <w:tc>
          <w:tcPr>
            <w:tcW w:w="2437" w:type="pct"/>
            <w:gridSpan w:val="2"/>
            <w:tcBorders>
              <w:left w:val="single" w:color="auto" w:sz="2" w:space="0"/>
              <w:bottom w:val="single" w:color="auto" w:sz="2" w:space="0"/>
            </w:tcBorders>
            <w:noWrap w:val="0"/>
            <w:vAlign w:val="center"/>
          </w:tcPr>
          <w:p w14:paraId="30E638E3">
            <w:pPr>
              <w:adjustRightInd w:val="0"/>
              <w:snapToGrid w:val="0"/>
              <w:spacing w:line="300" w:lineRule="exact"/>
              <w:jc w:val="center"/>
              <w:rPr>
                <w:rFonts w:hint="eastAsia" w:ascii="仿宋" w:hAnsi="仿宋" w:eastAsia="仿宋" w:cs="仿宋"/>
                <w:color w:val="auto"/>
              </w:rPr>
            </w:pPr>
            <w:r>
              <w:rPr>
                <w:rFonts w:hint="eastAsia" w:ascii="仿宋" w:hAnsi="仿宋" w:eastAsia="仿宋" w:cs="仿宋"/>
                <w:color w:val="auto"/>
                <w:szCs w:val="21"/>
              </w:rPr>
              <w:t>乙方（供应商）</w:t>
            </w:r>
          </w:p>
        </w:tc>
      </w:tr>
      <w:tr w14:paraId="3AB1D7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4D74FDC2">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单位名称（公章</w:t>
            </w:r>
            <w:r>
              <w:rPr>
                <w:rFonts w:hint="eastAsia" w:ascii="仿宋" w:hAnsi="仿宋" w:eastAsia="仿宋" w:cs="仿宋"/>
                <w:color w:val="auto"/>
                <w:szCs w:val="21"/>
                <w:lang w:eastAsia="zh-CN"/>
              </w:rPr>
              <w:t>或合同章</w:t>
            </w:r>
            <w:r>
              <w:rPr>
                <w:rFonts w:hint="eastAsia" w:ascii="仿宋" w:hAnsi="仿宋" w:eastAsia="仿宋" w:cs="仿宋"/>
                <w:color w:val="auto"/>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88F3B1C">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EB669A9">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单位名称（公章</w:t>
            </w:r>
            <w:r>
              <w:rPr>
                <w:rFonts w:hint="eastAsia" w:ascii="仿宋" w:hAnsi="仿宋" w:eastAsia="仿宋" w:cs="仿宋"/>
                <w:color w:val="auto"/>
                <w:szCs w:val="21"/>
                <w:lang w:eastAsia="zh-CN"/>
              </w:rPr>
              <w:t>或合同章</w:t>
            </w:r>
            <w:r>
              <w:rPr>
                <w:rFonts w:hint="eastAsia" w:ascii="仿宋" w:hAnsi="仿宋" w:eastAsia="仿宋" w:cs="仿宋"/>
                <w:color w:val="auto"/>
                <w:szCs w:val="21"/>
              </w:rPr>
              <w:t>）</w:t>
            </w:r>
          </w:p>
        </w:tc>
        <w:tc>
          <w:tcPr>
            <w:tcW w:w="1259" w:type="pct"/>
            <w:tcBorders>
              <w:top w:val="single" w:color="auto" w:sz="2" w:space="0"/>
              <w:left w:val="single" w:color="auto" w:sz="2" w:space="0"/>
              <w:bottom w:val="single" w:color="auto" w:sz="2" w:space="0"/>
            </w:tcBorders>
            <w:noWrap w:val="0"/>
            <w:vAlign w:val="center"/>
          </w:tcPr>
          <w:p w14:paraId="7589D505">
            <w:pPr>
              <w:adjustRightInd w:val="0"/>
              <w:snapToGrid w:val="0"/>
              <w:spacing w:line="300" w:lineRule="exact"/>
              <w:jc w:val="center"/>
              <w:rPr>
                <w:rFonts w:hint="eastAsia" w:ascii="仿宋" w:hAnsi="仿宋" w:eastAsia="仿宋" w:cs="仿宋"/>
                <w:color w:val="auto"/>
                <w:spacing w:val="20"/>
                <w:szCs w:val="21"/>
              </w:rPr>
            </w:pPr>
          </w:p>
        </w:tc>
      </w:tr>
      <w:tr w14:paraId="52BAC2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671454F3">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法定代表人</w:t>
            </w:r>
          </w:p>
          <w:p w14:paraId="64062754">
            <w:pPr>
              <w:adjustRightInd w:val="0"/>
              <w:snapToGrid w:val="0"/>
              <w:spacing w:line="300" w:lineRule="exact"/>
              <w:ind w:firstLine="100" w:firstLineChars="48"/>
              <w:jc w:val="center"/>
              <w:rPr>
                <w:rFonts w:hint="eastAsia" w:ascii="仿宋" w:hAnsi="仿宋" w:eastAsia="仿宋" w:cs="仿宋"/>
                <w:color w:val="auto"/>
                <w:szCs w:val="21"/>
              </w:rPr>
            </w:pPr>
            <w:r>
              <w:rPr>
                <w:rFonts w:hint="eastAsia" w:ascii="仿宋" w:hAnsi="仿宋" w:eastAsia="仿宋" w:cs="仿宋"/>
                <w:color w:val="auto"/>
                <w:szCs w:val="21"/>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51010FFF">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right w:val="single" w:color="auto" w:sz="2" w:space="0"/>
            </w:tcBorders>
            <w:noWrap w:val="0"/>
            <w:vAlign w:val="center"/>
          </w:tcPr>
          <w:p w14:paraId="3DA013E1">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法定代表人</w:t>
            </w:r>
          </w:p>
          <w:p w14:paraId="75E03A29">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或其委托代理人（签章）</w:t>
            </w:r>
          </w:p>
        </w:tc>
        <w:tc>
          <w:tcPr>
            <w:tcW w:w="1259" w:type="pct"/>
            <w:tcBorders>
              <w:top w:val="single" w:color="auto" w:sz="2" w:space="0"/>
              <w:left w:val="single" w:color="auto" w:sz="2" w:space="0"/>
              <w:bottom w:val="single" w:color="auto" w:sz="2" w:space="0"/>
            </w:tcBorders>
            <w:noWrap w:val="0"/>
            <w:vAlign w:val="center"/>
          </w:tcPr>
          <w:p w14:paraId="44AF97E9">
            <w:pPr>
              <w:adjustRightInd w:val="0"/>
              <w:snapToGrid w:val="0"/>
              <w:spacing w:line="300" w:lineRule="exact"/>
              <w:jc w:val="center"/>
              <w:rPr>
                <w:rFonts w:hint="eastAsia" w:ascii="仿宋" w:hAnsi="仿宋" w:eastAsia="仿宋" w:cs="仿宋"/>
                <w:color w:val="auto"/>
                <w:szCs w:val="21"/>
              </w:rPr>
            </w:pPr>
          </w:p>
        </w:tc>
      </w:tr>
      <w:tr w14:paraId="7FBFA1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12187FF">
            <w:pPr>
              <w:adjustRightInd w:val="0"/>
              <w:snapToGrid w:val="0"/>
              <w:spacing w:line="300" w:lineRule="exact"/>
              <w:jc w:val="center"/>
              <w:rPr>
                <w:rFonts w:hint="eastAsia" w:ascii="仿宋" w:hAnsi="仿宋" w:eastAsia="仿宋" w:cs="仿宋"/>
                <w:color w:val="auto"/>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2CC8E515">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159281B">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417113BC">
            <w:pPr>
              <w:adjustRightInd w:val="0"/>
              <w:snapToGrid w:val="0"/>
              <w:spacing w:line="300" w:lineRule="exact"/>
              <w:jc w:val="center"/>
              <w:rPr>
                <w:rFonts w:hint="eastAsia" w:ascii="仿宋" w:hAnsi="仿宋" w:eastAsia="仿宋" w:cs="仿宋"/>
                <w:color w:val="auto"/>
                <w:spacing w:val="20"/>
                <w:szCs w:val="21"/>
              </w:rPr>
            </w:pPr>
          </w:p>
        </w:tc>
      </w:tr>
      <w:tr w14:paraId="64F0EE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F384FBA">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住</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473795">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BF7FE51">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住</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4C3F7F1C">
            <w:pPr>
              <w:adjustRightInd w:val="0"/>
              <w:snapToGrid w:val="0"/>
              <w:spacing w:line="300" w:lineRule="exact"/>
              <w:jc w:val="center"/>
              <w:rPr>
                <w:rFonts w:hint="eastAsia" w:ascii="仿宋" w:hAnsi="仿宋" w:eastAsia="仿宋" w:cs="仿宋"/>
                <w:color w:val="auto"/>
                <w:spacing w:val="20"/>
                <w:szCs w:val="21"/>
              </w:rPr>
            </w:pPr>
          </w:p>
        </w:tc>
      </w:tr>
      <w:tr w14:paraId="78C31C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39CA711">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25195A4">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B7D986">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 系 人</w:t>
            </w:r>
          </w:p>
        </w:tc>
        <w:tc>
          <w:tcPr>
            <w:tcW w:w="1259" w:type="pct"/>
            <w:tcBorders>
              <w:top w:val="single" w:color="auto" w:sz="2" w:space="0"/>
              <w:left w:val="single" w:color="auto" w:sz="2" w:space="0"/>
              <w:bottom w:val="single" w:color="auto" w:sz="2" w:space="0"/>
            </w:tcBorders>
            <w:noWrap w:val="0"/>
            <w:vAlign w:val="center"/>
          </w:tcPr>
          <w:p w14:paraId="44455CAF">
            <w:pPr>
              <w:adjustRightInd w:val="0"/>
              <w:snapToGrid w:val="0"/>
              <w:spacing w:line="300" w:lineRule="exact"/>
              <w:jc w:val="center"/>
              <w:rPr>
                <w:rFonts w:hint="eastAsia" w:ascii="仿宋" w:hAnsi="仿宋" w:eastAsia="仿宋" w:cs="仿宋"/>
                <w:color w:val="auto"/>
                <w:spacing w:val="20"/>
                <w:szCs w:val="21"/>
              </w:rPr>
            </w:pPr>
          </w:p>
        </w:tc>
      </w:tr>
      <w:tr w14:paraId="5418DE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C78D5E5">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458F7EA">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D36588">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联系电话</w:t>
            </w:r>
          </w:p>
        </w:tc>
        <w:tc>
          <w:tcPr>
            <w:tcW w:w="1259" w:type="pct"/>
            <w:tcBorders>
              <w:top w:val="single" w:color="auto" w:sz="2" w:space="0"/>
              <w:left w:val="single" w:color="auto" w:sz="2" w:space="0"/>
              <w:bottom w:val="single" w:color="auto" w:sz="2" w:space="0"/>
            </w:tcBorders>
            <w:noWrap w:val="0"/>
            <w:vAlign w:val="center"/>
          </w:tcPr>
          <w:p w14:paraId="4013BA24">
            <w:pPr>
              <w:adjustRightInd w:val="0"/>
              <w:snapToGrid w:val="0"/>
              <w:spacing w:line="300" w:lineRule="exact"/>
              <w:jc w:val="center"/>
              <w:rPr>
                <w:rFonts w:hint="eastAsia" w:ascii="仿宋" w:hAnsi="仿宋" w:eastAsia="仿宋" w:cs="仿宋"/>
                <w:color w:val="auto"/>
                <w:spacing w:val="20"/>
                <w:szCs w:val="21"/>
              </w:rPr>
            </w:pPr>
          </w:p>
        </w:tc>
      </w:tr>
      <w:tr w14:paraId="640BED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033745A">
            <w:pPr>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20DBD3">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AFC4FDA">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5F1D53E7">
            <w:pPr>
              <w:adjustRightInd w:val="0"/>
              <w:snapToGrid w:val="0"/>
              <w:spacing w:line="300" w:lineRule="exact"/>
              <w:jc w:val="center"/>
              <w:rPr>
                <w:rFonts w:hint="eastAsia" w:ascii="仿宋" w:hAnsi="仿宋" w:eastAsia="仿宋" w:cs="仿宋"/>
                <w:color w:val="auto"/>
                <w:spacing w:val="20"/>
                <w:szCs w:val="21"/>
              </w:rPr>
            </w:pPr>
          </w:p>
        </w:tc>
      </w:tr>
      <w:tr w14:paraId="683385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DF0C9C">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9286E24">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A1C111C">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邮政编码</w:t>
            </w:r>
          </w:p>
        </w:tc>
        <w:tc>
          <w:tcPr>
            <w:tcW w:w="1259" w:type="pct"/>
            <w:tcBorders>
              <w:top w:val="single" w:color="auto" w:sz="2" w:space="0"/>
              <w:left w:val="single" w:color="auto" w:sz="2" w:space="0"/>
              <w:bottom w:val="single" w:color="auto" w:sz="2" w:space="0"/>
            </w:tcBorders>
            <w:noWrap w:val="0"/>
            <w:vAlign w:val="center"/>
          </w:tcPr>
          <w:p w14:paraId="2075A4F3">
            <w:pPr>
              <w:adjustRightInd w:val="0"/>
              <w:snapToGrid w:val="0"/>
              <w:spacing w:line="300" w:lineRule="exact"/>
              <w:jc w:val="center"/>
              <w:rPr>
                <w:rFonts w:hint="eastAsia" w:ascii="仿宋" w:hAnsi="仿宋" w:eastAsia="仿宋" w:cs="仿宋"/>
                <w:color w:val="auto"/>
                <w:spacing w:val="20"/>
                <w:szCs w:val="21"/>
              </w:rPr>
            </w:pPr>
          </w:p>
        </w:tc>
      </w:tr>
      <w:tr w14:paraId="7C506F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8FBB913">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A4407F">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FAF3853">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电子邮箱</w:t>
            </w:r>
          </w:p>
        </w:tc>
        <w:tc>
          <w:tcPr>
            <w:tcW w:w="1259" w:type="pct"/>
            <w:tcBorders>
              <w:top w:val="single" w:color="auto" w:sz="2" w:space="0"/>
              <w:left w:val="single" w:color="auto" w:sz="2" w:space="0"/>
              <w:bottom w:val="single" w:color="auto" w:sz="2" w:space="0"/>
            </w:tcBorders>
            <w:noWrap w:val="0"/>
            <w:vAlign w:val="center"/>
          </w:tcPr>
          <w:p w14:paraId="3E343659">
            <w:pPr>
              <w:adjustRightInd w:val="0"/>
              <w:snapToGrid w:val="0"/>
              <w:spacing w:line="300" w:lineRule="exact"/>
              <w:jc w:val="center"/>
              <w:rPr>
                <w:rFonts w:hint="eastAsia" w:ascii="仿宋" w:hAnsi="仿宋" w:eastAsia="仿宋" w:cs="仿宋"/>
                <w:color w:val="auto"/>
                <w:spacing w:val="20"/>
                <w:szCs w:val="21"/>
              </w:rPr>
            </w:pPr>
          </w:p>
        </w:tc>
      </w:tr>
      <w:tr w14:paraId="0BF46F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53D964">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7990CB5">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6A18570">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49621448">
            <w:pPr>
              <w:adjustRightInd w:val="0"/>
              <w:snapToGrid w:val="0"/>
              <w:spacing w:line="300" w:lineRule="exact"/>
              <w:jc w:val="center"/>
              <w:rPr>
                <w:rFonts w:hint="eastAsia" w:ascii="仿宋" w:hAnsi="仿宋" w:eastAsia="仿宋" w:cs="仿宋"/>
                <w:color w:val="auto"/>
                <w:spacing w:val="20"/>
                <w:szCs w:val="21"/>
              </w:rPr>
            </w:pPr>
          </w:p>
        </w:tc>
      </w:tr>
      <w:tr w14:paraId="07AE4D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6A3D79">
            <w:pPr>
              <w:adjustRightInd w:val="0"/>
              <w:snapToGrid w:val="0"/>
              <w:spacing w:line="300" w:lineRule="exact"/>
              <w:jc w:val="center"/>
              <w:rPr>
                <w:rFonts w:hint="eastAsia" w:ascii="仿宋" w:hAnsi="仿宋" w:eastAsia="仿宋" w:cs="仿宋"/>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0EEC4D8">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EB044FE">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开户名称</w:t>
            </w:r>
          </w:p>
        </w:tc>
        <w:tc>
          <w:tcPr>
            <w:tcW w:w="1259" w:type="pct"/>
            <w:tcBorders>
              <w:top w:val="single" w:color="auto" w:sz="2" w:space="0"/>
              <w:left w:val="single" w:color="auto" w:sz="2" w:space="0"/>
              <w:bottom w:val="single" w:color="auto" w:sz="2" w:space="0"/>
            </w:tcBorders>
            <w:noWrap w:val="0"/>
            <w:vAlign w:val="center"/>
          </w:tcPr>
          <w:p w14:paraId="0BB818B5">
            <w:pPr>
              <w:adjustRightInd w:val="0"/>
              <w:snapToGrid w:val="0"/>
              <w:spacing w:line="300" w:lineRule="exact"/>
              <w:jc w:val="center"/>
              <w:rPr>
                <w:rFonts w:hint="eastAsia" w:ascii="仿宋" w:hAnsi="仿宋" w:eastAsia="仿宋" w:cs="仿宋"/>
                <w:color w:val="auto"/>
                <w:spacing w:val="20"/>
                <w:szCs w:val="21"/>
              </w:rPr>
            </w:pPr>
          </w:p>
        </w:tc>
      </w:tr>
      <w:tr w14:paraId="44667F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7E3BFB1">
            <w:pPr>
              <w:adjustRightInd w:val="0"/>
              <w:snapToGrid w:val="0"/>
              <w:spacing w:line="300" w:lineRule="exact"/>
              <w:jc w:val="center"/>
              <w:rPr>
                <w:rFonts w:hint="eastAsia" w:ascii="仿宋" w:hAnsi="仿宋" w:eastAsia="仿宋" w:cs="仿宋"/>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B11869">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9745FC">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开户银行</w:t>
            </w:r>
          </w:p>
        </w:tc>
        <w:tc>
          <w:tcPr>
            <w:tcW w:w="1259" w:type="pct"/>
            <w:tcBorders>
              <w:top w:val="single" w:color="auto" w:sz="2" w:space="0"/>
              <w:left w:val="single" w:color="auto" w:sz="2" w:space="0"/>
              <w:bottom w:val="single" w:color="auto" w:sz="2" w:space="0"/>
            </w:tcBorders>
            <w:noWrap w:val="0"/>
            <w:vAlign w:val="center"/>
          </w:tcPr>
          <w:p w14:paraId="637A3A74">
            <w:pPr>
              <w:adjustRightInd w:val="0"/>
              <w:snapToGrid w:val="0"/>
              <w:spacing w:line="300" w:lineRule="exact"/>
              <w:jc w:val="center"/>
              <w:rPr>
                <w:rFonts w:hint="eastAsia" w:ascii="仿宋" w:hAnsi="仿宋" w:eastAsia="仿宋" w:cs="仿宋"/>
                <w:color w:val="auto"/>
                <w:spacing w:val="20"/>
                <w:szCs w:val="21"/>
              </w:rPr>
            </w:pPr>
          </w:p>
        </w:tc>
      </w:tr>
      <w:tr w14:paraId="1317EE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AB87C3A">
            <w:pPr>
              <w:adjustRightInd w:val="0"/>
              <w:snapToGrid w:val="0"/>
              <w:spacing w:line="300" w:lineRule="exact"/>
              <w:jc w:val="center"/>
              <w:rPr>
                <w:rFonts w:hint="eastAsia" w:ascii="仿宋" w:hAnsi="仿宋" w:eastAsia="仿宋" w:cs="仿宋"/>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C1A3829">
            <w:pPr>
              <w:adjustRightInd w:val="0"/>
              <w:snapToGrid w:val="0"/>
              <w:spacing w:line="300" w:lineRule="exact"/>
              <w:jc w:val="center"/>
              <w:rPr>
                <w:rFonts w:hint="eastAsia" w:ascii="仿宋" w:hAnsi="仿宋" w:eastAsia="仿宋" w:cs="仿宋"/>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45C7BCE">
            <w:pPr>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银行账号</w:t>
            </w:r>
          </w:p>
        </w:tc>
        <w:tc>
          <w:tcPr>
            <w:tcW w:w="1259" w:type="pct"/>
            <w:tcBorders>
              <w:top w:val="single" w:color="auto" w:sz="2" w:space="0"/>
              <w:left w:val="single" w:color="auto" w:sz="2" w:space="0"/>
              <w:bottom w:val="single" w:color="auto" w:sz="2" w:space="0"/>
            </w:tcBorders>
            <w:noWrap w:val="0"/>
            <w:vAlign w:val="center"/>
          </w:tcPr>
          <w:p w14:paraId="5940C757">
            <w:pPr>
              <w:adjustRightInd w:val="0"/>
              <w:snapToGrid w:val="0"/>
              <w:spacing w:line="300" w:lineRule="exact"/>
              <w:jc w:val="center"/>
              <w:rPr>
                <w:rFonts w:hint="eastAsia" w:ascii="仿宋" w:hAnsi="仿宋" w:eastAsia="仿宋" w:cs="仿宋"/>
                <w:color w:val="auto"/>
                <w:spacing w:val="20"/>
                <w:szCs w:val="21"/>
              </w:rPr>
            </w:pPr>
          </w:p>
        </w:tc>
      </w:tr>
      <w:tr w14:paraId="3C0656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112D53F6">
            <w:pPr>
              <w:pStyle w:val="14"/>
              <w:adjustRightInd w:val="0"/>
              <w:snapToGrid w:val="0"/>
              <w:spacing w:before="156" w:beforeLines="50" w:after="0" w:line="360" w:lineRule="auto"/>
              <w:ind w:left="0" w:leftChars="0"/>
              <w:jc w:val="left"/>
              <w:rPr>
                <w:rFonts w:hint="eastAsia" w:ascii="仿宋" w:hAnsi="仿宋" w:eastAsia="仿宋" w:cs="仿宋"/>
                <w:color w:val="auto"/>
                <w:spacing w:val="20"/>
                <w:szCs w:val="21"/>
              </w:rPr>
            </w:pPr>
            <w:r>
              <w:rPr>
                <w:rFonts w:hint="eastAsia" w:ascii="仿宋" w:hAnsi="仿宋" w:eastAsia="仿宋" w:cs="仿宋"/>
                <w:color w:val="auto"/>
                <w:szCs w:val="21"/>
              </w:rPr>
              <w:t>注：涉及联合体或其他合同主体的信息应按上表格式加列。</w:t>
            </w:r>
          </w:p>
        </w:tc>
      </w:tr>
    </w:tbl>
    <w:p w14:paraId="47FB4A50">
      <w:pPr>
        <w:pStyle w:val="3"/>
        <w:adjustRightInd w:val="0"/>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1"/>
          <w:szCs w:val="21"/>
          <w:u w:val="single"/>
        </w:rPr>
        <w:br w:type="page"/>
      </w:r>
      <w:bookmarkStart w:id="51" w:name="_Toc27624"/>
      <w:r>
        <w:rPr>
          <w:rFonts w:hint="eastAsia" w:ascii="仿宋" w:hAnsi="仿宋" w:eastAsia="仿宋" w:cs="仿宋"/>
          <w:b w:val="0"/>
          <w:bCs w:val="0"/>
          <w:color w:val="auto"/>
          <w:sz w:val="28"/>
          <w:szCs w:val="28"/>
        </w:rPr>
        <w:t>第二节 政府采购合同通用条款</w:t>
      </w:r>
      <w:bookmarkEnd w:id="51"/>
    </w:p>
    <w:p w14:paraId="301463BD">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 xml:space="preserve"> </w:t>
      </w:r>
      <w:r>
        <w:rPr>
          <w:rFonts w:hint="eastAsia" w:ascii="仿宋" w:hAnsi="仿宋" w:eastAsia="仿宋" w:cs="仿宋"/>
          <w:b/>
          <w:bCs/>
          <w:color w:val="auto"/>
          <w:sz w:val="24"/>
        </w:rPr>
        <w:t>定义</w:t>
      </w:r>
    </w:p>
    <w:p w14:paraId="701D348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1.1合同当事人</w:t>
      </w:r>
    </w:p>
    <w:p w14:paraId="7D06D83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2E601A9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01E42C7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auto"/>
          <w:szCs w:val="21"/>
        </w:rPr>
        <w:t>依法参与合同缔结或履行，享有权利、承担义务的合同当事人</w:t>
      </w:r>
      <w:r>
        <w:rPr>
          <w:rFonts w:hint="eastAsia" w:ascii="仿宋" w:hAnsi="仿宋" w:eastAsia="仿宋" w:cs="仿宋"/>
          <w:color w:val="auto"/>
          <w:szCs w:val="21"/>
          <w:highlight w:val="none"/>
        </w:rPr>
        <w:t>。</w:t>
      </w:r>
    </w:p>
    <w:p w14:paraId="7FF4BE8B">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5C161B4E">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auto"/>
          <w:szCs w:val="21"/>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color w:val="auto"/>
          <w:szCs w:val="21"/>
        </w:rPr>
        <w:t>政府采购合同专用条款</w:t>
      </w:r>
      <w:r>
        <w:rPr>
          <w:rFonts w:hint="eastAsia" w:ascii="仿宋" w:hAnsi="仿宋" w:eastAsia="仿宋" w:cs="仿宋"/>
          <w:color w:val="auto"/>
          <w:szCs w:val="21"/>
          <w:lang w:eastAsia="zh-CN"/>
        </w:rPr>
        <w:t>，</w:t>
      </w:r>
      <w:r>
        <w:rPr>
          <w:rFonts w:hint="eastAsia" w:ascii="仿宋" w:hAnsi="仿宋" w:eastAsia="仿宋" w:cs="仿宋"/>
          <w:color w:val="auto"/>
          <w:szCs w:val="21"/>
        </w:rPr>
        <w:t>政府采购合同通用条款</w:t>
      </w:r>
      <w:r>
        <w:rPr>
          <w:rFonts w:hint="eastAsia" w:ascii="仿宋" w:hAnsi="仿宋" w:eastAsia="仿宋" w:cs="仿宋"/>
          <w:color w:val="auto"/>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color w:val="auto"/>
          <w:szCs w:val="21"/>
        </w:rPr>
        <w:t>投标（响应）文件</w:t>
      </w:r>
      <w:r>
        <w:rPr>
          <w:rFonts w:hint="eastAsia" w:ascii="仿宋" w:hAnsi="仿宋" w:eastAsia="仿宋" w:cs="仿宋"/>
          <w:color w:val="auto"/>
          <w:szCs w:val="21"/>
          <w:lang w:eastAsia="zh-CN"/>
        </w:rPr>
        <w:t>，</w:t>
      </w:r>
      <w:r>
        <w:rPr>
          <w:rFonts w:hint="eastAsia" w:ascii="仿宋" w:hAnsi="仿宋" w:eastAsia="仿宋" w:cs="仿宋"/>
          <w:color w:val="auto"/>
          <w:szCs w:val="21"/>
        </w:rPr>
        <w:t>采购文件</w:t>
      </w:r>
      <w:r>
        <w:rPr>
          <w:rFonts w:hint="eastAsia" w:ascii="仿宋" w:hAnsi="仿宋" w:eastAsia="仿宋" w:cs="仿宋"/>
          <w:color w:val="auto"/>
          <w:szCs w:val="21"/>
          <w:lang w:eastAsia="zh-CN"/>
        </w:rPr>
        <w:t>，</w:t>
      </w:r>
      <w:r>
        <w:rPr>
          <w:rFonts w:hint="eastAsia" w:ascii="仿宋" w:hAnsi="仿宋" w:eastAsia="仿宋" w:cs="仿宋"/>
          <w:color w:val="auto"/>
          <w:szCs w:val="21"/>
        </w:rPr>
        <w:t>有关技术文件</w:t>
      </w:r>
      <w:r>
        <w:rPr>
          <w:rFonts w:hint="eastAsia" w:ascii="仿宋" w:hAnsi="仿宋" w:eastAsia="仿宋" w:cs="仿宋"/>
          <w:color w:val="auto"/>
          <w:szCs w:val="21"/>
          <w:lang w:eastAsia="zh-CN"/>
        </w:rPr>
        <w:t>和</w:t>
      </w:r>
      <w:r>
        <w:rPr>
          <w:rFonts w:hint="eastAsia" w:ascii="仿宋" w:hAnsi="仿宋" w:eastAsia="仿宋" w:cs="仿宋"/>
          <w:color w:val="auto"/>
          <w:szCs w:val="21"/>
        </w:rPr>
        <w:t>图纸</w:t>
      </w:r>
      <w:r>
        <w:rPr>
          <w:rFonts w:hint="eastAsia" w:ascii="仿宋" w:hAnsi="仿宋" w:eastAsia="仿宋" w:cs="仿宋"/>
          <w:color w:val="auto"/>
          <w:szCs w:val="21"/>
          <w:lang w:eastAsia="zh-CN"/>
        </w:rPr>
        <w:t>，以及</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1F5AD43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4A7F986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技术资料和材料</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p>
    <w:p w14:paraId="567F8696">
      <w:pPr>
        <w:adjustRightInd w:val="0"/>
        <w:snapToGrid w:val="0"/>
        <w:spacing w:before="0" w:line="400" w:lineRule="exact"/>
        <w:ind w:firstLine="420" w:firstLineChars="200"/>
        <w:jc w:val="left"/>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服务”系指根据合同规定，乙方应提供的</w:t>
      </w:r>
      <w:r>
        <w:rPr>
          <w:rFonts w:hint="eastAsia" w:ascii="仿宋" w:hAnsi="仿宋" w:eastAsia="仿宋" w:cs="仿宋"/>
          <w:color w:val="auto"/>
          <w:szCs w:val="21"/>
          <w:highlight w:val="none"/>
          <w:lang w:val="en-US" w:eastAsia="zh-CN"/>
        </w:rPr>
        <w:t>与货物有关的</w:t>
      </w:r>
      <w:r>
        <w:rPr>
          <w:rFonts w:hint="eastAsia" w:ascii="仿宋" w:hAnsi="仿宋" w:eastAsia="仿宋" w:cs="仿宋"/>
          <w:color w:val="auto"/>
          <w:szCs w:val="21"/>
          <w:highlight w:val="none"/>
        </w:rPr>
        <w:t>技术、管理和</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服务，包括但不限于：管理和质量保证、运输、保险、检验、现场准备、安装、集成、调试、培训、维修、</w:t>
      </w:r>
      <w:r>
        <w:rPr>
          <w:rFonts w:hint="eastAsia" w:ascii="仿宋" w:hAnsi="仿宋" w:eastAsia="仿宋" w:cs="仿宋"/>
          <w:color w:val="auto"/>
          <w:szCs w:val="21"/>
          <w:highlight w:val="none"/>
          <w:lang w:eastAsia="zh-CN"/>
        </w:rPr>
        <w:t>废弃处置、</w:t>
      </w:r>
      <w:r>
        <w:rPr>
          <w:rFonts w:hint="eastAsia" w:ascii="仿宋" w:hAnsi="仿宋" w:eastAsia="仿宋" w:cs="仿宋"/>
          <w:color w:val="auto"/>
          <w:szCs w:val="21"/>
          <w:highlight w:val="none"/>
        </w:rPr>
        <w:t>技术支持等以及合同中规定乙方应承担的</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义务。</w:t>
      </w:r>
    </w:p>
    <w:p w14:paraId="5FC5026E">
      <w:pPr>
        <w:adjustRightInd w:val="0"/>
        <w:snapToGrid w:val="0"/>
        <w:spacing w:before="0" w:line="400" w:lineRule="exact"/>
        <w:ind w:firstLine="420" w:firstLineChars="200"/>
        <w:jc w:val="left"/>
        <w:rPr>
          <w:rFonts w:hint="eastAsia" w:ascii="仿宋" w:hAnsi="仿宋" w:eastAsia="仿宋" w:cs="仿宋"/>
          <w:color w:val="auto"/>
          <w:szCs w:val="21"/>
          <w:highlight w:val="yellow"/>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）“分包”系指中标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供应商按采购文件、投标（响应）文件的规定，根据分包意向协议，将中标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项目中的部分履约内容，分给具有相应资质条件的供应商履行合同的行为。</w:t>
      </w:r>
    </w:p>
    <w:p w14:paraId="1646D17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rPr>
        <w:t>“联合体”系指</w:t>
      </w:r>
      <w:r>
        <w:rPr>
          <w:rFonts w:hint="eastAsia" w:ascii="仿宋" w:hAnsi="仿宋" w:eastAsia="仿宋" w:cs="仿宋"/>
          <w:color w:val="auto"/>
          <w:szCs w:val="21"/>
          <w:lang w:eastAsia="zh-CN"/>
        </w:rPr>
        <w:t>由</w:t>
      </w:r>
      <w:r>
        <w:rPr>
          <w:rFonts w:hint="eastAsia" w:ascii="仿宋" w:hAnsi="仿宋" w:eastAsia="仿宋" w:cs="仿宋"/>
          <w:color w:val="auto"/>
          <w:szCs w:val="21"/>
        </w:rPr>
        <w:t>两个以上的自然人、法人或者</w:t>
      </w:r>
      <w:r>
        <w:rPr>
          <w:rFonts w:hint="eastAsia" w:ascii="仿宋" w:hAnsi="仿宋" w:eastAsia="仿宋" w:cs="仿宋"/>
          <w:color w:val="auto"/>
          <w:szCs w:val="21"/>
          <w:lang w:val="en-US" w:eastAsia="zh-CN"/>
        </w:rPr>
        <w:t>非法人</w:t>
      </w:r>
      <w:r>
        <w:rPr>
          <w:rFonts w:hint="eastAsia" w:ascii="仿宋" w:hAnsi="仿宋" w:eastAsia="仿宋" w:cs="仿宋"/>
          <w:color w:val="auto"/>
          <w:szCs w:val="21"/>
        </w:rPr>
        <w:t>组织组成，</w:t>
      </w:r>
      <w:r>
        <w:rPr>
          <w:rFonts w:hint="eastAsia" w:ascii="仿宋" w:hAnsi="仿宋" w:eastAsia="仿宋" w:cs="仿宋"/>
          <w:color w:val="auto"/>
          <w:szCs w:val="21"/>
          <w:lang w:eastAsia="zh-CN"/>
        </w:rPr>
        <w:t>以一个供应商的身份共同参加政府采购的主体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承担连带责任。联合体具体要求见【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2D88282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）其他术语解释，见【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7C93AD8A">
      <w:pPr>
        <w:numPr>
          <w:ilvl w:val="0"/>
          <w:numId w:val="7"/>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2281A897">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auto"/>
          <w:szCs w:val="21"/>
          <w:highlight w:val="none"/>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.1 合同标的及金额应与中标（成交）结果一致。乙方为履行本合同而发生的所有费用均应包含在合同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中，甲方不再另行支付</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任何费用。</w:t>
      </w:r>
    </w:p>
    <w:p w14:paraId="5C121AEB">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3</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履行合同的时间、地点和方式</w:t>
      </w:r>
    </w:p>
    <w:p w14:paraId="03EECD0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rPr>
        <w:t>乙方应当在约定的时间、地点</w:t>
      </w:r>
      <w:r>
        <w:rPr>
          <w:rFonts w:hint="eastAsia" w:ascii="仿宋" w:hAnsi="仿宋" w:eastAsia="仿宋" w:cs="仿宋"/>
          <w:color w:val="auto"/>
          <w:szCs w:val="21"/>
          <w:lang w:eastAsia="zh-CN"/>
        </w:rPr>
        <w:t>，按照约定</w:t>
      </w:r>
      <w:r>
        <w:rPr>
          <w:rFonts w:hint="eastAsia" w:ascii="仿宋" w:hAnsi="仿宋" w:eastAsia="仿宋" w:cs="仿宋"/>
          <w:color w:val="auto"/>
          <w:szCs w:val="21"/>
        </w:rPr>
        <w:t>方式履行合同。</w:t>
      </w:r>
    </w:p>
    <w:p w14:paraId="7CAB92FC">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甲方的权利和义务</w:t>
      </w:r>
    </w:p>
    <w:p w14:paraId="60D40BF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签署合同后，甲方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，负责与本合同有关的事务。甲方有权对乙方的履约行为进行检查，并及时确认乙方提交的事项。甲方应当配合乙方完成相关项目实施工作。</w:t>
      </w:r>
    </w:p>
    <w:p w14:paraId="3B541FE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2D274CE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.3 甲方有权要求乙方对缺陷部分予以修复，并按合同约定享有货物保修及其他合同约定的权利。</w:t>
      </w:r>
    </w:p>
    <w:p w14:paraId="57204A20">
      <w:pPr>
        <w:snapToGrid w:val="0"/>
        <w:spacing w:line="400" w:lineRule="exact"/>
        <w:ind w:firstLine="420" w:firstLineChars="200"/>
        <w:rPr>
          <w:rFonts w:hint="eastAsia" w:ascii="仿宋" w:hAnsi="仿宋" w:eastAsia="仿宋" w:cs="仿宋"/>
          <w:color w:val="auto"/>
          <w:lang w:val="en-US" w:eastAsia="zh-CN"/>
        </w:rPr>
      </w:pPr>
      <w:r>
        <w:rPr>
          <w:rFonts w:hint="eastAsia" w:ascii="仿宋" w:hAnsi="仿宋" w:eastAsia="仿宋" w:cs="仿宋"/>
          <w:color w:val="auto"/>
          <w:szCs w:val="21"/>
          <w:highlight w:val="none"/>
          <w:lang w:val="en-US" w:eastAsia="zh-CN"/>
        </w:rPr>
        <w:t>4.4 甲方应当按照合同约定及时对交付的货物进行验收，</w:t>
      </w:r>
      <w:r>
        <w:rPr>
          <w:rFonts w:hint="eastAsia" w:ascii="仿宋" w:hAnsi="仿宋" w:eastAsia="仿宋" w:cs="仿宋"/>
          <w:b w:val="0"/>
          <w:bCs w:val="0"/>
          <w:color w:val="auto"/>
          <w:szCs w:val="21"/>
          <w:highlight w:val="none"/>
          <w:lang w:eastAsia="zh-CN"/>
        </w:rPr>
        <w:t>未</w:t>
      </w:r>
      <w:r>
        <w:rPr>
          <w:rFonts w:hint="eastAsia" w:ascii="仿宋" w:hAnsi="仿宋" w:eastAsia="仿宋" w:cs="仿宋"/>
          <w:color w:val="auto"/>
          <w:szCs w:val="21"/>
          <w:highlight w:val="none"/>
          <w:lang w:val="en-US" w:eastAsia="zh-CN"/>
        </w:rPr>
        <w:t>在</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约定的期限内对乙方履约提出任何异议或者向乙方作出任何说明的，</w:t>
      </w:r>
      <w:r>
        <w:rPr>
          <w:rFonts w:hint="eastAsia" w:ascii="仿宋" w:hAnsi="仿宋" w:eastAsia="仿宋" w:cs="仿宋"/>
          <w:color w:val="auto"/>
          <w:szCs w:val="21"/>
          <w:highlight w:val="none"/>
          <w:lang w:val="en-US" w:eastAsia="zh-CN"/>
        </w:rPr>
        <w:t>视为验收通过。</w:t>
      </w:r>
    </w:p>
    <w:p w14:paraId="28B698F3">
      <w:pPr>
        <w:autoSpaceDE w:val="0"/>
        <w:autoSpaceDN w:val="0"/>
        <w:adjustRightInd w:val="0"/>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甲方应当根据合同约定</w:t>
      </w:r>
      <w:r>
        <w:rPr>
          <w:rFonts w:hint="eastAsia" w:ascii="仿宋" w:hAnsi="仿宋" w:eastAsia="仿宋" w:cs="仿宋"/>
          <w:color w:val="auto"/>
          <w:szCs w:val="21"/>
          <w:highlight w:val="none"/>
          <w:lang w:eastAsia="zh-CN"/>
        </w:rPr>
        <w:t>及</w:t>
      </w:r>
      <w:r>
        <w:rPr>
          <w:rFonts w:hint="eastAsia" w:ascii="仿宋" w:hAnsi="仿宋" w:eastAsia="仿宋" w:cs="仿宋"/>
          <w:color w:val="auto"/>
          <w:szCs w:val="21"/>
          <w:highlight w:val="none"/>
        </w:rPr>
        <w:t>时向乙方支付</w:t>
      </w:r>
      <w:r>
        <w:rPr>
          <w:rFonts w:hint="eastAsia" w:ascii="仿宋" w:hAnsi="仿宋" w:eastAsia="仿宋" w:cs="仿宋"/>
          <w:color w:val="auto"/>
          <w:szCs w:val="21"/>
          <w:highlight w:val="none"/>
          <w:lang w:eastAsia="zh-CN"/>
        </w:rPr>
        <w:t>合同价款，不得以内部人员变更、履行内部付款流程等为由，拒绝或迟延支付。</w:t>
      </w:r>
    </w:p>
    <w:p w14:paraId="58D1822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lang w:eastAsia="zh-CN"/>
        </w:rPr>
        <w:t>约定应</w:t>
      </w:r>
      <w:r>
        <w:rPr>
          <w:rFonts w:hint="eastAsia" w:ascii="仿宋" w:hAnsi="仿宋" w:eastAsia="仿宋" w:cs="仿宋"/>
          <w:color w:val="auto"/>
          <w:szCs w:val="21"/>
          <w:highlight w:val="none"/>
        </w:rPr>
        <w:t>由甲方承担的其他义务和责任。</w:t>
      </w:r>
    </w:p>
    <w:p w14:paraId="153A38E1">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乙方的权利和义务</w:t>
      </w:r>
    </w:p>
    <w:p w14:paraId="15FD779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.1 签署合同后，乙方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w:t>
      </w:r>
    </w:p>
    <w:p w14:paraId="61F7AEA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.2 乙方应按照合同要求履约，充分合理安排，确保提供的货物</w:t>
      </w:r>
      <w:r>
        <w:rPr>
          <w:rFonts w:hint="eastAsia" w:ascii="仿宋" w:hAnsi="仿宋" w:eastAsia="仿宋" w:cs="仿宋"/>
          <w:color w:val="auto"/>
          <w:szCs w:val="21"/>
          <w:highlight w:val="none"/>
          <w:lang w:eastAsia="zh-CN"/>
        </w:rPr>
        <w:t>及相关</w:t>
      </w:r>
      <w:r>
        <w:rPr>
          <w:rFonts w:hint="eastAsia" w:ascii="仿宋" w:hAnsi="仿宋" w:eastAsia="仿宋" w:cs="仿宋"/>
          <w:color w:val="auto"/>
          <w:szCs w:val="21"/>
          <w:highlight w:val="none"/>
        </w:rPr>
        <w:t>服务符合合同</w:t>
      </w:r>
      <w:r>
        <w:rPr>
          <w:rFonts w:hint="eastAsia" w:ascii="仿宋" w:hAnsi="仿宋" w:eastAsia="仿宋" w:cs="仿宋"/>
          <w:color w:val="auto"/>
          <w:szCs w:val="21"/>
          <w:highlight w:val="none"/>
          <w:lang w:eastAsia="zh-CN"/>
        </w:rPr>
        <w:t>有关</w:t>
      </w:r>
      <w:r>
        <w:rPr>
          <w:rFonts w:hint="eastAsia" w:ascii="仿宋" w:hAnsi="仿宋" w:eastAsia="仿宋" w:cs="仿宋"/>
          <w:color w:val="auto"/>
          <w:szCs w:val="21"/>
          <w:highlight w:val="none"/>
        </w:rPr>
        <w:t>要求。接受项目行业管理部门及政府有关部门的指导，配合甲方的履约检查</w:t>
      </w:r>
      <w:r>
        <w:rPr>
          <w:rFonts w:hint="eastAsia" w:ascii="仿宋" w:hAnsi="仿宋" w:eastAsia="仿宋" w:cs="仿宋"/>
          <w:color w:val="auto"/>
          <w:szCs w:val="21"/>
          <w:highlight w:val="none"/>
          <w:lang w:eastAsia="zh-CN"/>
        </w:rPr>
        <w:t>及验收</w:t>
      </w:r>
      <w:r>
        <w:rPr>
          <w:rFonts w:hint="eastAsia" w:ascii="仿宋" w:hAnsi="仿宋" w:eastAsia="仿宋" w:cs="仿宋"/>
          <w:color w:val="auto"/>
          <w:szCs w:val="21"/>
          <w:highlight w:val="none"/>
        </w:rPr>
        <w:t>，并负责项目实施过程中的所有协调工作。</w:t>
      </w:r>
    </w:p>
    <w:p w14:paraId="6B96011E">
      <w:pPr>
        <w:pStyle w:val="12"/>
        <w:spacing w:after="0" w:line="400" w:lineRule="exact"/>
        <w:ind w:firstLine="422" w:firstLineChars="176"/>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.3乙方有权根据合同约定向甲方收取</w:t>
      </w:r>
      <w:r>
        <w:rPr>
          <w:rFonts w:hint="eastAsia" w:ascii="仿宋" w:hAnsi="仿宋" w:eastAsia="仿宋" w:cs="仿宋"/>
          <w:color w:val="auto"/>
          <w:szCs w:val="21"/>
          <w:highlight w:val="none"/>
          <w:lang w:eastAsia="zh-CN"/>
        </w:rPr>
        <w:t>合同价款</w:t>
      </w:r>
      <w:r>
        <w:rPr>
          <w:rFonts w:hint="eastAsia" w:ascii="仿宋" w:hAnsi="仿宋" w:eastAsia="仿宋" w:cs="仿宋"/>
          <w:color w:val="auto"/>
          <w:szCs w:val="21"/>
          <w:highlight w:val="none"/>
        </w:rPr>
        <w:t>。</w:t>
      </w:r>
    </w:p>
    <w:p w14:paraId="3F398669">
      <w:pPr>
        <w:pStyle w:val="12"/>
        <w:spacing w:after="0" w:line="400" w:lineRule="exact"/>
        <w:ind w:firstLine="422" w:firstLineChars="176"/>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.4国家法律法规规定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约定应</w:t>
      </w:r>
      <w:r>
        <w:rPr>
          <w:rFonts w:hint="eastAsia" w:ascii="仿宋" w:hAnsi="仿宋" w:eastAsia="仿宋" w:cs="仿宋"/>
          <w:color w:val="auto"/>
          <w:szCs w:val="21"/>
          <w:highlight w:val="none"/>
        </w:rPr>
        <w:t>由乙方承担的其他义务和责任。</w:t>
      </w:r>
    </w:p>
    <w:p w14:paraId="2E4FC3DE">
      <w:pPr>
        <w:numPr>
          <w:ilvl w:val="0"/>
          <w:numId w:val="8"/>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w:t>
      </w:r>
      <w:r>
        <w:rPr>
          <w:rFonts w:hint="eastAsia" w:ascii="仿宋" w:hAnsi="仿宋" w:eastAsia="仿宋" w:cs="仿宋"/>
          <w:b/>
          <w:bCs/>
          <w:color w:val="auto"/>
          <w:sz w:val="24"/>
          <w:highlight w:val="none"/>
          <w:lang w:val="en-US" w:eastAsia="zh-CN"/>
        </w:rPr>
        <w:t>行</w:t>
      </w:r>
    </w:p>
    <w:p w14:paraId="40D5F9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 甲乙双方应当按照</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约定顺序履行合同义务；如果没有先后顺序的，应当同时履行。</w:t>
      </w:r>
    </w:p>
    <w:p w14:paraId="04A9D5C5">
      <w:pPr>
        <w:autoSpaceDE w:val="0"/>
        <w:autoSpaceDN w:val="0"/>
        <w:adjustRightInd w:val="0"/>
        <w:snapToGrid w:val="0"/>
        <w:spacing w:before="0" w:line="400" w:lineRule="exact"/>
        <w:ind w:firstLine="420" w:firstLineChars="200"/>
        <w:jc w:val="left"/>
        <w:rPr>
          <w:rFonts w:hint="eastAsia" w:ascii="仿宋" w:hAnsi="仿宋" w:eastAsia="仿宋" w:cs="仿宋"/>
          <w:color w:val="auto"/>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BD62AE">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货物包装、运输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保险</w:t>
      </w:r>
      <w:r>
        <w:rPr>
          <w:rFonts w:hint="eastAsia" w:ascii="仿宋" w:hAnsi="仿宋" w:eastAsia="仿宋" w:cs="仿宋"/>
          <w:b/>
          <w:bCs/>
          <w:color w:val="auto"/>
          <w:sz w:val="24"/>
          <w:highlight w:val="none"/>
          <w:lang w:eastAsia="zh-CN"/>
        </w:rPr>
        <w:t>和交付</w:t>
      </w:r>
      <w:r>
        <w:rPr>
          <w:rFonts w:hint="eastAsia" w:ascii="仿宋" w:hAnsi="仿宋" w:eastAsia="仿宋" w:cs="仿宋"/>
          <w:b/>
          <w:bCs/>
          <w:color w:val="auto"/>
          <w:sz w:val="24"/>
          <w:highlight w:val="none"/>
        </w:rPr>
        <w:t>要求</w:t>
      </w:r>
    </w:p>
    <w:p w14:paraId="7EBDA82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 本合同</w:t>
      </w:r>
      <w:r>
        <w:rPr>
          <w:rFonts w:hint="eastAsia" w:ascii="仿宋" w:hAnsi="仿宋" w:eastAsia="仿宋" w:cs="仿宋"/>
          <w:bCs/>
          <w:color w:val="auto"/>
          <w:szCs w:val="21"/>
          <w:highlight w:val="none"/>
        </w:rPr>
        <w:t>涉及商品包装</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快递包装的，</w:t>
      </w:r>
      <w:r>
        <w:rPr>
          <w:rFonts w:hint="eastAsia" w:ascii="仿宋" w:hAnsi="仿宋" w:eastAsia="仿宋" w:cs="仿宋"/>
          <w:color w:val="auto"/>
          <w:szCs w:val="21"/>
          <w:highlight w:val="none"/>
        </w:rPr>
        <w:t>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包装应适应远距离运输、防潮、防震、防锈和防野蛮装卸等要求，确保货物安全无损地运抵</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约定的</w:t>
      </w:r>
      <w:r>
        <w:rPr>
          <w:rFonts w:hint="eastAsia" w:ascii="仿宋" w:hAnsi="仿宋" w:eastAsia="仿宋" w:cs="仿宋"/>
          <w:color w:val="auto"/>
          <w:szCs w:val="21"/>
          <w:highlight w:val="none"/>
        </w:rPr>
        <w:t>指定现场。</w:t>
      </w:r>
    </w:p>
    <w:p w14:paraId="230EA21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.2 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乙方负责办理将货物运抵本合同规定的交货地点</w:t>
      </w:r>
      <w:r>
        <w:rPr>
          <w:rFonts w:hint="eastAsia" w:ascii="仿宋" w:hAnsi="仿宋" w:eastAsia="仿宋" w:cs="仿宋"/>
          <w:color w:val="auto"/>
          <w:szCs w:val="21"/>
          <w:highlight w:val="none"/>
          <w:lang w:eastAsia="zh-CN"/>
        </w:rPr>
        <w:t>，并装卸、交付至甲方</w:t>
      </w:r>
      <w:r>
        <w:rPr>
          <w:rFonts w:hint="eastAsia" w:ascii="仿宋" w:hAnsi="仿宋" w:eastAsia="仿宋" w:cs="仿宋"/>
          <w:color w:val="auto"/>
          <w:szCs w:val="21"/>
          <w:highlight w:val="none"/>
        </w:rPr>
        <w:t>的一切运输事项，相关费用应</w:t>
      </w:r>
      <w:r>
        <w:rPr>
          <w:rFonts w:hint="eastAsia" w:ascii="仿宋" w:hAnsi="仿宋" w:eastAsia="仿宋" w:cs="仿宋"/>
          <w:color w:val="auto"/>
          <w:szCs w:val="21"/>
          <w:highlight w:val="none"/>
          <w:lang w:eastAsia="zh-CN"/>
        </w:rPr>
        <w:t>包含</w:t>
      </w:r>
      <w:r>
        <w:rPr>
          <w:rFonts w:hint="eastAsia" w:ascii="仿宋" w:hAnsi="仿宋" w:eastAsia="仿宋" w:cs="仿宋"/>
          <w:color w:val="auto"/>
          <w:szCs w:val="21"/>
          <w:highlight w:val="none"/>
        </w:rPr>
        <w:t>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w:t>
      </w:r>
    </w:p>
    <w:p w14:paraId="03E18F4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.3 货物保险要求按</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规定执行</w:t>
      </w:r>
      <w:r>
        <w:rPr>
          <w:rFonts w:hint="eastAsia" w:ascii="仿宋" w:hAnsi="仿宋" w:eastAsia="仿宋" w:cs="仿宋"/>
          <w:color w:val="auto"/>
          <w:szCs w:val="21"/>
          <w:highlight w:val="none"/>
        </w:rPr>
        <w:t>。</w:t>
      </w:r>
    </w:p>
    <w:p w14:paraId="67DDF22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 xml:space="preserve">.4 </w:t>
      </w:r>
      <w:r>
        <w:rPr>
          <w:rFonts w:hint="eastAsia" w:ascii="仿宋" w:hAnsi="仿宋" w:eastAsia="仿宋" w:cs="仿宋"/>
          <w:color w:val="auto"/>
          <w:szCs w:val="21"/>
          <w:highlight w:val="none"/>
          <w:lang w:val="en-US" w:eastAsia="zh-CN"/>
        </w:rPr>
        <w:t>除采购活动</w:t>
      </w:r>
      <w:r>
        <w:rPr>
          <w:rFonts w:hint="eastAsia" w:ascii="仿宋" w:hAnsi="仿宋" w:eastAsia="仿宋" w:cs="仿宋"/>
          <w:color w:val="auto"/>
          <w:szCs w:val="21"/>
          <w:highlight w:val="none"/>
        </w:rPr>
        <w:t>对商品包装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w:t>
      </w:r>
      <w:r>
        <w:rPr>
          <w:rFonts w:hint="eastAsia" w:ascii="仿宋" w:hAnsi="仿宋" w:eastAsia="仿宋" w:cs="仿宋"/>
          <w:color w:val="auto"/>
          <w:szCs w:val="21"/>
          <w:highlight w:val="none"/>
          <w:lang w:val="en-US" w:eastAsia="zh-CN"/>
        </w:rPr>
        <w:t>达成具体约定外</w:t>
      </w:r>
      <w:r>
        <w:rPr>
          <w:rFonts w:hint="eastAsia" w:ascii="仿宋" w:hAnsi="仿宋" w:eastAsia="仿宋" w:cs="仿宋"/>
          <w:color w:val="auto"/>
          <w:szCs w:val="21"/>
          <w:highlight w:val="none"/>
        </w:rPr>
        <w:t>，乙方提供产品及相关快递服务</w:t>
      </w:r>
      <w:r>
        <w:rPr>
          <w:rFonts w:hint="eastAsia" w:ascii="仿宋" w:hAnsi="仿宋" w:eastAsia="仿宋" w:cs="仿宋"/>
          <w:color w:val="auto"/>
          <w:szCs w:val="21"/>
          <w:highlight w:val="none"/>
          <w:lang w:val="en-US" w:eastAsia="zh-CN"/>
        </w:rPr>
        <w:t>涉及到</w:t>
      </w:r>
      <w:r>
        <w:rPr>
          <w:rFonts w:hint="eastAsia" w:ascii="仿宋" w:hAnsi="仿宋" w:eastAsia="仿宋" w:cs="仿宋"/>
          <w:color w:val="auto"/>
          <w:szCs w:val="21"/>
          <w:highlight w:val="none"/>
        </w:rPr>
        <w:t>具体包装要求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《商品包装政府采购需求标准（试行）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快递包装政府采购需求标准（试行）》</w:t>
      </w:r>
      <w:r>
        <w:rPr>
          <w:rFonts w:hint="eastAsia" w:ascii="仿宋" w:hAnsi="仿宋" w:eastAsia="仿宋" w:cs="仿宋"/>
          <w:color w:val="auto"/>
          <w:szCs w:val="21"/>
          <w:highlight w:val="none"/>
          <w:lang w:val="en-US" w:eastAsia="zh-CN"/>
        </w:rPr>
        <w:t>标准</w:t>
      </w:r>
      <w:r>
        <w:rPr>
          <w:rFonts w:hint="eastAsia" w:ascii="仿宋" w:hAnsi="仿宋" w:eastAsia="仿宋" w:cs="仿宋"/>
          <w:color w:val="auto"/>
          <w:szCs w:val="21"/>
          <w:highlight w:val="none"/>
        </w:rPr>
        <w:t>，并作为履约验收的内容，必要时甲方可以要求乙方在履约验收环节出具检测报告。</w:t>
      </w:r>
    </w:p>
    <w:p w14:paraId="25E1B35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7.5 </w:t>
      </w:r>
      <w:r>
        <w:rPr>
          <w:rFonts w:hint="eastAsia" w:ascii="仿宋" w:hAnsi="仿宋" w:eastAsia="仿宋" w:cs="仿宋"/>
          <w:color w:val="auto"/>
          <w:szCs w:val="21"/>
        </w:rPr>
        <w:t>乙方在运输到达之前</w:t>
      </w:r>
      <w:r>
        <w:rPr>
          <w:rFonts w:hint="eastAsia" w:ascii="仿宋" w:hAnsi="仿宋" w:eastAsia="仿宋" w:cs="仿宋"/>
          <w:color w:val="auto"/>
          <w:szCs w:val="21"/>
          <w:lang w:eastAsia="zh-CN"/>
        </w:rPr>
        <w:t>应</w:t>
      </w:r>
      <w:r>
        <w:rPr>
          <w:rFonts w:hint="eastAsia" w:ascii="仿宋" w:hAnsi="仿宋" w:eastAsia="仿宋" w:cs="仿宋"/>
          <w:color w:val="auto"/>
          <w:szCs w:val="21"/>
        </w:rPr>
        <w:t>提前通知</w:t>
      </w:r>
      <w:r>
        <w:rPr>
          <w:rFonts w:hint="eastAsia" w:ascii="仿宋" w:hAnsi="仿宋" w:eastAsia="仿宋" w:cs="仿宋"/>
          <w:color w:val="auto"/>
          <w:szCs w:val="21"/>
          <w:lang w:eastAsia="zh-CN"/>
        </w:rPr>
        <w:t>甲方</w:t>
      </w:r>
      <w:r>
        <w:rPr>
          <w:rFonts w:hint="eastAsia" w:ascii="仿宋" w:hAnsi="仿宋" w:eastAsia="仿宋" w:cs="仿宋"/>
          <w:color w:val="auto"/>
          <w:szCs w:val="21"/>
        </w:rPr>
        <w:t>，并提示货物运输装卸的注意事项</w:t>
      </w:r>
      <w:r>
        <w:rPr>
          <w:rFonts w:hint="eastAsia" w:ascii="仿宋" w:hAnsi="仿宋" w:eastAsia="仿宋" w:cs="仿宋"/>
          <w:color w:val="auto"/>
          <w:szCs w:val="21"/>
          <w:lang w:eastAsia="zh-CN"/>
        </w:rPr>
        <w:t>，甲方配合乙方做好货物的接收工作。</w:t>
      </w:r>
    </w:p>
    <w:p w14:paraId="0541ABC2">
      <w:pPr>
        <w:pStyle w:val="78"/>
        <w:rPr>
          <w:rFonts w:hint="eastAsia" w:ascii="仿宋" w:hAnsi="仿宋" w:eastAsia="仿宋" w:cs="仿宋"/>
          <w:color w:val="auto"/>
          <w:sz w:val="21"/>
          <w:lang w:val="en-US" w:eastAsia="zh-CN"/>
        </w:rPr>
      </w:pPr>
      <w:r>
        <w:rPr>
          <w:rFonts w:hint="eastAsia" w:ascii="仿宋" w:hAnsi="仿宋" w:eastAsia="仿宋" w:cs="仿宋"/>
          <w:color w:val="auto"/>
          <w:kern w:val="2"/>
          <w:sz w:val="21"/>
          <w:szCs w:val="21"/>
          <w:highlight w:val="none"/>
          <w:lang w:val="en-US" w:eastAsia="zh-CN"/>
        </w:rPr>
        <w:t xml:space="preserve">7.6 </w:t>
      </w:r>
      <w:r>
        <w:rPr>
          <w:rFonts w:hint="eastAsia" w:ascii="仿宋" w:hAnsi="仿宋" w:eastAsia="仿宋" w:cs="仿宋"/>
          <w:color w:val="auto"/>
          <w:kern w:val="2"/>
          <w:sz w:val="21"/>
          <w:szCs w:val="21"/>
          <w:highlight w:val="none"/>
        </w:rPr>
        <w:t>如因包装</w:t>
      </w:r>
      <w:r>
        <w:rPr>
          <w:rFonts w:hint="eastAsia" w:ascii="仿宋" w:hAnsi="仿宋" w:eastAsia="仿宋" w:cs="仿宋"/>
          <w:color w:val="auto"/>
          <w:kern w:val="2"/>
          <w:sz w:val="21"/>
          <w:szCs w:val="21"/>
          <w:highlight w:val="none"/>
          <w:lang w:eastAsia="zh-CN"/>
        </w:rPr>
        <w:t>、运输</w:t>
      </w:r>
      <w:r>
        <w:rPr>
          <w:rFonts w:hint="eastAsia" w:ascii="仿宋" w:hAnsi="仿宋" w:eastAsia="仿宋" w:cs="仿宋"/>
          <w:color w:val="auto"/>
          <w:kern w:val="2"/>
          <w:sz w:val="21"/>
          <w:szCs w:val="21"/>
          <w:highlight w:val="none"/>
        </w:rPr>
        <w:t>问题导致货物</w:t>
      </w:r>
      <w:r>
        <w:rPr>
          <w:rFonts w:hint="eastAsia" w:ascii="仿宋" w:hAnsi="仿宋" w:eastAsia="仿宋" w:cs="仿宋"/>
          <w:color w:val="auto"/>
          <w:kern w:val="2"/>
          <w:sz w:val="21"/>
          <w:szCs w:val="21"/>
          <w:highlight w:val="none"/>
          <w:lang w:eastAsia="zh-CN"/>
        </w:rPr>
        <w:t>损毁、丢失</w:t>
      </w:r>
      <w:r>
        <w:rPr>
          <w:rFonts w:hint="eastAsia" w:ascii="仿宋" w:hAnsi="仿宋" w:eastAsia="仿宋" w:cs="仿宋"/>
          <w:color w:val="auto"/>
          <w:kern w:val="2"/>
          <w:sz w:val="21"/>
          <w:szCs w:val="21"/>
          <w:highlight w:val="none"/>
        </w:rPr>
        <w:t>或者品质下降，</w:t>
      </w:r>
      <w:r>
        <w:rPr>
          <w:rFonts w:hint="eastAsia" w:ascii="仿宋" w:hAnsi="仿宋" w:eastAsia="仿宋" w:cs="仿宋"/>
          <w:color w:val="auto"/>
          <w:kern w:val="2"/>
          <w:sz w:val="21"/>
          <w:szCs w:val="21"/>
          <w:highlight w:val="none"/>
          <w:lang w:eastAsia="zh-CN"/>
        </w:rPr>
        <w:t>甲方</w:t>
      </w:r>
      <w:r>
        <w:rPr>
          <w:rFonts w:hint="eastAsia" w:ascii="仿宋" w:hAnsi="仿宋" w:eastAsia="仿宋" w:cs="仿宋"/>
          <w:color w:val="auto"/>
          <w:kern w:val="2"/>
          <w:sz w:val="21"/>
          <w:szCs w:val="21"/>
          <w:highlight w:val="none"/>
        </w:rPr>
        <w:t>有权要求降价、换货、拒收部分或整批货物，由此</w:t>
      </w:r>
      <w:r>
        <w:rPr>
          <w:rFonts w:hint="eastAsia" w:ascii="仿宋" w:hAnsi="仿宋" w:eastAsia="仿宋" w:cs="仿宋"/>
          <w:color w:val="auto"/>
          <w:kern w:val="2"/>
          <w:sz w:val="21"/>
          <w:szCs w:val="21"/>
          <w:highlight w:val="none"/>
          <w:lang w:eastAsia="zh-CN"/>
        </w:rPr>
        <w:t>产生</w:t>
      </w:r>
      <w:r>
        <w:rPr>
          <w:rFonts w:hint="eastAsia" w:ascii="仿宋" w:hAnsi="仿宋" w:eastAsia="仿宋" w:cs="仿宋"/>
          <w:color w:val="auto"/>
          <w:kern w:val="2"/>
          <w:sz w:val="21"/>
          <w:szCs w:val="21"/>
          <w:highlight w:val="none"/>
        </w:rPr>
        <w:t>的费用和损失，均由</w:t>
      </w:r>
      <w:r>
        <w:rPr>
          <w:rFonts w:hint="eastAsia" w:ascii="仿宋" w:hAnsi="仿宋" w:eastAsia="仿宋" w:cs="仿宋"/>
          <w:color w:val="auto"/>
          <w:kern w:val="2"/>
          <w:sz w:val="21"/>
          <w:szCs w:val="21"/>
          <w:highlight w:val="none"/>
          <w:lang w:eastAsia="zh-CN"/>
        </w:rPr>
        <w:t>乙方</w:t>
      </w:r>
      <w:r>
        <w:rPr>
          <w:rFonts w:hint="eastAsia" w:ascii="仿宋" w:hAnsi="仿宋" w:eastAsia="仿宋" w:cs="仿宋"/>
          <w:color w:val="auto"/>
          <w:kern w:val="2"/>
          <w:sz w:val="21"/>
          <w:szCs w:val="21"/>
          <w:highlight w:val="none"/>
        </w:rPr>
        <w:t>承担。</w:t>
      </w:r>
    </w:p>
    <w:p w14:paraId="79591077">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8</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质量标准和保证</w:t>
      </w:r>
    </w:p>
    <w:p w14:paraId="114E88D5">
      <w:pPr>
        <w:pStyle w:val="15"/>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50904BE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auto"/>
          <w:szCs w:val="21"/>
          <w:lang w:eastAsia="zh-CN"/>
        </w:rPr>
        <w:t>约</w:t>
      </w:r>
      <w:r>
        <w:rPr>
          <w:rFonts w:hint="eastAsia" w:ascii="仿宋" w:hAnsi="仿宋" w:eastAsia="仿宋" w:cs="仿宋"/>
          <w:color w:val="auto"/>
          <w:szCs w:val="21"/>
        </w:rPr>
        <w:t>定的品牌、规格型号、技术性能、配置、质量、数量等要求。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5DD09744">
      <w:pPr>
        <w:pStyle w:val="15"/>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6E79DB1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0ED336C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37D389F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2B70E73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color w:val="auto"/>
          <w:szCs w:val="21"/>
        </w:rPr>
        <w:t>在其使用寿命期内具</w:t>
      </w:r>
      <w:r>
        <w:rPr>
          <w:rFonts w:hint="eastAsia" w:ascii="仿宋" w:hAnsi="仿宋" w:eastAsia="仿宋" w:cs="仿宋"/>
          <w:color w:val="auto"/>
          <w:szCs w:val="21"/>
          <w:lang w:eastAsia="zh-CN"/>
        </w:rPr>
        <w:t>备合同约定</w:t>
      </w:r>
      <w:r>
        <w:rPr>
          <w:rFonts w:hint="eastAsia" w:ascii="仿宋" w:hAnsi="仿宋" w:eastAsia="仿宋" w:cs="仿宋"/>
          <w:color w:val="auto"/>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601E613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0812363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590B425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auto"/>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的违约责任</w:t>
      </w:r>
      <w:r>
        <w:rPr>
          <w:rFonts w:hint="eastAsia" w:ascii="仿宋" w:hAnsi="仿宋" w:eastAsia="仿宋" w:cs="仿宋"/>
          <w:color w:val="auto"/>
          <w:szCs w:val="21"/>
          <w:highlight w:val="none"/>
        </w:rPr>
        <w:t>。</w:t>
      </w:r>
    </w:p>
    <w:p w14:paraId="646C693B">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7E7026C8">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权利瑕疵担保</w:t>
      </w:r>
    </w:p>
    <w:p w14:paraId="4B9A5BE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.1 乙方保证对其出售的货物享有合法的权利。</w:t>
      </w:r>
    </w:p>
    <w:p w14:paraId="7ED1D98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 xml:space="preserve">.2 </w:t>
      </w:r>
      <w:r>
        <w:rPr>
          <w:rFonts w:hint="eastAsia" w:ascii="仿宋" w:hAnsi="仿宋" w:eastAsia="仿宋" w:cs="仿宋"/>
          <w:color w:val="auto"/>
          <w:szCs w:val="15"/>
        </w:rPr>
        <w:t>乙方保证在交付的货物上不存在抵押权等担保物权。</w:t>
      </w:r>
    </w:p>
    <w:p w14:paraId="392514E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.3 如甲方使用</w:t>
      </w:r>
      <w:r>
        <w:rPr>
          <w:rFonts w:hint="eastAsia" w:ascii="仿宋" w:hAnsi="仿宋" w:eastAsia="仿宋" w:cs="仿宋"/>
          <w:color w:val="auto"/>
          <w:szCs w:val="21"/>
          <w:highlight w:val="none"/>
          <w:lang w:val="en-US" w:eastAsia="zh-CN"/>
        </w:rPr>
        <w:t>上述</w:t>
      </w:r>
      <w:r>
        <w:rPr>
          <w:rFonts w:hint="eastAsia" w:ascii="仿宋" w:hAnsi="仿宋" w:eastAsia="仿宋" w:cs="仿宋"/>
          <w:color w:val="auto"/>
          <w:szCs w:val="21"/>
          <w:highlight w:val="none"/>
        </w:rPr>
        <w:t>货物构成</w:t>
      </w:r>
      <w:r>
        <w:rPr>
          <w:rFonts w:hint="eastAsia" w:ascii="仿宋" w:hAnsi="仿宋" w:eastAsia="仿宋" w:cs="仿宋"/>
          <w:color w:val="auto"/>
          <w:szCs w:val="21"/>
          <w:highlight w:val="none"/>
          <w:lang w:val="en-US" w:eastAsia="zh-CN"/>
        </w:rPr>
        <w:t>对第三人</w:t>
      </w:r>
      <w:r>
        <w:rPr>
          <w:rFonts w:hint="eastAsia" w:ascii="仿宋" w:hAnsi="仿宋" w:eastAsia="仿宋" w:cs="仿宋"/>
          <w:color w:val="auto"/>
          <w:szCs w:val="21"/>
          <w:highlight w:val="none"/>
        </w:rPr>
        <w:t>侵权的，则由乙方承担全部责任。</w:t>
      </w:r>
    </w:p>
    <w:p w14:paraId="0A999FC2">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知识产权保护</w:t>
      </w:r>
    </w:p>
    <w:p w14:paraId="2E42E32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0</w:t>
      </w:r>
      <w:r>
        <w:rPr>
          <w:rFonts w:hint="eastAsia" w:ascii="仿宋" w:hAnsi="仿宋" w:eastAsia="仿宋" w:cs="仿宋"/>
          <w:color w:val="auto"/>
          <w:szCs w:val="21"/>
          <w:highlight w:val="none"/>
        </w:rPr>
        <w:t>.1 乙方对其所销售的货物应当享有知识产权或经权利人合法授权，保证没有侵犯任何第三人的知识产权等权利。</w:t>
      </w:r>
      <w:bookmarkStart w:id="52" w:name="_Hlk163047038"/>
      <w:r>
        <w:rPr>
          <w:rFonts w:hint="eastAsia" w:ascii="仿宋" w:hAnsi="仿宋" w:eastAsia="仿宋" w:cs="仿宋"/>
          <w:color w:val="auto"/>
          <w:szCs w:val="15"/>
        </w:rPr>
        <w:t>因违反前述约定对第三人构成侵权的，应当由乙方向第三人承担法律责任；甲方依法向第三人赔偿后，有权向乙方追偿。甲方有其他损失的，乙方应当赔偿</w:t>
      </w:r>
      <w:bookmarkEnd w:id="52"/>
      <w:r>
        <w:rPr>
          <w:rFonts w:hint="eastAsia" w:ascii="仿宋" w:hAnsi="仿宋" w:eastAsia="仿宋" w:cs="仿宋"/>
          <w:color w:val="auto"/>
          <w:szCs w:val="21"/>
          <w:highlight w:val="none"/>
        </w:rPr>
        <w:t>。</w:t>
      </w:r>
    </w:p>
    <w:p w14:paraId="1E36AA6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65B616C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15"/>
        </w:rPr>
      </w:pPr>
      <w:r>
        <w:rPr>
          <w:rFonts w:hint="eastAsia" w:ascii="仿宋" w:hAnsi="仿宋" w:eastAsia="仿宋" w:cs="仿宋"/>
          <w:color w:val="auto"/>
          <w:szCs w:val="15"/>
          <w:lang w:val="en-US" w:eastAsia="zh-CN"/>
        </w:rPr>
        <w:t xml:space="preserve">11.1 </w:t>
      </w:r>
      <w:r>
        <w:rPr>
          <w:rFonts w:hint="eastAsia" w:ascii="仿宋" w:hAnsi="仿宋" w:eastAsia="仿宋" w:cs="仿宋"/>
          <w:color w:val="auto"/>
          <w:szCs w:val="15"/>
        </w:rPr>
        <w:t>甲、乙双方</w:t>
      </w:r>
      <w:r>
        <w:rPr>
          <w:rFonts w:hint="eastAsia" w:ascii="仿宋" w:hAnsi="仿宋" w:eastAsia="仿宋" w:cs="仿宋"/>
          <w:color w:val="auto"/>
          <w:szCs w:val="15"/>
          <w:lang w:eastAsia="zh-CN"/>
        </w:rPr>
        <w:t>对</w:t>
      </w:r>
      <w:r>
        <w:rPr>
          <w:rFonts w:hint="eastAsia" w:ascii="仿宋" w:hAnsi="仿宋" w:eastAsia="仿宋" w:cs="仿宋"/>
          <w:color w:val="auto"/>
          <w:szCs w:val="15"/>
        </w:rPr>
        <w:t>采购和合同履行过程中所获悉的</w:t>
      </w:r>
      <w:r>
        <w:rPr>
          <w:rFonts w:hint="eastAsia" w:ascii="仿宋" w:hAnsi="仿宋" w:eastAsia="仿宋" w:cs="仿宋"/>
          <w:color w:val="auto"/>
          <w:szCs w:val="15"/>
          <w:lang w:eastAsia="zh-CN"/>
        </w:rPr>
        <w:t>国家秘密、工作秘密、</w:t>
      </w:r>
      <w:r>
        <w:rPr>
          <w:rFonts w:hint="eastAsia" w:ascii="仿宋" w:hAnsi="仿宋" w:eastAsia="仿宋" w:cs="仿宋"/>
          <w:color w:val="auto"/>
          <w:szCs w:val="15"/>
        </w:rPr>
        <w:t>商业秘密或者其他应当保密的信息，均有保密义务</w:t>
      </w:r>
      <w:r>
        <w:rPr>
          <w:rFonts w:hint="eastAsia" w:ascii="仿宋" w:hAnsi="仿宋" w:eastAsia="仿宋" w:cs="仿宋"/>
          <w:color w:val="auto"/>
          <w:szCs w:val="15"/>
          <w:lang w:eastAsia="zh-CN"/>
        </w:rPr>
        <w:t>且不受合同有效期所限，直至该信息成为公开信息</w:t>
      </w:r>
      <w:r>
        <w:rPr>
          <w:rFonts w:hint="eastAsia" w:ascii="仿宋" w:hAnsi="仿宋" w:eastAsia="仿宋" w:cs="仿宋"/>
          <w:color w:val="auto"/>
          <w:szCs w:val="15"/>
        </w:rPr>
        <w:t>。泄露、不正当地使用</w:t>
      </w:r>
      <w:r>
        <w:rPr>
          <w:rFonts w:hint="eastAsia" w:ascii="仿宋" w:hAnsi="仿宋" w:eastAsia="仿宋" w:cs="仿宋"/>
          <w:color w:val="auto"/>
          <w:szCs w:val="15"/>
          <w:lang w:eastAsia="zh-CN"/>
        </w:rPr>
        <w:t>国家秘密、工作秘密、</w:t>
      </w:r>
      <w:r>
        <w:rPr>
          <w:rFonts w:hint="eastAsia" w:ascii="仿宋" w:hAnsi="仿宋" w:eastAsia="仿宋" w:cs="仿宋"/>
          <w:color w:val="auto"/>
          <w:szCs w:val="15"/>
        </w:rPr>
        <w:t>商业秘密或者</w:t>
      </w:r>
      <w:r>
        <w:rPr>
          <w:rFonts w:hint="eastAsia" w:ascii="仿宋" w:hAnsi="仿宋" w:eastAsia="仿宋" w:cs="仿宋"/>
          <w:color w:val="auto"/>
          <w:szCs w:val="15"/>
          <w:lang w:eastAsia="zh-CN"/>
        </w:rPr>
        <w:t>其他应当保密的</w:t>
      </w:r>
      <w:r>
        <w:rPr>
          <w:rFonts w:hint="eastAsia" w:ascii="仿宋" w:hAnsi="仿宋" w:eastAsia="仿宋" w:cs="仿宋"/>
          <w:color w:val="auto"/>
          <w:szCs w:val="15"/>
        </w:rPr>
        <w:t>信息，应当承担</w:t>
      </w:r>
      <w:r>
        <w:rPr>
          <w:rFonts w:hint="eastAsia" w:ascii="仿宋" w:hAnsi="仿宋" w:eastAsia="仿宋" w:cs="仿宋"/>
          <w:color w:val="auto"/>
          <w:szCs w:val="15"/>
          <w:lang w:eastAsia="zh-CN"/>
        </w:rPr>
        <w:t>相应</w:t>
      </w:r>
      <w:r>
        <w:rPr>
          <w:rFonts w:hint="eastAsia" w:ascii="仿宋" w:hAnsi="仿宋" w:eastAsia="仿宋" w:cs="仿宋"/>
          <w:color w:val="auto"/>
          <w:szCs w:val="15"/>
        </w:rPr>
        <w:t>责任。其他应当保密的信息由双方在</w:t>
      </w:r>
      <w:r>
        <w:rPr>
          <w:rFonts w:hint="eastAsia" w:ascii="仿宋" w:hAnsi="仿宋" w:eastAsia="仿宋" w:cs="仿宋"/>
          <w:b/>
          <w:bCs/>
          <w:color w:val="auto"/>
          <w:szCs w:val="15"/>
        </w:rPr>
        <w:t>【政府采购合同专用条款】</w:t>
      </w:r>
      <w:r>
        <w:rPr>
          <w:rFonts w:hint="eastAsia" w:ascii="仿宋" w:hAnsi="仿宋" w:eastAsia="仿宋" w:cs="仿宋"/>
          <w:color w:val="auto"/>
          <w:szCs w:val="15"/>
        </w:rPr>
        <w:t>中约定。</w:t>
      </w:r>
    </w:p>
    <w:p w14:paraId="20894FC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3BF442E3">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493DDD2D">
      <w:pPr>
        <w:pStyle w:val="3"/>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66CDE39C">
      <w:pPr>
        <w:pStyle w:val="1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7487FD7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15"/>
        </w:rPr>
        <w:t>乙方应当以支票、汇票、本票或者金融机构、担保机构出具的保函等非现金形式提交。</w:t>
      </w:r>
    </w:p>
    <w:p w14:paraId="2C9D59E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color w:val="auto"/>
          <w:szCs w:val="15"/>
          <w:highlight w:val="none"/>
        </w:rPr>
        <w:t>【政府采购合同专用条款】</w:t>
      </w:r>
      <w:r>
        <w:rPr>
          <w:rFonts w:hint="eastAsia" w:ascii="仿宋" w:hAnsi="仿宋" w:eastAsia="仿宋" w:cs="仿宋"/>
          <w:b w:val="0"/>
          <w:bCs w:val="0"/>
          <w:color w:val="auto"/>
          <w:szCs w:val="15"/>
          <w:highlight w:val="none"/>
          <w:lang w:eastAsia="zh-CN"/>
        </w:rPr>
        <w:t>约定</w:t>
      </w:r>
      <w:r>
        <w:rPr>
          <w:rFonts w:hint="eastAsia" w:ascii="仿宋" w:hAnsi="仿宋" w:eastAsia="仿宋" w:cs="仿宋"/>
          <w:b w:val="0"/>
          <w:bCs w:val="0"/>
          <w:color w:val="auto"/>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4AE13E8F">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10AEB1A4">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6A5B574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456A1A5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5DE32C9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4370A6B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5A37269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color w:val="auto"/>
          <w:szCs w:val="15"/>
          <w:lang w:eastAsia="zh-CN"/>
        </w:rPr>
        <w:t>；</w:t>
      </w:r>
    </w:p>
    <w:p w14:paraId="365898AC">
      <w:pPr>
        <w:pStyle w:val="78"/>
        <w:rPr>
          <w:rFonts w:hint="eastAsia" w:ascii="仿宋" w:hAnsi="仿宋" w:eastAsia="仿宋" w:cs="仿宋"/>
          <w:color w:val="auto"/>
          <w:sz w:val="21"/>
          <w:szCs w:val="21"/>
        </w:rPr>
      </w:pPr>
      <w:r>
        <w:rPr>
          <w:rFonts w:hint="eastAsia" w:ascii="仿宋" w:hAnsi="仿宋" w:eastAsia="仿宋" w:cs="仿宋"/>
          <w:color w:val="auto"/>
          <w:sz w:val="21"/>
          <w:szCs w:val="21"/>
        </w:rPr>
        <w:t>（5）依照法律、行政法规的规定或者按照</w:t>
      </w:r>
      <w:r>
        <w:rPr>
          <w:rFonts w:hint="eastAsia" w:ascii="仿宋" w:hAnsi="仿宋" w:eastAsia="仿宋" w:cs="仿宋"/>
          <w:b/>
          <w:bCs/>
          <w:color w:val="auto"/>
          <w:sz w:val="21"/>
          <w:szCs w:val="21"/>
        </w:rPr>
        <w:t>【政府采购合同专用条款】</w:t>
      </w:r>
      <w:r>
        <w:rPr>
          <w:rFonts w:hint="eastAsia" w:ascii="仿宋" w:hAnsi="仿宋" w:eastAsia="仿宋" w:cs="仿宋"/>
          <w:color w:val="auto"/>
          <w:sz w:val="21"/>
          <w:szCs w:val="21"/>
        </w:rPr>
        <w:t>约定，货物在有效使用年限届满后应予回收的，乙方负有自行或者委托第三人对货物予以回收的义务；</w:t>
      </w:r>
    </w:p>
    <w:p w14:paraId="6889B7F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5187E25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76FD5055">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128E2F5C">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61E163B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59264659">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37867A7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7F8640C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1007BCF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109E96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4D6AB7C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7DCBB3B5">
      <w:pPr>
        <w:numPr>
          <w:ilvl w:val="0"/>
          <w:numId w:val="9"/>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544889B1">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6BBC0B2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6555136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4FA997E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7E5E7B1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273C0852">
      <w:pPr>
        <w:pStyle w:val="78"/>
        <w:jc w:val="both"/>
        <w:rPr>
          <w:rFonts w:hint="eastAsia" w:ascii="仿宋" w:hAnsi="仿宋" w:eastAsia="仿宋" w:cs="仿宋"/>
          <w:color w:val="auto"/>
          <w:sz w:val="21"/>
        </w:rPr>
      </w:pPr>
      <w:r>
        <w:rPr>
          <w:rFonts w:hint="eastAsia" w:ascii="仿宋" w:hAnsi="仿宋" w:eastAsia="仿宋" w:cs="仿宋"/>
          <w:color w:val="auto"/>
          <w:sz w:val="21"/>
        </w:rPr>
        <w:t>（3）乙方分立、合并或者变更住所的，应当及时以书面形式告知甲方。乙方没有</w:t>
      </w:r>
      <w:r>
        <w:rPr>
          <w:rFonts w:hint="eastAsia" w:ascii="仿宋" w:hAnsi="仿宋" w:eastAsia="仿宋" w:cs="仿宋"/>
          <w:color w:val="auto"/>
          <w:sz w:val="21"/>
          <w:lang w:eastAsia="zh-CN"/>
        </w:rPr>
        <w:t>及时告知</w:t>
      </w:r>
      <w:r>
        <w:rPr>
          <w:rFonts w:hint="eastAsia" w:ascii="仿宋" w:hAnsi="仿宋" w:eastAsia="仿宋" w:cs="仿宋"/>
          <w:color w:val="auto"/>
          <w:sz w:val="21"/>
        </w:rPr>
        <w:t>甲方，致使</w:t>
      </w:r>
      <w:r>
        <w:rPr>
          <w:rFonts w:hint="eastAsia" w:ascii="仿宋" w:hAnsi="仿宋" w:eastAsia="仿宋" w:cs="仿宋"/>
          <w:color w:val="auto"/>
          <w:sz w:val="21"/>
          <w:lang w:eastAsia="zh-CN"/>
        </w:rPr>
        <w:t>合同</w:t>
      </w:r>
      <w:r>
        <w:rPr>
          <w:rFonts w:hint="eastAsia" w:ascii="仿宋" w:hAnsi="仿宋" w:eastAsia="仿宋" w:cs="仿宋"/>
          <w:color w:val="auto"/>
          <w:sz w:val="21"/>
        </w:rPr>
        <w:t>履行发生困难的，甲方可以中止合同履行并要求乙方承担由此给甲方造成的损失。</w:t>
      </w:r>
    </w:p>
    <w:p w14:paraId="14E772E7">
      <w:pPr>
        <w:snapToGrid w:val="0"/>
        <w:spacing w:line="400" w:lineRule="exact"/>
        <w:ind w:firstLine="420" w:firstLineChars="200"/>
        <w:jc w:val="left"/>
        <w:rPr>
          <w:rFonts w:hint="eastAsia" w:ascii="仿宋" w:hAnsi="仿宋" w:eastAsia="仿宋" w:cs="仿宋"/>
          <w:color w:val="auto"/>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6D600FE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08955D6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513B6BFA">
      <w:pPr>
        <w:snapToGrid w:val="0"/>
        <w:spacing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rPr>
        <w:t>并追究乙方的违约责</w:t>
      </w:r>
      <w:r>
        <w:rPr>
          <w:rFonts w:hint="eastAsia" w:ascii="仿宋" w:hAnsi="仿宋" w:eastAsia="仿宋" w:cs="仿宋"/>
          <w:color w:val="auto"/>
          <w:szCs w:val="21"/>
          <w:lang w:val="en-US" w:eastAsia="zh-CN"/>
        </w:rPr>
        <w:t>任</w:t>
      </w:r>
      <w:r>
        <w:rPr>
          <w:rFonts w:hint="eastAsia" w:ascii="仿宋" w:hAnsi="仿宋" w:eastAsia="仿宋" w:cs="仿宋"/>
          <w:color w:val="auto"/>
          <w:szCs w:val="21"/>
          <w:highlight w:val="none"/>
        </w:rPr>
        <w:t>。</w:t>
      </w:r>
    </w:p>
    <w:p w14:paraId="4126C1FC">
      <w:pPr>
        <w:pStyle w:val="78"/>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755FA9ED">
      <w:pPr>
        <w:pStyle w:val="78"/>
        <w:jc w:val="both"/>
        <w:rPr>
          <w:rFonts w:hint="eastAsia" w:ascii="仿宋" w:hAnsi="仿宋" w:eastAsia="仿宋" w:cs="仿宋"/>
          <w:color w:val="auto"/>
          <w:sz w:val="21"/>
        </w:rPr>
      </w:pPr>
      <w:r>
        <w:rPr>
          <w:rFonts w:hint="eastAsia" w:ascii="仿宋" w:hAnsi="仿宋" w:eastAsia="仿宋" w:cs="仿宋"/>
          <w:color w:val="auto"/>
          <w:sz w:val="21"/>
        </w:rPr>
        <w:t>政府采购合同继续履行将损害国家利益和社会公共利益的，双方当事人</w:t>
      </w:r>
      <w:r>
        <w:rPr>
          <w:rFonts w:hint="eastAsia" w:ascii="仿宋" w:hAnsi="仿宋" w:eastAsia="仿宋" w:cs="仿宋"/>
          <w:color w:val="auto"/>
          <w:sz w:val="21"/>
          <w:highlight w:val="none"/>
          <w:lang w:val="en-US" w:eastAsia="zh-CN"/>
        </w:rPr>
        <w:t>应当变更、</w:t>
      </w:r>
      <w:r>
        <w:rPr>
          <w:rFonts w:hint="eastAsia" w:ascii="仿宋" w:hAnsi="仿宋" w:eastAsia="仿宋" w:cs="仿宋"/>
          <w:color w:val="auto"/>
          <w:sz w:val="21"/>
        </w:rPr>
        <w:t>中止</w:t>
      </w:r>
      <w:r>
        <w:rPr>
          <w:rFonts w:hint="eastAsia" w:ascii="仿宋" w:hAnsi="仿宋" w:eastAsia="仿宋" w:cs="仿宋"/>
          <w:color w:val="auto"/>
          <w:sz w:val="21"/>
          <w:lang w:eastAsia="zh-CN"/>
        </w:rPr>
        <w:t>或者终止</w:t>
      </w:r>
      <w:r>
        <w:rPr>
          <w:rFonts w:hint="eastAsia" w:ascii="仿宋" w:hAnsi="仿宋" w:eastAsia="仿宋" w:cs="仿宋"/>
          <w:color w:val="auto"/>
          <w:sz w:val="21"/>
        </w:rPr>
        <w:t>合同。有过错的一方应当承担赔偿责任，双方都有过错的，各自承担相应的责任。</w:t>
      </w:r>
    </w:p>
    <w:p w14:paraId="35C302B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02388C1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47AC9A7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2535EEE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6F61729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49566FC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1D66C36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241C550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0B099BF5">
      <w:pPr>
        <w:pStyle w:val="78"/>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.1 因本合同及合同有关事项发生的争议，由</w:t>
      </w:r>
      <w:r>
        <w:rPr>
          <w:rFonts w:hint="eastAsia" w:ascii="仿宋" w:hAnsi="仿宋" w:eastAsia="仿宋" w:cs="仿宋"/>
          <w:color w:val="auto"/>
          <w:sz w:val="21"/>
          <w:lang w:eastAsia="zh-CN"/>
        </w:rPr>
        <w:t>甲乙双</w:t>
      </w:r>
      <w:r>
        <w:rPr>
          <w:rFonts w:hint="eastAsia" w:ascii="仿宋" w:hAnsi="仿宋" w:eastAsia="仿宋" w:cs="仿宋"/>
          <w:color w:val="auto"/>
          <w:sz w:val="21"/>
        </w:rPr>
        <w:t>方友好协商解决。协商不成时，可以</w:t>
      </w:r>
      <w:r>
        <w:rPr>
          <w:rFonts w:hint="eastAsia" w:ascii="仿宋" w:hAnsi="仿宋" w:eastAsia="仿宋" w:cs="仿宋"/>
          <w:color w:val="auto"/>
          <w:sz w:val="21"/>
          <w:lang w:eastAsia="zh-CN"/>
        </w:rPr>
        <w:t>向有关组织申请</w:t>
      </w:r>
      <w:r>
        <w:rPr>
          <w:rFonts w:hint="eastAsia" w:ascii="仿宋" w:hAnsi="仿宋" w:eastAsia="仿宋" w:cs="仿宋"/>
          <w:color w:val="auto"/>
          <w:sz w:val="21"/>
        </w:rPr>
        <w:t>调解。合同一方或</w:t>
      </w:r>
      <w:r>
        <w:rPr>
          <w:rFonts w:hint="eastAsia" w:ascii="仿宋" w:hAnsi="仿宋" w:eastAsia="仿宋" w:cs="仿宋"/>
          <w:color w:val="auto"/>
          <w:sz w:val="21"/>
          <w:lang w:eastAsia="zh-CN"/>
        </w:rPr>
        <w:t>双</w:t>
      </w:r>
      <w:r>
        <w:rPr>
          <w:rFonts w:hint="eastAsia" w:ascii="仿宋" w:hAnsi="仿宋" w:eastAsia="仿宋" w:cs="仿宋"/>
          <w:color w:val="auto"/>
          <w:sz w:val="21"/>
        </w:rPr>
        <w:t>方不愿调解或调解不成的，可以通过仲裁或诉讼的方式解决争议。</w:t>
      </w:r>
    </w:p>
    <w:p w14:paraId="0010BF09">
      <w:pPr>
        <w:pStyle w:val="78"/>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rPr>
        <w:t>中进一步约定选择与争议有实际联系的地点的人民法院管辖，但管辖法院的约定不得违反级别管辖和专属管辖的规定。</w:t>
      </w:r>
    </w:p>
    <w:p w14:paraId="5F78940F">
      <w:pPr>
        <w:pStyle w:val="78"/>
        <w:jc w:val="both"/>
        <w:rPr>
          <w:rFonts w:hint="eastAsia" w:ascii="仿宋" w:hAnsi="仿宋" w:eastAsia="仿宋" w:cs="仿宋"/>
          <w:color w:val="auto"/>
          <w:sz w:val="21"/>
        </w:rPr>
      </w:pPr>
      <w:r>
        <w:rPr>
          <w:rFonts w:hint="eastAsia" w:ascii="仿宋" w:hAnsi="仿宋" w:eastAsia="仿宋" w:cs="仿宋"/>
          <w:color w:val="auto"/>
          <w:sz w:val="21"/>
          <w:lang w:val="en-US" w:eastAsia="zh-CN"/>
        </w:rPr>
        <w:t>19</w:t>
      </w:r>
      <w:r>
        <w:rPr>
          <w:rFonts w:hint="eastAsia" w:ascii="仿宋" w:hAnsi="仿宋" w:eastAsia="仿宋" w:cs="仿宋"/>
          <w:color w:val="auto"/>
          <w:sz w:val="21"/>
        </w:rPr>
        <w:t>.3 如</w:t>
      </w:r>
      <w:r>
        <w:rPr>
          <w:rFonts w:hint="eastAsia" w:ascii="仿宋" w:hAnsi="仿宋" w:eastAsia="仿宋" w:cs="仿宋"/>
          <w:color w:val="auto"/>
          <w:sz w:val="21"/>
          <w:lang w:eastAsia="zh-CN"/>
        </w:rPr>
        <w:t>甲乙双方</w:t>
      </w:r>
      <w:r>
        <w:rPr>
          <w:rFonts w:hint="eastAsia" w:ascii="仿宋" w:hAnsi="仿宋" w:eastAsia="仿宋" w:cs="仿宋"/>
          <w:color w:val="auto"/>
          <w:sz w:val="21"/>
        </w:rPr>
        <w:t>有争议的事项不影响合同其他部分的履行，在争议解决期间，合同其他部分应</w:t>
      </w:r>
      <w:r>
        <w:rPr>
          <w:rFonts w:hint="eastAsia" w:ascii="仿宋" w:hAnsi="仿宋" w:eastAsia="仿宋" w:cs="仿宋"/>
          <w:color w:val="auto"/>
          <w:sz w:val="21"/>
          <w:lang w:eastAsia="zh-CN"/>
        </w:rPr>
        <w:t>当</w:t>
      </w:r>
      <w:r>
        <w:rPr>
          <w:rFonts w:hint="eastAsia" w:ascii="仿宋" w:hAnsi="仿宋" w:eastAsia="仿宋" w:cs="仿宋"/>
          <w:color w:val="auto"/>
          <w:sz w:val="21"/>
        </w:rPr>
        <w:t>继续履行。</w:t>
      </w:r>
    </w:p>
    <w:p w14:paraId="1AF50C0B">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71DF698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color w:val="auto"/>
          <w:lang w:val="en-GB"/>
        </w:rPr>
        <w:t>本合同应当按照规定执行政府采购政策。</w:t>
      </w:r>
    </w:p>
    <w:p w14:paraId="132889F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color w:val="auto"/>
          <w:sz w:val="21"/>
          <w:lang w:eastAsia="zh-CN"/>
        </w:rPr>
        <w:t>甲乙双方</w:t>
      </w:r>
      <w:r>
        <w:rPr>
          <w:rFonts w:hint="eastAsia" w:ascii="仿宋" w:hAnsi="仿宋" w:eastAsia="仿宋" w:cs="仿宋"/>
          <w:color w:val="auto"/>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576B6EC4">
      <w:pPr>
        <w:pStyle w:val="12"/>
        <w:spacing w:after="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6B76D5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5B3767E5">
      <w:pPr>
        <w:pStyle w:val="78"/>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1</w:t>
      </w:r>
      <w:r>
        <w:rPr>
          <w:rFonts w:hint="eastAsia" w:ascii="仿宋" w:hAnsi="仿宋" w:eastAsia="仿宋" w:cs="仿宋"/>
          <w:color w:val="auto"/>
          <w:sz w:val="21"/>
        </w:rPr>
        <w:t>.1 本合同的订立、生效、解释、履行及与本合同有关的争议解决，均适用法律、行政法规。</w:t>
      </w:r>
    </w:p>
    <w:p w14:paraId="145AB294">
      <w:pPr>
        <w:pStyle w:val="78"/>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1</w:t>
      </w:r>
      <w:r>
        <w:rPr>
          <w:rFonts w:hint="eastAsia" w:ascii="仿宋" w:hAnsi="仿宋" w:eastAsia="仿宋" w:cs="仿宋"/>
          <w:color w:val="auto"/>
          <w:sz w:val="21"/>
        </w:rPr>
        <w:t>.2 本合同条款与法律、行政法规的强制性规定不一致的，双方当事人应按照法律、行政法规的强制性规定修改本合同的相关条款。</w:t>
      </w:r>
    </w:p>
    <w:p w14:paraId="30356AF2">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3E278975">
      <w:pPr>
        <w:pStyle w:val="78"/>
        <w:jc w:val="both"/>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color w:val="auto"/>
          <w:sz w:val="21"/>
          <w:lang w:val="en-US" w:eastAsia="zh-CN"/>
        </w:rPr>
        <w:t>2</w:t>
      </w:r>
      <w:r>
        <w:rPr>
          <w:rFonts w:hint="eastAsia" w:ascii="仿宋" w:hAnsi="仿宋" w:eastAsia="仿宋" w:cs="仿宋"/>
          <w:color w:val="auto"/>
          <w:sz w:val="21"/>
        </w:rPr>
        <w:t>.1</w:t>
      </w: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本合同任何一方向对方发出的通知、信件、数据电文等，应当发送至本合同第一部分《政府采购合同协议书》所约定的通讯地址、联系人、联系电话或电子邮箱。</w:t>
      </w:r>
    </w:p>
    <w:p w14:paraId="3A925AFB">
      <w:pPr>
        <w:pStyle w:val="78"/>
        <w:ind w:firstLine="0" w:firstLineChars="0"/>
        <w:jc w:val="both"/>
        <w:rPr>
          <w:rFonts w:hint="eastAsia" w:ascii="仿宋" w:hAnsi="仿宋" w:eastAsia="仿宋" w:cs="仿宋"/>
          <w:color w:val="auto"/>
          <w:sz w:val="21"/>
        </w:rPr>
      </w:pP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2</w:t>
      </w:r>
      <w:r>
        <w:rPr>
          <w:rFonts w:hint="eastAsia" w:ascii="仿宋" w:hAnsi="仿宋" w:eastAsia="仿宋" w:cs="仿宋"/>
          <w:color w:val="auto"/>
          <w:sz w:val="21"/>
          <w:lang w:val="en-US" w:eastAsia="zh-CN"/>
        </w:rPr>
        <w:t>2</w:t>
      </w:r>
      <w:r>
        <w:rPr>
          <w:rFonts w:hint="eastAsia" w:ascii="仿宋" w:hAnsi="仿宋" w:eastAsia="仿宋" w:cs="仿宋"/>
          <w:color w:val="auto"/>
          <w:sz w:val="21"/>
        </w:rPr>
        <w:t>.2</w:t>
      </w: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rPr>
        <w:t>一方当事人变更名称、</w:t>
      </w:r>
      <w:r>
        <w:rPr>
          <w:rFonts w:hint="eastAsia" w:ascii="仿宋" w:hAnsi="仿宋" w:eastAsia="仿宋" w:cs="仿宋"/>
          <w:color w:val="auto"/>
          <w:sz w:val="21"/>
          <w:lang w:eastAsia="zh-CN"/>
        </w:rPr>
        <w:t>住所</w:t>
      </w:r>
      <w:r>
        <w:rPr>
          <w:rFonts w:hint="eastAsia" w:ascii="仿宋" w:hAnsi="仿宋" w:eastAsia="仿宋" w:cs="仿宋"/>
          <w:color w:val="auto"/>
          <w:sz w:val="21"/>
        </w:rPr>
        <w:t>、联系人、联系电话或电子邮箱</w:t>
      </w:r>
      <w:r>
        <w:rPr>
          <w:rFonts w:hint="eastAsia" w:ascii="仿宋" w:hAnsi="仿宋" w:eastAsia="仿宋" w:cs="仿宋"/>
          <w:color w:val="auto"/>
          <w:sz w:val="21"/>
          <w:lang w:eastAsia="zh-CN"/>
        </w:rPr>
        <w:t>等信息</w:t>
      </w:r>
      <w:r>
        <w:rPr>
          <w:rFonts w:hint="eastAsia" w:ascii="仿宋" w:hAnsi="仿宋" w:eastAsia="仿宋" w:cs="仿宋"/>
          <w:color w:val="auto"/>
          <w:sz w:val="21"/>
        </w:rPr>
        <w:t>的，应当在变更后3日内及时书面通知对方，对方实际收到变更通知前的送达仍为有效送达。</w:t>
      </w:r>
    </w:p>
    <w:p w14:paraId="2752F1E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289DC5C5">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657F63DB">
      <w:pPr>
        <w:numPr>
          <w:ilvl w:val="0"/>
          <w:numId w:val="10"/>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5A0CBA0E">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696B4618">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53" w:name="_Toc20313"/>
    </w:p>
    <w:p w14:paraId="504F3BC8">
      <w:pPr>
        <w:adjustRightInd w:val="0"/>
        <w:snapToGrid w:val="0"/>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br w:type="page"/>
      </w:r>
    </w:p>
    <w:p w14:paraId="2FB75F3B">
      <w:pPr>
        <w:pStyle w:val="3"/>
        <w:adjustRightInd w:val="0"/>
        <w:snapToGrid w:val="0"/>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第三节 政府采购合同专用条款</w:t>
      </w:r>
      <w:bookmarkEnd w:id="53"/>
    </w:p>
    <w:tbl>
      <w:tblPr>
        <w:tblStyle w:val="22"/>
        <w:tblW w:w="9572" w:type="dxa"/>
        <w:tblInd w:w="-1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86"/>
        <w:gridCol w:w="2141"/>
        <w:gridCol w:w="5045"/>
      </w:tblGrid>
      <w:tr w14:paraId="40862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1CBE465">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53F5EB6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第1.2（</w:t>
            </w:r>
            <w:r>
              <w:rPr>
                <w:rFonts w:hint="eastAsia" w:ascii="仿宋" w:hAnsi="仿宋" w:eastAsia="仿宋" w:cs="仿宋"/>
                <w:color w:val="auto"/>
                <w:szCs w:val="21"/>
                <w:lang w:val="en-US" w:eastAsia="zh-CN"/>
              </w:rPr>
              <w:t>6</w:t>
            </w:r>
            <w:r>
              <w:rPr>
                <w:rFonts w:hint="eastAsia" w:ascii="仿宋" w:hAnsi="仿宋" w:eastAsia="仿宋" w:cs="仿宋"/>
                <w:color w:val="auto"/>
                <w:szCs w:val="21"/>
              </w:rPr>
              <w:t>）项</w:t>
            </w:r>
          </w:p>
        </w:tc>
        <w:tc>
          <w:tcPr>
            <w:tcW w:w="2141" w:type="dxa"/>
            <w:noWrap w:val="0"/>
            <w:vAlign w:val="center"/>
          </w:tcPr>
          <w:p w14:paraId="0DDAB587">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lang w:eastAsia="zh-CN"/>
              </w:rPr>
              <w:t>联合体具体要求</w:t>
            </w:r>
          </w:p>
        </w:tc>
        <w:tc>
          <w:tcPr>
            <w:tcW w:w="5045" w:type="dxa"/>
            <w:noWrap w:val="0"/>
            <w:vAlign w:val="center"/>
          </w:tcPr>
          <w:p w14:paraId="62D24AA6">
            <w:pPr>
              <w:adjustRightInd w:val="0"/>
              <w:snapToGrid w:val="0"/>
              <w:jc w:val="left"/>
              <w:rPr>
                <w:rFonts w:hint="eastAsia" w:ascii="仿宋" w:hAnsi="仿宋" w:eastAsia="仿宋" w:cs="仿宋"/>
                <w:color w:val="auto"/>
                <w:szCs w:val="21"/>
              </w:rPr>
            </w:pPr>
          </w:p>
        </w:tc>
      </w:tr>
      <w:tr w14:paraId="55DF4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386" w:type="dxa"/>
            <w:noWrap w:val="0"/>
            <w:vAlign w:val="center"/>
          </w:tcPr>
          <w:p w14:paraId="28872F35">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B6369DF">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第1.2（</w:t>
            </w:r>
            <w:r>
              <w:rPr>
                <w:rFonts w:hint="eastAsia" w:ascii="仿宋" w:hAnsi="仿宋" w:eastAsia="仿宋" w:cs="仿宋"/>
                <w:color w:val="auto"/>
                <w:szCs w:val="21"/>
                <w:lang w:val="en-US" w:eastAsia="zh-CN"/>
              </w:rPr>
              <w:t>7</w:t>
            </w:r>
            <w:r>
              <w:rPr>
                <w:rFonts w:hint="eastAsia" w:ascii="仿宋" w:hAnsi="仿宋" w:eastAsia="仿宋" w:cs="仿宋"/>
                <w:color w:val="auto"/>
                <w:szCs w:val="21"/>
              </w:rPr>
              <w:t>）项</w:t>
            </w:r>
          </w:p>
        </w:tc>
        <w:tc>
          <w:tcPr>
            <w:tcW w:w="2141" w:type="dxa"/>
            <w:noWrap w:val="0"/>
            <w:vAlign w:val="center"/>
          </w:tcPr>
          <w:p w14:paraId="68EC5732">
            <w:pPr>
              <w:adjustRightInd w:val="0"/>
              <w:snapToGrid w:val="0"/>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其他术语解释</w:t>
            </w:r>
          </w:p>
        </w:tc>
        <w:tc>
          <w:tcPr>
            <w:tcW w:w="5045" w:type="dxa"/>
            <w:noWrap w:val="0"/>
            <w:vAlign w:val="center"/>
          </w:tcPr>
          <w:p w14:paraId="4352EBED">
            <w:pPr>
              <w:adjustRightInd w:val="0"/>
              <w:snapToGrid w:val="0"/>
              <w:jc w:val="left"/>
              <w:rPr>
                <w:rFonts w:hint="eastAsia" w:ascii="仿宋" w:hAnsi="仿宋" w:eastAsia="仿宋" w:cs="仿宋"/>
                <w:color w:val="auto"/>
                <w:kern w:val="2"/>
                <w:sz w:val="21"/>
                <w:szCs w:val="21"/>
                <w:lang w:val="en-US" w:eastAsia="zh-CN" w:bidi="ar-SA"/>
              </w:rPr>
            </w:pPr>
          </w:p>
        </w:tc>
      </w:tr>
      <w:tr w14:paraId="5C244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0749BC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D53426E">
            <w:pPr>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4.4款</w:t>
            </w:r>
          </w:p>
        </w:tc>
        <w:tc>
          <w:tcPr>
            <w:tcW w:w="2141" w:type="dxa"/>
            <w:noWrap w:val="0"/>
            <w:vAlign w:val="center"/>
          </w:tcPr>
          <w:p w14:paraId="6684CB62">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履约验收中甲方提出异议或作出说明的期限</w:t>
            </w:r>
          </w:p>
        </w:tc>
        <w:tc>
          <w:tcPr>
            <w:tcW w:w="5045" w:type="dxa"/>
            <w:noWrap w:val="0"/>
            <w:vAlign w:val="center"/>
          </w:tcPr>
          <w:p w14:paraId="5B7D4995">
            <w:pPr>
              <w:adjustRightInd w:val="0"/>
              <w:snapToGrid w:val="0"/>
              <w:jc w:val="left"/>
              <w:rPr>
                <w:rFonts w:hint="eastAsia" w:ascii="仿宋" w:hAnsi="仿宋" w:eastAsia="仿宋" w:cs="仿宋"/>
                <w:color w:val="auto"/>
                <w:kern w:val="2"/>
                <w:sz w:val="21"/>
                <w:szCs w:val="21"/>
                <w:lang w:val="en-US" w:eastAsia="zh-CN" w:bidi="ar-SA"/>
              </w:rPr>
            </w:pPr>
          </w:p>
        </w:tc>
      </w:tr>
      <w:tr w14:paraId="6F8D4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87BEA0A">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990187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4.6款</w:t>
            </w:r>
          </w:p>
        </w:tc>
        <w:tc>
          <w:tcPr>
            <w:tcW w:w="2141" w:type="dxa"/>
            <w:noWrap w:val="0"/>
            <w:vAlign w:val="center"/>
          </w:tcPr>
          <w:p w14:paraId="16229E53">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约定甲方承担的其他义务和责任</w:t>
            </w:r>
          </w:p>
        </w:tc>
        <w:tc>
          <w:tcPr>
            <w:tcW w:w="5045" w:type="dxa"/>
            <w:noWrap w:val="0"/>
            <w:vAlign w:val="center"/>
          </w:tcPr>
          <w:p w14:paraId="0212AD01">
            <w:pPr>
              <w:adjustRightInd w:val="0"/>
              <w:snapToGrid w:val="0"/>
              <w:jc w:val="left"/>
              <w:rPr>
                <w:rFonts w:hint="eastAsia" w:ascii="仿宋" w:hAnsi="仿宋" w:eastAsia="仿宋" w:cs="仿宋"/>
                <w:color w:val="auto"/>
                <w:kern w:val="2"/>
                <w:sz w:val="21"/>
                <w:szCs w:val="21"/>
                <w:lang w:val="en-US" w:eastAsia="zh-CN" w:bidi="ar-SA"/>
              </w:rPr>
            </w:pPr>
          </w:p>
        </w:tc>
      </w:tr>
      <w:tr w14:paraId="7620C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3C2394AF">
            <w:pPr>
              <w:adjustRightInd w:val="0"/>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第二节</w:t>
            </w:r>
          </w:p>
          <w:p w14:paraId="56227123">
            <w:pPr>
              <w:snapToGrid w:val="0"/>
              <w:jc w:val="center"/>
              <w:rPr>
                <w:rFonts w:hint="eastAsia" w:ascii="仿宋" w:hAnsi="仿宋" w:eastAsia="仿宋" w:cs="仿宋"/>
                <w:color w:val="auto"/>
                <w:lang w:val="en-US"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5.4款</w:t>
            </w:r>
          </w:p>
        </w:tc>
        <w:tc>
          <w:tcPr>
            <w:tcW w:w="2141" w:type="dxa"/>
            <w:noWrap w:val="0"/>
            <w:vAlign w:val="center"/>
          </w:tcPr>
          <w:p w14:paraId="6AE8B880">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约定乙方承担的其他义务和责任</w:t>
            </w:r>
          </w:p>
        </w:tc>
        <w:tc>
          <w:tcPr>
            <w:tcW w:w="5045" w:type="dxa"/>
            <w:noWrap w:val="0"/>
            <w:vAlign w:val="center"/>
          </w:tcPr>
          <w:p w14:paraId="2C64DB93">
            <w:pPr>
              <w:adjustRightInd w:val="0"/>
              <w:snapToGrid w:val="0"/>
              <w:jc w:val="left"/>
              <w:rPr>
                <w:rFonts w:hint="eastAsia" w:ascii="仿宋" w:hAnsi="仿宋" w:eastAsia="仿宋" w:cs="仿宋"/>
                <w:color w:val="auto"/>
                <w:kern w:val="2"/>
                <w:sz w:val="21"/>
                <w:szCs w:val="21"/>
                <w:lang w:val="en-US" w:eastAsia="zh-CN" w:bidi="ar-SA"/>
              </w:rPr>
            </w:pPr>
          </w:p>
        </w:tc>
      </w:tr>
      <w:tr w14:paraId="7D0670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7BCC410E">
            <w:pPr>
              <w:adjustRightInd w:val="0"/>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第二节</w:t>
            </w:r>
          </w:p>
          <w:p w14:paraId="12AFF74E">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w:t>
            </w:r>
            <w:r>
              <w:rPr>
                <w:rFonts w:hint="eastAsia" w:ascii="仿宋" w:hAnsi="仿宋" w:eastAsia="仿宋" w:cs="仿宋"/>
                <w:color w:val="auto"/>
                <w:szCs w:val="21"/>
                <w:lang w:val="en-US" w:eastAsia="zh-CN"/>
              </w:rPr>
              <w:t>6.1款</w:t>
            </w:r>
          </w:p>
        </w:tc>
        <w:tc>
          <w:tcPr>
            <w:tcW w:w="2141" w:type="dxa"/>
            <w:noWrap w:val="0"/>
            <w:vAlign w:val="center"/>
          </w:tcPr>
          <w:p w14:paraId="4394DF3B">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履行合同义务的顺序</w:t>
            </w:r>
          </w:p>
        </w:tc>
        <w:tc>
          <w:tcPr>
            <w:tcW w:w="5045" w:type="dxa"/>
            <w:noWrap w:val="0"/>
            <w:vAlign w:val="center"/>
          </w:tcPr>
          <w:p w14:paraId="23A5CC5D">
            <w:pPr>
              <w:adjustRightInd w:val="0"/>
              <w:snapToGrid w:val="0"/>
              <w:jc w:val="left"/>
              <w:rPr>
                <w:rFonts w:hint="eastAsia" w:ascii="仿宋" w:hAnsi="仿宋" w:eastAsia="仿宋" w:cs="仿宋"/>
                <w:color w:val="auto"/>
                <w:kern w:val="2"/>
                <w:sz w:val="21"/>
                <w:szCs w:val="21"/>
                <w:lang w:val="en-US" w:eastAsia="zh-CN" w:bidi="ar-SA"/>
              </w:rPr>
            </w:pPr>
          </w:p>
        </w:tc>
      </w:tr>
      <w:tr w14:paraId="18D31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86" w:type="dxa"/>
            <w:vMerge w:val="restart"/>
            <w:noWrap w:val="0"/>
            <w:vAlign w:val="center"/>
          </w:tcPr>
          <w:p w14:paraId="70E1400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4CA7542B">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.1</w:t>
            </w:r>
            <w:r>
              <w:rPr>
                <w:rFonts w:hint="eastAsia" w:ascii="仿宋" w:hAnsi="仿宋" w:eastAsia="仿宋" w:cs="仿宋"/>
                <w:color w:val="auto"/>
                <w:szCs w:val="21"/>
                <w:lang w:val="en-US" w:eastAsia="zh-CN"/>
              </w:rPr>
              <w:t>款</w:t>
            </w:r>
          </w:p>
        </w:tc>
        <w:tc>
          <w:tcPr>
            <w:tcW w:w="2141" w:type="dxa"/>
            <w:noWrap w:val="0"/>
            <w:vAlign w:val="center"/>
          </w:tcPr>
          <w:p w14:paraId="752583FE">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包装</w:t>
            </w:r>
            <w:r>
              <w:rPr>
                <w:rFonts w:hint="eastAsia" w:ascii="仿宋" w:hAnsi="仿宋" w:eastAsia="仿宋" w:cs="仿宋"/>
                <w:color w:val="auto"/>
                <w:szCs w:val="21"/>
                <w:lang w:eastAsia="zh-CN"/>
              </w:rPr>
              <w:t>特殊要求</w:t>
            </w:r>
          </w:p>
        </w:tc>
        <w:tc>
          <w:tcPr>
            <w:tcW w:w="5045" w:type="dxa"/>
            <w:noWrap w:val="0"/>
            <w:vAlign w:val="center"/>
          </w:tcPr>
          <w:p w14:paraId="2FD6DB70">
            <w:pPr>
              <w:rPr>
                <w:rFonts w:hint="eastAsia" w:ascii="仿宋" w:hAnsi="仿宋" w:eastAsia="仿宋" w:cs="仿宋"/>
                <w:color w:val="auto"/>
              </w:rPr>
            </w:pPr>
          </w:p>
        </w:tc>
      </w:tr>
      <w:tr w14:paraId="0266AF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86" w:type="dxa"/>
            <w:vMerge w:val="continue"/>
            <w:noWrap w:val="0"/>
            <w:vAlign w:val="center"/>
          </w:tcPr>
          <w:p w14:paraId="009F474A">
            <w:pPr>
              <w:adjustRightInd w:val="0"/>
              <w:snapToGrid w:val="0"/>
              <w:jc w:val="center"/>
              <w:rPr>
                <w:rFonts w:hint="eastAsia" w:ascii="仿宋" w:hAnsi="仿宋" w:eastAsia="仿宋" w:cs="仿宋"/>
                <w:color w:val="auto"/>
                <w:szCs w:val="21"/>
              </w:rPr>
            </w:pPr>
          </w:p>
        </w:tc>
        <w:tc>
          <w:tcPr>
            <w:tcW w:w="2141" w:type="dxa"/>
            <w:noWrap w:val="0"/>
            <w:vAlign w:val="center"/>
          </w:tcPr>
          <w:p w14:paraId="516E9DB6">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指定现场</w:t>
            </w:r>
          </w:p>
        </w:tc>
        <w:tc>
          <w:tcPr>
            <w:tcW w:w="5045" w:type="dxa"/>
            <w:noWrap w:val="0"/>
            <w:vAlign w:val="center"/>
          </w:tcPr>
          <w:p w14:paraId="07B59C01">
            <w:pPr>
              <w:rPr>
                <w:rFonts w:hint="eastAsia" w:ascii="仿宋" w:hAnsi="仿宋" w:eastAsia="仿宋" w:cs="仿宋"/>
                <w:color w:val="auto"/>
              </w:rPr>
            </w:pPr>
          </w:p>
        </w:tc>
      </w:tr>
      <w:tr w14:paraId="4CDD22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386" w:type="dxa"/>
            <w:noWrap w:val="0"/>
            <w:vAlign w:val="center"/>
          </w:tcPr>
          <w:p w14:paraId="713AC667">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FFE8C6A">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.2</w:t>
            </w:r>
            <w:r>
              <w:rPr>
                <w:rFonts w:hint="eastAsia" w:ascii="仿宋" w:hAnsi="仿宋" w:eastAsia="仿宋" w:cs="仿宋"/>
                <w:color w:val="auto"/>
                <w:szCs w:val="21"/>
                <w:lang w:val="en-US" w:eastAsia="zh-CN"/>
              </w:rPr>
              <w:t>款</w:t>
            </w:r>
          </w:p>
        </w:tc>
        <w:tc>
          <w:tcPr>
            <w:tcW w:w="2141" w:type="dxa"/>
            <w:noWrap w:val="0"/>
            <w:vAlign w:val="center"/>
          </w:tcPr>
          <w:p w14:paraId="171466BE">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运输特殊要求</w:t>
            </w:r>
          </w:p>
        </w:tc>
        <w:tc>
          <w:tcPr>
            <w:tcW w:w="5045" w:type="dxa"/>
            <w:noWrap w:val="0"/>
            <w:vAlign w:val="center"/>
          </w:tcPr>
          <w:p w14:paraId="545D2C33">
            <w:pPr>
              <w:rPr>
                <w:rFonts w:hint="eastAsia" w:ascii="仿宋" w:hAnsi="仿宋" w:eastAsia="仿宋" w:cs="仿宋"/>
                <w:color w:val="auto"/>
              </w:rPr>
            </w:pPr>
          </w:p>
        </w:tc>
      </w:tr>
      <w:tr w14:paraId="35C058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386" w:type="dxa"/>
            <w:noWrap w:val="0"/>
            <w:vAlign w:val="center"/>
          </w:tcPr>
          <w:p w14:paraId="3473761B">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0B438E0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7</w:t>
            </w:r>
            <w:r>
              <w:rPr>
                <w:rFonts w:hint="eastAsia" w:ascii="仿宋" w:hAnsi="仿宋" w:eastAsia="仿宋" w:cs="仿宋"/>
                <w:color w:val="auto"/>
                <w:szCs w:val="21"/>
              </w:rPr>
              <w:t>.3</w:t>
            </w:r>
            <w:r>
              <w:rPr>
                <w:rFonts w:hint="eastAsia" w:ascii="仿宋" w:hAnsi="仿宋" w:eastAsia="仿宋" w:cs="仿宋"/>
                <w:color w:val="auto"/>
                <w:szCs w:val="21"/>
                <w:lang w:val="en-US" w:eastAsia="zh-CN"/>
              </w:rPr>
              <w:t>款</w:t>
            </w:r>
          </w:p>
        </w:tc>
        <w:tc>
          <w:tcPr>
            <w:tcW w:w="2141" w:type="dxa"/>
            <w:noWrap w:val="0"/>
            <w:vAlign w:val="center"/>
          </w:tcPr>
          <w:p w14:paraId="42D941EB">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保险要求</w:t>
            </w:r>
          </w:p>
        </w:tc>
        <w:tc>
          <w:tcPr>
            <w:tcW w:w="5045" w:type="dxa"/>
            <w:noWrap w:val="0"/>
            <w:vAlign w:val="center"/>
          </w:tcPr>
          <w:p w14:paraId="15BA7018">
            <w:pPr>
              <w:rPr>
                <w:rFonts w:hint="eastAsia" w:ascii="仿宋" w:hAnsi="仿宋" w:eastAsia="仿宋" w:cs="仿宋"/>
                <w:color w:val="auto"/>
              </w:rPr>
            </w:pPr>
          </w:p>
        </w:tc>
      </w:tr>
      <w:tr w14:paraId="4208C9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247C2D42">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7FDE055">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8</w:t>
            </w:r>
            <w:r>
              <w:rPr>
                <w:rFonts w:hint="eastAsia" w:ascii="仿宋" w:hAnsi="仿宋" w:eastAsia="仿宋" w:cs="仿宋"/>
                <w:color w:val="auto"/>
                <w:szCs w:val="21"/>
              </w:rPr>
              <w:t>.2（1）项</w:t>
            </w:r>
          </w:p>
        </w:tc>
        <w:tc>
          <w:tcPr>
            <w:tcW w:w="2141" w:type="dxa"/>
            <w:noWrap w:val="0"/>
            <w:vAlign w:val="center"/>
          </w:tcPr>
          <w:p w14:paraId="69EE9C1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质量保证期</w:t>
            </w:r>
          </w:p>
        </w:tc>
        <w:tc>
          <w:tcPr>
            <w:tcW w:w="5045" w:type="dxa"/>
            <w:noWrap w:val="0"/>
            <w:vAlign w:val="center"/>
          </w:tcPr>
          <w:p w14:paraId="6B5073DD">
            <w:pPr>
              <w:autoSpaceDE w:val="0"/>
              <w:autoSpaceDN w:val="0"/>
              <w:adjustRightInd w:val="0"/>
              <w:snapToGrid w:val="0"/>
              <w:ind w:firstLine="420" w:firstLineChars="200"/>
              <w:jc w:val="left"/>
              <w:rPr>
                <w:rFonts w:hint="eastAsia" w:ascii="仿宋" w:hAnsi="仿宋" w:eastAsia="仿宋" w:cs="仿宋"/>
                <w:color w:val="auto"/>
                <w:szCs w:val="21"/>
              </w:rPr>
            </w:pPr>
          </w:p>
        </w:tc>
      </w:tr>
      <w:tr w14:paraId="4298B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4A92C547">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D13869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8</w:t>
            </w:r>
            <w:r>
              <w:rPr>
                <w:rFonts w:hint="eastAsia" w:ascii="仿宋" w:hAnsi="仿宋" w:eastAsia="仿宋" w:cs="仿宋"/>
                <w:color w:val="auto"/>
                <w:szCs w:val="21"/>
              </w:rPr>
              <w:t>.2（3）项</w:t>
            </w:r>
          </w:p>
        </w:tc>
        <w:tc>
          <w:tcPr>
            <w:tcW w:w="2141" w:type="dxa"/>
            <w:noWrap w:val="0"/>
            <w:vAlign w:val="center"/>
          </w:tcPr>
          <w:p w14:paraId="3E0F2E7A">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lang w:eastAsia="zh-CN"/>
              </w:rPr>
              <w:t>货物质量缺陷</w:t>
            </w:r>
          </w:p>
          <w:p w14:paraId="129F0E6E">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响应时间</w:t>
            </w:r>
          </w:p>
        </w:tc>
        <w:tc>
          <w:tcPr>
            <w:tcW w:w="5045" w:type="dxa"/>
            <w:noWrap w:val="0"/>
            <w:vAlign w:val="center"/>
          </w:tcPr>
          <w:p w14:paraId="39FEA2FE">
            <w:pPr>
              <w:adjustRightInd w:val="0"/>
              <w:snapToGrid w:val="0"/>
              <w:jc w:val="left"/>
              <w:rPr>
                <w:rFonts w:hint="eastAsia" w:ascii="仿宋" w:hAnsi="仿宋" w:eastAsia="仿宋" w:cs="仿宋"/>
                <w:color w:val="auto"/>
                <w:szCs w:val="21"/>
              </w:rPr>
            </w:pPr>
          </w:p>
        </w:tc>
      </w:tr>
      <w:tr w14:paraId="00A5E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F121756">
            <w:pPr>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第二节</w:t>
            </w:r>
          </w:p>
          <w:p w14:paraId="1ABE843C">
            <w:pPr>
              <w:pStyle w:val="78"/>
              <w:ind w:firstLine="0" w:firstLineChars="0"/>
              <w:jc w:val="center"/>
              <w:rPr>
                <w:rFonts w:hint="eastAsia" w:ascii="仿宋" w:hAnsi="仿宋" w:eastAsia="仿宋" w:cs="仿宋"/>
                <w:color w:val="auto"/>
                <w:lang w:val="en-US" w:eastAsia="zh-CN"/>
              </w:rPr>
            </w:pPr>
            <w:r>
              <w:rPr>
                <w:rFonts w:hint="eastAsia" w:ascii="仿宋" w:hAnsi="仿宋" w:eastAsia="仿宋" w:cs="仿宋"/>
                <w:color w:val="auto"/>
                <w:szCs w:val="21"/>
                <w:lang w:val="en-US" w:eastAsia="zh-CN"/>
              </w:rPr>
              <w:t>第11.1款</w:t>
            </w:r>
          </w:p>
        </w:tc>
        <w:tc>
          <w:tcPr>
            <w:tcW w:w="2141" w:type="dxa"/>
            <w:noWrap w:val="0"/>
            <w:vAlign w:val="center"/>
          </w:tcPr>
          <w:p w14:paraId="67553170">
            <w:pPr>
              <w:adjustRightInd w:val="0"/>
              <w:snapToGrid w:val="0"/>
              <w:jc w:val="both"/>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其他应当保密的信息</w:t>
            </w:r>
          </w:p>
        </w:tc>
        <w:tc>
          <w:tcPr>
            <w:tcW w:w="5045" w:type="dxa"/>
            <w:noWrap w:val="0"/>
            <w:vAlign w:val="center"/>
          </w:tcPr>
          <w:p w14:paraId="0C81688B">
            <w:pPr>
              <w:adjustRightInd w:val="0"/>
              <w:snapToGrid w:val="0"/>
              <w:jc w:val="left"/>
              <w:rPr>
                <w:rFonts w:hint="eastAsia" w:ascii="仿宋" w:hAnsi="仿宋" w:eastAsia="仿宋" w:cs="仿宋"/>
                <w:color w:val="auto"/>
                <w:szCs w:val="21"/>
              </w:rPr>
            </w:pPr>
          </w:p>
        </w:tc>
      </w:tr>
      <w:tr w14:paraId="1678A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386" w:type="dxa"/>
            <w:noWrap w:val="0"/>
            <w:vAlign w:val="center"/>
          </w:tcPr>
          <w:p w14:paraId="57F649ED">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59462FC">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2</w:t>
            </w:r>
            <w:r>
              <w:rPr>
                <w:rFonts w:hint="eastAsia" w:ascii="仿宋" w:hAnsi="仿宋" w:eastAsia="仿宋" w:cs="仿宋"/>
                <w:color w:val="auto"/>
                <w:szCs w:val="21"/>
              </w:rPr>
              <w:t>.2款</w:t>
            </w:r>
          </w:p>
        </w:tc>
        <w:tc>
          <w:tcPr>
            <w:tcW w:w="2141" w:type="dxa"/>
            <w:noWrap w:val="0"/>
            <w:vAlign w:val="center"/>
          </w:tcPr>
          <w:p w14:paraId="2D5E1F7D">
            <w:pPr>
              <w:adjustRightInd w:val="0"/>
              <w:snapToGrid w:val="0"/>
              <w:jc w:val="left"/>
              <w:rPr>
                <w:rFonts w:hint="eastAsia" w:ascii="仿宋" w:hAnsi="仿宋" w:eastAsia="仿宋" w:cs="仿宋"/>
                <w:color w:val="auto"/>
                <w:szCs w:val="21"/>
                <w:lang w:eastAsia="zh-CN"/>
              </w:rPr>
            </w:pPr>
            <w:r>
              <w:rPr>
                <w:rFonts w:hint="eastAsia" w:ascii="仿宋" w:hAnsi="仿宋" w:eastAsia="仿宋" w:cs="仿宋"/>
                <w:color w:val="auto"/>
                <w:szCs w:val="21"/>
              </w:rPr>
              <w:t>合同价款支付</w:t>
            </w:r>
            <w:r>
              <w:rPr>
                <w:rFonts w:hint="eastAsia" w:ascii="仿宋" w:hAnsi="仿宋" w:eastAsia="仿宋" w:cs="仿宋"/>
                <w:color w:val="auto"/>
                <w:szCs w:val="21"/>
                <w:lang w:eastAsia="zh-CN"/>
              </w:rPr>
              <w:t>时间</w:t>
            </w:r>
          </w:p>
        </w:tc>
        <w:tc>
          <w:tcPr>
            <w:tcW w:w="5045" w:type="dxa"/>
            <w:noWrap w:val="0"/>
            <w:vAlign w:val="center"/>
          </w:tcPr>
          <w:p w14:paraId="185D0C54">
            <w:pPr>
              <w:adjustRightInd w:val="0"/>
              <w:snapToGrid w:val="0"/>
              <w:jc w:val="left"/>
              <w:rPr>
                <w:rFonts w:hint="eastAsia" w:ascii="仿宋" w:hAnsi="仿宋" w:eastAsia="仿宋" w:cs="仿宋"/>
                <w:color w:val="auto"/>
                <w:szCs w:val="21"/>
              </w:rPr>
            </w:pPr>
          </w:p>
        </w:tc>
      </w:tr>
      <w:tr w14:paraId="29BD0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386" w:type="dxa"/>
            <w:noWrap w:val="0"/>
            <w:vAlign w:val="center"/>
          </w:tcPr>
          <w:p w14:paraId="3726952D">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7945D1F">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13.2</w:t>
            </w:r>
            <w:r>
              <w:rPr>
                <w:rFonts w:hint="eastAsia" w:ascii="仿宋" w:hAnsi="仿宋" w:eastAsia="仿宋" w:cs="仿宋"/>
                <w:color w:val="auto"/>
                <w:szCs w:val="21"/>
              </w:rPr>
              <w:t>款</w:t>
            </w:r>
          </w:p>
        </w:tc>
        <w:tc>
          <w:tcPr>
            <w:tcW w:w="2141" w:type="dxa"/>
            <w:noWrap w:val="0"/>
            <w:vAlign w:val="center"/>
          </w:tcPr>
          <w:p w14:paraId="5F688FFA">
            <w:pPr>
              <w:adjustRightInd w:val="0"/>
              <w:snapToGrid w:val="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履约保证金不予退还的情形</w:t>
            </w:r>
          </w:p>
        </w:tc>
        <w:tc>
          <w:tcPr>
            <w:tcW w:w="5045" w:type="dxa"/>
            <w:noWrap w:val="0"/>
            <w:vAlign w:val="center"/>
          </w:tcPr>
          <w:p w14:paraId="0D61E416">
            <w:pPr>
              <w:adjustRightInd w:val="0"/>
              <w:snapToGrid w:val="0"/>
              <w:jc w:val="left"/>
              <w:rPr>
                <w:rFonts w:hint="eastAsia" w:ascii="仿宋" w:hAnsi="仿宋" w:eastAsia="仿宋" w:cs="仿宋"/>
                <w:color w:val="auto"/>
                <w:szCs w:val="21"/>
              </w:rPr>
            </w:pPr>
          </w:p>
        </w:tc>
      </w:tr>
      <w:tr w14:paraId="1236C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615D211B">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732A52F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13.3</w:t>
            </w:r>
            <w:r>
              <w:rPr>
                <w:rFonts w:hint="eastAsia" w:ascii="仿宋" w:hAnsi="仿宋" w:eastAsia="仿宋" w:cs="仿宋"/>
                <w:color w:val="auto"/>
                <w:szCs w:val="21"/>
              </w:rPr>
              <w:t>款</w:t>
            </w:r>
          </w:p>
        </w:tc>
        <w:tc>
          <w:tcPr>
            <w:tcW w:w="2141" w:type="dxa"/>
            <w:noWrap w:val="0"/>
            <w:vAlign w:val="center"/>
          </w:tcPr>
          <w:p w14:paraId="0DB6429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履约保证金退还时间及</w:t>
            </w:r>
            <w:r>
              <w:rPr>
                <w:rFonts w:hint="eastAsia" w:ascii="仿宋" w:hAnsi="仿宋" w:eastAsia="仿宋" w:cs="仿宋"/>
                <w:color w:val="auto"/>
                <w:szCs w:val="21"/>
                <w:lang w:eastAsia="zh-CN"/>
              </w:rPr>
              <w:t>逾期退还的</w:t>
            </w:r>
            <w:r>
              <w:rPr>
                <w:rFonts w:hint="eastAsia" w:ascii="仿宋" w:hAnsi="仿宋" w:eastAsia="仿宋" w:cs="仿宋"/>
                <w:color w:val="auto"/>
                <w:szCs w:val="21"/>
              </w:rPr>
              <w:t>违约金</w:t>
            </w:r>
          </w:p>
        </w:tc>
        <w:tc>
          <w:tcPr>
            <w:tcW w:w="5045" w:type="dxa"/>
            <w:noWrap w:val="0"/>
            <w:vAlign w:val="center"/>
          </w:tcPr>
          <w:p w14:paraId="4AA2D8A8">
            <w:pPr>
              <w:adjustRightInd w:val="0"/>
              <w:snapToGrid w:val="0"/>
              <w:jc w:val="left"/>
              <w:rPr>
                <w:rFonts w:hint="eastAsia" w:ascii="仿宋" w:hAnsi="仿宋" w:eastAsia="仿宋" w:cs="仿宋"/>
                <w:color w:val="auto"/>
                <w:szCs w:val="21"/>
              </w:rPr>
            </w:pPr>
          </w:p>
        </w:tc>
      </w:tr>
      <w:tr w14:paraId="29103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386" w:type="dxa"/>
            <w:noWrap w:val="0"/>
            <w:vAlign w:val="center"/>
          </w:tcPr>
          <w:p w14:paraId="045B25E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7B85342">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3</w:t>
            </w:r>
            <w:r>
              <w:rPr>
                <w:rFonts w:hint="eastAsia" w:ascii="仿宋" w:hAnsi="仿宋" w:eastAsia="仿宋" w:cs="仿宋"/>
                <w:color w:val="auto"/>
                <w:szCs w:val="21"/>
              </w:rPr>
              <w:t>）项</w:t>
            </w:r>
          </w:p>
        </w:tc>
        <w:tc>
          <w:tcPr>
            <w:tcW w:w="2141" w:type="dxa"/>
            <w:noWrap w:val="0"/>
            <w:vAlign w:val="center"/>
          </w:tcPr>
          <w:p w14:paraId="70481618">
            <w:pPr>
              <w:adjustRightInd w:val="0"/>
              <w:snapToGrid w:val="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运行监督、维修期限</w:t>
            </w:r>
          </w:p>
        </w:tc>
        <w:tc>
          <w:tcPr>
            <w:tcW w:w="5045" w:type="dxa"/>
            <w:noWrap w:val="0"/>
            <w:vAlign w:val="center"/>
          </w:tcPr>
          <w:p w14:paraId="49A992E1">
            <w:pPr>
              <w:adjustRightInd w:val="0"/>
              <w:snapToGrid w:val="0"/>
              <w:jc w:val="left"/>
              <w:rPr>
                <w:rFonts w:hint="eastAsia" w:ascii="仿宋" w:hAnsi="仿宋" w:eastAsia="仿宋" w:cs="仿宋"/>
                <w:color w:val="auto"/>
                <w:szCs w:val="21"/>
              </w:rPr>
            </w:pPr>
          </w:p>
        </w:tc>
      </w:tr>
      <w:tr w14:paraId="00B19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386" w:type="dxa"/>
            <w:noWrap w:val="0"/>
            <w:vAlign w:val="center"/>
          </w:tcPr>
          <w:p w14:paraId="4018FADC">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D0D06D3">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5</w:t>
            </w:r>
            <w:r>
              <w:rPr>
                <w:rFonts w:hint="eastAsia" w:ascii="仿宋" w:hAnsi="仿宋" w:eastAsia="仿宋" w:cs="仿宋"/>
                <w:color w:val="auto"/>
                <w:szCs w:val="21"/>
              </w:rPr>
              <w:t>）项</w:t>
            </w:r>
          </w:p>
        </w:tc>
        <w:tc>
          <w:tcPr>
            <w:tcW w:w="2141" w:type="dxa"/>
            <w:noWrap w:val="0"/>
            <w:vAlign w:val="center"/>
          </w:tcPr>
          <w:p w14:paraId="376308E8">
            <w:pPr>
              <w:adjustRightInd w:val="0"/>
              <w:snapToGrid w:val="0"/>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货物回收的约定</w:t>
            </w:r>
          </w:p>
        </w:tc>
        <w:tc>
          <w:tcPr>
            <w:tcW w:w="5045" w:type="dxa"/>
            <w:noWrap w:val="0"/>
            <w:vAlign w:val="center"/>
          </w:tcPr>
          <w:p w14:paraId="2D81CA2B">
            <w:pPr>
              <w:adjustRightInd w:val="0"/>
              <w:snapToGrid w:val="0"/>
              <w:jc w:val="left"/>
              <w:rPr>
                <w:rFonts w:hint="eastAsia" w:ascii="仿宋" w:hAnsi="仿宋" w:eastAsia="仿宋" w:cs="仿宋"/>
                <w:color w:val="auto"/>
                <w:szCs w:val="21"/>
              </w:rPr>
            </w:pPr>
          </w:p>
        </w:tc>
      </w:tr>
      <w:tr w14:paraId="4BE45D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39028A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0C72AB1">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w:t>
            </w:r>
            <w:r>
              <w:rPr>
                <w:rFonts w:hint="eastAsia" w:ascii="仿宋" w:hAnsi="仿宋" w:eastAsia="仿宋" w:cs="仿宋"/>
                <w:color w:val="auto"/>
                <w:szCs w:val="21"/>
                <w:lang w:val="en-US" w:eastAsia="zh-CN"/>
              </w:rPr>
              <w:t>6</w:t>
            </w:r>
            <w:r>
              <w:rPr>
                <w:rFonts w:hint="eastAsia" w:ascii="仿宋" w:hAnsi="仿宋" w:eastAsia="仿宋" w:cs="仿宋"/>
                <w:color w:val="auto"/>
                <w:szCs w:val="21"/>
              </w:rPr>
              <w:t>）项</w:t>
            </w:r>
          </w:p>
        </w:tc>
        <w:tc>
          <w:tcPr>
            <w:tcW w:w="2141" w:type="dxa"/>
            <w:noWrap w:val="0"/>
            <w:vAlign w:val="center"/>
          </w:tcPr>
          <w:p w14:paraId="33F1B2CA">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乙方提供的其他服务</w:t>
            </w:r>
          </w:p>
        </w:tc>
        <w:tc>
          <w:tcPr>
            <w:tcW w:w="5045" w:type="dxa"/>
            <w:noWrap w:val="0"/>
            <w:vAlign w:val="center"/>
          </w:tcPr>
          <w:p w14:paraId="7ED09C77">
            <w:pPr>
              <w:adjustRightInd w:val="0"/>
              <w:snapToGrid w:val="0"/>
              <w:jc w:val="left"/>
              <w:rPr>
                <w:rFonts w:hint="eastAsia" w:ascii="仿宋" w:hAnsi="仿宋" w:eastAsia="仿宋" w:cs="仿宋"/>
                <w:color w:val="auto"/>
                <w:szCs w:val="21"/>
              </w:rPr>
            </w:pPr>
          </w:p>
        </w:tc>
      </w:tr>
      <w:tr w14:paraId="2032B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867191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384838F9">
            <w:pPr>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1款</w:t>
            </w:r>
          </w:p>
        </w:tc>
        <w:tc>
          <w:tcPr>
            <w:tcW w:w="2141" w:type="dxa"/>
            <w:noWrap w:val="0"/>
            <w:vAlign w:val="center"/>
          </w:tcPr>
          <w:p w14:paraId="6154D67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highlight w:val="none"/>
                <w:lang w:eastAsia="zh-CN"/>
              </w:rPr>
              <w:t>修理、重作、更换相关具体规定</w:t>
            </w:r>
          </w:p>
        </w:tc>
        <w:tc>
          <w:tcPr>
            <w:tcW w:w="5045" w:type="dxa"/>
            <w:noWrap w:val="0"/>
            <w:vAlign w:val="center"/>
          </w:tcPr>
          <w:p w14:paraId="208B6886">
            <w:pPr>
              <w:adjustRightInd w:val="0"/>
              <w:snapToGrid w:val="0"/>
              <w:jc w:val="left"/>
              <w:rPr>
                <w:rFonts w:hint="eastAsia" w:ascii="仿宋" w:hAnsi="仿宋" w:eastAsia="仿宋" w:cs="仿宋"/>
                <w:color w:val="auto"/>
                <w:szCs w:val="21"/>
              </w:rPr>
            </w:pPr>
          </w:p>
        </w:tc>
      </w:tr>
      <w:tr w14:paraId="785F95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7F24D7F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6ECCAFAF">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.2（2）项</w:t>
            </w:r>
          </w:p>
        </w:tc>
        <w:tc>
          <w:tcPr>
            <w:tcW w:w="2141" w:type="dxa"/>
            <w:noWrap w:val="0"/>
            <w:vAlign w:val="center"/>
          </w:tcPr>
          <w:p w14:paraId="6BE83626">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迟延交货赔偿费</w:t>
            </w:r>
          </w:p>
        </w:tc>
        <w:tc>
          <w:tcPr>
            <w:tcW w:w="5045" w:type="dxa"/>
            <w:noWrap w:val="0"/>
            <w:vAlign w:val="center"/>
          </w:tcPr>
          <w:p w14:paraId="6E703468">
            <w:pPr>
              <w:adjustRightInd w:val="0"/>
              <w:snapToGrid w:val="0"/>
              <w:jc w:val="left"/>
              <w:rPr>
                <w:rFonts w:hint="eastAsia" w:ascii="仿宋" w:hAnsi="仿宋" w:eastAsia="仿宋" w:cs="仿宋"/>
                <w:color w:val="auto"/>
                <w:szCs w:val="21"/>
                <w:u w:val="single"/>
              </w:rPr>
            </w:pPr>
          </w:p>
        </w:tc>
      </w:tr>
      <w:tr w14:paraId="002A22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386" w:type="dxa"/>
            <w:noWrap w:val="0"/>
            <w:vAlign w:val="center"/>
          </w:tcPr>
          <w:p w14:paraId="5527325E">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438F4489">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3款</w:t>
            </w:r>
          </w:p>
        </w:tc>
        <w:tc>
          <w:tcPr>
            <w:tcW w:w="2141" w:type="dxa"/>
            <w:noWrap w:val="0"/>
            <w:vAlign w:val="center"/>
          </w:tcPr>
          <w:p w14:paraId="6281047B">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逾期付款利息</w:t>
            </w:r>
          </w:p>
        </w:tc>
        <w:tc>
          <w:tcPr>
            <w:tcW w:w="5045" w:type="dxa"/>
            <w:noWrap w:val="0"/>
            <w:vAlign w:val="center"/>
          </w:tcPr>
          <w:p w14:paraId="5F8DB946">
            <w:pPr>
              <w:adjustRightInd w:val="0"/>
              <w:snapToGrid w:val="0"/>
              <w:jc w:val="left"/>
              <w:rPr>
                <w:rFonts w:hint="eastAsia" w:ascii="仿宋" w:hAnsi="仿宋" w:eastAsia="仿宋" w:cs="仿宋"/>
                <w:color w:val="auto"/>
                <w:szCs w:val="21"/>
                <w:u w:val="single"/>
              </w:rPr>
            </w:pPr>
          </w:p>
        </w:tc>
      </w:tr>
      <w:tr w14:paraId="169BB3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386" w:type="dxa"/>
            <w:tcBorders>
              <w:bottom w:val="single" w:color="auto" w:sz="2" w:space="0"/>
              <w:right w:val="single" w:color="auto" w:sz="2" w:space="0"/>
            </w:tcBorders>
            <w:noWrap w:val="0"/>
            <w:vAlign w:val="center"/>
          </w:tcPr>
          <w:p w14:paraId="3CC208B8">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D675D6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第1</w:t>
            </w:r>
            <w:r>
              <w:rPr>
                <w:rFonts w:hint="eastAsia" w:ascii="仿宋" w:hAnsi="仿宋" w:eastAsia="仿宋" w:cs="仿宋"/>
                <w:color w:val="auto"/>
                <w:szCs w:val="21"/>
                <w:lang w:val="en-US" w:eastAsia="zh-CN"/>
              </w:rPr>
              <w:t>5</w:t>
            </w:r>
            <w:r>
              <w:rPr>
                <w:rFonts w:hint="eastAsia" w:ascii="仿宋" w:hAnsi="仿宋" w:eastAsia="仿宋" w:cs="仿宋"/>
                <w:color w:val="auto"/>
                <w:szCs w:val="21"/>
              </w:rPr>
              <w:t>.4</w:t>
            </w:r>
            <w:r>
              <w:rPr>
                <w:rFonts w:hint="eastAsia" w:ascii="仿宋" w:hAnsi="仿宋" w:eastAsia="仿宋" w:cs="仿宋"/>
                <w:color w:val="auto"/>
                <w:szCs w:val="21"/>
                <w:lang w:val="en-US" w:eastAsia="zh-CN"/>
              </w:rPr>
              <w:t>款</w:t>
            </w:r>
          </w:p>
        </w:tc>
        <w:tc>
          <w:tcPr>
            <w:tcW w:w="2141" w:type="dxa"/>
            <w:tcBorders>
              <w:left w:val="single" w:color="auto" w:sz="2" w:space="0"/>
              <w:bottom w:val="single" w:color="auto" w:sz="2" w:space="0"/>
              <w:right w:val="single" w:color="auto" w:sz="2" w:space="0"/>
            </w:tcBorders>
            <w:noWrap w:val="0"/>
            <w:vAlign w:val="center"/>
          </w:tcPr>
          <w:p w14:paraId="5B932836">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rPr>
              <w:t>其他违约责任</w:t>
            </w:r>
          </w:p>
        </w:tc>
        <w:tc>
          <w:tcPr>
            <w:tcW w:w="5045" w:type="dxa"/>
            <w:tcBorders>
              <w:left w:val="single" w:color="auto" w:sz="2" w:space="0"/>
              <w:bottom w:val="single" w:color="auto" w:sz="2" w:space="0"/>
            </w:tcBorders>
            <w:noWrap w:val="0"/>
            <w:vAlign w:val="center"/>
          </w:tcPr>
          <w:p w14:paraId="03D788A2">
            <w:pPr>
              <w:adjustRightInd w:val="0"/>
              <w:snapToGrid w:val="0"/>
              <w:jc w:val="left"/>
              <w:rPr>
                <w:rFonts w:hint="eastAsia" w:ascii="仿宋" w:hAnsi="仿宋" w:eastAsia="仿宋" w:cs="仿宋"/>
                <w:color w:val="auto"/>
                <w:szCs w:val="21"/>
                <w:u w:val="single"/>
              </w:rPr>
            </w:pPr>
          </w:p>
        </w:tc>
      </w:tr>
      <w:tr w14:paraId="7FEE3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386" w:type="dxa"/>
            <w:tcBorders>
              <w:top w:val="single" w:color="auto" w:sz="2" w:space="0"/>
              <w:right w:val="single" w:color="auto" w:sz="2" w:space="0"/>
            </w:tcBorders>
            <w:noWrap w:val="0"/>
            <w:vAlign w:val="center"/>
          </w:tcPr>
          <w:p w14:paraId="49DEDEBA">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56D7FFB6">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lang w:val="en-US" w:eastAsia="zh-CN"/>
              </w:rPr>
              <w:t>19</w:t>
            </w:r>
            <w:r>
              <w:rPr>
                <w:rFonts w:hint="eastAsia" w:ascii="仿宋" w:hAnsi="仿宋" w:eastAsia="仿宋" w:cs="仿宋"/>
                <w:color w:val="auto"/>
                <w:szCs w:val="21"/>
              </w:rPr>
              <w:t>.2</w:t>
            </w:r>
            <w:r>
              <w:rPr>
                <w:rFonts w:hint="eastAsia" w:ascii="仿宋" w:hAnsi="仿宋" w:eastAsia="仿宋" w:cs="仿宋"/>
                <w:color w:val="auto"/>
                <w:szCs w:val="21"/>
                <w:lang w:val="en-US" w:eastAsia="zh-CN"/>
              </w:rPr>
              <w:t>款</w:t>
            </w:r>
          </w:p>
        </w:tc>
        <w:tc>
          <w:tcPr>
            <w:tcW w:w="2141" w:type="dxa"/>
            <w:tcBorders>
              <w:top w:val="single" w:color="auto" w:sz="2" w:space="0"/>
              <w:left w:val="single" w:color="auto" w:sz="2" w:space="0"/>
              <w:right w:val="single" w:color="auto" w:sz="2" w:space="0"/>
            </w:tcBorders>
            <w:noWrap w:val="0"/>
            <w:vAlign w:val="center"/>
          </w:tcPr>
          <w:p w14:paraId="7DEB139D">
            <w:pPr>
              <w:adjustRightInd w:val="0"/>
              <w:snapToGrid w:val="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解决争议的方法</w:t>
            </w:r>
          </w:p>
        </w:tc>
        <w:tc>
          <w:tcPr>
            <w:tcW w:w="5045" w:type="dxa"/>
            <w:tcBorders>
              <w:top w:val="single" w:color="auto" w:sz="2" w:space="0"/>
              <w:left w:val="single" w:color="auto" w:sz="2" w:space="0"/>
            </w:tcBorders>
            <w:noWrap w:val="0"/>
            <w:vAlign w:val="center"/>
          </w:tcPr>
          <w:p w14:paraId="0C1B7832">
            <w:pPr>
              <w:autoSpaceDE w:val="0"/>
              <w:autoSpaceDN w:val="0"/>
              <w:adjustRightInd w:val="0"/>
              <w:snapToGrid w:val="0"/>
              <w:spacing w:line="400" w:lineRule="exact"/>
              <w:jc w:val="left"/>
              <w:rPr>
                <w:rFonts w:hint="eastAsia" w:ascii="仿宋" w:hAnsi="仿宋" w:eastAsia="仿宋" w:cs="仿宋"/>
                <w:b w:val="0"/>
                <w:bCs w:val="0"/>
                <w:iCs/>
                <w:color w:val="auto"/>
                <w:szCs w:val="21"/>
              </w:rPr>
            </w:pPr>
            <w:r>
              <w:rPr>
                <w:rFonts w:hint="eastAsia" w:ascii="仿宋" w:hAnsi="仿宋" w:eastAsia="仿宋" w:cs="仿宋"/>
                <w:b w:val="0"/>
                <w:bCs w:val="0"/>
                <w:iCs/>
                <w:color w:val="auto"/>
                <w:szCs w:val="21"/>
              </w:rPr>
              <w:t>因本合同及合同有关事项发生的争议，按下列第</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种方式解决：</w:t>
            </w:r>
          </w:p>
          <w:p w14:paraId="28CBD351">
            <w:pPr>
              <w:autoSpaceDE w:val="0"/>
              <w:autoSpaceDN w:val="0"/>
              <w:adjustRightInd w:val="0"/>
              <w:snapToGrid w:val="0"/>
              <w:spacing w:line="400" w:lineRule="exact"/>
              <w:jc w:val="left"/>
              <w:rPr>
                <w:rFonts w:hint="eastAsia" w:ascii="仿宋" w:hAnsi="仿宋" w:eastAsia="仿宋" w:cs="仿宋"/>
                <w:b w:val="0"/>
                <w:bCs w:val="0"/>
                <w:iCs/>
                <w:color w:val="auto"/>
                <w:szCs w:val="21"/>
              </w:rPr>
            </w:pPr>
            <w:r>
              <w:rPr>
                <w:rFonts w:hint="eastAsia" w:ascii="仿宋" w:hAnsi="仿宋" w:eastAsia="仿宋" w:cs="仿宋"/>
                <w:b w:val="0"/>
                <w:bCs w:val="0"/>
                <w:iCs/>
                <w:color w:val="auto"/>
                <w:szCs w:val="21"/>
              </w:rPr>
              <w:t>（1）向</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仲裁委员会申请仲裁，仲裁地点为</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w:t>
            </w:r>
          </w:p>
          <w:p w14:paraId="2B5C34F1">
            <w:pPr>
              <w:adjustRightInd w:val="0"/>
              <w:snapToGrid w:val="0"/>
              <w:ind w:firstLine="0" w:firstLineChars="0"/>
              <w:jc w:val="left"/>
              <w:rPr>
                <w:rFonts w:hint="eastAsia" w:ascii="仿宋" w:hAnsi="仿宋" w:eastAsia="仿宋" w:cs="仿宋"/>
                <w:color w:val="auto"/>
                <w:szCs w:val="21"/>
                <w:u w:val="single"/>
              </w:rPr>
            </w:pPr>
            <w:r>
              <w:rPr>
                <w:rFonts w:hint="eastAsia" w:ascii="仿宋" w:hAnsi="仿宋" w:eastAsia="仿宋" w:cs="仿宋"/>
                <w:b w:val="0"/>
                <w:bCs w:val="0"/>
                <w:iCs/>
                <w:color w:val="auto"/>
                <w:szCs w:val="21"/>
              </w:rPr>
              <w:t>（2）向</w:t>
            </w:r>
            <w:r>
              <w:rPr>
                <w:rFonts w:hint="eastAsia" w:ascii="仿宋" w:hAnsi="仿宋" w:eastAsia="仿宋" w:cs="仿宋"/>
                <w:b w:val="0"/>
                <w:bCs w:val="0"/>
                <w:iCs/>
                <w:color w:val="auto"/>
                <w:szCs w:val="21"/>
                <w:u w:val="single"/>
              </w:rPr>
              <w:t xml:space="preserve">                    </w:t>
            </w:r>
            <w:r>
              <w:rPr>
                <w:rFonts w:hint="eastAsia" w:ascii="仿宋" w:hAnsi="仿宋" w:eastAsia="仿宋" w:cs="仿宋"/>
                <w:b w:val="0"/>
                <w:bCs w:val="0"/>
                <w:iCs/>
                <w:color w:val="auto"/>
                <w:szCs w:val="21"/>
              </w:rPr>
              <w:t>人民法院起诉。</w:t>
            </w:r>
          </w:p>
        </w:tc>
      </w:tr>
      <w:tr w14:paraId="05208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386" w:type="dxa"/>
            <w:noWrap w:val="0"/>
            <w:vAlign w:val="center"/>
          </w:tcPr>
          <w:p w14:paraId="7243575D">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第二节</w:t>
            </w:r>
          </w:p>
          <w:p w14:paraId="13DF5ABC">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第2</w:t>
            </w:r>
            <w:r>
              <w:rPr>
                <w:rFonts w:hint="eastAsia" w:ascii="仿宋" w:hAnsi="仿宋" w:eastAsia="仿宋" w:cs="仿宋"/>
                <w:color w:val="auto"/>
                <w:szCs w:val="21"/>
                <w:lang w:val="en-US" w:eastAsia="zh-CN"/>
              </w:rPr>
              <w:t>3.1</w:t>
            </w:r>
            <w:r>
              <w:rPr>
                <w:rFonts w:hint="eastAsia" w:ascii="仿宋" w:hAnsi="仿宋" w:eastAsia="仿宋" w:cs="仿宋"/>
                <w:color w:val="auto"/>
                <w:szCs w:val="21"/>
                <w:lang w:eastAsia="zh-CN"/>
              </w:rPr>
              <w:t>款</w:t>
            </w:r>
          </w:p>
        </w:tc>
        <w:tc>
          <w:tcPr>
            <w:tcW w:w="2141" w:type="dxa"/>
            <w:noWrap w:val="0"/>
            <w:vAlign w:val="center"/>
          </w:tcPr>
          <w:p w14:paraId="2692E06B">
            <w:pPr>
              <w:adjustRightInd w:val="0"/>
              <w:snapToGrid w:val="0"/>
              <w:jc w:val="left"/>
              <w:rPr>
                <w:rFonts w:hint="eastAsia" w:ascii="仿宋" w:hAnsi="仿宋" w:eastAsia="仿宋" w:cs="仿宋"/>
                <w:color w:val="auto"/>
                <w:szCs w:val="21"/>
              </w:rPr>
            </w:pPr>
            <w:r>
              <w:rPr>
                <w:rFonts w:hint="eastAsia" w:ascii="仿宋" w:hAnsi="仿宋" w:eastAsia="仿宋" w:cs="仿宋"/>
                <w:bCs/>
                <w:color w:val="auto"/>
                <w:szCs w:val="21"/>
                <w:highlight w:val="none"/>
                <w:lang w:eastAsia="zh-CN"/>
              </w:rPr>
              <w:t>其他专用条款</w:t>
            </w:r>
          </w:p>
        </w:tc>
        <w:tc>
          <w:tcPr>
            <w:tcW w:w="5045" w:type="dxa"/>
            <w:noWrap w:val="0"/>
            <w:vAlign w:val="center"/>
          </w:tcPr>
          <w:p w14:paraId="30C8D9C1">
            <w:pPr>
              <w:adjustRightInd w:val="0"/>
              <w:snapToGrid w:val="0"/>
              <w:jc w:val="left"/>
              <w:rPr>
                <w:rFonts w:hint="eastAsia" w:ascii="仿宋" w:hAnsi="仿宋" w:eastAsia="仿宋" w:cs="仿宋"/>
                <w:color w:val="auto"/>
                <w:szCs w:val="21"/>
                <w:lang w:val="en-US" w:eastAsia="zh-CN"/>
              </w:rPr>
            </w:pPr>
          </w:p>
        </w:tc>
      </w:tr>
    </w:tbl>
    <w:p w14:paraId="19F0D472">
      <w:pPr>
        <w:rPr>
          <w:rFonts w:hint="eastAsia" w:ascii="仿宋" w:hAnsi="仿宋" w:eastAsia="仿宋" w:cs="仿宋"/>
          <w:color w:val="auto"/>
          <w:highlight w:val="none"/>
        </w:rPr>
      </w:pPr>
    </w:p>
    <w:p w14:paraId="5D332FA9">
      <w:pPr>
        <w:rPr>
          <w:rFonts w:hint="eastAsia" w:ascii="仿宋" w:hAnsi="仿宋" w:eastAsia="仿宋" w:cs="仿宋"/>
          <w:color w:val="auto"/>
          <w:sz w:val="20"/>
          <w:highlight w:val="none"/>
          <w:lang w:val="en-US" w:eastAsia="zh-CN"/>
        </w:rPr>
      </w:pPr>
      <w:r>
        <w:rPr>
          <w:rFonts w:hint="eastAsia" w:ascii="仿宋" w:hAnsi="仿宋" w:eastAsia="仿宋" w:cs="仿宋"/>
          <w:color w:val="auto"/>
          <w:sz w:val="20"/>
          <w:highlight w:val="none"/>
        </w:rPr>
        <w:t xml:space="preserve"> </w:t>
      </w:r>
      <w:r>
        <w:rPr>
          <w:rFonts w:hint="eastAsia" w:ascii="仿宋" w:hAnsi="仿宋" w:eastAsia="仿宋" w:cs="仿宋"/>
          <w:color w:val="auto"/>
          <w:sz w:val="20"/>
          <w:highlight w:val="none"/>
          <w:lang w:val="en-US" w:eastAsia="zh-CN"/>
        </w:rPr>
        <w:t xml:space="preserve">                     </w:t>
      </w:r>
    </w:p>
    <w:p w14:paraId="20D8BBFD">
      <w:pPr>
        <w:rPr>
          <w:rFonts w:hint="eastAsia" w:ascii="仿宋" w:hAnsi="仿宋" w:eastAsia="仿宋" w:cs="仿宋"/>
          <w:b/>
          <w:bCs/>
          <w:color w:val="auto"/>
          <w:spacing w:val="0"/>
          <w:kern w:val="2"/>
          <w:sz w:val="32"/>
          <w:szCs w:val="32"/>
          <w:u w:val="none"/>
          <w:lang w:val="en-US" w:eastAsia="zh-CN" w:bidi="ar"/>
        </w:rPr>
      </w:pPr>
      <w:r>
        <w:rPr>
          <w:rFonts w:hint="eastAsia" w:ascii="仿宋" w:hAnsi="仿宋" w:eastAsia="仿宋" w:cs="仿宋"/>
          <w:b/>
          <w:bCs/>
          <w:color w:val="auto"/>
          <w:spacing w:val="0"/>
          <w:kern w:val="2"/>
          <w:sz w:val="32"/>
          <w:szCs w:val="32"/>
          <w:u w:val="none"/>
          <w:lang w:val="en-US" w:eastAsia="zh-CN" w:bidi="ar"/>
        </w:rPr>
        <w:br w:type="page"/>
      </w:r>
    </w:p>
    <w:p w14:paraId="3E6ADE3A">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pacing w:val="0"/>
          <w:kern w:val="2"/>
          <w:sz w:val="32"/>
          <w:szCs w:val="32"/>
          <w:u w:val="none"/>
          <w:lang w:val="en-US" w:eastAsia="zh-CN" w:bidi="ar"/>
        </w:rPr>
      </w:pPr>
      <w:r>
        <w:rPr>
          <w:rFonts w:hint="eastAsia" w:ascii="仿宋" w:hAnsi="仿宋" w:eastAsia="仿宋" w:cs="仿宋"/>
          <w:b/>
          <w:bCs/>
          <w:color w:val="auto"/>
          <w:spacing w:val="0"/>
          <w:kern w:val="2"/>
          <w:sz w:val="32"/>
          <w:szCs w:val="32"/>
          <w:u w:val="none"/>
          <w:lang w:val="en-US" w:eastAsia="zh-CN" w:bidi="ar"/>
        </w:rPr>
        <w:t xml:space="preserve"> 采购需求</w:t>
      </w:r>
      <w:bookmarkEnd w:id="48"/>
    </w:p>
    <w:p w14:paraId="6D7B34CF">
      <w:pPr>
        <w:pStyle w:val="15"/>
        <w:numPr>
          <w:ilvl w:val="0"/>
          <w:numId w:val="12"/>
        </w:numPr>
        <w:tabs>
          <w:tab w:val="left" w:pos="540"/>
        </w:tabs>
        <w:snapToGrid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有关说明</w:t>
      </w:r>
    </w:p>
    <w:p w14:paraId="186A1F08">
      <w:pPr>
        <w:numPr>
          <w:ilvl w:val="0"/>
          <w:numId w:val="13"/>
        </w:numPr>
        <w:snapToGrid w:val="0"/>
        <w:spacing w:line="360" w:lineRule="auto"/>
        <w:ind w:left="567" w:hanging="567"/>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投标人须对本项目的采购标的进行整体投标，任何只对本项目采购标的其中一部分内容、数量进行的投标都被视为无效投标。</w:t>
      </w:r>
    </w:p>
    <w:p w14:paraId="77C0DB9D">
      <w:pPr>
        <w:numPr>
          <w:ilvl w:val="0"/>
          <w:numId w:val="13"/>
        </w:numPr>
        <w:snapToGrid w:val="0"/>
        <w:spacing w:line="360" w:lineRule="auto"/>
        <w:ind w:left="567" w:hanging="567"/>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采购需求中标注“★”号条款为实质性条款，必须逐条进行响应，有任何一条负偏离的，将导致无效投标。</w:t>
      </w:r>
    </w:p>
    <w:p w14:paraId="624546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二、采购清单及技术参数</w:t>
      </w:r>
    </w:p>
    <w:p w14:paraId="471630C9">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outlineLvl w:val="9"/>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包十一采购清单 </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457"/>
        <w:gridCol w:w="1242"/>
        <w:gridCol w:w="1340"/>
        <w:gridCol w:w="1507"/>
        <w:gridCol w:w="1047"/>
        <w:gridCol w:w="1047"/>
      </w:tblGrid>
      <w:tr w14:paraId="0BEC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E2C7">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序号</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CBCF2">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设备名称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8920">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数量</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8148">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单位</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F6B2">
            <w:pPr>
              <w:keepNext w:val="0"/>
              <w:keepLines w:val="0"/>
              <w:pageBreakBefore w:val="0"/>
              <w:widowControl/>
              <w:suppressLineNumbers w:val="0"/>
              <w:kinsoku/>
              <w:wordWrap/>
              <w:overflowPunct/>
              <w:topLinePunct w:val="0"/>
              <w:bidi w:val="0"/>
              <w:spacing w:line="264" w:lineRule="auto"/>
              <w:jc w:val="center"/>
              <w:textAlignment w:val="center"/>
              <w:rPr>
                <w:rFonts w:hint="default" w:ascii="仿宋" w:hAnsi="仿宋" w:eastAsia="仿宋" w:cs="仿宋"/>
                <w:b w:val="0"/>
                <w:bCs w:val="0"/>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单价限价（万元）</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4D69">
            <w:pPr>
              <w:keepNext w:val="0"/>
              <w:keepLines w:val="0"/>
              <w:pageBreakBefore w:val="0"/>
              <w:widowControl/>
              <w:suppressLineNumbers w:val="0"/>
              <w:kinsoku/>
              <w:wordWrap/>
              <w:overflowPunct/>
              <w:topLinePunct w:val="0"/>
              <w:bidi w:val="0"/>
              <w:spacing w:line="264" w:lineRule="auto"/>
              <w:jc w:val="center"/>
              <w:textAlignment w:val="center"/>
              <w:rPr>
                <w:rFonts w:hint="default" w:ascii="仿宋" w:hAnsi="仿宋" w:eastAsia="仿宋" w:cs="仿宋"/>
                <w:b w:val="0"/>
                <w:bCs w:val="0"/>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2"/>
                <w:szCs w:val="22"/>
                <w:u w:val="none"/>
                <w:lang w:val="en-US" w:eastAsia="zh-CN"/>
                <w14:textFill>
                  <w14:solidFill>
                    <w14:schemeClr w14:val="tx1"/>
                  </w14:solidFill>
                </w14:textFill>
              </w:rPr>
              <w:t>所属行业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07C1">
            <w:pPr>
              <w:keepNext w:val="0"/>
              <w:keepLines w:val="0"/>
              <w:pageBreakBefore w:val="0"/>
              <w:widowControl/>
              <w:suppressLineNumbers w:val="0"/>
              <w:kinsoku/>
              <w:wordWrap/>
              <w:overflowPunct/>
              <w:topLinePunct w:val="0"/>
              <w:bidi w:val="0"/>
              <w:spacing w:line="264" w:lineRule="auto"/>
              <w:jc w:val="center"/>
              <w:textAlignment w:val="center"/>
              <w:rPr>
                <w:rFonts w:hint="default" w:ascii="仿宋" w:hAnsi="仿宋" w:eastAsia="仿宋" w:cs="仿宋"/>
                <w:b w:val="0"/>
                <w:bCs w:val="0"/>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2"/>
                <w:szCs w:val="22"/>
                <w:u w:val="none"/>
                <w:lang w:val="en-US" w:eastAsia="zh-CN"/>
                <w14:textFill>
                  <w14:solidFill>
                    <w14:schemeClr w14:val="tx1"/>
                  </w14:solidFill>
                </w14:textFill>
              </w:rPr>
              <w:t>备注</w:t>
            </w:r>
          </w:p>
        </w:tc>
      </w:tr>
      <w:tr w14:paraId="5E13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B4DD">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2"/>
                <w:szCs w:val="22"/>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1</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3B99">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eastAsia" w:ascii="仿宋" w:hAnsi="仿宋" w:eastAsia="仿宋" w:cs="仿宋"/>
                <w:b w:val="0"/>
                <w:bCs w:val="0"/>
                <w:i w:val="0"/>
                <w:iCs w:val="0"/>
                <w:color w:val="000000" w:themeColor="text1"/>
                <w:kern w:val="0"/>
                <w:sz w:val="22"/>
                <w:szCs w:val="22"/>
                <w:u w:val="none"/>
                <w:lang w:val="en-US" w:eastAsia="zh-CN" w:bidi="ar"/>
                <w14:textFill>
                  <w14:solidFill>
                    <w14:schemeClr w14:val="tx1"/>
                  </w14:solidFill>
                </w14:textFill>
              </w:rPr>
              <w:t>病理科全套设备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A608">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default"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8D30">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14:textFill>
                  <w14:solidFill>
                    <w14:schemeClr w14:val="tx1"/>
                  </w14:solidFill>
                </w14:textFill>
              </w:rPr>
            </w:pPr>
            <w:r>
              <w:rPr>
                <w:rFonts w:hint="default"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套</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343F">
            <w:pPr>
              <w:keepNext w:val="0"/>
              <w:keepLines w:val="0"/>
              <w:pageBreakBefore w:val="0"/>
              <w:widowControl/>
              <w:suppressLineNumbers w:val="0"/>
              <w:kinsoku/>
              <w:wordWrap/>
              <w:overflowPunct/>
              <w:topLinePunct w:val="0"/>
              <w:bidi w:val="0"/>
              <w:spacing w:line="264" w:lineRule="auto"/>
              <w:jc w:val="center"/>
              <w:textAlignment w:val="center"/>
              <w:rPr>
                <w:rFonts w:hint="default" w:ascii="仿宋" w:hAnsi="仿宋" w:eastAsia="仿宋" w:cs="仿宋"/>
                <w:b w:val="0"/>
                <w:bCs w:val="0"/>
                <w:i w:val="0"/>
                <w:iCs w:val="0"/>
                <w:color w:val="000000" w:themeColor="text1"/>
                <w:sz w:val="20"/>
                <w:szCs w:val="20"/>
                <w:u w:val="none"/>
                <w:lang w:val="en-US"/>
                <w14:textFill>
                  <w14:solidFill>
                    <w14:schemeClr w14:val="tx1"/>
                  </w14:solidFill>
                </w14:textFill>
              </w:rPr>
            </w:pPr>
            <w:r>
              <w:rPr>
                <w:rFonts w:hint="default"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9</w:t>
            </w:r>
            <w:r>
              <w:rPr>
                <w:rFonts w:hint="default"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w:t>
            </w:r>
            <w:r>
              <w:rPr>
                <w:rFonts w:hint="eastAsia" w:ascii="仿宋_GB2312" w:hAnsi="宋体"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.03</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DA4D">
            <w:pPr>
              <w:keepNext w:val="0"/>
              <w:keepLines w:val="0"/>
              <w:pageBreakBefore w:val="0"/>
              <w:widowControl/>
              <w:suppressLineNumbers w:val="0"/>
              <w:kinsoku/>
              <w:wordWrap/>
              <w:overflowPunct/>
              <w:topLinePunct w:val="0"/>
              <w:bidi w:val="0"/>
              <w:spacing w:line="264" w:lineRule="auto"/>
              <w:jc w:val="center"/>
              <w:textAlignment w:val="cente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0"/>
                <w:szCs w:val="20"/>
                <w:u w:val="none"/>
                <w:lang w:val="en-US" w:eastAsia="zh-CN"/>
                <w14:textFill>
                  <w14:solidFill>
                    <w14:schemeClr w14:val="tx1"/>
                  </w14:solidFill>
                </w14:textFill>
              </w:rPr>
              <w:t>工业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DC6B">
            <w:pPr>
              <w:keepNext w:val="0"/>
              <w:keepLines w:val="0"/>
              <w:pageBreakBefore w:val="0"/>
              <w:widowControl/>
              <w:suppressLineNumbers w:val="0"/>
              <w:kinsoku/>
              <w:wordWrap/>
              <w:overflowPunct/>
              <w:topLinePunct w:val="0"/>
              <w:bidi w:val="0"/>
              <w:spacing w:line="264" w:lineRule="auto"/>
              <w:jc w:val="center"/>
              <w:textAlignment w:val="center"/>
              <w:rPr>
                <w:rFonts w:hint="default" w:ascii="仿宋" w:hAnsi="仿宋" w:eastAsia="仿宋" w:cs="仿宋"/>
                <w:b w:val="0"/>
                <w:bCs w:val="0"/>
                <w:i w:val="0"/>
                <w:iCs w:val="0"/>
                <w:color w:val="000000" w:themeColor="text1"/>
                <w:sz w:val="20"/>
                <w:szCs w:val="20"/>
                <w:u w:val="none"/>
                <w:lang w:val="en-US" w:eastAsia="zh-CN"/>
                <w14:textFill>
                  <w14:solidFill>
                    <w14:schemeClr w14:val="tx1"/>
                  </w14:solidFill>
                </w14:textFill>
              </w:rPr>
            </w:pPr>
          </w:p>
        </w:tc>
      </w:tr>
    </w:tbl>
    <w:p w14:paraId="443A5D42">
      <w:pPr>
        <w:keepNext w:val="0"/>
        <w:keepLines w:val="0"/>
        <w:pageBreakBefore w:val="0"/>
        <w:numPr>
          <w:ilvl w:val="0"/>
          <w:numId w:val="0"/>
        </w:numPr>
        <w:kinsoku/>
        <w:wordWrap/>
        <w:overflowPunct/>
        <w:topLinePunct w:val="0"/>
        <w:bidi w:val="0"/>
        <w:spacing w:line="264" w:lineRule="auto"/>
        <w:ind w:leftChars="0"/>
        <w:jc w:val="left"/>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包十一采购技术参数</w:t>
      </w:r>
    </w:p>
    <w:p w14:paraId="2F85707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（4）病理科全套设备</w:t>
      </w:r>
    </w:p>
    <w:p w14:paraId="0DAD95F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病理科全套设备详细一览表</w:t>
      </w:r>
    </w:p>
    <w:tbl>
      <w:tblPr>
        <w:tblStyle w:val="22"/>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764"/>
        <w:gridCol w:w="1368"/>
        <w:gridCol w:w="2327"/>
      </w:tblGrid>
      <w:tr w14:paraId="2F1B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731" w:type="dxa"/>
            <w:tcBorders>
              <w:tl2br w:val="nil"/>
              <w:tr2bl w:val="nil"/>
            </w:tcBorders>
            <w:noWrap/>
            <w:vAlign w:val="center"/>
          </w:tcPr>
          <w:p w14:paraId="069DDEE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序号</w:t>
            </w:r>
          </w:p>
        </w:tc>
        <w:tc>
          <w:tcPr>
            <w:tcW w:w="3764" w:type="dxa"/>
            <w:tcBorders>
              <w:tl2br w:val="nil"/>
              <w:tr2bl w:val="nil"/>
            </w:tcBorders>
            <w:noWrap w:val="0"/>
            <w:vAlign w:val="center"/>
          </w:tcPr>
          <w:p w14:paraId="661FD7F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品名</w:t>
            </w:r>
          </w:p>
        </w:tc>
        <w:tc>
          <w:tcPr>
            <w:tcW w:w="1368" w:type="dxa"/>
            <w:tcBorders>
              <w:tl2br w:val="nil"/>
              <w:tr2bl w:val="nil"/>
            </w:tcBorders>
            <w:noWrap w:val="0"/>
            <w:vAlign w:val="center"/>
          </w:tcPr>
          <w:p w14:paraId="5E21057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单位</w:t>
            </w:r>
          </w:p>
        </w:tc>
        <w:tc>
          <w:tcPr>
            <w:tcW w:w="2327" w:type="dxa"/>
            <w:tcBorders>
              <w:tl2br w:val="nil"/>
              <w:tr2bl w:val="nil"/>
            </w:tcBorders>
            <w:noWrap w:val="0"/>
            <w:vAlign w:val="center"/>
          </w:tcPr>
          <w:p w14:paraId="075F8B4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数量</w:t>
            </w:r>
          </w:p>
        </w:tc>
      </w:tr>
      <w:tr w14:paraId="31BB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0A147C9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3764" w:type="dxa"/>
            <w:tcBorders>
              <w:tl2br w:val="nil"/>
              <w:tr2bl w:val="nil"/>
            </w:tcBorders>
            <w:noWrap w:val="0"/>
            <w:vAlign w:val="center"/>
          </w:tcPr>
          <w:p w14:paraId="5C33E46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病理取材台</w:t>
            </w:r>
          </w:p>
        </w:tc>
        <w:tc>
          <w:tcPr>
            <w:tcW w:w="1368" w:type="dxa"/>
            <w:tcBorders>
              <w:tl2br w:val="nil"/>
              <w:tr2bl w:val="nil"/>
            </w:tcBorders>
            <w:noWrap w:val="0"/>
            <w:vAlign w:val="center"/>
          </w:tcPr>
          <w:p w14:paraId="40346B3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2DCBBB8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054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40CB72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3764" w:type="dxa"/>
            <w:tcBorders>
              <w:tl2br w:val="nil"/>
              <w:tr2bl w:val="nil"/>
            </w:tcBorders>
            <w:noWrap w:val="0"/>
            <w:vAlign w:val="center"/>
          </w:tcPr>
          <w:p w14:paraId="1039D03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大体标本冷藏台</w:t>
            </w:r>
          </w:p>
        </w:tc>
        <w:tc>
          <w:tcPr>
            <w:tcW w:w="1368" w:type="dxa"/>
            <w:tcBorders>
              <w:tl2br w:val="nil"/>
              <w:tr2bl w:val="nil"/>
            </w:tcBorders>
            <w:noWrap w:val="0"/>
            <w:vAlign w:val="center"/>
          </w:tcPr>
          <w:p w14:paraId="456D147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1FB3CD0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682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38F5406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3764" w:type="dxa"/>
            <w:tcBorders>
              <w:tl2br w:val="nil"/>
              <w:tr2bl w:val="nil"/>
            </w:tcBorders>
            <w:noWrap w:val="0"/>
            <w:vAlign w:val="center"/>
          </w:tcPr>
          <w:p w14:paraId="2A915E0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大体标本拍摄台</w:t>
            </w:r>
          </w:p>
        </w:tc>
        <w:tc>
          <w:tcPr>
            <w:tcW w:w="1368" w:type="dxa"/>
            <w:tcBorders>
              <w:tl2br w:val="nil"/>
              <w:tr2bl w:val="nil"/>
            </w:tcBorders>
            <w:noWrap w:val="0"/>
            <w:vAlign w:val="center"/>
          </w:tcPr>
          <w:p w14:paraId="0C817ED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6A09935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9C9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4A41683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3764" w:type="dxa"/>
            <w:tcBorders>
              <w:tl2br w:val="nil"/>
              <w:tr2bl w:val="nil"/>
            </w:tcBorders>
            <w:noWrap w:val="0"/>
            <w:vAlign w:val="center"/>
          </w:tcPr>
          <w:p w14:paraId="64EA4CA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包埋盒打号机</w:t>
            </w:r>
          </w:p>
        </w:tc>
        <w:tc>
          <w:tcPr>
            <w:tcW w:w="1368" w:type="dxa"/>
            <w:tcBorders>
              <w:tl2br w:val="nil"/>
              <w:tr2bl w:val="nil"/>
            </w:tcBorders>
            <w:noWrap w:val="0"/>
            <w:vAlign w:val="center"/>
          </w:tcPr>
          <w:p w14:paraId="77D714E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6E8B7BA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6FCF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2D063CE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3764" w:type="dxa"/>
            <w:tcBorders>
              <w:tl2br w:val="nil"/>
              <w:tr2bl w:val="nil"/>
            </w:tcBorders>
            <w:noWrap w:val="0"/>
            <w:vAlign w:val="center"/>
          </w:tcPr>
          <w:p w14:paraId="26356EC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自动组织脱水机</w:t>
            </w:r>
          </w:p>
        </w:tc>
        <w:tc>
          <w:tcPr>
            <w:tcW w:w="1368" w:type="dxa"/>
            <w:tcBorders>
              <w:tl2br w:val="nil"/>
              <w:tr2bl w:val="nil"/>
            </w:tcBorders>
            <w:noWrap w:val="0"/>
            <w:vAlign w:val="center"/>
          </w:tcPr>
          <w:p w14:paraId="0037A79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7B174DB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06C5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FEE943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3764" w:type="dxa"/>
            <w:tcBorders>
              <w:tl2br w:val="nil"/>
              <w:tr2bl w:val="nil"/>
            </w:tcBorders>
            <w:noWrap w:val="0"/>
            <w:vAlign w:val="center"/>
          </w:tcPr>
          <w:p w14:paraId="4D59E00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脱水机通风柜</w:t>
            </w:r>
          </w:p>
        </w:tc>
        <w:tc>
          <w:tcPr>
            <w:tcW w:w="1368" w:type="dxa"/>
            <w:tcBorders>
              <w:tl2br w:val="nil"/>
              <w:tr2bl w:val="nil"/>
            </w:tcBorders>
            <w:noWrap w:val="0"/>
            <w:vAlign w:val="center"/>
          </w:tcPr>
          <w:p w14:paraId="12D02E7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个</w:t>
            </w:r>
          </w:p>
        </w:tc>
        <w:tc>
          <w:tcPr>
            <w:tcW w:w="2327" w:type="dxa"/>
            <w:tcBorders>
              <w:tl2br w:val="nil"/>
              <w:tr2bl w:val="nil"/>
            </w:tcBorders>
            <w:noWrap w:val="0"/>
            <w:vAlign w:val="center"/>
          </w:tcPr>
          <w:p w14:paraId="07C7F6B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1290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0B4D7D0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3764" w:type="dxa"/>
            <w:tcBorders>
              <w:tl2br w:val="nil"/>
              <w:tr2bl w:val="nil"/>
            </w:tcBorders>
            <w:noWrap w:val="0"/>
            <w:vAlign w:val="center"/>
          </w:tcPr>
          <w:p w14:paraId="68BA15D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组织包埋机</w:t>
            </w:r>
          </w:p>
        </w:tc>
        <w:tc>
          <w:tcPr>
            <w:tcW w:w="1368" w:type="dxa"/>
            <w:tcBorders>
              <w:tl2br w:val="nil"/>
              <w:tr2bl w:val="nil"/>
            </w:tcBorders>
            <w:noWrap w:val="0"/>
            <w:vAlign w:val="center"/>
          </w:tcPr>
          <w:p w14:paraId="6918327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6A082B9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1B3A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D005E4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3764" w:type="dxa"/>
            <w:tcBorders>
              <w:tl2br w:val="nil"/>
              <w:tr2bl w:val="nil"/>
            </w:tcBorders>
            <w:noWrap w:val="0"/>
            <w:vAlign w:val="center"/>
          </w:tcPr>
          <w:p w14:paraId="30BB1DB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包埋机全钢通风柜</w:t>
            </w:r>
          </w:p>
        </w:tc>
        <w:tc>
          <w:tcPr>
            <w:tcW w:w="1368" w:type="dxa"/>
            <w:tcBorders>
              <w:tl2br w:val="nil"/>
              <w:tr2bl w:val="nil"/>
            </w:tcBorders>
            <w:noWrap w:val="0"/>
            <w:vAlign w:val="center"/>
          </w:tcPr>
          <w:p w14:paraId="575CA66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个</w:t>
            </w:r>
          </w:p>
        </w:tc>
        <w:tc>
          <w:tcPr>
            <w:tcW w:w="2327" w:type="dxa"/>
            <w:tcBorders>
              <w:tl2br w:val="nil"/>
              <w:tr2bl w:val="nil"/>
            </w:tcBorders>
            <w:noWrap w:val="0"/>
            <w:vAlign w:val="center"/>
          </w:tcPr>
          <w:p w14:paraId="6D2C701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243E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06FB36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3764" w:type="dxa"/>
            <w:tcBorders>
              <w:tl2br w:val="nil"/>
              <w:tr2bl w:val="nil"/>
            </w:tcBorders>
            <w:noWrap w:val="0"/>
            <w:vAlign w:val="center"/>
          </w:tcPr>
          <w:p w14:paraId="58F3980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玻片打号机</w:t>
            </w:r>
          </w:p>
        </w:tc>
        <w:tc>
          <w:tcPr>
            <w:tcW w:w="1368" w:type="dxa"/>
            <w:tcBorders>
              <w:tl2br w:val="nil"/>
              <w:tr2bl w:val="nil"/>
            </w:tcBorders>
            <w:noWrap w:val="0"/>
            <w:vAlign w:val="center"/>
          </w:tcPr>
          <w:p w14:paraId="750836F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342EBDE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17B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2032634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3764" w:type="dxa"/>
            <w:tcBorders>
              <w:tl2br w:val="nil"/>
              <w:tr2bl w:val="nil"/>
            </w:tcBorders>
            <w:noWrap w:val="0"/>
            <w:vAlign w:val="center"/>
          </w:tcPr>
          <w:p w14:paraId="2E0DFEC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半自动石蜡切片机</w:t>
            </w:r>
          </w:p>
        </w:tc>
        <w:tc>
          <w:tcPr>
            <w:tcW w:w="1368" w:type="dxa"/>
            <w:tcBorders>
              <w:tl2br w:val="nil"/>
              <w:tr2bl w:val="nil"/>
            </w:tcBorders>
            <w:noWrap w:val="0"/>
            <w:vAlign w:val="center"/>
          </w:tcPr>
          <w:p w14:paraId="2621D2E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457FC6D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2302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02FC773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3764" w:type="dxa"/>
            <w:tcBorders>
              <w:tl2br w:val="nil"/>
              <w:tr2bl w:val="nil"/>
            </w:tcBorders>
            <w:noWrap w:val="0"/>
            <w:vAlign w:val="center"/>
          </w:tcPr>
          <w:p w14:paraId="0FDCA52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摊片烤片机</w:t>
            </w:r>
          </w:p>
        </w:tc>
        <w:tc>
          <w:tcPr>
            <w:tcW w:w="1368" w:type="dxa"/>
            <w:tcBorders>
              <w:tl2br w:val="nil"/>
              <w:tr2bl w:val="nil"/>
            </w:tcBorders>
            <w:noWrap w:val="0"/>
            <w:vAlign w:val="center"/>
          </w:tcPr>
          <w:p w14:paraId="0B8BCD8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1F28198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4AF0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385421D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3764" w:type="dxa"/>
            <w:tcBorders>
              <w:tl2br w:val="nil"/>
              <w:tr2bl w:val="nil"/>
            </w:tcBorders>
            <w:noWrap w:val="0"/>
            <w:vAlign w:val="center"/>
          </w:tcPr>
          <w:p w14:paraId="17BD997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全自动染色封片系统</w:t>
            </w:r>
          </w:p>
        </w:tc>
        <w:tc>
          <w:tcPr>
            <w:tcW w:w="1368" w:type="dxa"/>
            <w:tcBorders>
              <w:tl2br w:val="nil"/>
              <w:tr2bl w:val="nil"/>
            </w:tcBorders>
            <w:noWrap w:val="0"/>
            <w:vAlign w:val="center"/>
          </w:tcPr>
          <w:p w14:paraId="7AA34F8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3211872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5EE0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068A13B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3764" w:type="dxa"/>
            <w:tcBorders>
              <w:tl2br w:val="nil"/>
              <w:tr2bl w:val="nil"/>
            </w:tcBorders>
            <w:noWrap w:val="0"/>
            <w:vAlign w:val="center"/>
          </w:tcPr>
          <w:p w14:paraId="7112671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染色工作台全钢通风柜</w:t>
            </w:r>
          </w:p>
        </w:tc>
        <w:tc>
          <w:tcPr>
            <w:tcW w:w="1368" w:type="dxa"/>
            <w:tcBorders>
              <w:tl2br w:val="nil"/>
              <w:tr2bl w:val="nil"/>
            </w:tcBorders>
            <w:noWrap w:val="0"/>
            <w:vAlign w:val="center"/>
          </w:tcPr>
          <w:p w14:paraId="0D2F351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个</w:t>
            </w:r>
          </w:p>
        </w:tc>
        <w:tc>
          <w:tcPr>
            <w:tcW w:w="2327" w:type="dxa"/>
            <w:tcBorders>
              <w:tl2br w:val="nil"/>
              <w:tr2bl w:val="nil"/>
            </w:tcBorders>
            <w:noWrap w:val="0"/>
            <w:vAlign w:val="center"/>
          </w:tcPr>
          <w:p w14:paraId="2D98584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42D0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03EED16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3764" w:type="dxa"/>
            <w:tcBorders>
              <w:tl2br w:val="nil"/>
              <w:tr2bl w:val="nil"/>
            </w:tcBorders>
            <w:noWrap w:val="0"/>
            <w:vAlign w:val="center"/>
          </w:tcPr>
          <w:p w14:paraId="427A942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手工染色通风柜</w:t>
            </w:r>
          </w:p>
        </w:tc>
        <w:tc>
          <w:tcPr>
            <w:tcW w:w="1368" w:type="dxa"/>
            <w:tcBorders>
              <w:tl2br w:val="nil"/>
              <w:tr2bl w:val="nil"/>
            </w:tcBorders>
            <w:noWrap w:val="0"/>
            <w:vAlign w:val="center"/>
          </w:tcPr>
          <w:p w14:paraId="592EAA6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个</w:t>
            </w:r>
          </w:p>
        </w:tc>
        <w:tc>
          <w:tcPr>
            <w:tcW w:w="2327" w:type="dxa"/>
            <w:tcBorders>
              <w:tl2br w:val="nil"/>
              <w:tr2bl w:val="nil"/>
            </w:tcBorders>
            <w:noWrap w:val="0"/>
            <w:vAlign w:val="center"/>
          </w:tcPr>
          <w:p w14:paraId="30F2600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A73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39F217B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3764" w:type="dxa"/>
            <w:tcBorders>
              <w:tl2br w:val="nil"/>
              <w:tr2bl w:val="nil"/>
            </w:tcBorders>
            <w:noWrap w:val="0"/>
            <w:vAlign w:val="center"/>
          </w:tcPr>
          <w:p w14:paraId="3172CA9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冰冻切片机</w:t>
            </w:r>
          </w:p>
        </w:tc>
        <w:tc>
          <w:tcPr>
            <w:tcW w:w="1368" w:type="dxa"/>
            <w:tcBorders>
              <w:tl2br w:val="nil"/>
              <w:tr2bl w:val="nil"/>
            </w:tcBorders>
            <w:noWrap w:val="0"/>
            <w:vAlign w:val="center"/>
          </w:tcPr>
          <w:p w14:paraId="4FCECC7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04FE8D6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292C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727669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3764" w:type="dxa"/>
            <w:tcBorders>
              <w:tl2br w:val="nil"/>
              <w:tr2bl w:val="nil"/>
            </w:tcBorders>
            <w:noWrap w:val="0"/>
            <w:vAlign w:val="center"/>
          </w:tcPr>
          <w:p w14:paraId="3178DBD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全自动免疫组化染色机</w:t>
            </w:r>
          </w:p>
        </w:tc>
        <w:tc>
          <w:tcPr>
            <w:tcW w:w="1368" w:type="dxa"/>
            <w:tcBorders>
              <w:tl2br w:val="nil"/>
              <w:tr2bl w:val="nil"/>
            </w:tcBorders>
            <w:noWrap w:val="0"/>
            <w:vAlign w:val="center"/>
          </w:tcPr>
          <w:p w14:paraId="1DCD524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669343F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A90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E91505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3764" w:type="dxa"/>
            <w:tcBorders>
              <w:tl2br w:val="nil"/>
              <w:tr2bl w:val="nil"/>
            </w:tcBorders>
            <w:noWrap w:val="0"/>
            <w:vAlign w:val="center"/>
          </w:tcPr>
          <w:p w14:paraId="562FD98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数字扫指WIN20</w:t>
            </w:r>
          </w:p>
        </w:tc>
        <w:tc>
          <w:tcPr>
            <w:tcW w:w="1368" w:type="dxa"/>
            <w:tcBorders>
              <w:tl2br w:val="nil"/>
              <w:tr2bl w:val="nil"/>
            </w:tcBorders>
            <w:noWrap w:val="0"/>
            <w:vAlign w:val="center"/>
          </w:tcPr>
          <w:p w14:paraId="76C314E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0DE2495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2361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51A395C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3764" w:type="dxa"/>
            <w:tcBorders>
              <w:tl2br w:val="nil"/>
              <w:tr2bl w:val="nil"/>
            </w:tcBorders>
            <w:noWrap w:val="0"/>
            <w:vAlign w:val="center"/>
          </w:tcPr>
          <w:p w14:paraId="4E086E8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病理质控信息管理系统</w:t>
            </w:r>
          </w:p>
        </w:tc>
        <w:tc>
          <w:tcPr>
            <w:tcW w:w="1368" w:type="dxa"/>
            <w:tcBorders>
              <w:tl2br w:val="nil"/>
              <w:tr2bl w:val="nil"/>
            </w:tcBorders>
            <w:noWrap w:val="0"/>
            <w:vAlign w:val="center"/>
          </w:tcPr>
          <w:p w14:paraId="728F33C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站点</w:t>
            </w:r>
          </w:p>
        </w:tc>
        <w:tc>
          <w:tcPr>
            <w:tcW w:w="2327" w:type="dxa"/>
            <w:tcBorders>
              <w:tl2br w:val="nil"/>
              <w:tr2bl w:val="nil"/>
            </w:tcBorders>
            <w:noWrap w:val="0"/>
            <w:vAlign w:val="center"/>
          </w:tcPr>
          <w:p w14:paraId="4254926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r>
      <w:tr w14:paraId="0E10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608A245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p>
        </w:tc>
        <w:tc>
          <w:tcPr>
            <w:tcW w:w="3764" w:type="dxa"/>
            <w:tcBorders>
              <w:tl2br w:val="nil"/>
              <w:tr2bl w:val="nil"/>
            </w:tcBorders>
            <w:noWrap w:val="0"/>
            <w:vAlign w:val="center"/>
          </w:tcPr>
          <w:p w14:paraId="11BE700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手工细胞染色通风柜</w:t>
            </w:r>
          </w:p>
        </w:tc>
        <w:tc>
          <w:tcPr>
            <w:tcW w:w="1368" w:type="dxa"/>
            <w:tcBorders>
              <w:tl2br w:val="nil"/>
              <w:tr2bl w:val="nil"/>
            </w:tcBorders>
            <w:noWrap w:val="0"/>
            <w:vAlign w:val="center"/>
          </w:tcPr>
          <w:p w14:paraId="69FE8F6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个</w:t>
            </w:r>
          </w:p>
        </w:tc>
        <w:tc>
          <w:tcPr>
            <w:tcW w:w="2327" w:type="dxa"/>
            <w:tcBorders>
              <w:tl2br w:val="nil"/>
              <w:tr2bl w:val="nil"/>
            </w:tcBorders>
            <w:noWrap w:val="0"/>
            <w:vAlign w:val="center"/>
          </w:tcPr>
          <w:p w14:paraId="5594F09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F64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5A8821A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3764" w:type="dxa"/>
            <w:tcBorders>
              <w:tl2br w:val="nil"/>
              <w:tr2bl w:val="nil"/>
            </w:tcBorders>
            <w:noWrap w:val="0"/>
            <w:vAlign w:val="center"/>
          </w:tcPr>
          <w:p w14:paraId="4C80ADB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切片存放柜</w:t>
            </w:r>
          </w:p>
        </w:tc>
        <w:tc>
          <w:tcPr>
            <w:tcW w:w="1368" w:type="dxa"/>
            <w:tcBorders>
              <w:tl2br w:val="nil"/>
              <w:tr2bl w:val="nil"/>
            </w:tcBorders>
            <w:noWrap w:val="0"/>
            <w:vAlign w:val="center"/>
          </w:tcPr>
          <w:p w14:paraId="4942801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35AC7E7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71DA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5B8499C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p>
        </w:tc>
        <w:tc>
          <w:tcPr>
            <w:tcW w:w="3764" w:type="dxa"/>
            <w:tcBorders>
              <w:tl2br w:val="nil"/>
              <w:tr2bl w:val="nil"/>
            </w:tcBorders>
            <w:noWrap w:val="0"/>
            <w:vAlign w:val="center"/>
          </w:tcPr>
          <w:p w14:paraId="2664C4F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蜡块存放柜</w:t>
            </w:r>
          </w:p>
        </w:tc>
        <w:tc>
          <w:tcPr>
            <w:tcW w:w="1368" w:type="dxa"/>
            <w:tcBorders>
              <w:tl2br w:val="nil"/>
              <w:tr2bl w:val="nil"/>
            </w:tcBorders>
            <w:noWrap w:val="0"/>
            <w:vAlign w:val="center"/>
          </w:tcPr>
          <w:p w14:paraId="452B18B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671D382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0C70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2D832FD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p>
        </w:tc>
        <w:tc>
          <w:tcPr>
            <w:tcW w:w="3764" w:type="dxa"/>
            <w:tcBorders>
              <w:tl2br w:val="nil"/>
              <w:tr2bl w:val="nil"/>
            </w:tcBorders>
            <w:noWrap w:val="0"/>
            <w:vAlign w:val="center"/>
          </w:tcPr>
          <w:p w14:paraId="3F3A05C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晾片存放柜</w:t>
            </w:r>
          </w:p>
        </w:tc>
        <w:tc>
          <w:tcPr>
            <w:tcW w:w="1368" w:type="dxa"/>
            <w:tcBorders>
              <w:tl2br w:val="nil"/>
              <w:tr2bl w:val="nil"/>
            </w:tcBorders>
            <w:noWrap w:val="0"/>
            <w:vAlign w:val="center"/>
          </w:tcPr>
          <w:p w14:paraId="100BD58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2B0B773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4C5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4C38009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3764" w:type="dxa"/>
            <w:tcBorders>
              <w:tl2br w:val="nil"/>
              <w:tr2bl w:val="nil"/>
            </w:tcBorders>
            <w:noWrap w:val="0"/>
            <w:vAlign w:val="center"/>
          </w:tcPr>
          <w:p w14:paraId="353B1E9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电热恒温干燥箱</w:t>
            </w:r>
          </w:p>
        </w:tc>
        <w:tc>
          <w:tcPr>
            <w:tcW w:w="1368" w:type="dxa"/>
            <w:tcBorders>
              <w:tl2br w:val="nil"/>
              <w:tr2bl w:val="nil"/>
            </w:tcBorders>
            <w:noWrap w:val="0"/>
            <w:vAlign w:val="center"/>
          </w:tcPr>
          <w:p w14:paraId="1F66B3A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361D2DF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5A8A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06BF38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3764" w:type="dxa"/>
            <w:tcBorders>
              <w:tl2br w:val="nil"/>
              <w:tr2bl w:val="nil"/>
            </w:tcBorders>
            <w:noWrap w:val="0"/>
            <w:vAlign w:val="center"/>
          </w:tcPr>
          <w:p w14:paraId="6BC8167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离心机</w:t>
            </w:r>
          </w:p>
        </w:tc>
        <w:tc>
          <w:tcPr>
            <w:tcW w:w="1368" w:type="dxa"/>
            <w:tcBorders>
              <w:tl2br w:val="nil"/>
              <w:tr2bl w:val="nil"/>
            </w:tcBorders>
            <w:noWrap w:val="0"/>
            <w:vAlign w:val="center"/>
          </w:tcPr>
          <w:p w14:paraId="3627AE6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2C2B7A0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6DC6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31" w:type="dxa"/>
            <w:tcBorders>
              <w:tl2br w:val="nil"/>
              <w:tr2bl w:val="nil"/>
            </w:tcBorders>
            <w:noWrap w:val="0"/>
            <w:vAlign w:val="center"/>
          </w:tcPr>
          <w:p w14:paraId="5C1B63A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3764" w:type="dxa"/>
            <w:tcBorders>
              <w:tl2br w:val="nil"/>
              <w:tr2bl w:val="nil"/>
            </w:tcBorders>
            <w:noWrap w:val="0"/>
            <w:vAlign w:val="center"/>
          </w:tcPr>
          <w:p w14:paraId="171EC86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HPV全自动杂交捕获检测系统</w:t>
            </w:r>
          </w:p>
        </w:tc>
        <w:tc>
          <w:tcPr>
            <w:tcW w:w="1368" w:type="dxa"/>
            <w:tcBorders>
              <w:tl2br w:val="nil"/>
              <w:tr2bl w:val="nil"/>
            </w:tcBorders>
            <w:noWrap w:val="0"/>
            <w:vAlign w:val="center"/>
          </w:tcPr>
          <w:p w14:paraId="02CD051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297C585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46A7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00E352C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p>
        </w:tc>
        <w:tc>
          <w:tcPr>
            <w:tcW w:w="3764" w:type="dxa"/>
            <w:tcBorders>
              <w:tl2br w:val="nil"/>
              <w:tr2bl w:val="nil"/>
            </w:tcBorders>
            <w:noWrap w:val="0"/>
            <w:vAlign w:val="center"/>
          </w:tcPr>
          <w:p w14:paraId="1F7494F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五人共览显微镜</w:t>
            </w:r>
          </w:p>
        </w:tc>
        <w:tc>
          <w:tcPr>
            <w:tcW w:w="1368" w:type="dxa"/>
            <w:tcBorders>
              <w:tl2br w:val="nil"/>
              <w:tr2bl w:val="nil"/>
            </w:tcBorders>
            <w:noWrap w:val="0"/>
            <w:vAlign w:val="center"/>
          </w:tcPr>
          <w:p w14:paraId="44430C5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7733926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7C38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1C9DE8A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c>
          <w:tcPr>
            <w:tcW w:w="3764" w:type="dxa"/>
            <w:tcBorders>
              <w:tl2br w:val="nil"/>
              <w:tr2bl w:val="nil"/>
            </w:tcBorders>
            <w:noWrap w:val="0"/>
            <w:vAlign w:val="center"/>
          </w:tcPr>
          <w:p w14:paraId="6577E2F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荧光显微镜</w:t>
            </w:r>
          </w:p>
        </w:tc>
        <w:tc>
          <w:tcPr>
            <w:tcW w:w="1368" w:type="dxa"/>
            <w:tcBorders>
              <w:tl2br w:val="nil"/>
              <w:tr2bl w:val="nil"/>
            </w:tcBorders>
            <w:noWrap w:val="0"/>
            <w:vAlign w:val="center"/>
          </w:tcPr>
          <w:p w14:paraId="0970C3E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1E55E25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50C5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70A021A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p>
        </w:tc>
        <w:tc>
          <w:tcPr>
            <w:tcW w:w="3764" w:type="dxa"/>
            <w:tcBorders>
              <w:tl2br w:val="nil"/>
              <w:tr2bl w:val="nil"/>
            </w:tcBorders>
            <w:noWrap w:val="0"/>
            <w:vAlign w:val="center"/>
          </w:tcPr>
          <w:p w14:paraId="6996F0B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生物显微镜</w:t>
            </w:r>
          </w:p>
        </w:tc>
        <w:tc>
          <w:tcPr>
            <w:tcW w:w="1368" w:type="dxa"/>
            <w:tcBorders>
              <w:tl2br w:val="nil"/>
              <w:tr2bl w:val="nil"/>
            </w:tcBorders>
            <w:noWrap w:val="0"/>
            <w:vAlign w:val="center"/>
          </w:tcPr>
          <w:p w14:paraId="19ECF26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3621A3E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655E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0"/>
            <w:vAlign w:val="center"/>
          </w:tcPr>
          <w:p w14:paraId="6C606DB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p>
        </w:tc>
        <w:tc>
          <w:tcPr>
            <w:tcW w:w="3764" w:type="dxa"/>
            <w:tcBorders>
              <w:tl2br w:val="nil"/>
              <w:tr2bl w:val="nil"/>
            </w:tcBorders>
            <w:noWrap w:val="0"/>
            <w:vAlign w:val="center"/>
          </w:tcPr>
          <w:p w14:paraId="6F6F4B2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全自动液基细胞制片机</w:t>
            </w:r>
          </w:p>
        </w:tc>
        <w:tc>
          <w:tcPr>
            <w:tcW w:w="1368" w:type="dxa"/>
            <w:tcBorders>
              <w:tl2br w:val="nil"/>
              <w:tr2bl w:val="nil"/>
            </w:tcBorders>
            <w:noWrap w:val="0"/>
            <w:vAlign w:val="center"/>
          </w:tcPr>
          <w:p w14:paraId="5B64FBE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0"/>
            <w:vAlign w:val="center"/>
          </w:tcPr>
          <w:p w14:paraId="47E5F7C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34C6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1" w:type="dxa"/>
            <w:tcBorders>
              <w:tl2br w:val="nil"/>
              <w:tr2bl w:val="nil"/>
            </w:tcBorders>
            <w:noWrap/>
            <w:vAlign w:val="center"/>
          </w:tcPr>
          <w:p w14:paraId="7E1A671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3764" w:type="dxa"/>
            <w:tcBorders>
              <w:tl2br w:val="nil"/>
              <w:tr2bl w:val="nil"/>
            </w:tcBorders>
            <w:noWrap/>
            <w:vAlign w:val="center"/>
          </w:tcPr>
          <w:p w14:paraId="6E2409F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冰柜</w:t>
            </w:r>
          </w:p>
        </w:tc>
        <w:tc>
          <w:tcPr>
            <w:tcW w:w="1368" w:type="dxa"/>
            <w:tcBorders>
              <w:tl2br w:val="nil"/>
              <w:tr2bl w:val="nil"/>
            </w:tcBorders>
            <w:noWrap/>
            <w:vAlign w:val="center"/>
          </w:tcPr>
          <w:p w14:paraId="75E1896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2327" w:type="dxa"/>
            <w:tcBorders>
              <w:tl2br w:val="nil"/>
              <w:tr2bl w:val="nil"/>
            </w:tcBorders>
            <w:noWrap/>
            <w:vAlign w:val="center"/>
          </w:tcPr>
          <w:p w14:paraId="6D9CB3F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bl>
    <w:p w14:paraId="57CB1C1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54" w:name="_Toc14341"/>
    </w:p>
    <w:bookmarkEnd w:id="54"/>
    <w:p w14:paraId="74A73792">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1）病理取材台</w:t>
      </w:r>
    </w:p>
    <w:p w14:paraId="2777922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采用防水防腐蚀的1.2mm304#不锈钢外壳，设计合理，防腐、防潮，坚固耐用，双层板结构侧板，外观无焊点；</w:t>
      </w:r>
    </w:p>
    <w:p w14:paraId="58E6335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排风系统，高效吸风装置，可将有害气体彻底排出，低噪音；长条形百叶式耐酸碱不锈钢排气孔，配优质PVC防腐风管；</w:t>
      </w:r>
    </w:p>
    <w:p w14:paraId="69E8205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柜顶装有日光照明灯，配置射灯；</w:t>
      </w:r>
    </w:p>
    <w:p w14:paraId="1A8BCD6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采用专用伸缩水龙头，外置式喷淋系统；</w:t>
      </w:r>
    </w:p>
    <w:p w14:paraId="1D1A7A9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装有强力紫外线杀菌装置；</w:t>
      </w:r>
    </w:p>
    <w:p w14:paraId="2504480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操作台面采用1.5mm304#不锈钢板，耐腐、耐用，便于清洁。台面设有专用冲洗池，下面有过滤网的下水漏斗；</w:t>
      </w:r>
    </w:p>
    <w:p w14:paraId="02B8095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柜体设置不锈钢挂钩，方便存取物品；</w:t>
      </w:r>
    </w:p>
    <w:p w14:paraId="6B3F7E9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冷热水给排系统，采用即热型热水器，无需等待，即开即用，无限量供应热水；</w:t>
      </w:r>
    </w:p>
    <w:p w14:paraId="2E9C222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吸风口采用百叶窗式，上开孔实现上部风机吸风，防止气体回流；</w:t>
      </w:r>
    </w:p>
    <w:p w14:paraId="7AD83FB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微倾角度工作台侧边排水；</w:t>
      </w:r>
    </w:p>
    <w:p w14:paraId="0B75639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厚度为1.5mm的304不锈钢台面，底部带加强筋，承重，耐腐蚀;</w:t>
      </w:r>
    </w:p>
    <w:p w14:paraId="3B4DE84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标配台面自动冲洗装置及伸缩式水龙头。</w:t>
      </w:r>
    </w:p>
    <w:p w14:paraId="56A103F4">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55" w:name="_Toc24734"/>
      <w:r>
        <w:rPr>
          <w:rFonts w:hint="eastAsia" w:ascii="仿宋" w:hAnsi="仿宋" w:eastAsia="仿宋" w:cs="仿宋"/>
          <w:b/>
          <w:bCs/>
          <w:color w:val="000000" w:themeColor="text1"/>
          <w:sz w:val="28"/>
          <w:szCs w:val="28"/>
          <w:lang w:val="en-US" w:eastAsia="zh-CN"/>
          <w14:textFill>
            <w14:solidFill>
              <w14:schemeClr w14:val="tx1"/>
            </w14:solidFill>
          </w14:textFill>
        </w:rPr>
        <w:t>2）大体标本冷藏</w:t>
      </w:r>
      <w:bookmarkEnd w:id="55"/>
      <w:r>
        <w:rPr>
          <w:rFonts w:hint="eastAsia" w:ascii="仿宋" w:hAnsi="仿宋" w:eastAsia="仿宋" w:cs="仿宋"/>
          <w:b/>
          <w:bCs/>
          <w:color w:val="000000" w:themeColor="text1"/>
          <w:sz w:val="28"/>
          <w:szCs w:val="28"/>
          <w:lang w:val="en-US" w:eastAsia="zh-CN"/>
          <w14:textFill>
            <w14:solidFill>
              <w14:schemeClr w14:val="tx1"/>
            </w14:solidFill>
          </w14:textFill>
        </w:rPr>
        <w:t>台</w:t>
      </w:r>
    </w:p>
    <w:p w14:paraId="64947A9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柜体材料采用优质304#不锈钢磨砂板，表面贴塑，内胆防腐处理；</w:t>
      </w:r>
    </w:p>
    <w:p w14:paraId="6628CBC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制冷采用先进的上置压缩机冷凝机组技术，柜内温度可控制在0℃-l0℃；</w:t>
      </w:r>
    </w:p>
    <w:p w14:paraId="114584A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数字电脑温度显示器；</w:t>
      </w:r>
    </w:p>
    <w:p w14:paraId="74E4C97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蒸发器内藏式TP2无氧铜管，门胆采用ABS工程塑料；</w:t>
      </w:r>
    </w:p>
    <w:p w14:paraId="224F9F6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中间隔层φ8mm的钢筋喷塑格网；</w:t>
      </w:r>
    </w:p>
    <w:p w14:paraId="4C1DD5F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拉手集中在中间，电器控制按钮安装在设备上方；与外部无连接，保证柜体的温度稳定不变，避免外部对标本的污染；</w:t>
      </w:r>
    </w:p>
    <w:p w14:paraId="2154A03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电源：220VAC±10%,50/60HZ；</w:t>
      </w:r>
    </w:p>
    <w:p w14:paraId="029EBFF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功率：300-1000W；</w:t>
      </w:r>
    </w:p>
    <w:p w14:paraId="14641DD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外型尺寸：约1200mm×680mm×1880mm(长×宽×高)；</w:t>
      </w:r>
    </w:p>
    <w:p w14:paraId="5EA13B2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容积：≥800升。</w:t>
      </w:r>
    </w:p>
    <w:p w14:paraId="3AE13085">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56" w:name="_Toc22252"/>
      <w:r>
        <w:rPr>
          <w:rFonts w:hint="eastAsia" w:ascii="仿宋" w:hAnsi="仿宋" w:eastAsia="仿宋" w:cs="仿宋"/>
          <w:b/>
          <w:bCs/>
          <w:color w:val="000000" w:themeColor="text1"/>
          <w:sz w:val="28"/>
          <w:szCs w:val="28"/>
          <w:lang w:val="en-US" w:eastAsia="zh-CN"/>
          <w14:textFill>
            <w14:solidFill>
              <w14:schemeClr w14:val="tx1"/>
            </w14:solidFill>
          </w14:textFill>
        </w:rPr>
        <w:t>3）大体标本拍摄台</w:t>
      </w:r>
      <w:bookmarkEnd w:id="56"/>
    </w:p>
    <w:p w14:paraId="322460E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基本功能：用户可拍摄大体标本照片，拍摄范围可放大缩小，确保大小标本的拍摄，进行取材标注和测量；</w:t>
      </w:r>
    </w:p>
    <w:p w14:paraId="5C0D772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大体标本成像系统参数</w:t>
      </w:r>
    </w:p>
    <w:p w14:paraId="47ED514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镜头：f9.6mm；</w:t>
      </w:r>
    </w:p>
    <w:p w14:paraId="2D515A3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光圈：电子彩色光圈；</w:t>
      </w:r>
    </w:p>
    <w:p w14:paraId="140D9F5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像素数：≥800万；</w:t>
      </w:r>
    </w:p>
    <w:p w14:paraId="4E1B102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成像元件：CMOS；</w:t>
      </w:r>
    </w:p>
    <w:p w14:paraId="4C0D1E7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5变倍比：具有1到16X的连续变倍比；</w:t>
      </w:r>
    </w:p>
    <w:p w14:paraId="79B9CFF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6曝光：自动曝光，自动白平衡，可实现遥控操作；</w:t>
      </w:r>
    </w:p>
    <w:p w14:paraId="65671BA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7台架：有专用固定台架，摄像臂伸缩可调，角度可调，摄像头360度可调，配有遥控装置；</w:t>
      </w:r>
    </w:p>
    <w:p w14:paraId="6E33842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8光源：有自然光，冷光源。</w:t>
      </w:r>
    </w:p>
    <w:p w14:paraId="1FBCDE0E">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57" w:name="_Toc18579"/>
      <w:r>
        <w:rPr>
          <w:rFonts w:hint="eastAsia" w:ascii="仿宋" w:hAnsi="仿宋" w:eastAsia="仿宋" w:cs="仿宋"/>
          <w:b/>
          <w:bCs/>
          <w:color w:val="000000" w:themeColor="text1"/>
          <w:sz w:val="28"/>
          <w:szCs w:val="28"/>
          <w:lang w:val="en-US" w:eastAsia="zh-CN"/>
          <w14:textFill>
            <w14:solidFill>
              <w14:schemeClr w14:val="tx1"/>
            </w14:solidFill>
          </w14:textFill>
        </w:rPr>
        <w:t>4）包埋盒打号机</w:t>
      </w:r>
      <w:bookmarkEnd w:id="57"/>
    </w:p>
    <w:p w14:paraId="1CE8223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输入槽</w:t>
      </w:r>
    </w:p>
    <w:p w14:paraId="27595AE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旋转可拆卸输入槽，六槽设计，单槽可预装≥70个包埋盒，共可预装≥400个包埋盒；</w:t>
      </w:r>
    </w:p>
    <w:p w14:paraId="2447649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1.2 </w:t>
      </w:r>
      <w:r>
        <w:rPr>
          <w:rFonts w:hint="eastAsia" w:ascii="仿宋" w:hAnsi="仿宋" w:eastAsia="仿宋" w:cs="仿宋"/>
          <w:color w:val="000000" w:themeColor="text1"/>
          <w:sz w:val="24"/>
          <w:szCs w:val="24"/>
          <w:lang w:val="en-US" w:eastAsia="zh-CN"/>
          <w14:textFill>
            <w14:solidFill>
              <w14:schemeClr w14:val="tx1"/>
            </w14:solidFill>
          </w14:textFill>
        </w:rPr>
        <w:t>六通道设计；</w:t>
      </w:r>
    </w:p>
    <w:p w14:paraId="600668D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1.3 </w:t>
      </w:r>
      <w:r>
        <w:rPr>
          <w:rFonts w:hint="eastAsia" w:ascii="仿宋" w:hAnsi="仿宋" w:eastAsia="仿宋" w:cs="仿宋"/>
          <w:color w:val="000000" w:themeColor="text1"/>
          <w:sz w:val="24"/>
          <w:szCs w:val="24"/>
          <w:lang w:val="en-US" w:eastAsia="zh-CN"/>
          <w14:textFill>
            <w14:solidFill>
              <w14:schemeClr w14:val="tx1"/>
            </w14:solidFill>
          </w14:textFill>
        </w:rPr>
        <w:t>可以兼容无盖、分体带盖包埋盒打印，机械构造简单，无机械故障率；</w:t>
      </w:r>
    </w:p>
    <w:p w14:paraId="6BAA92C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1.4 </w:t>
      </w:r>
      <w:r>
        <w:rPr>
          <w:rFonts w:hint="eastAsia" w:ascii="仿宋" w:hAnsi="仿宋" w:eastAsia="仿宋" w:cs="仿宋"/>
          <w:color w:val="000000" w:themeColor="text1"/>
          <w:sz w:val="24"/>
          <w:szCs w:val="24"/>
          <w:lang w:val="en-US" w:eastAsia="zh-CN"/>
          <w14:textFill>
            <w14:solidFill>
              <w14:schemeClr w14:val="tx1"/>
            </w14:solidFill>
          </w14:textFill>
        </w:rPr>
        <w:t>可同时装载≥6种不同颜色的包埋盒；</w:t>
      </w:r>
    </w:p>
    <w:p w14:paraId="55D0274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包埋盒平装在包埋盒预装管里，垂直下滑；</w:t>
      </w:r>
    </w:p>
    <w:p w14:paraId="03A1F86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操作系统</w:t>
      </w:r>
    </w:p>
    <w:p w14:paraId="09E2F5E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1 </w:t>
      </w:r>
      <w:r>
        <w:rPr>
          <w:rFonts w:hint="eastAsia" w:ascii="仿宋" w:hAnsi="仿宋" w:eastAsia="仿宋" w:cs="仿宋"/>
          <w:color w:val="000000" w:themeColor="text1"/>
          <w:sz w:val="24"/>
          <w:szCs w:val="24"/>
          <w:lang w:val="en-US" w:eastAsia="zh-CN"/>
          <w14:textFill>
            <w14:solidFill>
              <w14:schemeClr w14:val="tx1"/>
            </w14:solidFill>
          </w14:textFill>
        </w:rPr>
        <w:t>中文操作系统，可打印数字、字母、中文、字符、LOGO、一维码和二维码等内容。打印的二维码不会随着病理号放大缩小，可以根据科室要求调节二维码大小。打印后的表面光滑、无凹凸感。并可与医院的HIS、LIS和PACS系统对接；</w:t>
      </w:r>
    </w:p>
    <w:p w14:paraId="1693FEC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2.2 </w:t>
      </w:r>
      <w:r>
        <w:rPr>
          <w:rFonts w:hint="eastAsia" w:ascii="仿宋" w:hAnsi="仿宋" w:eastAsia="仿宋" w:cs="仿宋"/>
          <w:color w:val="000000" w:themeColor="text1"/>
          <w:sz w:val="24"/>
          <w:szCs w:val="24"/>
          <w:lang w:val="en-US" w:eastAsia="zh-CN"/>
          <w14:textFill>
            <w14:solidFill>
              <w14:schemeClr w14:val="tx1"/>
            </w14:solidFill>
          </w14:textFill>
        </w:rPr>
        <w:t>内置报警选项，当输入槽无包埋盒可打印时，系统自动提示添加包埋盒，当某一槽无包埋盒时，会自动跳转到下一槽；</w:t>
      </w:r>
    </w:p>
    <w:p w14:paraId="0CD9DE5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汉化软件系统，与最新主流的操作系统兼容；</w:t>
      </w:r>
    </w:p>
    <w:p w14:paraId="5FD14E3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3 </w:t>
      </w:r>
      <w:r>
        <w:rPr>
          <w:rFonts w:hint="eastAsia" w:ascii="仿宋" w:hAnsi="仿宋" w:eastAsia="仿宋" w:cs="仿宋"/>
          <w:color w:val="000000" w:themeColor="text1"/>
          <w:sz w:val="24"/>
          <w:szCs w:val="24"/>
          <w:lang w:val="en-US" w:eastAsia="zh-CN"/>
          <w14:textFill>
            <w14:solidFill>
              <w14:schemeClr w14:val="tx1"/>
            </w14:solidFill>
          </w14:textFill>
        </w:rPr>
        <w:t>可开闭的半透明观察窗方便随时查看打印进度；</w:t>
      </w:r>
    </w:p>
    <w:p w14:paraId="3442593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空气净化功能：内置空气净化系统，消除粉尘和去除异味；</w:t>
      </w:r>
    </w:p>
    <w:p w14:paraId="18B27E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打印速度：≤3秒/个，每分钟≥20个；</w:t>
      </w:r>
    </w:p>
    <w:p w14:paraId="319098A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打印原理：通过冷激光原理，对包埋盒打印面进行永久性雕刻标识，对人体无害，无需墨盒和色带等打印用耗材，真正意义上的零成本打印；无需任何保养或清洗程序，非接触式打印方式，对激光头不造成损耗，免维护。无需预热，开机即可用；打印速度快，运行稳定无噪音；</w:t>
      </w:r>
    </w:p>
    <w:p w14:paraId="5F1B59B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输出槽：包埋盒按打印顺序出料，可按顺序整齐收集≥8个包埋盒；</w:t>
      </w:r>
    </w:p>
    <w:p w14:paraId="58E3CE0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8.电源开关位于机器后面，方便操作人员随开随用。</w:t>
      </w:r>
    </w:p>
    <w:p w14:paraId="095CBCDC">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58" w:name="_Toc5170"/>
      <w:r>
        <w:rPr>
          <w:rFonts w:hint="eastAsia" w:ascii="仿宋" w:hAnsi="仿宋" w:eastAsia="仿宋" w:cs="仿宋"/>
          <w:b/>
          <w:bCs/>
          <w:color w:val="000000" w:themeColor="text1"/>
          <w:sz w:val="28"/>
          <w:szCs w:val="28"/>
          <w:lang w:val="en-US" w:eastAsia="zh-CN"/>
          <w14:textFill>
            <w14:solidFill>
              <w14:schemeClr w14:val="tx1"/>
            </w14:solidFill>
          </w14:textFill>
        </w:rPr>
        <w:t>5）自动组织脱水机</w:t>
      </w:r>
      <w:bookmarkEnd w:id="58"/>
    </w:p>
    <w:p w14:paraId="1C928FE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bookmarkStart w:id="59" w:name="_Toc4028"/>
      <w:r>
        <w:rPr>
          <w:rFonts w:hint="default" w:ascii="仿宋" w:hAnsi="仿宋" w:eastAsia="仿宋" w:cs="仿宋"/>
          <w:color w:val="000000" w:themeColor="text1"/>
          <w:sz w:val="24"/>
          <w:szCs w:val="24"/>
          <w:lang w:val="en-US" w:eastAsia="zh-CN"/>
          <w14:textFill>
            <w14:solidFill>
              <w14:schemeClr w14:val="tx1"/>
            </w14:solidFill>
          </w14:textFill>
        </w:rPr>
        <w:t>1. 8寸彩色触摸屏，中、英文双语显示，操作直观简单。</w:t>
      </w:r>
    </w:p>
    <w:p w14:paraId="7AF5A32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残蜡自动回收功能，节约试剂，清洗干净。</w:t>
      </w:r>
    </w:p>
    <w:p w14:paraId="051FBB0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 三级抽取技术，自动换蜡功能，抽取更干净。</w:t>
      </w:r>
    </w:p>
    <w:p w14:paraId="253696B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 独特的试剂石蜡独立管道设计，防止管道堵塞，降低故障提高效率。</w:t>
      </w:r>
    </w:p>
    <w:p w14:paraId="4094DDC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 一键清洗功能，随时调取，自动清洗。</w:t>
      </w:r>
    </w:p>
    <w:p w14:paraId="0BEF0DA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 旋转式磁力搅拌，让标本达到最佳的脱水效果。</w:t>
      </w:r>
    </w:p>
    <w:p w14:paraId="2FAD4C8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 双压控制技术，抽取安全可靠，噪音低，能耗低，寿命长。</w:t>
      </w:r>
    </w:p>
    <w:p w14:paraId="6FAEE01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 自扣式缸盖设计，防静电机械手柄开关，让放取标本不再费力。</w:t>
      </w:r>
    </w:p>
    <w:p w14:paraId="19B107D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9. 独特的真空发生装置，彻底杜绝因橡胶密封圈老化损坏引起的设备故障。</w:t>
      </w:r>
    </w:p>
    <w:p w14:paraId="506CBDB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10.设置使用次数阀值，弹窗提示跟换试剂。</w:t>
      </w:r>
    </w:p>
    <w:p w14:paraId="20911A8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 5升试剂可处理300个标准包埋盒。</w:t>
      </w:r>
    </w:p>
    <w:p w14:paraId="08C53F4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 自动运行一键操作；手动运行可调取任意一缸试剂，密码保护，防止误操作。</w:t>
      </w:r>
    </w:p>
    <w:p w14:paraId="7BFB1AD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 脱水过程加热恒温控制，确保冬天、夏天都有好的脱水效果。</w:t>
      </w:r>
    </w:p>
    <w:p w14:paraId="1C760C6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 气压过压保护，防止过压故障。</w:t>
      </w:r>
    </w:p>
    <w:p w14:paraId="20556B4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 断电保护，可保证程序正常运行，确保标本不损坏。</w:t>
      </w:r>
    </w:p>
    <w:p w14:paraId="6B078C4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 定时自动开关机，可任意设定时间满足节假日需要。</w:t>
      </w:r>
    </w:p>
    <w:p w14:paraId="4BC342A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3F1C343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default" w:ascii="仿宋" w:hAnsi="仿宋" w:eastAsia="仿宋" w:cs="仿宋"/>
          <w:color w:val="000000" w:themeColor="text1"/>
          <w:sz w:val="24"/>
          <w:szCs w:val="24"/>
          <w:lang w:val="en-US" w:eastAsia="zh-CN"/>
          <w14:textFill>
            <w14:solidFill>
              <w14:schemeClr w14:val="tx1"/>
            </w14:solidFill>
          </w14:textFill>
        </w:rPr>
        <w:t>. 标本处理量：300个标本盒。</w:t>
      </w:r>
    </w:p>
    <w:p w14:paraId="3C222B6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default" w:ascii="仿宋" w:hAnsi="仿宋" w:eastAsia="仿宋" w:cs="仿宋"/>
          <w:color w:val="000000" w:themeColor="text1"/>
          <w:sz w:val="24"/>
          <w:szCs w:val="24"/>
          <w:lang w:val="en-US" w:eastAsia="zh-CN"/>
          <w14:textFill>
            <w14:solidFill>
              <w14:schemeClr w14:val="tx1"/>
            </w14:solidFill>
          </w14:textFill>
        </w:rPr>
        <w:t>. 试剂缸容积：5L。</w:t>
      </w:r>
    </w:p>
    <w:p w14:paraId="19E149D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default" w:ascii="仿宋" w:hAnsi="仿宋" w:eastAsia="仿宋" w:cs="仿宋"/>
          <w:color w:val="000000" w:themeColor="text1"/>
          <w:sz w:val="24"/>
          <w:szCs w:val="24"/>
          <w:lang w:val="en-US" w:eastAsia="zh-CN"/>
          <w14:textFill>
            <w14:solidFill>
              <w14:schemeClr w14:val="tx1"/>
            </w14:solidFill>
          </w14:textFill>
        </w:rPr>
        <w:t xml:space="preserve"> 样本篮：3个</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每个样本篮可容纳100标本盒。</w:t>
      </w:r>
    </w:p>
    <w:p w14:paraId="47598E1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default" w:ascii="仿宋" w:hAnsi="仿宋" w:eastAsia="仿宋" w:cs="仿宋"/>
          <w:color w:val="000000" w:themeColor="text1"/>
          <w:sz w:val="24"/>
          <w:szCs w:val="24"/>
          <w:lang w:val="en-US" w:eastAsia="zh-CN"/>
          <w14:textFill>
            <w14:solidFill>
              <w14:schemeClr w14:val="tx1"/>
            </w14:solidFill>
          </w14:textFill>
        </w:rPr>
        <w:t xml:space="preserve"> 试剂容器 ：12个试剂壶，3个石蜡缸。</w:t>
      </w:r>
    </w:p>
    <w:p w14:paraId="3A2EE8A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default" w:ascii="仿宋" w:hAnsi="仿宋" w:eastAsia="仿宋" w:cs="仿宋"/>
          <w:color w:val="000000" w:themeColor="text1"/>
          <w:sz w:val="24"/>
          <w:szCs w:val="24"/>
          <w:lang w:val="en-US" w:eastAsia="zh-CN"/>
          <w14:textFill>
            <w14:solidFill>
              <w14:schemeClr w14:val="tx1"/>
            </w14:solidFill>
          </w14:textFill>
        </w:rPr>
        <w:t>活性炭过滤容器 2个。</w:t>
      </w:r>
    </w:p>
    <w:p w14:paraId="62BEB33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default" w:ascii="仿宋" w:hAnsi="仿宋" w:eastAsia="仿宋" w:cs="仿宋"/>
          <w:color w:val="000000" w:themeColor="text1"/>
          <w:sz w:val="24"/>
          <w:szCs w:val="24"/>
          <w:lang w:val="en-US" w:eastAsia="zh-CN"/>
          <w14:textFill>
            <w14:solidFill>
              <w14:schemeClr w14:val="tx1"/>
            </w14:solidFill>
          </w14:textFill>
        </w:rPr>
        <w:t xml:space="preserve"> 操作程序：可储存20个 。</w:t>
      </w:r>
    </w:p>
    <w:p w14:paraId="7E10EB5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default" w:ascii="仿宋" w:hAnsi="仿宋" w:eastAsia="仿宋" w:cs="仿宋"/>
          <w:color w:val="000000" w:themeColor="text1"/>
          <w:sz w:val="24"/>
          <w:szCs w:val="24"/>
          <w:lang w:val="en-US" w:eastAsia="zh-CN"/>
          <w14:textFill>
            <w14:solidFill>
              <w14:schemeClr w14:val="tx1"/>
            </w14:solidFill>
          </w14:textFill>
        </w:rPr>
        <w:t xml:space="preserve"> 清洁循环程序 4个 (用户可改编) 。</w:t>
      </w:r>
    </w:p>
    <w:p w14:paraId="459DE12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default" w:ascii="仿宋" w:hAnsi="仿宋" w:eastAsia="仿宋" w:cs="仿宋"/>
          <w:color w:val="000000" w:themeColor="text1"/>
          <w:sz w:val="24"/>
          <w:szCs w:val="24"/>
          <w:lang w:val="en-US" w:eastAsia="zh-CN"/>
          <w14:textFill>
            <w14:solidFill>
              <w14:schemeClr w14:val="tx1"/>
            </w14:solidFill>
          </w14:textFill>
        </w:rPr>
        <w:t xml:space="preserve"> 石蜡温度范围 室温~99°C。</w:t>
      </w:r>
    </w:p>
    <w:p w14:paraId="703F97D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default" w:ascii="仿宋" w:hAnsi="仿宋" w:eastAsia="仿宋" w:cs="仿宋"/>
          <w:color w:val="000000" w:themeColor="text1"/>
          <w:sz w:val="24"/>
          <w:szCs w:val="24"/>
          <w:lang w:val="en-US" w:eastAsia="zh-CN"/>
          <w14:textFill>
            <w14:solidFill>
              <w14:schemeClr w14:val="tx1"/>
            </w14:solidFill>
          </w14:textFill>
        </w:rPr>
        <w:t xml:space="preserve">温度精确度 +/- </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default" w:ascii="仿宋" w:hAnsi="仿宋" w:eastAsia="仿宋" w:cs="仿宋"/>
          <w:color w:val="000000" w:themeColor="text1"/>
          <w:sz w:val="24"/>
          <w:szCs w:val="24"/>
          <w:lang w:val="en-US" w:eastAsia="zh-CN"/>
          <w14:textFill>
            <w14:solidFill>
              <w14:schemeClr w14:val="tx1"/>
            </w14:solidFill>
          </w14:textFill>
        </w:rPr>
        <w:t>°C 。</w:t>
      </w:r>
    </w:p>
    <w:p w14:paraId="5FDCAB5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2.10</w:t>
      </w:r>
      <w:r>
        <w:rPr>
          <w:rFonts w:hint="default" w:ascii="仿宋" w:hAnsi="仿宋" w:eastAsia="仿宋" w:cs="仿宋"/>
          <w:color w:val="000000" w:themeColor="text1"/>
          <w:sz w:val="24"/>
          <w:szCs w:val="24"/>
          <w:lang w:val="en-US" w:eastAsia="zh-CN"/>
          <w14:textFill>
            <w14:solidFill>
              <w14:schemeClr w14:val="tx1"/>
            </w14:solidFill>
          </w14:textFill>
        </w:rPr>
        <w:t xml:space="preserve"> 真空度： -60KPa。</w:t>
      </w:r>
    </w:p>
    <w:p w14:paraId="58FC9D2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2.11</w:t>
      </w:r>
      <w:r>
        <w:rPr>
          <w:rFonts w:hint="default" w:ascii="仿宋" w:hAnsi="仿宋" w:eastAsia="仿宋" w:cs="仿宋"/>
          <w:color w:val="000000" w:themeColor="text1"/>
          <w:sz w:val="24"/>
          <w:szCs w:val="24"/>
          <w:lang w:val="en-US" w:eastAsia="zh-CN"/>
          <w14:textFill>
            <w14:solidFill>
              <w14:schemeClr w14:val="tx1"/>
            </w14:solidFill>
          </w14:textFill>
        </w:rPr>
        <w:t xml:space="preserve"> 电 源 ：220V，50Hz  P＜1200W。</w:t>
      </w:r>
    </w:p>
    <w:p w14:paraId="53ABFE24">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6）脱水机通风柜</w:t>
      </w:r>
      <w:bookmarkEnd w:id="59"/>
    </w:p>
    <w:p w14:paraId="6B1AFB8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在化学实验室中，实验操作时会产生各种有害有味气体、臭气、湿气以及腐蚀性物质，为了保护使用者安全，防止实验中的污染物质向实验室扩散，在污染源附近要使用通风柜。</w:t>
      </w:r>
    </w:p>
    <w:p w14:paraId="0B75A57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结构功能</w:t>
      </w:r>
    </w:p>
    <w:p w14:paraId="0459CAC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2.1 </w:t>
      </w:r>
      <w:r>
        <w:rPr>
          <w:rFonts w:hint="eastAsia" w:ascii="仿宋" w:hAnsi="仿宋" w:eastAsia="仿宋" w:cs="仿宋"/>
          <w:color w:val="000000" w:themeColor="text1"/>
          <w:sz w:val="24"/>
          <w:szCs w:val="24"/>
          <w:lang w:val="en-US" w:eastAsia="zh-CN"/>
          <w14:textFill>
            <w14:solidFill>
              <w14:schemeClr w14:val="tx1"/>
            </w14:solidFill>
          </w14:textFill>
        </w:rPr>
        <w:t>通风柜外壳采用1.0mm冷轧钢板经防锈处理，静电喷涂。</w:t>
      </w:r>
    </w:p>
    <w:p w14:paraId="3B21237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2.2 </w:t>
      </w:r>
      <w:r>
        <w:rPr>
          <w:rFonts w:hint="eastAsia" w:ascii="仿宋" w:hAnsi="仿宋" w:eastAsia="仿宋" w:cs="仿宋"/>
          <w:color w:val="000000" w:themeColor="text1"/>
          <w:sz w:val="24"/>
          <w:szCs w:val="24"/>
          <w:lang w:val="en-US" w:eastAsia="zh-CN"/>
          <w14:textFill>
            <w14:solidFill>
              <w14:schemeClr w14:val="tx1"/>
            </w14:solidFill>
          </w14:textFill>
        </w:rPr>
        <w:t>通风柜操作区采用抗倍特板，具有较高的防酸碱性；台面板采用实心理化板，能够拆卸便于清理。</w:t>
      </w:r>
    </w:p>
    <w:p w14:paraId="4858238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2.3 </w:t>
      </w:r>
      <w:r>
        <w:rPr>
          <w:rFonts w:hint="eastAsia" w:ascii="仿宋" w:hAnsi="仿宋" w:eastAsia="仿宋" w:cs="仿宋"/>
          <w:color w:val="000000" w:themeColor="text1"/>
          <w:sz w:val="24"/>
          <w:szCs w:val="24"/>
          <w:lang w:val="en-US" w:eastAsia="zh-CN"/>
          <w14:textFill>
            <w14:solidFill>
              <w14:schemeClr w14:val="tx1"/>
            </w14:solidFill>
          </w14:textFill>
        </w:rPr>
        <w:t>通风柜前视窗为手动视窗，可以在行程范围内的任意高度停止。</w:t>
      </w:r>
    </w:p>
    <w:p w14:paraId="24FA4AC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通风柜前视窗玻璃是5mm厚钢化玻璃。</w:t>
      </w:r>
    </w:p>
    <w:p w14:paraId="4CF7863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通风柜控制面板采用轻触式开关，集通风柜电源键、风机键、风机调速键、插座键、日光灯键于一身，搭配LED数码显示屏，显示风机档位。</w:t>
      </w:r>
    </w:p>
    <w:p w14:paraId="694944D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通风柜电控系统具有防过载、防触电等功能。</w:t>
      </w:r>
    </w:p>
    <w:p w14:paraId="41C4D32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通风柜插座采用实验室专用安全产品，带透明防溅盖。</w:t>
      </w:r>
    </w:p>
    <w:p w14:paraId="1068E75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通风柜配置底柜，底柜采用1.0mm冷轧钢板经防锈处理，静电喷涂，具有较好的光洁度与耐腐蚀性；底柜内空尺寸约1660*480*730mm（L×D×H）。</w:t>
      </w:r>
    </w:p>
    <w:p w14:paraId="05EAAEF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通风柜配置壁式供水装置、供水流量控制阀、实验室水槽，方便实验进行。</w:t>
      </w:r>
    </w:p>
    <w:p w14:paraId="4AD33FC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2.10</w:t>
      </w:r>
      <w:r>
        <w:rPr>
          <w:rFonts w:hint="eastAsia" w:ascii="仿宋" w:hAnsi="仿宋" w:eastAsia="仿宋" w:cs="仿宋"/>
          <w:color w:val="000000" w:themeColor="text1"/>
          <w:sz w:val="24"/>
          <w:szCs w:val="24"/>
          <w:lang w:val="en-US" w:eastAsia="zh-CN"/>
          <w14:textFill>
            <w14:solidFill>
              <w14:schemeClr w14:val="tx1"/>
            </w14:solidFill>
          </w14:textFill>
        </w:rPr>
        <w:t>通风柜外置PP离心风机。</w:t>
      </w:r>
    </w:p>
    <w:p w14:paraId="21F8C13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2.11</w:t>
      </w:r>
      <w:r>
        <w:rPr>
          <w:rFonts w:hint="eastAsia" w:ascii="仿宋" w:hAnsi="仿宋" w:eastAsia="仿宋" w:cs="仿宋"/>
          <w:color w:val="000000" w:themeColor="text1"/>
          <w:sz w:val="24"/>
          <w:szCs w:val="24"/>
          <w:lang w:val="en-US" w:eastAsia="zh-CN"/>
          <w14:textFill>
            <w14:solidFill>
              <w14:schemeClr w14:val="tx1"/>
            </w14:solidFill>
          </w14:textFill>
        </w:rPr>
        <w:t>通风柜具有断电记忆功能，即当遇到突然断电后，再次通电可保持断电前的工作状态，方便实验操作。</w:t>
      </w:r>
    </w:p>
    <w:p w14:paraId="7FC9162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5C4D320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val="en-US" w:eastAsia="zh-CN"/>
          <w14:textFill>
            <w14:solidFill>
              <w14:schemeClr w14:val="tx1"/>
            </w14:solidFill>
          </w14:textFill>
        </w:rPr>
        <w:t>外部尺寸≥（L×D×H）1800mm×850mm×2350mm；</w:t>
      </w:r>
    </w:p>
    <w:p w14:paraId="3ADBB5F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lang w:val="en-US" w:eastAsia="zh-CN"/>
          <w14:textFill>
            <w14:solidFill>
              <w14:schemeClr w14:val="tx1"/>
            </w14:solidFill>
          </w14:textFill>
        </w:rPr>
        <w:t>内部尺寸≥（L×D×H）1500mm×600mm×820mm；</w:t>
      </w:r>
    </w:p>
    <w:p w14:paraId="783AA31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lang w:val="en-US" w:eastAsia="zh-CN"/>
          <w14:textFill>
            <w14:solidFill>
              <w14:schemeClr w14:val="tx1"/>
            </w14:solidFill>
          </w14:textFill>
        </w:rPr>
        <w:t>台面板到地面高度：约850mm；</w:t>
      </w:r>
    </w:p>
    <w:p w14:paraId="6AB9E03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3.4</w:t>
      </w:r>
      <w:r>
        <w:rPr>
          <w:rFonts w:hint="eastAsia" w:ascii="仿宋" w:hAnsi="仿宋" w:eastAsia="仿宋" w:cs="仿宋"/>
          <w:color w:val="000000" w:themeColor="text1"/>
          <w:sz w:val="24"/>
          <w:szCs w:val="24"/>
          <w:lang w:val="en-US" w:eastAsia="zh-CN"/>
          <w14:textFill>
            <w14:solidFill>
              <w14:schemeClr w14:val="tx1"/>
            </w14:solidFill>
          </w14:textFill>
        </w:rPr>
        <w:t>吸入口风速：0.3～0.8m/s；</w:t>
      </w:r>
    </w:p>
    <w:p w14:paraId="4953BBF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3.5</w:t>
      </w:r>
      <w:r>
        <w:rPr>
          <w:rFonts w:hint="eastAsia" w:ascii="仿宋" w:hAnsi="仿宋" w:eastAsia="仿宋" w:cs="仿宋"/>
          <w:color w:val="000000" w:themeColor="text1"/>
          <w:sz w:val="24"/>
          <w:szCs w:val="24"/>
          <w:lang w:val="en-US" w:eastAsia="zh-CN"/>
          <w14:textFill>
            <w14:solidFill>
              <w14:schemeClr w14:val="tx1"/>
            </w14:solidFill>
          </w14:textFill>
        </w:rPr>
        <w:t>系统排风量：≥1140m³/h；</w:t>
      </w:r>
    </w:p>
    <w:p w14:paraId="5F3932D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3.6 </w:t>
      </w:r>
      <w:r>
        <w:rPr>
          <w:rFonts w:hint="eastAsia" w:ascii="仿宋" w:hAnsi="仿宋" w:eastAsia="仿宋" w:cs="仿宋"/>
          <w:color w:val="000000" w:themeColor="text1"/>
          <w:sz w:val="24"/>
          <w:szCs w:val="24"/>
          <w:lang w:val="en-US" w:eastAsia="zh-CN"/>
          <w14:textFill>
            <w14:solidFill>
              <w14:schemeClr w14:val="tx1"/>
            </w14:solidFill>
          </w14:textFill>
        </w:rPr>
        <w:t>额定功率：≤500W；</w:t>
      </w:r>
    </w:p>
    <w:p w14:paraId="7EEEFE9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3.7 </w:t>
      </w:r>
      <w:r>
        <w:rPr>
          <w:rFonts w:hint="eastAsia" w:ascii="仿宋" w:hAnsi="仿宋" w:eastAsia="仿宋" w:cs="仿宋"/>
          <w:color w:val="000000" w:themeColor="text1"/>
          <w:sz w:val="24"/>
          <w:szCs w:val="24"/>
          <w:lang w:val="en-US" w:eastAsia="zh-CN"/>
          <w14:textFill>
            <w14:solidFill>
              <w14:schemeClr w14:val="tx1"/>
            </w14:solidFill>
          </w14:textFill>
        </w:rPr>
        <w:t>噪音等级：≤65dB；</w:t>
      </w:r>
    </w:p>
    <w:p w14:paraId="783194F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3.8</w:t>
      </w:r>
      <w:r>
        <w:rPr>
          <w:rFonts w:hint="eastAsia" w:ascii="仿宋" w:hAnsi="仿宋" w:eastAsia="仿宋" w:cs="仿宋"/>
          <w:color w:val="000000" w:themeColor="text1"/>
          <w:sz w:val="24"/>
          <w:szCs w:val="24"/>
          <w:lang w:val="en-US" w:eastAsia="zh-CN"/>
          <w14:textFill>
            <w14:solidFill>
              <w14:schemeClr w14:val="tx1"/>
            </w14:solidFill>
          </w14:textFill>
        </w:rPr>
        <w:t>照度：≥400lux；</w:t>
      </w:r>
    </w:p>
    <w:p w14:paraId="1FB20C5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3.9</w:t>
      </w:r>
      <w:r>
        <w:rPr>
          <w:rFonts w:hint="eastAsia" w:ascii="仿宋" w:hAnsi="仿宋" w:eastAsia="仿宋" w:cs="仿宋"/>
          <w:color w:val="000000" w:themeColor="text1"/>
          <w:sz w:val="24"/>
          <w:szCs w:val="24"/>
          <w:lang w:val="en-US" w:eastAsia="zh-CN"/>
          <w14:textFill>
            <w14:solidFill>
              <w14:schemeClr w14:val="tx1"/>
            </w14:solidFill>
          </w14:textFill>
        </w:rPr>
        <w:t>前窗玻璃开口高度：约750mm；</w:t>
      </w:r>
    </w:p>
    <w:p w14:paraId="099003D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3.10</w:t>
      </w:r>
      <w:r>
        <w:rPr>
          <w:rFonts w:hint="eastAsia" w:ascii="仿宋" w:hAnsi="仿宋" w:eastAsia="仿宋" w:cs="仿宋"/>
          <w:color w:val="000000" w:themeColor="text1"/>
          <w:sz w:val="24"/>
          <w:szCs w:val="24"/>
          <w:lang w:val="en-US" w:eastAsia="zh-CN"/>
          <w14:textFill>
            <w14:solidFill>
              <w14:schemeClr w14:val="tx1"/>
            </w14:solidFill>
          </w14:textFill>
        </w:rPr>
        <w:t xml:space="preserve"> LED日光灯功率：16W；</w:t>
      </w:r>
    </w:p>
    <w:p w14:paraId="59AEF18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3.11</w:t>
      </w:r>
      <w:r>
        <w:rPr>
          <w:rFonts w:hint="eastAsia" w:ascii="仿宋" w:hAnsi="仿宋" w:eastAsia="仿宋" w:cs="仿宋"/>
          <w:color w:val="000000" w:themeColor="text1"/>
          <w:sz w:val="24"/>
          <w:szCs w:val="24"/>
          <w:lang w:val="en-US" w:eastAsia="zh-CN"/>
          <w14:textFill>
            <w14:solidFill>
              <w14:schemeClr w14:val="tx1"/>
            </w14:solidFill>
          </w14:textFill>
        </w:rPr>
        <w:t>风机型号：PP离心风机；</w:t>
      </w:r>
    </w:p>
    <w:p w14:paraId="0BE0CDF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3.12</w:t>
      </w:r>
      <w:r>
        <w:rPr>
          <w:rFonts w:hint="eastAsia" w:ascii="仿宋" w:hAnsi="仿宋" w:eastAsia="仿宋" w:cs="仿宋"/>
          <w:color w:val="000000" w:themeColor="text1"/>
          <w:sz w:val="24"/>
          <w:szCs w:val="24"/>
          <w:lang w:val="en-US" w:eastAsia="zh-CN"/>
          <w14:textFill>
            <w14:solidFill>
              <w14:schemeClr w14:val="tx1"/>
            </w14:solidFill>
          </w14:textFill>
        </w:rPr>
        <w:t>使用人数：2-3人；</w:t>
      </w:r>
    </w:p>
    <w:p w14:paraId="6D9C726C">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60" w:name="_Toc30444"/>
      <w:r>
        <w:rPr>
          <w:rFonts w:hint="eastAsia" w:ascii="仿宋" w:hAnsi="仿宋" w:eastAsia="仿宋" w:cs="仿宋"/>
          <w:b/>
          <w:bCs/>
          <w:color w:val="000000" w:themeColor="text1"/>
          <w:sz w:val="28"/>
          <w:szCs w:val="28"/>
          <w:lang w:val="en-US" w:eastAsia="zh-CN"/>
          <w14:textFill>
            <w14:solidFill>
              <w14:schemeClr w14:val="tx1"/>
            </w14:solidFill>
          </w14:textFill>
        </w:rPr>
        <w:t>7）组织包埋机</w:t>
      </w:r>
      <w:bookmarkEnd w:id="60"/>
    </w:p>
    <w:p w14:paraId="0E3BEED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采用全自动程序控制，可预设自动开机时间、自动关机时间；</w:t>
      </w:r>
    </w:p>
    <w:p w14:paraId="796E974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上下平行结构双冷台设计;</w:t>
      </w:r>
    </w:p>
    <w:p w14:paraId="3D2283D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3.超大上工作台面独特设计主熔蜡缸和脱蜡烘箱，用于包埋底模和脱水篮脱蜡;</w:t>
      </w:r>
    </w:p>
    <w:p w14:paraId="5C1D306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4.阀体为一体化结构，密封性好，两级石蜡沉淀过滤无漏蜡、滴蜡现象；流蜡管道自动恒温加热（65℃），不堵塞；</w:t>
      </w:r>
    </w:p>
    <w:p w14:paraId="4E35C51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5.多达7路温控，可控制主蜡缸、保温缸、工作台、注蜡管、流蜡头、镊子加热台、小冰台、修复台面等部件的温度;</w:t>
      </w:r>
    </w:p>
    <w:p w14:paraId="7A2D173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6.超大展片包埋台，余蜡自动回收；包埋石蜡的流量可控可调;</w:t>
      </w:r>
    </w:p>
    <w:p w14:paraId="1859ACE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7.配有左右独立加热可清洗8个镊子加热孔、LED低压无影照明灯、大容量熔蜡缸（8升）；</w:t>
      </w:r>
    </w:p>
    <w:p w14:paraId="4FDDEA9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8.双保温缸，双制冷台和包埋台分体设计，避免温度互扰；</w:t>
      </w:r>
    </w:p>
    <w:p w14:paraId="38538D2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9.独特小冰台设计，确保小组织包埋精准；</w:t>
      </w:r>
    </w:p>
    <w:p w14:paraId="32E82D7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10.修蜡台面，方便修带蜡块。</w:t>
      </w:r>
    </w:p>
    <w:p w14:paraId="1D2647B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11.多功能冷台温度；-40℃～0℃任意设置</w:t>
      </w:r>
    </w:p>
    <w:p w14:paraId="538B91A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12.脱蜡烘箱温度设置：0～99℃任意设置</w:t>
      </w:r>
    </w:p>
    <w:p w14:paraId="422CC8B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13.主蜡缸温度设置：0～99℃任意设置</w:t>
      </w:r>
    </w:p>
    <w:p w14:paraId="628D948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14.保温缸温度：0～99℃任意设置</w:t>
      </w:r>
    </w:p>
    <w:p w14:paraId="66FC9CF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15.工作台温度：0～99℃任意设置</w:t>
      </w:r>
    </w:p>
    <w:p w14:paraId="1952888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17.镊子台温度：0～99℃任意设置</w:t>
      </w:r>
    </w:p>
    <w:p w14:paraId="7AF03BE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19.控制方式：手推式、脚踏开关</w:t>
      </w:r>
    </w:p>
    <w:p w14:paraId="274851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20.定时开关机设定：一周内任意设定</w:t>
      </w:r>
    </w:p>
    <w:p w14:paraId="352C23F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4DC6EF44">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61" w:name="_Toc27130"/>
      <w:r>
        <w:rPr>
          <w:rFonts w:hint="eastAsia" w:ascii="仿宋" w:hAnsi="仿宋" w:eastAsia="仿宋" w:cs="仿宋"/>
          <w:b/>
          <w:bCs/>
          <w:color w:val="000000" w:themeColor="text1"/>
          <w:sz w:val="28"/>
          <w:szCs w:val="28"/>
          <w:lang w:val="en-US" w:eastAsia="zh-CN"/>
          <w14:textFill>
            <w14:solidFill>
              <w14:schemeClr w14:val="tx1"/>
            </w14:solidFill>
          </w14:textFill>
        </w:rPr>
        <w:t>8）包埋机全钢通风柜</w:t>
      </w:r>
      <w:bookmarkEnd w:id="61"/>
    </w:p>
    <w:p w14:paraId="2B6D2C9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在化学实验室中，实验操作时会产生各种有害有味气体、臭气、湿气以及腐蚀性物质。</w:t>
      </w:r>
    </w:p>
    <w:p w14:paraId="02AD3CD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结构功能</w:t>
      </w:r>
    </w:p>
    <w:p w14:paraId="00B063E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通风柜外壳采用1.0mm冷轧钢板经防锈处理，静电喷涂。</w:t>
      </w:r>
    </w:p>
    <w:p w14:paraId="32DF4E4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通风柜操作区采用抗倍特板，具有较高的防酸碱性；台面板采用实心理化板，能够拆卸。</w:t>
      </w:r>
    </w:p>
    <w:p w14:paraId="47BEB37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通风柜前视窗为手动视窗，可以在行程范围内的任意高度停止。</w:t>
      </w:r>
    </w:p>
    <w:p w14:paraId="299E345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通风柜前视窗玻璃是5mm厚钢化玻璃。</w:t>
      </w:r>
    </w:p>
    <w:p w14:paraId="11D4FC2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通风柜控制面板采用轻触式开关，集通风柜电源键、风机键、风机调速键、插座键、日光灯键于一身，搭配LED数码显示屏，显示风机档位。</w:t>
      </w:r>
    </w:p>
    <w:p w14:paraId="0CD693F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1.6 </w:t>
      </w:r>
      <w:r>
        <w:rPr>
          <w:rFonts w:hint="eastAsia" w:ascii="仿宋" w:hAnsi="仿宋" w:eastAsia="仿宋" w:cs="仿宋"/>
          <w:color w:val="000000" w:themeColor="text1"/>
          <w:sz w:val="24"/>
          <w:szCs w:val="24"/>
          <w:lang w:val="en-US" w:eastAsia="zh-CN"/>
          <w14:textFill>
            <w14:solidFill>
              <w14:schemeClr w14:val="tx1"/>
            </w14:solidFill>
          </w14:textFill>
        </w:rPr>
        <w:t>通风柜电控系统具有防过载、防触电等功能。</w:t>
      </w:r>
    </w:p>
    <w:p w14:paraId="3E1B9E1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1.7 </w:t>
      </w:r>
      <w:r>
        <w:rPr>
          <w:rFonts w:hint="eastAsia" w:ascii="仿宋" w:hAnsi="仿宋" w:eastAsia="仿宋" w:cs="仿宋"/>
          <w:color w:val="000000" w:themeColor="text1"/>
          <w:sz w:val="24"/>
          <w:szCs w:val="24"/>
          <w:lang w:val="en-US" w:eastAsia="zh-CN"/>
          <w14:textFill>
            <w14:solidFill>
              <w14:schemeClr w14:val="tx1"/>
            </w14:solidFill>
          </w14:textFill>
        </w:rPr>
        <w:t>通风柜插座采用实验室专用安全产品，带透明防溅盖。</w:t>
      </w:r>
    </w:p>
    <w:p w14:paraId="1DF0F74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1.8 </w:t>
      </w:r>
      <w:r>
        <w:rPr>
          <w:rFonts w:hint="eastAsia" w:ascii="仿宋" w:hAnsi="仿宋" w:eastAsia="仿宋" w:cs="仿宋"/>
          <w:color w:val="000000" w:themeColor="text1"/>
          <w:sz w:val="24"/>
          <w:szCs w:val="24"/>
          <w:lang w:val="en-US" w:eastAsia="zh-CN"/>
          <w14:textFill>
            <w14:solidFill>
              <w14:schemeClr w14:val="tx1"/>
            </w14:solidFill>
          </w14:textFill>
        </w:rPr>
        <w:t>通风柜配置底柜，底柜采用1.0mm冷轧钢板经防锈处理，静电喷涂，具有较好的光洁度与耐腐蚀性；底柜内空尺寸约1660*480*730mm（L×D×H）。</w:t>
      </w:r>
    </w:p>
    <w:p w14:paraId="04BD4CE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通风柜配置壁式供水装置、供水流量控制阀、实验室水槽，方便实验进行。</w:t>
      </w:r>
    </w:p>
    <w:p w14:paraId="591E119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1.10 </w:t>
      </w:r>
      <w:r>
        <w:rPr>
          <w:rFonts w:hint="eastAsia" w:ascii="仿宋" w:hAnsi="仿宋" w:eastAsia="仿宋" w:cs="仿宋"/>
          <w:color w:val="000000" w:themeColor="text1"/>
          <w:sz w:val="24"/>
          <w:szCs w:val="24"/>
          <w:lang w:val="en-US" w:eastAsia="zh-CN"/>
          <w14:textFill>
            <w14:solidFill>
              <w14:schemeClr w14:val="tx1"/>
            </w14:solidFill>
          </w14:textFill>
        </w:rPr>
        <w:t>通风柜外置PP离心风机。</w:t>
      </w:r>
    </w:p>
    <w:p w14:paraId="4926145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1.11</w:t>
      </w:r>
      <w:r>
        <w:rPr>
          <w:rFonts w:hint="eastAsia" w:ascii="仿宋" w:hAnsi="仿宋" w:eastAsia="仿宋" w:cs="仿宋"/>
          <w:color w:val="000000" w:themeColor="text1"/>
          <w:sz w:val="24"/>
          <w:szCs w:val="24"/>
          <w:lang w:val="en-US" w:eastAsia="zh-CN"/>
          <w14:textFill>
            <w14:solidFill>
              <w14:schemeClr w14:val="tx1"/>
            </w14:solidFill>
          </w14:textFill>
        </w:rPr>
        <w:t>通风柜具有断电记忆功能，即当遇到突然断电后，再次通电可保持断电前的工作状态，方便实验操作。</w:t>
      </w:r>
    </w:p>
    <w:p w14:paraId="01D197E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26A0DDA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外部尺寸≥（L×D×H）1800mm×850mm×2350mm；（尺寸可根据要求订制修改）</w:t>
      </w:r>
    </w:p>
    <w:p w14:paraId="27D1157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内部尺寸≥（L×D×H）1500mm×600mm×820mm。</w:t>
      </w:r>
    </w:p>
    <w:p w14:paraId="3BD9475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台面板到地面高度：约850mm；</w:t>
      </w:r>
    </w:p>
    <w:p w14:paraId="78ECDF1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吸入口风速：0.3～0.8m/s；</w:t>
      </w:r>
    </w:p>
    <w:p w14:paraId="3E30A7F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2.5 </w:t>
      </w:r>
      <w:r>
        <w:rPr>
          <w:rFonts w:hint="eastAsia" w:ascii="仿宋" w:hAnsi="仿宋" w:eastAsia="仿宋" w:cs="仿宋"/>
          <w:color w:val="000000" w:themeColor="text1"/>
          <w:sz w:val="24"/>
          <w:szCs w:val="24"/>
          <w:lang w:val="en-US" w:eastAsia="zh-CN"/>
          <w14:textFill>
            <w14:solidFill>
              <w14:schemeClr w14:val="tx1"/>
            </w14:solidFill>
          </w14:textFill>
        </w:rPr>
        <w:t>系统排风量：≥1140m³/h；</w:t>
      </w:r>
    </w:p>
    <w:p w14:paraId="70C5C8A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额定功率：≤500W；</w:t>
      </w:r>
    </w:p>
    <w:p w14:paraId="3459D56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噪音等级：≤65dB；</w:t>
      </w:r>
    </w:p>
    <w:p w14:paraId="38510A3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照度：≥400lux；</w:t>
      </w:r>
    </w:p>
    <w:p w14:paraId="784AD96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前窗玻璃开口高度：约750mm；</w:t>
      </w:r>
    </w:p>
    <w:p w14:paraId="57C7BCF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2.10.</w:t>
      </w:r>
      <w:r>
        <w:rPr>
          <w:rFonts w:hint="eastAsia" w:ascii="仿宋" w:hAnsi="仿宋" w:eastAsia="仿宋" w:cs="仿宋"/>
          <w:color w:val="000000" w:themeColor="text1"/>
          <w:sz w:val="24"/>
          <w:szCs w:val="24"/>
          <w:lang w:val="en-US" w:eastAsia="zh-CN"/>
          <w14:textFill>
            <w14:solidFill>
              <w14:schemeClr w14:val="tx1"/>
            </w14:solidFill>
          </w14:textFill>
        </w:rPr>
        <w:t>LED日光灯功率：16W；</w:t>
      </w:r>
    </w:p>
    <w:p w14:paraId="1673AB6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2.11</w:t>
      </w:r>
      <w:r>
        <w:rPr>
          <w:rFonts w:hint="eastAsia" w:ascii="仿宋" w:hAnsi="仿宋" w:eastAsia="仿宋" w:cs="仿宋"/>
          <w:color w:val="000000" w:themeColor="text1"/>
          <w:sz w:val="24"/>
          <w:szCs w:val="24"/>
          <w:lang w:val="en-US" w:eastAsia="zh-CN"/>
          <w14:textFill>
            <w14:solidFill>
              <w14:schemeClr w14:val="tx1"/>
            </w14:solidFill>
          </w14:textFill>
        </w:rPr>
        <w:t>风机型号：PP离心风机；</w:t>
      </w:r>
    </w:p>
    <w:p w14:paraId="42293B5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2.12.</w:t>
      </w:r>
      <w:r>
        <w:rPr>
          <w:rFonts w:hint="eastAsia" w:ascii="仿宋" w:hAnsi="仿宋" w:eastAsia="仿宋" w:cs="仿宋"/>
          <w:color w:val="000000" w:themeColor="text1"/>
          <w:sz w:val="24"/>
          <w:szCs w:val="24"/>
          <w:lang w:val="en-US" w:eastAsia="zh-CN"/>
          <w14:textFill>
            <w14:solidFill>
              <w14:schemeClr w14:val="tx1"/>
            </w14:solidFill>
          </w14:textFill>
        </w:rPr>
        <w:t>使用人数：2-3人.</w:t>
      </w:r>
    </w:p>
    <w:p w14:paraId="3BC62106">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62" w:name="_Toc26416"/>
      <w:r>
        <w:rPr>
          <w:rFonts w:hint="eastAsia" w:ascii="仿宋" w:hAnsi="仿宋" w:eastAsia="仿宋" w:cs="仿宋"/>
          <w:b/>
          <w:bCs/>
          <w:color w:val="000000" w:themeColor="text1"/>
          <w:sz w:val="28"/>
          <w:szCs w:val="28"/>
          <w:lang w:val="en-US" w:eastAsia="zh-CN"/>
          <w14:textFill>
            <w14:solidFill>
              <w14:schemeClr w14:val="tx1"/>
            </w14:solidFill>
          </w14:textFill>
        </w:rPr>
        <w:t>9）玻片打号机</w:t>
      </w:r>
      <w:bookmarkEnd w:id="62"/>
    </w:p>
    <w:p w14:paraId="73CCB4F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63" w:name="_Toc15904"/>
      <w:r>
        <w:rPr>
          <w:rFonts w:hint="eastAsia" w:ascii="仿宋" w:hAnsi="仿宋" w:eastAsia="仿宋" w:cs="仿宋"/>
          <w:color w:val="000000" w:themeColor="text1"/>
          <w:sz w:val="24"/>
          <w:szCs w:val="24"/>
          <w:lang w:val="en-US" w:eastAsia="zh-CN"/>
          <w14:textFill>
            <w14:solidFill>
              <w14:schemeClr w14:val="tx1"/>
            </w14:solidFill>
          </w14:textFill>
        </w:rPr>
        <w:t>1、机箱外壳为高级ABS塑料材质，能有效防止漏电意外。</w:t>
      </w:r>
    </w:p>
    <w:p w14:paraId="2A7C8CB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2、采用非接触式激光标刻技术，无需色带或油墨等任何标识用耗材。</w:t>
      </w:r>
    </w:p>
    <w:p w14:paraId="217ECC0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3、无需光照烘干，即打即用。</w:t>
      </w:r>
    </w:p>
    <w:p w14:paraId="799D80D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4、打号软件与主流电脑操作系统兼容，全中文界面，上手即会。根据需要，可提供多种打号模版，进行个性化设置，并具无限扩展功能，满足各种需求。</w:t>
      </w:r>
    </w:p>
    <w:p w14:paraId="75C82D5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5、可打印各种字体、符号或二维码，能与现行的LIS或HIS兼容，并快速设立自动打印。</w:t>
      </w:r>
    </w:p>
    <w:p w14:paraId="222939B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6、打印软件中病理小号项目采字母、数字或字母与数字组合表示任选、归空或归初始号任选。</w:t>
      </w:r>
    </w:p>
    <w:p w14:paraId="17A8016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7、软件中病理号项目采自动增号或保持原号任选，病理号前缀、备注等可自由编辑并添加到下拉菜单中，以便调用。打印过程中可随时添加样本，也可插队打印。</w:t>
      </w:r>
    </w:p>
    <w:p w14:paraId="1B44930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8、打号字迹清晰精致，可耐酒精或二甲苯等溶剂长时间浸泡而永不褪色，并可耐刀片直接刮擦而不磨损。</w:t>
      </w:r>
    </w:p>
    <w:p w14:paraId="3876CCD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9、加料槽结构弹匣设计，加料槽容量100片玻片。</w:t>
      </w:r>
    </w:p>
    <w:p w14:paraId="0ED8F79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10、玻片打印速度≥20张/分钟。</w:t>
      </w:r>
    </w:p>
    <w:p w14:paraId="672D6E6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11、收集槽一次能收集≥40片以上已打号的玻片，打号过程无需人员值守。</w:t>
      </w:r>
    </w:p>
    <w:p w14:paraId="01B8FB3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12、收集槽位于设备正前方，玻片在收集槽中油漆面朝着操作人员，方便拿取且避免拿取时污染玻片工作面。</w:t>
      </w:r>
    </w:p>
    <w:p w14:paraId="2CB0622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13、检查视窗半透明设计，既可观察打印过程，也可避免激光外漏对眼睛造成伤害。</w:t>
      </w:r>
    </w:p>
    <w:p w14:paraId="2FC77DB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14、可移动式出料收集盒，每个收集盒可收集约40片玻片。</w:t>
      </w:r>
    </w:p>
    <w:p w14:paraId="34F1FE4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15、一体化设计，无分体电源或其它附件。</w:t>
      </w:r>
    </w:p>
    <w:p w14:paraId="48430AB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16、选配二维码扫描系统，可以直接扫描包埋盒上的二维码进行玻片打印。</w:t>
      </w:r>
    </w:p>
    <w:p w14:paraId="5F38B32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17、选配空气净化系统，最大限度清除粉尘和异味。</w:t>
      </w:r>
    </w:p>
    <w:p w14:paraId="467AA40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18、设备与电脑通过USB接口或网络接口连接，信号传输快速稳定。</w:t>
      </w:r>
    </w:p>
    <w:p w14:paraId="5AF6F630">
      <w:pPr>
        <w:pStyle w:val="54"/>
        <w:ind w:left="0" w:leftChars="0" w:firstLine="0" w:firstLineChars="0"/>
        <w:rPr>
          <w:rFonts w:hint="default" w:eastAsia="楷体"/>
          <w:lang w:val="en-US" w:eastAsia="zh-CN"/>
        </w:rPr>
      </w:pPr>
    </w:p>
    <w:p w14:paraId="6BCB4466">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10）半自动石蜡切片机</w:t>
      </w:r>
      <w:bookmarkEnd w:id="63"/>
    </w:p>
    <w:p w14:paraId="445A3DA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64" w:name="_Toc12674"/>
      <w:r>
        <w:rPr>
          <w:rFonts w:hint="eastAsia" w:ascii="仿宋" w:hAnsi="仿宋" w:eastAsia="仿宋" w:cs="仿宋"/>
          <w:color w:val="000000" w:themeColor="text1"/>
          <w:sz w:val="24"/>
          <w:szCs w:val="24"/>
          <w:lang w:val="en-US" w:eastAsia="zh-CN"/>
          <w14:textFill>
            <w14:solidFill>
              <w14:schemeClr w14:val="tx1"/>
            </w14:solidFill>
          </w14:textFill>
        </w:rPr>
        <w:t>1.1该机采用人性化设计，结构紧凑，切片、修片互换方便、快捷。单手操作即可完成切片与修片的转换</w:t>
      </w:r>
    </w:p>
    <w:p w14:paraId="546F9BF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default" w:ascii="仿宋" w:hAnsi="仿宋" w:eastAsia="仿宋" w:cs="仿宋"/>
          <w:color w:val="000000" w:themeColor="text1"/>
          <w:sz w:val="24"/>
          <w:szCs w:val="24"/>
          <w:lang w:val="en-US" w:eastAsia="zh-CN"/>
          <w14:textFill>
            <w14:solidFill>
              <w14:schemeClr w14:val="tx1"/>
            </w14:solidFill>
          </w14:textFill>
        </w:rPr>
        <w:t>多模式切片</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常规模式、感知模式、全层模式，可供用户选择</w:t>
      </w:r>
    </w:p>
    <w:p w14:paraId="5F76F4D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r>
        <w:rPr>
          <w:rFonts w:hint="default" w:ascii="仿宋" w:hAnsi="仿宋" w:eastAsia="仿宋" w:cs="仿宋"/>
          <w:color w:val="000000" w:themeColor="text1"/>
          <w:sz w:val="24"/>
          <w:szCs w:val="24"/>
          <w:lang w:val="en-US" w:eastAsia="zh-CN"/>
          <w14:textFill>
            <w14:solidFill>
              <w14:schemeClr w14:val="tx1"/>
            </w14:solidFill>
          </w14:textFill>
        </w:rPr>
        <w:t>单手切修</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感知模式下，单手转动大手轮半圈可修片，转动整圈可切片，自动感应互换</w:t>
      </w:r>
    </w:p>
    <w:p w14:paraId="09D6E40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default" w:ascii="仿宋" w:hAnsi="仿宋" w:eastAsia="仿宋" w:cs="仿宋"/>
          <w:color w:val="000000" w:themeColor="text1"/>
          <w:sz w:val="24"/>
          <w:szCs w:val="24"/>
          <w:lang w:val="en-US" w:eastAsia="zh-CN"/>
          <w14:textFill>
            <w14:solidFill>
              <w14:schemeClr w14:val="tx1"/>
            </w14:solidFill>
          </w14:textFill>
        </w:rPr>
        <w:t>切片回缩</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样本头活动到下位时自动回退,回缩量可设置,防止切片时粘片</w:t>
      </w:r>
    </w:p>
    <w:p w14:paraId="798CD02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default" w:ascii="仿宋" w:hAnsi="仿宋" w:eastAsia="仿宋" w:cs="仿宋"/>
          <w:color w:val="000000" w:themeColor="text1"/>
          <w:sz w:val="24"/>
          <w:szCs w:val="24"/>
          <w:lang w:val="en-US" w:eastAsia="zh-CN"/>
          <w14:textFill>
            <w14:solidFill>
              <w14:schemeClr w14:val="tx1"/>
            </w14:solidFill>
          </w14:textFill>
        </w:rPr>
        <w:t>切片计数</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切片次数及修片计数，清晰记录显示</w:t>
      </w:r>
    </w:p>
    <w:p w14:paraId="2CCB5F5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default" w:ascii="仿宋" w:hAnsi="仿宋" w:eastAsia="仿宋" w:cs="仿宋"/>
          <w:color w:val="000000" w:themeColor="text1"/>
          <w:sz w:val="24"/>
          <w:szCs w:val="24"/>
          <w:lang w:val="en-US" w:eastAsia="zh-CN"/>
          <w14:textFill>
            <w14:solidFill>
              <w14:schemeClr w14:val="tx1"/>
            </w14:solidFill>
          </w14:textFill>
        </w:rPr>
        <w:t>样本头记忆位置</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可设置多个样本头记忆点位置,快捷的操作不同位置移动</w:t>
      </w:r>
    </w:p>
    <w:p w14:paraId="014B119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r>
        <w:rPr>
          <w:rFonts w:hint="default" w:ascii="仿宋" w:hAnsi="仿宋" w:eastAsia="仿宋" w:cs="仿宋"/>
          <w:color w:val="000000" w:themeColor="text1"/>
          <w:sz w:val="24"/>
          <w:szCs w:val="24"/>
          <w:lang w:val="en-US" w:eastAsia="zh-CN"/>
          <w14:textFill>
            <w14:solidFill>
              <w14:schemeClr w14:val="tx1"/>
            </w14:solidFill>
          </w14:textFill>
        </w:rPr>
        <w:t>样本头一键定位</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换蜡块时无需将样本头回退，-键回到记忆定点位置</w:t>
      </w:r>
    </w:p>
    <w:p w14:paraId="0C275C9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r>
        <w:rPr>
          <w:rFonts w:hint="default" w:ascii="仿宋" w:hAnsi="仿宋" w:eastAsia="仿宋" w:cs="仿宋"/>
          <w:color w:val="000000" w:themeColor="text1"/>
          <w:sz w:val="24"/>
          <w:szCs w:val="24"/>
          <w:lang w:val="en-US" w:eastAsia="zh-CN"/>
          <w14:textFill>
            <w14:solidFill>
              <w14:schemeClr w14:val="tx1"/>
            </w14:solidFill>
          </w14:textFill>
        </w:rPr>
        <w:t>智能精修功能</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可选择开启或关闭,满足自动精调至切片厚度，现实精准取片</w:t>
      </w:r>
    </w:p>
    <w:p w14:paraId="0468693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r>
        <w:rPr>
          <w:rFonts w:hint="default" w:ascii="仿宋" w:hAnsi="仿宋" w:eastAsia="仿宋" w:cs="仿宋"/>
          <w:color w:val="000000" w:themeColor="text1"/>
          <w:sz w:val="24"/>
          <w:szCs w:val="24"/>
          <w:lang w:val="en-US" w:eastAsia="zh-CN"/>
          <w14:textFill>
            <w14:solidFill>
              <w14:schemeClr w14:val="tx1"/>
            </w14:solidFill>
          </w14:textFill>
        </w:rPr>
        <w:t>声讯提示</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样本头位移行程极限位置报警蜂鸣提示，方便用户判断行程位置</w:t>
      </w:r>
    </w:p>
    <w:p w14:paraId="7778421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  O</w:t>
      </w:r>
      <w:r>
        <w:rPr>
          <w:rFonts w:hint="default" w:ascii="仿宋" w:hAnsi="仿宋" w:eastAsia="仿宋" w:cs="仿宋"/>
          <w:color w:val="000000" w:themeColor="text1"/>
          <w:sz w:val="24"/>
          <w:szCs w:val="24"/>
          <w:lang w:val="en-US" w:eastAsia="zh-CN"/>
          <w14:textFill>
            <w14:solidFill>
              <w14:schemeClr w14:val="tx1"/>
            </w14:solidFill>
          </w14:textFill>
        </w:rPr>
        <w:t>LED显示屏</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字迹清晰，无需背光，360°角度都能清晰观察显示数据，无视角盲点，可在线中、英文切换，可选配无线操作手控器</w:t>
      </w:r>
    </w:p>
    <w:p w14:paraId="62F6F3D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1.10 </w:t>
      </w:r>
      <w:r>
        <w:rPr>
          <w:rFonts w:hint="default" w:ascii="仿宋" w:hAnsi="仿宋" w:eastAsia="仿宋" w:cs="仿宋"/>
          <w:color w:val="000000" w:themeColor="text1"/>
          <w:sz w:val="24"/>
          <w:szCs w:val="24"/>
          <w:lang w:val="en-US" w:eastAsia="zh-CN"/>
          <w14:textFill>
            <w14:solidFill>
              <w14:schemeClr w14:val="tx1"/>
            </w14:solidFill>
          </w14:textFill>
        </w:rPr>
        <w:t>休眠屏保功能</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15分钟无动作，即进入自动休眠状态，触动任意键或手轮即刻唤醒</w:t>
      </w:r>
    </w:p>
    <w:p w14:paraId="48D4E33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1.11 </w:t>
      </w:r>
      <w:r>
        <w:rPr>
          <w:rFonts w:hint="default" w:ascii="仿宋" w:hAnsi="仿宋" w:eastAsia="仿宋" w:cs="仿宋"/>
          <w:color w:val="000000" w:themeColor="text1"/>
          <w:sz w:val="24"/>
          <w:szCs w:val="24"/>
          <w:lang w:val="en-US" w:eastAsia="zh-CN"/>
          <w14:textFill>
            <w14:solidFill>
              <w14:schemeClr w14:val="tx1"/>
            </w14:solidFill>
          </w14:textFill>
        </w:rPr>
        <w:t>免润滑维护</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采用稳定耐用的免维护润滑脂导轨结构设计,无需加注润滑油</w:t>
      </w:r>
    </w:p>
    <w:p w14:paraId="7FAA765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1.12 </w:t>
      </w:r>
      <w:r>
        <w:rPr>
          <w:rFonts w:hint="default" w:ascii="仿宋" w:hAnsi="仿宋" w:eastAsia="仿宋" w:cs="仿宋"/>
          <w:color w:val="000000" w:themeColor="text1"/>
          <w:sz w:val="24"/>
          <w:szCs w:val="24"/>
          <w:lang w:val="en-US" w:eastAsia="zh-CN"/>
          <w14:textFill>
            <w14:solidFill>
              <w14:schemeClr w14:val="tx1"/>
            </w14:solidFill>
          </w14:textFill>
        </w:rPr>
        <w:t>多种样本夹</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蜡块夹头、包埋盒夹头、特大夹头等多种夹头配置可选，配有快速转换座</w:t>
      </w:r>
    </w:p>
    <w:p w14:paraId="2B91D70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1.13 </w:t>
      </w:r>
      <w:r>
        <w:rPr>
          <w:rFonts w:hint="default" w:ascii="仿宋" w:hAnsi="仿宋" w:eastAsia="仿宋" w:cs="仿宋"/>
          <w:color w:val="000000" w:themeColor="text1"/>
          <w:sz w:val="24"/>
          <w:szCs w:val="24"/>
          <w:lang w:val="en-US" w:eastAsia="zh-CN"/>
          <w14:textFill>
            <w14:solidFill>
              <w14:schemeClr w14:val="tx1"/>
            </w14:solidFill>
          </w14:textFill>
        </w:rPr>
        <w:t>标本夹头角度调节</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调节角度垂直、水平+8°并配有角度刻度指示，方便观察</w:t>
      </w:r>
    </w:p>
    <w:p w14:paraId="45096FC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1.14 </w:t>
      </w:r>
      <w:r>
        <w:rPr>
          <w:rFonts w:hint="default" w:ascii="仿宋" w:hAnsi="仿宋" w:eastAsia="仿宋" w:cs="仿宋"/>
          <w:color w:val="000000" w:themeColor="text1"/>
          <w:sz w:val="24"/>
          <w:szCs w:val="24"/>
          <w:lang w:val="en-US" w:eastAsia="zh-CN"/>
          <w14:textFill>
            <w14:solidFill>
              <w14:schemeClr w14:val="tx1"/>
            </w14:solidFill>
          </w14:textFill>
        </w:rPr>
        <w:t>编码式小手轮</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小手轮进退速度可根据使用习惯调整，旋转进给方向也可互换调节</w:t>
      </w:r>
    </w:p>
    <w:p w14:paraId="595B28C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1.15 </w:t>
      </w:r>
      <w:r>
        <w:rPr>
          <w:rFonts w:hint="default" w:ascii="仿宋" w:hAnsi="仿宋" w:eastAsia="仿宋" w:cs="仿宋"/>
          <w:color w:val="000000" w:themeColor="text1"/>
          <w:sz w:val="24"/>
          <w:szCs w:val="24"/>
          <w:lang w:val="en-US" w:eastAsia="zh-CN"/>
          <w14:textFill>
            <w14:solidFill>
              <w14:schemeClr w14:val="tx1"/>
            </w14:solidFill>
          </w14:textFill>
        </w:rPr>
        <w:t>刀架分段定位</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三段快速定位，使切片刀刃口使用率发挥最大化</w:t>
      </w:r>
    </w:p>
    <w:p w14:paraId="13C25DF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1.16 </w:t>
      </w:r>
      <w:r>
        <w:rPr>
          <w:rFonts w:hint="default" w:ascii="仿宋" w:hAnsi="仿宋" w:eastAsia="仿宋" w:cs="仿宋"/>
          <w:color w:val="000000" w:themeColor="text1"/>
          <w:sz w:val="24"/>
          <w:szCs w:val="24"/>
          <w:lang w:val="en-US" w:eastAsia="zh-CN"/>
          <w14:textFill>
            <w14:solidFill>
              <w14:schemeClr w14:val="tx1"/>
            </w14:solidFill>
          </w14:textFill>
        </w:rPr>
        <w:t>刀座角度调节</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刀座角度0~10度可调,刀座前后位置可调，均配有刻度显示</w:t>
      </w:r>
    </w:p>
    <w:p w14:paraId="3B49121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1.17 </w:t>
      </w:r>
      <w:r>
        <w:rPr>
          <w:rFonts w:hint="default" w:ascii="仿宋" w:hAnsi="仿宋" w:eastAsia="仿宋" w:cs="仿宋"/>
          <w:color w:val="000000" w:themeColor="text1"/>
          <w:sz w:val="24"/>
          <w:szCs w:val="24"/>
          <w:lang w:val="en-US" w:eastAsia="zh-CN"/>
          <w14:textFill>
            <w14:solidFill>
              <w14:schemeClr w14:val="tx1"/>
            </w14:solidFill>
          </w14:textFill>
        </w:rPr>
        <w:t>刀架护刀杆</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护刀杆覆盖刀刃口全长，配有安全推刀结构，更换刀片安全便捷</w:t>
      </w:r>
    </w:p>
    <w:p w14:paraId="018880A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1.18 </w:t>
      </w:r>
      <w:r>
        <w:rPr>
          <w:rFonts w:hint="default" w:ascii="仿宋" w:hAnsi="仿宋" w:eastAsia="仿宋" w:cs="仿宋"/>
          <w:color w:val="000000" w:themeColor="text1"/>
          <w:sz w:val="24"/>
          <w:szCs w:val="24"/>
          <w:lang w:val="en-US" w:eastAsia="zh-CN"/>
          <w14:textFill>
            <w14:solidFill>
              <w14:schemeClr w14:val="tx1"/>
            </w14:solidFill>
          </w14:textFill>
        </w:rPr>
        <w:t>宽窄两用刀架</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可选配宽窄两用刀架，同时适用于宽刀片和窄刀片</w:t>
      </w:r>
    </w:p>
    <w:p w14:paraId="22C862E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1.19 </w:t>
      </w:r>
      <w:r>
        <w:rPr>
          <w:rFonts w:hint="default" w:ascii="仿宋" w:hAnsi="仿宋" w:eastAsia="仿宋" w:cs="仿宋"/>
          <w:color w:val="000000" w:themeColor="text1"/>
          <w:sz w:val="24"/>
          <w:szCs w:val="24"/>
          <w:lang w:val="en-US" w:eastAsia="zh-CN"/>
          <w14:textFill>
            <w14:solidFill>
              <w14:schemeClr w14:val="tx1"/>
            </w14:solidFill>
          </w14:textFill>
        </w:rPr>
        <w:t>多功能手轮锁定结构</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大手轮上位锁操作方便快捷，大手轮下位锁可任意位置锁定</w:t>
      </w:r>
    </w:p>
    <w:p w14:paraId="424611A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1.20 </w:t>
      </w:r>
      <w:r>
        <w:rPr>
          <w:rFonts w:hint="default" w:ascii="仿宋" w:hAnsi="仿宋" w:eastAsia="仿宋" w:cs="仿宋"/>
          <w:color w:val="000000" w:themeColor="text1"/>
          <w:sz w:val="24"/>
          <w:szCs w:val="24"/>
          <w:lang w:val="en-US" w:eastAsia="zh-CN"/>
          <w14:textFill>
            <w14:solidFill>
              <w14:schemeClr w14:val="tx1"/>
            </w14:solidFill>
          </w14:textFill>
        </w:rPr>
        <w:t>手轮悬停</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左侧小手轮、右侧大手轮任意位置可平衡悬停，安全可靠</w:t>
      </w:r>
    </w:p>
    <w:p w14:paraId="1F0EED2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1.21 </w:t>
      </w:r>
      <w:r>
        <w:rPr>
          <w:rFonts w:hint="default" w:ascii="仿宋" w:hAnsi="仿宋" w:eastAsia="仿宋" w:cs="仿宋"/>
          <w:color w:val="000000" w:themeColor="text1"/>
          <w:sz w:val="24"/>
          <w:szCs w:val="24"/>
          <w:lang w:val="en-US" w:eastAsia="zh-CN"/>
          <w14:textFill>
            <w14:solidFill>
              <w14:schemeClr w14:val="tx1"/>
            </w14:solidFill>
          </w14:textFill>
        </w:rPr>
        <w:t>防静电磁吸废屑槽</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采用防静电涂层处理，并与底座有磁吸结构设计衔接更稳定</w:t>
      </w:r>
    </w:p>
    <w:p w14:paraId="45388FC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1.22 </w:t>
      </w:r>
      <w:r>
        <w:rPr>
          <w:rFonts w:hint="default" w:ascii="仿宋" w:hAnsi="仿宋" w:eastAsia="仿宋" w:cs="仿宋"/>
          <w:color w:val="000000" w:themeColor="text1"/>
          <w:sz w:val="24"/>
          <w:szCs w:val="24"/>
          <w:lang w:val="en-US" w:eastAsia="zh-CN"/>
          <w14:textFill>
            <w14:solidFill>
              <w14:schemeClr w14:val="tx1"/>
            </w14:solidFill>
          </w14:textFill>
        </w:rPr>
        <w:t>分离式软硅胶托盘</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可放置不同工具，清理更方便</w:t>
      </w:r>
    </w:p>
    <w:p w14:paraId="3AD6863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1.23 </w:t>
      </w:r>
      <w:r>
        <w:rPr>
          <w:rFonts w:hint="default" w:ascii="仿宋" w:hAnsi="仿宋" w:eastAsia="仿宋" w:cs="仿宋"/>
          <w:color w:val="000000" w:themeColor="text1"/>
          <w:sz w:val="24"/>
          <w:szCs w:val="24"/>
          <w:lang w:val="en-US" w:eastAsia="zh-CN"/>
          <w14:textFill>
            <w14:solidFill>
              <w14:schemeClr w14:val="tx1"/>
            </w14:solidFill>
          </w14:textFill>
        </w:rPr>
        <w:t>搬运提手槽</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机器配有前后两个提手槽，移动仪器更安全可靠,无需外接把手</w:t>
      </w:r>
    </w:p>
    <w:p w14:paraId="65DE4A2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技术参数：   </w:t>
      </w:r>
    </w:p>
    <w:p w14:paraId="7D41624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default" w:ascii="仿宋" w:hAnsi="仿宋" w:eastAsia="仿宋" w:cs="仿宋"/>
          <w:color w:val="000000" w:themeColor="text1"/>
          <w:sz w:val="24"/>
          <w:szCs w:val="24"/>
          <w:lang w:val="en-US" w:eastAsia="zh-CN"/>
          <w14:textFill>
            <w14:solidFill>
              <w14:schemeClr w14:val="tx1"/>
            </w14:solidFill>
          </w14:textFill>
        </w:rPr>
        <w:t>切片厚度范围</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0.25~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~100μm</w:t>
      </w:r>
    </w:p>
    <w:p w14:paraId="09C13D97">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0.25~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~2.5μm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增量0.25μm</w:t>
      </w:r>
    </w:p>
    <w:p w14:paraId="0AF4E5B5">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~5μm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 xml:space="preserve">增量0.5μm </w:t>
      </w:r>
    </w:p>
    <w:p w14:paraId="13F66D9F">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~10μm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增量1μm</w:t>
      </w:r>
    </w:p>
    <w:p w14:paraId="37513A38">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~30μm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增量2μm</w:t>
      </w:r>
    </w:p>
    <w:p w14:paraId="64BDA9F5">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~60μm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增量5μm</w:t>
      </w:r>
    </w:p>
    <w:p w14:paraId="24FB1A01">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~100μm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增量10μm</w:t>
      </w:r>
    </w:p>
    <w:p w14:paraId="7D4D486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default" w:ascii="仿宋" w:hAnsi="仿宋" w:eastAsia="仿宋" w:cs="仿宋"/>
          <w:color w:val="000000" w:themeColor="text1"/>
          <w:sz w:val="24"/>
          <w:szCs w:val="24"/>
          <w:lang w:val="en-US" w:eastAsia="zh-CN"/>
          <w14:textFill>
            <w14:solidFill>
              <w14:schemeClr w14:val="tx1"/>
            </w14:solidFill>
          </w14:textFill>
        </w:rPr>
        <w:t>修片厚度范围</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~600μ m</w:t>
      </w:r>
    </w:p>
    <w:p w14:paraId="3CC8E5C0">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~10μ 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增量1μm</w:t>
      </w:r>
    </w:p>
    <w:p w14:paraId="061126CB">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~20μm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增量2μm</w:t>
      </w:r>
    </w:p>
    <w:p w14:paraId="4E0AF6B2">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~50μm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增量5μm</w:t>
      </w:r>
    </w:p>
    <w:p w14:paraId="4F085CF1">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~150μm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default" w:ascii="仿宋" w:hAnsi="仿宋" w:eastAsia="仿宋" w:cs="仿宋"/>
          <w:color w:val="000000" w:themeColor="text1"/>
          <w:sz w:val="24"/>
          <w:szCs w:val="24"/>
          <w:lang w:val="en-US" w:eastAsia="zh-CN"/>
          <w14:textFill>
            <w14:solidFill>
              <w14:schemeClr w14:val="tx1"/>
            </w14:solidFill>
          </w14:textFill>
        </w:rPr>
        <w:t>增量10μm</w:t>
      </w:r>
    </w:p>
    <w:p w14:paraId="7E0B0263">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~600 μm</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增量50μ m</w:t>
      </w:r>
    </w:p>
    <w:p w14:paraId="424A33D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default" w:ascii="仿宋" w:hAnsi="仿宋" w:eastAsia="仿宋" w:cs="仿宋"/>
          <w:color w:val="000000" w:themeColor="text1"/>
          <w:sz w:val="24"/>
          <w:szCs w:val="24"/>
          <w:lang w:val="en-US" w:eastAsia="zh-CN"/>
          <w14:textFill>
            <w14:solidFill>
              <w14:schemeClr w14:val="tx1"/>
            </w14:solidFill>
          </w14:textFill>
        </w:rPr>
        <w:t>回缩调节范围</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~100μm(0为关闭)</w:t>
      </w:r>
    </w:p>
    <w:p w14:paraId="68356435">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~15----100可调</w:t>
      </w:r>
    </w:p>
    <w:p w14:paraId="3BC4A5C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default" w:ascii="仿宋" w:hAnsi="仿宋" w:eastAsia="仿宋" w:cs="仿宋"/>
          <w:color w:val="000000" w:themeColor="text1"/>
          <w:sz w:val="24"/>
          <w:szCs w:val="24"/>
          <w:lang w:val="en-US" w:eastAsia="zh-CN"/>
          <w14:textFill>
            <w14:solidFill>
              <w14:schemeClr w14:val="tx1"/>
            </w14:solidFill>
          </w14:textFill>
        </w:rPr>
        <w:t>断层间隔跨度</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~6000μm</w:t>
      </w:r>
    </w:p>
    <w:p w14:paraId="7CB0B59C">
      <w:pPr>
        <w:keepNext w:val="0"/>
        <w:keepLines w:val="0"/>
        <w:pageBreakBefore w:val="0"/>
        <w:kinsoku/>
        <w:wordWrap/>
        <w:overflowPunct/>
        <w:topLinePunct w:val="0"/>
        <w:bidi w:val="0"/>
        <w:spacing w:line="264" w:lineRule="auto"/>
        <w:ind w:firstLine="2160" w:firstLineChars="900"/>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~25----5000~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~6000μm可调</w:t>
      </w:r>
    </w:p>
    <w:p w14:paraId="4EDA97F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default" w:ascii="仿宋" w:hAnsi="仿宋" w:eastAsia="仿宋" w:cs="仿宋"/>
          <w:color w:val="000000" w:themeColor="text1"/>
          <w:sz w:val="24"/>
          <w:szCs w:val="24"/>
          <w:lang w:val="en-US" w:eastAsia="zh-CN"/>
          <w14:textFill>
            <w14:solidFill>
              <w14:schemeClr w14:val="tx1"/>
            </w14:solidFill>
          </w14:textFill>
        </w:rPr>
        <w:t>切片、修片计数范围</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~9999</w:t>
      </w:r>
    </w:p>
    <w:p w14:paraId="75FF02D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default" w:ascii="仿宋" w:hAnsi="仿宋" w:eastAsia="仿宋" w:cs="仿宋"/>
          <w:color w:val="000000" w:themeColor="text1"/>
          <w:sz w:val="24"/>
          <w:szCs w:val="24"/>
          <w:lang w:val="en-US" w:eastAsia="zh-CN"/>
          <w14:textFill>
            <w14:solidFill>
              <w14:schemeClr w14:val="tx1"/>
            </w14:solidFill>
          </w14:textFill>
        </w:rPr>
        <w:t>水平进给</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30mm</w:t>
      </w:r>
    </w:p>
    <w:p w14:paraId="308F16A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default" w:ascii="仿宋" w:hAnsi="仿宋" w:eastAsia="仿宋" w:cs="仿宋"/>
          <w:color w:val="000000" w:themeColor="text1"/>
          <w:sz w:val="24"/>
          <w:szCs w:val="24"/>
          <w:lang w:val="en-US" w:eastAsia="zh-CN"/>
          <w14:textFill>
            <w14:solidFill>
              <w14:schemeClr w14:val="tx1"/>
            </w14:solidFill>
          </w14:textFill>
        </w:rPr>
        <w:t>垂直移动</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70mm</w:t>
      </w:r>
    </w:p>
    <w:p w14:paraId="0ED9938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default" w:ascii="仿宋" w:hAnsi="仿宋" w:eastAsia="仿宋" w:cs="仿宋"/>
          <w:color w:val="000000" w:themeColor="text1"/>
          <w:sz w:val="24"/>
          <w:szCs w:val="24"/>
          <w:lang w:val="en-US" w:eastAsia="zh-CN"/>
          <w14:textFill>
            <w14:solidFill>
              <w14:schemeClr w14:val="tx1"/>
            </w14:solidFill>
          </w14:textFill>
        </w:rPr>
        <w:t>刀架左右移动范围</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~26mm</w:t>
      </w:r>
    </w:p>
    <w:p w14:paraId="54794FC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default" w:ascii="仿宋" w:hAnsi="仿宋" w:eastAsia="仿宋" w:cs="仿宋"/>
          <w:color w:val="000000" w:themeColor="text1"/>
          <w:sz w:val="24"/>
          <w:szCs w:val="24"/>
          <w:lang w:val="en-US" w:eastAsia="zh-CN"/>
          <w14:textFill>
            <w14:solidFill>
              <w14:schemeClr w14:val="tx1"/>
            </w14:solidFill>
          </w14:textFill>
        </w:rPr>
        <w:t>刀架前后移动范围</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~65mm</w:t>
      </w:r>
    </w:p>
    <w:p w14:paraId="268271D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2.10</w:t>
      </w:r>
      <w:r>
        <w:rPr>
          <w:rFonts w:hint="default" w:ascii="仿宋" w:hAnsi="仿宋" w:eastAsia="仿宋" w:cs="仿宋"/>
          <w:color w:val="000000" w:themeColor="text1"/>
          <w:sz w:val="24"/>
          <w:szCs w:val="24"/>
          <w:lang w:val="en-US" w:eastAsia="zh-CN"/>
          <w14:textFill>
            <w14:solidFill>
              <w14:schemeClr w14:val="tx1"/>
            </w14:solidFill>
          </w14:textFill>
        </w:rPr>
        <w:t>样本定位</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水平8°；垂直8°；标本夹360°旋转(选配)</w:t>
      </w:r>
    </w:p>
    <w:p w14:paraId="732C8BF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2.11</w:t>
      </w:r>
      <w:r>
        <w:rPr>
          <w:rFonts w:hint="default" w:ascii="仿宋" w:hAnsi="仿宋" w:eastAsia="仿宋" w:cs="仿宋"/>
          <w:color w:val="000000" w:themeColor="text1"/>
          <w:sz w:val="24"/>
          <w:szCs w:val="24"/>
          <w:lang w:val="en-US" w:eastAsia="zh-CN"/>
          <w14:textFill>
            <w14:solidFill>
              <w14:schemeClr w14:val="tx1"/>
            </w14:solidFill>
          </w14:textFill>
        </w:rPr>
        <w:t>切片调节最小刻度值</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0.25μm</w:t>
      </w:r>
    </w:p>
    <w:p w14:paraId="10068A5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2.12</w:t>
      </w:r>
      <w:r>
        <w:rPr>
          <w:rFonts w:hint="default" w:ascii="仿宋" w:hAnsi="仿宋" w:eastAsia="仿宋" w:cs="仿宋"/>
          <w:color w:val="000000" w:themeColor="text1"/>
          <w:sz w:val="24"/>
          <w:szCs w:val="24"/>
          <w:lang w:val="en-US" w:eastAsia="zh-CN"/>
          <w14:textFill>
            <w14:solidFill>
              <w14:schemeClr w14:val="tx1"/>
            </w14:solidFill>
          </w14:textFill>
        </w:rPr>
        <w:t>最大标本切片面积</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80×65mm</w:t>
      </w:r>
    </w:p>
    <w:p w14:paraId="73A1B65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2.13</w:t>
      </w:r>
      <w:r>
        <w:rPr>
          <w:rFonts w:hint="default" w:ascii="仿宋" w:hAnsi="仿宋" w:eastAsia="仿宋" w:cs="仿宋"/>
          <w:color w:val="000000" w:themeColor="text1"/>
          <w:sz w:val="24"/>
          <w:szCs w:val="24"/>
          <w:lang w:val="en-US" w:eastAsia="zh-CN"/>
          <w14:textFill>
            <w14:solidFill>
              <w14:schemeClr w14:val="tx1"/>
            </w14:solidFill>
          </w14:textFill>
        </w:rPr>
        <w:t>机头进给速度</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2000μm/s</w:t>
      </w:r>
    </w:p>
    <w:p w14:paraId="3A27351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default" w:ascii="仿宋" w:hAnsi="仿宋" w:eastAsia="仿宋" w:cs="仿宋"/>
          <w:color w:val="000000" w:themeColor="text1"/>
          <w:sz w:val="24"/>
          <w:szCs w:val="24"/>
          <w:lang w:val="en-US" w:eastAsia="zh-CN"/>
          <w14:textFill>
            <w14:solidFill>
              <w14:schemeClr w14:val="tx1"/>
            </w14:solidFill>
          </w14:textFill>
        </w:rPr>
        <w:t>小手轮进给量</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100~</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~1000μm/圈可调</w:t>
      </w:r>
    </w:p>
    <w:p w14:paraId="4DAC880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2.15</w:t>
      </w:r>
      <w:r>
        <w:rPr>
          <w:rFonts w:hint="default" w:ascii="仿宋" w:hAnsi="仿宋" w:eastAsia="仿宋" w:cs="仿宋"/>
          <w:color w:val="000000" w:themeColor="text1"/>
          <w:sz w:val="24"/>
          <w:szCs w:val="24"/>
          <w:lang w:val="en-US" w:eastAsia="zh-CN"/>
          <w14:textFill>
            <w14:solidFill>
              <w14:schemeClr w14:val="tx1"/>
            </w14:solidFill>
          </w14:textFill>
        </w:rPr>
        <w:t>样本头记忆点</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可以随意设置2个位置</w:t>
      </w:r>
    </w:p>
    <w:p w14:paraId="36CBE85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2.16</w:t>
      </w:r>
      <w:r>
        <w:rPr>
          <w:rFonts w:hint="default" w:ascii="仿宋" w:hAnsi="仿宋" w:eastAsia="仿宋" w:cs="仿宋"/>
          <w:color w:val="000000" w:themeColor="text1"/>
          <w:sz w:val="24"/>
          <w:szCs w:val="24"/>
          <w:lang w:val="en-US" w:eastAsia="zh-CN"/>
          <w14:textFill>
            <w14:solidFill>
              <w14:schemeClr w14:val="tx1"/>
            </w14:solidFill>
          </w14:textFill>
        </w:rPr>
        <w:t>切片精度</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±1%</w:t>
      </w:r>
    </w:p>
    <w:p w14:paraId="5759C10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2.17</w:t>
      </w:r>
      <w:r>
        <w:rPr>
          <w:rFonts w:hint="default" w:ascii="仿宋" w:hAnsi="仿宋" w:eastAsia="仿宋" w:cs="仿宋"/>
          <w:color w:val="000000" w:themeColor="text1"/>
          <w:sz w:val="24"/>
          <w:szCs w:val="24"/>
          <w:lang w:val="en-US" w:eastAsia="zh-CN"/>
          <w14:textFill>
            <w14:solidFill>
              <w14:schemeClr w14:val="tx1"/>
            </w14:solidFill>
          </w14:textFill>
        </w:rPr>
        <w:t>电源电压</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AC110V~</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~120V/ AC 220V~</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default" w:ascii="仿宋" w:hAnsi="仿宋" w:eastAsia="仿宋" w:cs="仿宋"/>
          <w:color w:val="000000" w:themeColor="text1"/>
          <w:sz w:val="24"/>
          <w:szCs w:val="24"/>
          <w:lang w:val="en-US" w:eastAsia="zh-CN"/>
          <w14:textFill>
            <w14:solidFill>
              <w14:schemeClr w14:val="tx1"/>
            </w14:solidFill>
          </w14:textFill>
        </w:rPr>
        <w:t>~240V</w:t>
      </w:r>
    </w:p>
    <w:p w14:paraId="158EC12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2.18</w:t>
      </w:r>
      <w:r>
        <w:rPr>
          <w:rFonts w:hint="default" w:ascii="仿宋" w:hAnsi="仿宋" w:eastAsia="仿宋" w:cs="仿宋"/>
          <w:color w:val="000000" w:themeColor="text1"/>
          <w:sz w:val="24"/>
          <w:szCs w:val="24"/>
          <w:lang w:val="en-US" w:eastAsia="zh-CN"/>
          <w14:textFill>
            <w14:solidFill>
              <w14:schemeClr w14:val="tx1"/>
            </w14:solidFill>
          </w14:textFill>
        </w:rPr>
        <w:t>频 率</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50Hz/ 60Hz</w:t>
      </w:r>
    </w:p>
    <w:p w14:paraId="0364BA9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2.19</w:t>
      </w:r>
      <w:r>
        <w:rPr>
          <w:rFonts w:hint="default" w:ascii="仿宋" w:hAnsi="仿宋" w:eastAsia="仿宋" w:cs="仿宋"/>
          <w:color w:val="000000" w:themeColor="text1"/>
          <w:sz w:val="24"/>
          <w:szCs w:val="24"/>
          <w:lang w:val="en-US" w:eastAsia="zh-CN"/>
          <w14:textFill>
            <w14:solidFill>
              <w14:schemeClr w14:val="tx1"/>
            </w14:solidFill>
          </w14:textFill>
        </w:rPr>
        <w:t>功率</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100VA</w:t>
      </w:r>
    </w:p>
    <w:p w14:paraId="18E8E829">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11）摊片烤片机</w:t>
      </w:r>
      <w:bookmarkEnd w:id="64"/>
    </w:p>
    <w:p w14:paraId="0BF3D6D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功能</w:t>
      </w:r>
    </w:p>
    <w:p w14:paraId="3DCD1C4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高清彩色触摸屏；</w:t>
      </w:r>
    </w:p>
    <w:p w14:paraId="60C67F0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电脑精准控温，升温快速平稳，误差小；</w:t>
      </w:r>
    </w:p>
    <w:p w14:paraId="2257FD7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摊片、斜插烤片、烘片三大功能一体设计；</w:t>
      </w:r>
    </w:p>
    <w:p w14:paraId="05600C8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整机定时开关设置；</w:t>
      </w:r>
    </w:p>
    <w:p w14:paraId="6E6B805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烘片、烤片可以单独开关加热；</w:t>
      </w:r>
    </w:p>
    <w:p w14:paraId="3F9DB82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具有定时提醒功能，设置任意时长，时间到后蜂鸣报警；</w:t>
      </w:r>
    </w:p>
    <w:p w14:paraId="153D5A7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电脑和物理双重控温保护系统。</w:t>
      </w:r>
    </w:p>
    <w:p w14:paraId="5091386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24EC365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外型尺寸：约535mm*350mm*180mm(长宽高）</w:t>
      </w:r>
    </w:p>
    <w:p w14:paraId="24A30AE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电源、功率：AC220V±10%，50Hz±1Hz；功率：约600VA</w:t>
      </w:r>
    </w:p>
    <w:p w14:paraId="5E1B25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各点温度设置范围：摊片：0℃～99℃，最小分度值1℃；</w:t>
      </w:r>
    </w:p>
    <w:p w14:paraId="0D4EB0A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烤片：0℃～99℃，最小分度值1℃；</w:t>
      </w:r>
    </w:p>
    <w:p w14:paraId="562AB00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烘片：0℃～99℃，最小分度值1℃；</w:t>
      </w:r>
    </w:p>
    <w:p w14:paraId="77D7F90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摊片：约210mm*158mm*78mm(长宽高），摊片底部带有低压LED灯光；</w:t>
      </w:r>
    </w:p>
    <w:p w14:paraId="19ED244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烤片：约220mm*160mm*55mm(长宽高），≥50片组织切片同时处理；</w:t>
      </w:r>
    </w:p>
    <w:p w14:paraId="34A1564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烘片：约205mm*95mm*1110mm(长宽高），可放置标准染色架3组。</w:t>
      </w:r>
      <w:bookmarkStart w:id="65" w:name="_Toc25859"/>
    </w:p>
    <w:p w14:paraId="012C8F5F">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12）全自动染色封片系统</w:t>
      </w:r>
      <w:bookmarkEnd w:id="65"/>
    </w:p>
    <w:p w14:paraId="02DB97C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bookmarkStart w:id="66" w:name="_Toc24207"/>
      <w:r>
        <w:rPr>
          <w:rFonts w:hint="eastAsia" w:ascii="仿宋" w:hAnsi="仿宋" w:eastAsia="仿宋" w:cs="仿宋"/>
          <w:color w:val="000000" w:themeColor="text1"/>
          <w:sz w:val="24"/>
          <w:szCs w:val="24"/>
          <w:lang w:val="en-US" w:eastAsia="zh-CN"/>
          <w14:textFill>
            <w14:solidFill>
              <w14:schemeClr w14:val="tx1"/>
            </w14:solidFill>
          </w14:textFill>
        </w:rPr>
        <w:t>染色机部分：</w:t>
      </w:r>
    </w:p>
    <w:p w14:paraId="040062F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1.1总站点数：≥26，其中试剂站点≥17个，水洗站点数≥4个。烤箱站点≥1个，加载/卸载站点≥4个。</w:t>
      </w:r>
    </w:p>
    <w:p w14:paraId="039B966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1.2.水洗站点可以根据需求灵活设置成试剂站点。加载和卸载站点可以灵活分配，加载/卸载站点总站点数≥4个，加载站点最多可以≥3个，卸载站点最多≥3个。</w:t>
      </w:r>
    </w:p>
    <w:p w14:paraId="29E9690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装载容量：试剂容量480±20ml，玻片架最大容量30片。</w:t>
      </w:r>
    </w:p>
    <w:p w14:paraId="03FBE55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1.3试剂缸：金属材质，经久耐用，有刻度线可以方便观察液位。</w:t>
      </w:r>
    </w:p>
    <w:p w14:paraId="697B426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染色机结构：全开放式单层设计，方便观察试剂缸液面高度及更换试剂。防护罩采取气缸支撑，稳定可靠。</w:t>
      </w:r>
    </w:p>
    <w:p w14:paraId="6C85670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1.4水洗站点设计理念基于流体力学理论，冲洗干净，水流大小可调节。</w:t>
      </w:r>
    </w:p>
    <w:p w14:paraId="6E7137C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烤箱：可以自动烘干玻片上残留的液体，免除人工吹干和自然晾干的繁琐步骤。烤箱温度室温到70℃可调，温控精度±1℃，温度可校准。</w:t>
      </w:r>
    </w:p>
    <w:p w14:paraId="7257143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1.5试剂保温：四个试剂站点有加热保温功能，温度室温到60℃可调，温控精度±1℃，温度可校准。</w:t>
      </w:r>
    </w:p>
    <w:p w14:paraId="1725E0C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1.6机械臂运动采取伺服一体化系统作为执行元件，定位精准，运行平稳，定位精度小于0.1mm。</w:t>
      </w:r>
    </w:p>
    <w:p w14:paraId="6D523CD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1.7防护机制：防护罩打开后机械臂具有自动停止运行以防止工作人员受伤的保护功能。机械臂有异常阻力时，自动暂停，触摸屏界面提示相关错误信息，仪器无需断电按照相应的提示处理故障信息。</w:t>
      </w:r>
    </w:p>
    <w:p w14:paraId="4BF10E9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1.8人机交互：≥10.4寸工业触摸屏，全中文操作系统，设置参数方便、快捷，界面美观。配置USB接口2个，可接U盘、鼠标和键盘等外设同工控机进行数据交互。配置网络接口2个，可用于网络通信或与封片机联机。</w:t>
      </w:r>
    </w:p>
    <w:p w14:paraId="52544FC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1.9报警系统：中文语音报警，面板指示灯RGB三种颜色提示以及主界面报警指示栏中文字指示报警，三种报警同步提示。操作员可以根据仪器报警提示来处理相应的报警信息。</w:t>
      </w:r>
    </w:p>
    <w:p w14:paraId="71E3F2D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1.10液位检测：水箱液位检测，可防止水箱由于液位过低，加热棒干烧引起事故。水槽液位检测，可防止由于排水部分堵塞，水排不出去而引起的安全事故。</w:t>
      </w:r>
    </w:p>
    <w:p w14:paraId="0CF1D60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排气系统：仪器自带排气风扇装置，可以将仪器内挥发的气体排出。</w:t>
      </w:r>
    </w:p>
    <w:p w14:paraId="07ABFD7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1.11浓度监测：仪器内安装空气质量传感器，可以监测仪器内空气质量，仪器可根据空气质量情况自动开启或者关闭排气风扇，实现仪器内空气质量的闭环控制。</w:t>
      </w:r>
    </w:p>
    <w:p w14:paraId="1A6163F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净化装置：装载活性炭净化装置，有害气体经过活性炭过滤后排出，健康环保。</w:t>
      </w:r>
    </w:p>
    <w:p w14:paraId="54F603E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玻片架检测：每个加载/卸载站点玻片架有无状态可实时检测。</w:t>
      </w:r>
    </w:p>
    <w:p w14:paraId="62688C2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1.12可连接封片机组成染色封片一体系统，染色机和封片机之间无需特殊装置，染色后通过机械手直接运送到封片机内封片；</w:t>
      </w:r>
    </w:p>
    <w:p w14:paraId="36DC825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染色程序：设备可存储程序种类数不低于100种，每个程序可以设置步骤不低于50个。程序可以进行精确或非精确设置，精确设置的步骤，机械臂优先保证精确时间。程序可设置滤液时间和抖缸次数，避免交叉污染染色试剂。</w:t>
      </w:r>
    </w:p>
    <w:p w14:paraId="1BD3F07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1.14不同的染色程序可以同时运行，同一个染色程序可以同时运行多架，不限制染色架数。</w:t>
      </w:r>
    </w:p>
    <w:p w14:paraId="0EE8573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1.15运行状态查询：具有运行状态查询功能，可以了解当前执行步骤、剩余时间，当前的染色站点信息。</w:t>
      </w:r>
    </w:p>
    <w:p w14:paraId="6047D61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1.16可查询试剂添加记录、试剂更换记录和历史运行记录。通过三种颜色进行质控管理，在主页上可以清晰显示出来。在主页面上可以对存储的程序设置为快捷方式，最大可设置4个快捷运行程序。</w:t>
      </w:r>
    </w:p>
    <w:p w14:paraId="5E21804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封片机部分：</w:t>
      </w:r>
    </w:p>
    <w:p w14:paraId="7360C3A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2.1存储容量：6层，每层20片，共120片。</w:t>
      </w:r>
    </w:p>
    <w:p w14:paraId="3A07418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2.2盖玻片单次上载数量：≥160片。</w:t>
      </w:r>
    </w:p>
    <w:p w14:paraId="4D3B235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2.3玻片规格：载玻片尺寸26*75mm，盖玻片尺寸24*(50±10)mm。</w:t>
      </w:r>
    </w:p>
    <w:p w14:paraId="68B4B75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2.4封片机结构：全开放式设计，方便实时观察仪器运行状况。</w:t>
      </w:r>
    </w:p>
    <w:p w14:paraId="4E5C795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2.5机械臂运动采取伺服一体化系统作为执行元件，定位精准，运行平稳，定位精度小于0.1mm。</w:t>
      </w:r>
    </w:p>
    <w:p w14:paraId="3C07794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2.6人机交互：≥10.4寸工业触摸屏，全中文操作系统，设置参数方便、快捷，界面美观。配置USB接口2个，可接U盘、鼠标和键盘等外设同工控机进行数据交互。配置网络接口2个，可用于网络通信或与染色机联机。</w:t>
      </w:r>
    </w:p>
    <w:p w14:paraId="2CC026D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2.7报警系统：中文语音报警，面板指示灯RGB三种颜色提示以及主界面报警指示栏中文字指示报警，三种报警同步提示。操作员可以根据仪器报警提示来处理相应的报警信息。</w:t>
      </w:r>
    </w:p>
    <w:p w14:paraId="68D4405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2.8防护机制：防护罩打开后机械臂具有自动停止运行以防止工作人员受伤的保护功能。机械臂有异常阻力时，自动暂停，触摸屏界面提示相关错误信息，仪器无需断电按照相应的提示处理故障信息。</w:t>
      </w:r>
    </w:p>
    <w:p w14:paraId="6CCA0C3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2.9排气系统：仪器自带排气风扇装置，可以将仪器内挥发的气体排出。 </w:t>
      </w:r>
    </w:p>
    <w:p w14:paraId="0184A30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2.10浓度监测：仪器内安装空气质量传感器，可以监测仪器内空气质量，仪器可根据空气质量情况自动开启或者关闭排气风扇，实现仪器内空气质量的闭环控制。</w:t>
      </w:r>
    </w:p>
    <w:p w14:paraId="54C1F8D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2.11净化装置：装载活性炭净化装置，有害气体经过活性炭过滤后排出，健康环保。</w:t>
      </w:r>
    </w:p>
    <w:p w14:paraId="3F46F4D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2.12可与染色机组成染色封片一体化工作站，且无需单独的转运装置。</w:t>
      </w:r>
    </w:p>
    <w:p w14:paraId="50A66BD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2.13封片方式：智能倾斜角度盖片，防止封片时气泡的产生。</w:t>
      </w:r>
    </w:p>
    <w:p w14:paraId="63061A9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2.14破损玻片自检：采用精密检测传感器，对破损盖玻片进行自检，并自动处理碎片。</w:t>
      </w:r>
    </w:p>
    <w:p w14:paraId="309085F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2.15封胶系统：压力型点胶系统，可以根据胶的粘稠度调整压力大小，稳定点胶。</w:t>
      </w:r>
    </w:p>
    <w:p w14:paraId="35DB917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2.16玻片转运方式：气动手指夹取或者释放玻片，实现玻片的转运，安全，可靠。</w:t>
      </w:r>
    </w:p>
    <w:p w14:paraId="7D55E2A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2.17玻片输出模式：封完片的玻片直接输送到20片通用规格的玻片板上，以便直接阅片，无需人工转运，节省人力，提高科室工作效率。</w:t>
      </w:r>
    </w:p>
    <w:p w14:paraId="739E656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2.18盖玻片余量提醒：当盖玻片盒中的盖玻片余量不足时，提醒功能工作人员增加盖玻片。</w:t>
      </w:r>
    </w:p>
    <w:p w14:paraId="148FA3A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2.19封片状态显示：每一层的状态有已完成、进行中和待运行三种状态显示，当前进行中的每一张封片信息都可以实时查看。</w:t>
      </w:r>
    </w:p>
    <w:p w14:paraId="64AC092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2.20封片方式：智能倾斜角度盖片，防止封片时气泡的产生。</w:t>
      </w:r>
    </w:p>
    <w:p w14:paraId="539C0E8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2.21破损玻片自检：采用精密检测传感器，对破损盖玻片进行自检，并自动处理碎片。</w:t>
      </w:r>
    </w:p>
    <w:p w14:paraId="59AFF0E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2.22封胶系统：压力型点胶系统，可以根据胶的粘稠度调整压力大小，稳定点胶。</w:t>
      </w:r>
    </w:p>
    <w:p w14:paraId="3797789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2.23玻片转运方式：气动手指夹取或者释放玻片，实现玻片的转运，安全，可靠。</w:t>
      </w:r>
    </w:p>
    <w:p w14:paraId="3C73498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2.24玻片输出模式：封完片的玻片直接输送到20片通用规格的玻片板上，以便直接阅片，无需人工转运，节省人力，提高科室工作效率。</w:t>
      </w:r>
    </w:p>
    <w:p w14:paraId="717D894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2.25盖玻片余量提醒：当盖玻片盒中的盖玻片余量不足时，提醒功能工作人员增加盖玻片。</w:t>
      </w:r>
    </w:p>
    <w:p w14:paraId="54D7757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封片状态显示：每一层的状态有已完成、进行中和待运行三种状态显示，当前进行中的每一张封片信息都可以实时查看。</w:t>
      </w:r>
    </w:p>
    <w:p w14:paraId="7096F4B4">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13）染色工作台全钢通风柜</w:t>
      </w:r>
      <w:bookmarkEnd w:id="66"/>
    </w:p>
    <w:p w14:paraId="21FAF26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在化学实验室中，实验操作时会产生各种有害有味气体、臭气、湿气以及腐蚀性物质，为了保护使用者安全，防止实验中的污染物质向实验室扩散，在污染源附近要使用通风柜。</w:t>
      </w:r>
    </w:p>
    <w:p w14:paraId="6C0E050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结构功能</w:t>
      </w:r>
    </w:p>
    <w:p w14:paraId="60B60E8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通风柜外壳采用1.0mm冷轧钢板经防锈处理，静电喷涂。</w:t>
      </w:r>
    </w:p>
    <w:p w14:paraId="4C2FBDC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通风柜操作区采用抗倍特板，具有较高的防酸碱性；台面板采用实心理化板，能够拆卸。</w:t>
      </w:r>
    </w:p>
    <w:p w14:paraId="7501520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通风柜前视窗为手动视窗，可以在行程范围内的任意高度停止。</w:t>
      </w:r>
    </w:p>
    <w:p w14:paraId="7EFC768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通风柜前视窗玻璃是5mm厚钢化玻璃。</w:t>
      </w:r>
    </w:p>
    <w:p w14:paraId="5D8B61E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通风柜控制面板采用轻触式开关，集通风柜电源键、风机键、风机调速键、插座键、日光灯键于一身，搭配LED数码显示屏，显示风机档位。</w:t>
      </w:r>
    </w:p>
    <w:p w14:paraId="6F5DE8C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通风柜电控系统具有防过载、防触电等功能。</w:t>
      </w:r>
    </w:p>
    <w:p w14:paraId="4682036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通风柜插座采用实验室专用安全产品，带透明防溅盖。</w:t>
      </w:r>
    </w:p>
    <w:p w14:paraId="51DC0D6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通风柜配置底柜，底柜采用1.0mm冷轧钢板经防锈处理，静电喷涂，具有较好的光</w:t>
      </w:r>
      <w:r>
        <w:rPr>
          <w:rFonts w:hint="default"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洁度与耐腐蚀性；底柜内空尺寸约1660*480*730mm（L×D×H）。</w:t>
      </w:r>
    </w:p>
    <w:p w14:paraId="4435F09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1.10.</w:t>
      </w:r>
      <w:r>
        <w:rPr>
          <w:rFonts w:hint="eastAsia" w:ascii="仿宋" w:hAnsi="仿宋" w:eastAsia="仿宋" w:cs="仿宋"/>
          <w:color w:val="000000" w:themeColor="text1"/>
          <w:sz w:val="24"/>
          <w:szCs w:val="24"/>
          <w:lang w:val="en-US" w:eastAsia="zh-CN"/>
          <w14:textFill>
            <w14:solidFill>
              <w14:schemeClr w14:val="tx1"/>
            </w14:solidFill>
          </w14:textFill>
        </w:rPr>
        <w:t>通风柜配置壁式供水装置、供水流量控制阀、实验室水槽，方便实验进行。</w:t>
      </w:r>
    </w:p>
    <w:p w14:paraId="082773E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1.11.</w:t>
      </w:r>
      <w:r>
        <w:rPr>
          <w:rFonts w:hint="eastAsia" w:ascii="仿宋" w:hAnsi="仿宋" w:eastAsia="仿宋" w:cs="仿宋"/>
          <w:color w:val="000000" w:themeColor="text1"/>
          <w:sz w:val="24"/>
          <w:szCs w:val="24"/>
          <w:lang w:val="en-US" w:eastAsia="zh-CN"/>
          <w14:textFill>
            <w14:solidFill>
              <w14:schemeClr w14:val="tx1"/>
            </w14:solidFill>
          </w14:textFill>
        </w:rPr>
        <w:t>通风柜内置PP离心风机。</w:t>
      </w:r>
    </w:p>
    <w:p w14:paraId="554A4FF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1.12.</w:t>
      </w:r>
      <w:r>
        <w:rPr>
          <w:rFonts w:hint="eastAsia" w:ascii="仿宋" w:hAnsi="仿宋" w:eastAsia="仿宋" w:cs="仿宋"/>
          <w:color w:val="000000" w:themeColor="text1"/>
          <w:sz w:val="24"/>
          <w:szCs w:val="24"/>
          <w:lang w:val="en-US" w:eastAsia="zh-CN"/>
          <w14:textFill>
            <w14:solidFill>
              <w14:schemeClr w14:val="tx1"/>
            </w14:solidFill>
          </w14:textFill>
        </w:rPr>
        <w:t>通风柜具有断电记忆功能，即当遇到突然断电后，再次通电可保持断电前的工作状态。</w:t>
      </w:r>
    </w:p>
    <w:p w14:paraId="1E8753C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67" w:name="_Toc24277"/>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76976CC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外部尺寸≥（L×D×H）1800mm×850mm×2350mm</w:t>
      </w:r>
    </w:p>
    <w:p w14:paraId="3DFCD50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内部尺寸≥（L×D×H）1500mm×600mm×820mm</w:t>
      </w:r>
    </w:p>
    <w:p w14:paraId="5ACA5D6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台面板到地面高度：约850mm；</w:t>
      </w:r>
    </w:p>
    <w:p w14:paraId="6256A5E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吸入口风速：0.3～0.8m/s；</w:t>
      </w:r>
    </w:p>
    <w:p w14:paraId="7B76BCE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系统排风量：≥1140m³/h；</w:t>
      </w:r>
    </w:p>
    <w:p w14:paraId="2AC57EF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额定功率：≤500W；</w:t>
      </w:r>
    </w:p>
    <w:p w14:paraId="708B6C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噪音等级：≤65dB；</w:t>
      </w:r>
    </w:p>
    <w:p w14:paraId="40A1775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照度：≥400lux；</w:t>
      </w:r>
    </w:p>
    <w:p w14:paraId="6A9349E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前窗玻璃开口高度：约750mm；</w:t>
      </w:r>
    </w:p>
    <w:p w14:paraId="0FF4BA7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2.10.</w:t>
      </w:r>
      <w:r>
        <w:rPr>
          <w:rFonts w:hint="eastAsia" w:ascii="仿宋" w:hAnsi="仿宋" w:eastAsia="仿宋" w:cs="仿宋"/>
          <w:color w:val="000000" w:themeColor="text1"/>
          <w:sz w:val="24"/>
          <w:szCs w:val="24"/>
          <w:lang w:val="en-US" w:eastAsia="zh-CN"/>
          <w14:textFill>
            <w14:solidFill>
              <w14:schemeClr w14:val="tx1"/>
            </w14:solidFill>
          </w14:textFill>
        </w:rPr>
        <w:t>LED日光灯功率：16W；</w:t>
      </w:r>
    </w:p>
    <w:p w14:paraId="17AA445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2.11.</w:t>
      </w:r>
      <w:r>
        <w:rPr>
          <w:rFonts w:hint="eastAsia" w:ascii="仿宋" w:hAnsi="仿宋" w:eastAsia="仿宋" w:cs="仿宋"/>
          <w:color w:val="000000" w:themeColor="text1"/>
          <w:sz w:val="24"/>
          <w:szCs w:val="24"/>
          <w:lang w:val="en-US" w:eastAsia="zh-CN"/>
          <w14:textFill>
            <w14:solidFill>
              <w14:schemeClr w14:val="tx1"/>
            </w14:solidFill>
          </w14:textFill>
        </w:rPr>
        <w:t>风机型号：PP离心风机；</w:t>
      </w:r>
    </w:p>
    <w:p w14:paraId="1C33226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2.12.</w:t>
      </w:r>
      <w:r>
        <w:rPr>
          <w:rFonts w:hint="eastAsia" w:ascii="仿宋" w:hAnsi="仿宋" w:eastAsia="仿宋" w:cs="仿宋"/>
          <w:color w:val="000000" w:themeColor="text1"/>
          <w:sz w:val="24"/>
          <w:szCs w:val="24"/>
          <w:lang w:val="en-US" w:eastAsia="zh-CN"/>
          <w14:textFill>
            <w14:solidFill>
              <w14:schemeClr w14:val="tx1"/>
            </w14:solidFill>
          </w14:textFill>
        </w:rPr>
        <w:t>使用人数：2-3人。</w:t>
      </w:r>
    </w:p>
    <w:p w14:paraId="1FD7C073">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14）手工染色通风柜</w:t>
      </w:r>
      <w:bookmarkEnd w:id="67"/>
    </w:p>
    <w:p w14:paraId="583D8F6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在化学实验室中，实验操作时会产生各种有害有味气体、臭气、湿气以及腐蚀性物质，为了保护使用者安全，防止实验中的污染物质向实验室扩散，在污染源附近要使用通风柜。</w:t>
      </w:r>
    </w:p>
    <w:p w14:paraId="7ACF605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.结构</w:t>
      </w:r>
    </w:p>
    <w:p w14:paraId="3C8F09C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通风柜外壳采用1.0mm冷轧钢板经防锈处理，静电喷涂。</w:t>
      </w:r>
    </w:p>
    <w:p w14:paraId="75F3DF7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通风柜操作区采用抗倍特板，具有较高的防酸碱性；台面板采用实心理化板，能够拆卸便于清理。</w:t>
      </w:r>
    </w:p>
    <w:p w14:paraId="0304396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通风柜前视窗为手动视窗，可以在行程范围内的任意高度停止。</w:t>
      </w:r>
    </w:p>
    <w:p w14:paraId="0C62749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通风柜前视窗玻璃是5mm厚钢化玻璃。</w:t>
      </w:r>
    </w:p>
    <w:p w14:paraId="295825B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通风柜控制面板采用轻触式开关，集通风柜电源键、风机键、风机调速键、插座键、</w:t>
      </w: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日光灯键于一身，搭配LED三位数码显示屏，显示风机档位。</w:t>
      </w:r>
    </w:p>
    <w:p w14:paraId="39E66FE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通风柜电控系统具有防过载、防触电等功能。</w:t>
      </w:r>
    </w:p>
    <w:p w14:paraId="3787EB9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通风柜插座采用实验室专用安全产品，带透明防溅盖。</w:t>
      </w:r>
    </w:p>
    <w:p w14:paraId="59954F8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通风柜配置底柜，底柜采用1.0mm冷轧钢板经防锈处理，静电喷涂，具有较好的光</w:t>
      </w:r>
      <w:r>
        <w:rPr>
          <w:rFonts w:hint="default" w:ascii="仿宋" w:hAnsi="仿宋" w:eastAsia="仿宋" w:cs="仿宋"/>
          <w:color w:val="000000" w:themeColor="text1"/>
          <w:sz w:val="24"/>
          <w:szCs w:val="24"/>
          <w:lang w:val="en-US" w:eastAsia="zh-CN"/>
          <w14:textFill>
            <w14:solidFill>
              <w14:schemeClr w14:val="tx1"/>
            </w14:solidFill>
          </w14:textFill>
        </w:rPr>
        <w:t>1.10.</w:t>
      </w:r>
      <w:r>
        <w:rPr>
          <w:rFonts w:hint="eastAsia" w:ascii="仿宋" w:hAnsi="仿宋" w:eastAsia="仿宋" w:cs="仿宋"/>
          <w:color w:val="000000" w:themeColor="text1"/>
          <w:sz w:val="24"/>
          <w:szCs w:val="24"/>
          <w:lang w:val="en-US" w:eastAsia="zh-CN"/>
          <w14:textFill>
            <w14:solidFill>
              <w14:schemeClr w14:val="tx1"/>
            </w14:solidFill>
          </w14:textFill>
        </w:rPr>
        <w:t>洁度与耐腐蚀性；底柜内空尺寸约1660*480*730mm（L×D×H）。</w:t>
      </w:r>
    </w:p>
    <w:p w14:paraId="0BB2D87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1.11.</w:t>
      </w:r>
      <w:r>
        <w:rPr>
          <w:rFonts w:hint="eastAsia" w:ascii="仿宋" w:hAnsi="仿宋" w:eastAsia="仿宋" w:cs="仿宋"/>
          <w:color w:val="000000" w:themeColor="text1"/>
          <w:sz w:val="24"/>
          <w:szCs w:val="24"/>
          <w:lang w:val="en-US" w:eastAsia="zh-CN"/>
          <w14:textFill>
            <w14:solidFill>
              <w14:schemeClr w14:val="tx1"/>
            </w14:solidFill>
          </w14:textFill>
        </w:rPr>
        <w:t>通风柜配置壁式供水装置、供水流量控制阀、实验室水槽，方便实验进行。</w:t>
      </w:r>
    </w:p>
    <w:p w14:paraId="102FDFE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1.12.</w:t>
      </w:r>
      <w:r>
        <w:rPr>
          <w:rFonts w:hint="eastAsia" w:ascii="仿宋" w:hAnsi="仿宋" w:eastAsia="仿宋" w:cs="仿宋"/>
          <w:color w:val="000000" w:themeColor="text1"/>
          <w:sz w:val="24"/>
          <w:szCs w:val="24"/>
          <w:lang w:val="en-US" w:eastAsia="zh-CN"/>
          <w14:textFill>
            <w14:solidFill>
              <w14:schemeClr w14:val="tx1"/>
            </w14:solidFill>
          </w14:textFill>
        </w:rPr>
        <w:t>通风柜内置PP离心风机。</w:t>
      </w:r>
    </w:p>
    <w:p w14:paraId="04AFC2F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通风柜具有断电记忆功能，即当遇到突然断电后，再次通电可保持断电前的工作状态，方便实验操作。</w:t>
      </w:r>
    </w:p>
    <w:p w14:paraId="6BD0B52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582ABC7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外部尺寸≥（L×D×H）1800mm×850mm×2350mm；（尺寸可根据要求订制修改）</w:t>
      </w:r>
    </w:p>
    <w:p w14:paraId="2EACC75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内部尺寸≥（L×D×H）1500mm×600mm×820mm。</w:t>
      </w:r>
    </w:p>
    <w:p w14:paraId="7D8FFB7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台面板到地面高度：约850mm；</w:t>
      </w:r>
    </w:p>
    <w:p w14:paraId="4CA2B4B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吸入口风速：0.3～0.8m/s；</w:t>
      </w:r>
    </w:p>
    <w:p w14:paraId="0EC247C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系统排风量：≥1140m³/h；</w:t>
      </w:r>
    </w:p>
    <w:p w14:paraId="0B5E444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额定功率：≤500W；</w:t>
      </w:r>
    </w:p>
    <w:p w14:paraId="24B0DFD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噪音等级：≤65dB（A）；</w:t>
      </w:r>
    </w:p>
    <w:p w14:paraId="5D09278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照度：≥400lux；</w:t>
      </w:r>
    </w:p>
    <w:p w14:paraId="0FE2371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前窗玻璃开口高度：约750mm；</w:t>
      </w:r>
    </w:p>
    <w:p w14:paraId="7D1A2D6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2.10.</w:t>
      </w:r>
      <w:r>
        <w:rPr>
          <w:rFonts w:hint="eastAsia" w:ascii="仿宋" w:hAnsi="仿宋" w:eastAsia="仿宋" w:cs="仿宋"/>
          <w:color w:val="000000" w:themeColor="text1"/>
          <w:sz w:val="24"/>
          <w:szCs w:val="24"/>
          <w:lang w:val="en-US" w:eastAsia="zh-CN"/>
          <w14:textFill>
            <w14:solidFill>
              <w14:schemeClr w14:val="tx1"/>
            </w14:solidFill>
          </w14:textFill>
        </w:rPr>
        <w:t>LED日光灯功率：16W；</w:t>
      </w:r>
    </w:p>
    <w:p w14:paraId="3BACC24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2.11.</w:t>
      </w:r>
      <w:r>
        <w:rPr>
          <w:rFonts w:hint="eastAsia" w:ascii="仿宋" w:hAnsi="仿宋" w:eastAsia="仿宋" w:cs="仿宋"/>
          <w:color w:val="000000" w:themeColor="text1"/>
          <w:sz w:val="24"/>
          <w:szCs w:val="24"/>
          <w:lang w:val="en-US" w:eastAsia="zh-CN"/>
          <w14:textFill>
            <w14:solidFill>
              <w14:schemeClr w14:val="tx1"/>
            </w14:solidFill>
          </w14:textFill>
        </w:rPr>
        <w:t>风机：PP离心风机；</w:t>
      </w:r>
    </w:p>
    <w:p w14:paraId="7E56F81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2.12.</w:t>
      </w:r>
      <w:r>
        <w:rPr>
          <w:rFonts w:hint="eastAsia" w:ascii="仿宋" w:hAnsi="仿宋" w:eastAsia="仿宋" w:cs="仿宋"/>
          <w:color w:val="000000" w:themeColor="text1"/>
          <w:sz w:val="24"/>
          <w:szCs w:val="24"/>
          <w:lang w:val="en-US" w:eastAsia="zh-CN"/>
          <w14:textFill>
            <w14:solidFill>
              <w14:schemeClr w14:val="tx1"/>
            </w14:solidFill>
          </w14:textFill>
        </w:rPr>
        <w:t>使用人数：2-3人；</w:t>
      </w:r>
    </w:p>
    <w:p w14:paraId="185641EB">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68" w:name="_Toc13086"/>
      <w:r>
        <w:rPr>
          <w:rFonts w:hint="eastAsia" w:ascii="仿宋" w:hAnsi="仿宋" w:eastAsia="仿宋" w:cs="仿宋"/>
          <w:b/>
          <w:bCs/>
          <w:color w:val="000000" w:themeColor="text1"/>
          <w:sz w:val="28"/>
          <w:szCs w:val="28"/>
          <w:lang w:val="en-US" w:eastAsia="zh-CN"/>
          <w14:textFill>
            <w14:solidFill>
              <w14:schemeClr w14:val="tx1"/>
            </w14:solidFill>
          </w14:textFill>
        </w:rPr>
        <w:t>15）冰冻切片机</w:t>
      </w:r>
      <w:bookmarkEnd w:id="68"/>
    </w:p>
    <w:p w14:paraId="3047FF0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69" w:name="_Toc29358"/>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冷冻室控温范围：0℃- -60℃；</w:t>
      </w:r>
    </w:p>
    <w:p w14:paraId="633E965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冷冻台控温范围：0℃- -55℃；</w:t>
      </w:r>
    </w:p>
    <w:p w14:paraId="7A8046E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样本夹头控温范围：0℃--60℃；</w:t>
      </w:r>
    </w:p>
    <w:p w14:paraId="3108ACC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冷冻台附加半导体制冷温度可达：-65℃；</w:t>
      </w:r>
    </w:p>
    <w:p w14:paraId="52027BB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无霜冷冻台样本冷冻点位：≥27个；</w:t>
      </w:r>
    </w:p>
    <w:p w14:paraId="2037EE7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冷冻台附加半导体制冷点位：≥6个；</w:t>
      </w:r>
    </w:p>
    <w:p w14:paraId="0D81259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半导体快速制冷工作时间：≤15分钟；</w:t>
      </w:r>
    </w:p>
    <w:p w14:paraId="1CE0416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最大切片标本尺寸：55mm×80mm；</w:t>
      </w:r>
    </w:p>
    <w:p w14:paraId="1C0D523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标本垂直运动行程：≥65mm（可切超大样本）；</w:t>
      </w:r>
    </w:p>
    <w:p w14:paraId="004012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标本水平运动行程：≥22mm；</w:t>
      </w:r>
    </w:p>
    <w:p w14:paraId="65AE09D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电动粗进速度2档：0.9mm/s、0.45mm/s；</w:t>
      </w:r>
    </w:p>
    <w:p w14:paraId="24AA730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样本夹头一键操作功能；</w:t>
      </w:r>
    </w:p>
    <w:p w14:paraId="13524A1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宽窄刀片可互换配置，方便不同组织切片；</w:t>
      </w:r>
    </w:p>
    <w:p w14:paraId="3597389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消毒方式：UV紫外线；</w:t>
      </w:r>
    </w:p>
    <w:p w14:paraId="47428B1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切片厚度:0.5μm-100μm可调，其中0.5μm-5μm增量值0.5μm；5μm-20μm增量值1μm；20μm-50μm增量值2μm；50μm-100μm增量值5μm；</w:t>
      </w:r>
    </w:p>
    <w:p w14:paraId="4E4AE0D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修片厚度:0μm-600μm可调，其中0μm-50μm增量值5μm；50μm-100μm增量值10μm；100μm-600μm增量值50μm；</w:t>
      </w:r>
    </w:p>
    <w:p w14:paraId="1D3862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标本回缩值:0-60μm可调，增量值2μm；</w:t>
      </w:r>
    </w:p>
    <w:p w14:paraId="2BEF7B4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≥10英寸彩色液晶触摸显示屏，可分别显示切片总数量和切片总厚度、切片厚度、标本回缩值、温度控制及日期、时间、温度、定时休眠开关机、手动及自动除霜等功能；</w:t>
      </w:r>
    </w:p>
    <w:p w14:paraId="742BE3D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≥10英寸彩色液晶触摸显示屏，设置汉语和英语操作界面转换模式；</w:t>
      </w:r>
    </w:p>
    <w:p w14:paraId="114DE6C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人性化休眠功能:在选择休眠状态后，冷冻室温度可自动控制在-5至-15℃之间，取消休眠后，可以在15分钟内达到切片温度；</w:t>
      </w:r>
    </w:p>
    <w:p w14:paraId="05CC133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样本夹头行进到极限位置，自动回到起始位置功能；</w:t>
      </w:r>
    </w:p>
    <w:p w14:paraId="4A75D9E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温度传感器自检功能，可自动检测传感器工作状态；</w:t>
      </w:r>
    </w:p>
    <w:p w14:paraId="0F4D2D3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刀架配蓝色刀片推进器及护刀杆覆盖刀片全长，安全保护使用者；</w:t>
      </w:r>
    </w:p>
    <w:p w14:paraId="3D6C84B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多种彩色组织托盘，易于区分不同组织；</w:t>
      </w:r>
    </w:p>
    <w:p w14:paraId="43DF7FC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配备橡胶器械架及废物盒；</w:t>
      </w:r>
    </w:p>
    <w:p w14:paraId="6F87E2C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配置：X轴360°.Y轴12°万向旋转卡扣式组织夹头；</w:t>
      </w:r>
    </w:p>
    <w:p w14:paraId="276EB0C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防粘组织压平器加入制冷，温度可达-50°；</w:t>
      </w:r>
    </w:p>
    <w:p w14:paraId="13D595D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单层加热玻璃视窗，有效防止水雾凝结；</w:t>
      </w:r>
    </w:p>
    <w:p w14:paraId="0A406AC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手轮定位360°任意点锁紧功能；</w:t>
      </w:r>
    </w:p>
    <w:p w14:paraId="70D09105">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16）全自动免疫组化染色机</w:t>
      </w:r>
      <w:bookmarkEnd w:id="69"/>
    </w:p>
    <w:p w14:paraId="3AD0D13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处理方式：单架批处理，四架独立运行；</w:t>
      </w:r>
    </w:p>
    <w:p w14:paraId="45CBAE0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功能：脱蜡，修复，清洗，一抗/二抗滴加，DAB现配现用，试剂冷藏，温控；</w:t>
      </w:r>
    </w:p>
    <w:p w14:paraId="2698106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通量：≥30个玻片；</w:t>
      </w:r>
    </w:p>
    <w:p w14:paraId="78B9919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速度：48片≤3.5小时；</w:t>
      </w:r>
    </w:p>
    <w:p w14:paraId="6A660B1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样本类型：组织/富集细胞标本；</w:t>
      </w:r>
    </w:p>
    <w:p w14:paraId="13E2288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试剂位：44个；</w:t>
      </w:r>
    </w:p>
    <w:p w14:paraId="21AFDE8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试剂瓶容量：15ml；</w:t>
      </w:r>
    </w:p>
    <w:p w14:paraId="5E72783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条码管理：试剂一维码、标本二维码；</w:t>
      </w:r>
    </w:p>
    <w:p w14:paraId="553E435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移液方式：钢针，空气交换，电容感应液面，封闭计数；</w:t>
      </w:r>
    </w:p>
    <w:p w14:paraId="145DC23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系统液：无毒废液（10L）、有毒废液、清洗液、纯水、修复液、二甲苯、100%乙醇、30%双氧水；</w:t>
      </w:r>
    </w:p>
    <w:p w14:paraId="31EA85F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修复功能：枸橼酸缓冲液或其他修复液，90-100℃带液加热；修复液需特殊处理；</w:t>
      </w:r>
    </w:p>
    <w:p w14:paraId="68CB66C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升温和降温时间：从25℃升温到95℃，≤10min；从95℃降温到30℃，≤15min；</w:t>
      </w:r>
    </w:p>
    <w:p w14:paraId="319FFDF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温控精度：95℃±4℃；</w:t>
      </w:r>
    </w:p>
    <w:p w14:paraId="1CE36D4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试剂制冷：8-15℃，波动±2℃；</w:t>
      </w:r>
    </w:p>
    <w:p w14:paraId="626844D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反应温育：30-50℃可调，波动±2℃；</w:t>
      </w:r>
    </w:p>
    <w:p w14:paraId="161D6A7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液体覆盖：特殊虹吸；</w:t>
      </w:r>
    </w:p>
    <w:p w14:paraId="7B68474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清洗方式：特殊虹吸；</w:t>
      </w:r>
    </w:p>
    <w:p w14:paraId="1CAC5F6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移液精度：30ulC.V≤5%；</w:t>
      </w:r>
    </w:p>
    <w:p w14:paraId="5E0A920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移液范围：30ul-500ul，递进10ul；</w:t>
      </w:r>
    </w:p>
    <w:p w14:paraId="404FBF6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加量控制在≤150ul；</w:t>
      </w:r>
    </w:p>
    <w:p w14:paraId="2BFA8A0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功能：抽打混匀、试剂随配随用、开关机自检、实验流程可编辑；</w:t>
      </w:r>
    </w:p>
    <w:p w14:paraId="5F2B433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接口：CAN通讯；</w:t>
      </w:r>
    </w:p>
    <w:p w14:paraId="34F11D1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外置：电脑、打印机；</w:t>
      </w:r>
    </w:p>
    <w:p w14:paraId="2DB8573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盖玻片和试剂瓶定制，作为耗材供应。</w:t>
      </w:r>
      <w:bookmarkStart w:id="70" w:name="_Toc21747"/>
    </w:p>
    <w:p w14:paraId="421BC1B0">
      <w:pPr>
        <w:keepNext w:val="0"/>
        <w:keepLines w:val="0"/>
        <w:pageBreakBefore w:val="0"/>
        <w:kinsoku/>
        <w:wordWrap/>
        <w:overflowPunct/>
        <w:topLinePunct w:val="0"/>
        <w:bidi w:val="0"/>
        <w:spacing w:line="264" w:lineRule="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17）数字扫描</w:t>
      </w:r>
    </w:p>
    <w:bookmarkEnd w:id="70"/>
    <w:p w14:paraId="04EDDCA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bookmarkStart w:id="71" w:name="_Toc27715"/>
      <w:r>
        <w:rPr>
          <w:rFonts w:hint="eastAsia" w:ascii="仿宋" w:hAnsi="仿宋" w:eastAsia="仿宋" w:cs="仿宋"/>
          <w:color w:val="000000" w:themeColor="text1"/>
          <w:sz w:val="24"/>
          <w:szCs w:val="24"/>
          <w:lang w:val="en-US" w:eastAsia="zh-CN"/>
          <w14:textFill>
            <w14:solidFill>
              <w14:schemeClr w14:val="tx1"/>
            </w14:solidFill>
          </w14:textFill>
        </w:rPr>
        <w:t>数字扫描配置</w:t>
      </w:r>
    </w:p>
    <w:tbl>
      <w:tblPr>
        <w:tblStyle w:val="23"/>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496"/>
        <w:gridCol w:w="1437"/>
        <w:gridCol w:w="1437"/>
        <w:gridCol w:w="2382"/>
      </w:tblGrid>
      <w:tr w14:paraId="25DF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68D7A0A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序号</w:t>
            </w:r>
          </w:p>
        </w:tc>
        <w:tc>
          <w:tcPr>
            <w:tcW w:w="2496" w:type="dxa"/>
            <w:tcBorders>
              <w:tl2br w:val="nil"/>
              <w:tr2bl w:val="nil"/>
            </w:tcBorders>
            <w:noWrap w:val="0"/>
            <w:vAlign w:val="center"/>
          </w:tcPr>
          <w:p w14:paraId="3488F50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产品名称</w:t>
            </w:r>
          </w:p>
        </w:tc>
        <w:tc>
          <w:tcPr>
            <w:tcW w:w="1437" w:type="dxa"/>
            <w:tcBorders>
              <w:tl2br w:val="nil"/>
              <w:tr2bl w:val="nil"/>
            </w:tcBorders>
            <w:noWrap w:val="0"/>
            <w:vAlign w:val="center"/>
          </w:tcPr>
          <w:p w14:paraId="17E4A0C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单位</w:t>
            </w:r>
          </w:p>
        </w:tc>
        <w:tc>
          <w:tcPr>
            <w:tcW w:w="1437" w:type="dxa"/>
            <w:tcBorders>
              <w:tl2br w:val="nil"/>
              <w:tr2bl w:val="nil"/>
            </w:tcBorders>
            <w:noWrap w:val="0"/>
            <w:vAlign w:val="center"/>
          </w:tcPr>
          <w:p w14:paraId="7D06489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数量</w:t>
            </w:r>
          </w:p>
        </w:tc>
        <w:tc>
          <w:tcPr>
            <w:tcW w:w="2382" w:type="dxa"/>
            <w:tcBorders>
              <w:tl2br w:val="nil"/>
              <w:tr2bl w:val="nil"/>
            </w:tcBorders>
            <w:noWrap w:val="0"/>
            <w:vAlign w:val="center"/>
          </w:tcPr>
          <w:p w14:paraId="3F83998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备注</w:t>
            </w:r>
          </w:p>
        </w:tc>
      </w:tr>
      <w:tr w14:paraId="0987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37A25AD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p>
        </w:tc>
        <w:tc>
          <w:tcPr>
            <w:tcW w:w="2496" w:type="dxa"/>
            <w:tcBorders>
              <w:tl2br w:val="nil"/>
              <w:tr2bl w:val="nil"/>
            </w:tcBorders>
            <w:noWrap w:val="0"/>
            <w:vAlign w:val="center"/>
          </w:tcPr>
          <w:p w14:paraId="44501EE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玻片扫描影像系统</w:t>
            </w:r>
          </w:p>
        </w:tc>
        <w:tc>
          <w:tcPr>
            <w:tcW w:w="1437" w:type="dxa"/>
            <w:tcBorders>
              <w:tl2br w:val="nil"/>
              <w:tr2bl w:val="nil"/>
            </w:tcBorders>
            <w:noWrap w:val="0"/>
            <w:vAlign w:val="center"/>
          </w:tcPr>
          <w:p w14:paraId="06F3B1A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台</w:t>
            </w:r>
          </w:p>
        </w:tc>
        <w:tc>
          <w:tcPr>
            <w:tcW w:w="1437" w:type="dxa"/>
            <w:tcBorders>
              <w:tl2br w:val="nil"/>
              <w:tr2bl w:val="nil"/>
            </w:tcBorders>
            <w:noWrap w:val="0"/>
            <w:vAlign w:val="center"/>
          </w:tcPr>
          <w:p w14:paraId="64DE3AC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p>
        </w:tc>
        <w:tc>
          <w:tcPr>
            <w:tcW w:w="2382" w:type="dxa"/>
            <w:tcBorders>
              <w:tl2br w:val="nil"/>
              <w:tr2bl w:val="nil"/>
            </w:tcBorders>
            <w:noWrap w:val="0"/>
            <w:vAlign w:val="center"/>
          </w:tcPr>
          <w:p w14:paraId="1D526E2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6972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5D1950D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p>
        </w:tc>
        <w:tc>
          <w:tcPr>
            <w:tcW w:w="2496" w:type="dxa"/>
            <w:tcBorders>
              <w:tl2br w:val="nil"/>
              <w:tr2bl w:val="nil"/>
            </w:tcBorders>
            <w:noWrap w:val="0"/>
            <w:vAlign w:val="center"/>
          </w:tcPr>
          <w:p w14:paraId="79A0DDD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电脑主机</w:t>
            </w:r>
          </w:p>
        </w:tc>
        <w:tc>
          <w:tcPr>
            <w:tcW w:w="1437" w:type="dxa"/>
            <w:tcBorders>
              <w:tl2br w:val="nil"/>
              <w:tr2bl w:val="nil"/>
            </w:tcBorders>
            <w:noWrap w:val="0"/>
            <w:vAlign w:val="center"/>
          </w:tcPr>
          <w:p w14:paraId="29DB05F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台</w:t>
            </w:r>
          </w:p>
        </w:tc>
        <w:tc>
          <w:tcPr>
            <w:tcW w:w="1437" w:type="dxa"/>
            <w:tcBorders>
              <w:tl2br w:val="nil"/>
              <w:tr2bl w:val="nil"/>
            </w:tcBorders>
            <w:noWrap w:val="0"/>
            <w:vAlign w:val="center"/>
          </w:tcPr>
          <w:p w14:paraId="402478E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p>
        </w:tc>
        <w:tc>
          <w:tcPr>
            <w:tcW w:w="2382" w:type="dxa"/>
            <w:tcBorders>
              <w:tl2br w:val="nil"/>
              <w:tr2bl w:val="nil"/>
            </w:tcBorders>
            <w:noWrap w:val="0"/>
            <w:vAlign w:val="center"/>
          </w:tcPr>
          <w:p w14:paraId="2A1A817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5CDF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1281B06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p>
        </w:tc>
        <w:tc>
          <w:tcPr>
            <w:tcW w:w="2496" w:type="dxa"/>
            <w:tcBorders>
              <w:tl2br w:val="nil"/>
              <w:tr2bl w:val="nil"/>
            </w:tcBorders>
            <w:noWrap w:val="0"/>
            <w:vAlign w:val="center"/>
          </w:tcPr>
          <w:p w14:paraId="1B63951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电脑显示器</w:t>
            </w:r>
          </w:p>
        </w:tc>
        <w:tc>
          <w:tcPr>
            <w:tcW w:w="1437" w:type="dxa"/>
            <w:tcBorders>
              <w:tl2br w:val="nil"/>
              <w:tr2bl w:val="nil"/>
            </w:tcBorders>
            <w:noWrap w:val="0"/>
            <w:vAlign w:val="center"/>
          </w:tcPr>
          <w:p w14:paraId="50FE407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个</w:t>
            </w:r>
          </w:p>
        </w:tc>
        <w:tc>
          <w:tcPr>
            <w:tcW w:w="1437" w:type="dxa"/>
            <w:tcBorders>
              <w:tl2br w:val="nil"/>
              <w:tr2bl w:val="nil"/>
            </w:tcBorders>
            <w:noWrap w:val="0"/>
            <w:vAlign w:val="center"/>
          </w:tcPr>
          <w:p w14:paraId="5533745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p>
        </w:tc>
        <w:tc>
          <w:tcPr>
            <w:tcW w:w="2382" w:type="dxa"/>
            <w:tcBorders>
              <w:tl2br w:val="nil"/>
              <w:tr2bl w:val="nil"/>
            </w:tcBorders>
            <w:noWrap w:val="0"/>
            <w:vAlign w:val="center"/>
          </w:tcPr>
          <w:p w14:paraId="38581AE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79E9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3F65C7A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p>
        </w:tc>
        <w:tc>
          <w:tcPr>
            <w:tcW w:w="2496" w:type="dxa"/>
            <w:tcBorders>
              <w:tl2br w:val="nil"/>
              <w:tr2bl w:val="nil"/>
            </w:tcBorders>
            <w:noWrap w:val="0"/>
            <w:vAlign w:val="center"/>
          </w:tcPr>
          <w:p w14:paraId="0E54BDF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鼠标键盘</w:t>
            </w:r>
          </w:p>
        </w:tc>
        <w:tc>
          <w:tcPr>
            <w:tcW w:w="1437" w:type="dxa"/>
            <w:tcBorders>
              <w:tl2br w:val="nil"/>
              <w:tr2bl w:val="nil"/>
            </w:tcBorders>
            <w:noWrap w:val="0"/>
            <w:vAlign w:val="center"/>
          </w:tcPr>
          <w:p w14:paraId="02F0E59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套</w:t>
            </w:r>
          </w:p>
        </w:tc>
        <w:tc>
          <w:tcPr>
            <w:tcW w:w="1437" w:type="dxa"/>
            <w:tcBorders>
              <w:tl2br w:val="nil"/>
              <w:tr2bl w:val="nil"/>
            </w:tcBorders>
            <w:noWrap w:val="0"/>
            <w:vAlign w:val="center"/>
          </w:tcPr>
          <w:p w14:paraId="3A95104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p>
        </w:tc>
        <w:tc>
          <w:tcPr>
            <w:tcW w:w="2382" w:type="dxa"/>
            <w:tcBorders>
              <w:tl2br w:val="nil"/>
              <w:tr2bl w:val="nil"/>
            </w:tcBorders>
            <w:noWrap w:val="0"/>
            <w:vAlign w:val="center"/>
          </w:tcPr>
          <w:p w14:paraId="700557A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2FC1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37D113A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w:t>
            </w:r>
          </w:p>
        </w:tc>
        <w:tc>
          <w:tcPr>
            <w:tcW w:w="2496" w:type="dxa"/>
            <w:tcBorders>
              <w:tl2br w:val="nil"/>
              <w:tr2bl w:val="nil"/>
            </w:tcBorders>
            <w:noWrap w:val="0"/>
            <w:vAlign w:val="center"/>
          </w:tcPr>
          <w:p w14:paraId="0BD4F74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电源线</w:t>
            </w:r>
          </w:p>
        </w:tc>
        <w:tc>
          <w:tcPr>
            <w:tcW w:w="1437" w:type="dxa"/>
            <w:tcBorders>
              <w:tl2br w:val="nil"/>
              <w:tr2bl w:val="nil"/>
            </w:tcBorders>
            <w:noWrap w:val="0"/>
            <w:vAlign w:val="center"/>
          </w:tcPr>
          <w:p w14:paraId="7D985D4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条</w:t>
            </w:r>
          </w:p>
        </w:tc>
        <w:tc>
          <w:tcPr>
            <w:tcW w:w="1437" w:type="dxa"/>
            <w:tcBorders>
              <w:tl2br w:val="nil"/>
              <w:tr2bl w:val="nil"/>
            </w:tcBorders>
            <w:noWrap w:val="0"/>
            <w:vAlign w:val="center"/>
          </w:tcPr>
          <w:p w14:paraId="090C3CE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p>
        </w:tc>
        <w:tc>
          <w:tcPr>
            <w:tcW w:w="2382" w:type="dxa"/>
            <w:tcBorders>
              <w:tl2br w:val="nil"/>
              <w:tr2bl w:val="nil"/>
            </w:tcBorders>
            <w:noWrap w:val="0"/>
            <w:vAlign w:val="center"/>
          </w:tcPr>
          <w:p w14:paraId="5CA6999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5BEA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5F0DB77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w:t>
            </w:r>
          </w:p>
        </w:tc>
        <w:tc>
          <w:tcPr>
            <w:tcW w:w="2496" w:type="dxa"/>
            <w:tcBorders>
              <w:tl2br w:val="nil"/>
              <w:tr2bl w:val="nil"/>
            </w:tcBorders>
            <w:noWrap w:val="0"/>
            <w:vAlign w:val="center"/>
          </w:tcPr>
          <w:p w14:paraId="0F6BA38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高清视频线</w:t>
            </w:r>
          </w:p>
        </w:tc>
        <w:tc>
          <w:tcPr>
            <w:tcW w:w="1437" w:type="dxa"/>
            <w:tcBorders>
              <w:tl2br w:val="nil"/>
              <w:tr2bl w:val="nil"/>
            </w:tcBorders>
            <w:noWrap w:val="0"/>
            <w:vAlign w:val="center"/>
          </w:tcPr>
          <w:p w14:paraId="2BA0DC3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条</w:t>
            </w:r>
          </w:p>
        </w:tc>
        <w:tc>
          <w:tcPr>
            <w:tcW w:w="1437" w:type="dxa"/>
            <w:tcBorders>
              <w:tl2br w:val="nil"/>
              <w:tr2bl w:val="nil"/>
            </w:tcBorders>
            <w:noWrap w:val="0"/>
            <w:vAlign w:val="center"/>
          </w:tcPr>
          <w:p w14:paraId="41CDE02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p>
        </w:tc>
        <w:tc>
          <w:tcPr>
            <w:tcW w:w="2382" w:type="dxa"/>
            <w:tcBorders>
              <w:tl2br w:val="nil"/>
              <w:tr2bl w:val="nil"/>
            </w:tcBorders>
            <w:noWrap w:val="0"/>
            <w:vAlign w:val="center"/>
          </w:tcPr>
          <w:p w14:paraId="249031C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5460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3E9A9DA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w:t>
            </w:r>
          </w:p>
        </w:tc>
        <w:tc>
          <w:tcPr>
            <w:tcW w:w="2496" w:type="dxa"/>
            <w:tcBorders>
              <w:tl2br w:val="nil"/>
              <w:tr2bl w:val="nil"/>
            </w:tcBorders>
            <w:noWrap w:val="0"/>
            <w:vAlign w:val="center"/>
          </w:tcPr>
          <w:p w14:paraId="0D2F8A9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样品测试片</w:t>
            </w:r>
          </w:p>
        </w:tc>
        <w:tc>
          <w:tcPr>
            <w:tcW w:w="1437" w:type="dxa"/>
            <w:tcBorders>
              <w:tl2br w:val="nil"/>
              <w:tr2bl w:val="nil"/>
            </w:tcBorders>
            <w:noWrap w:val="0"/>
            <w:vAlign w:val="center"/>
          </w:tcPr>
          <w:p w14:paraId="0778CF5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盒</w:t>
            </w:r>
          </w:p>
        </w:tc>
        <w:tc>
          <w:tcPr>
            <w:tcW w:w="1437" w:type="dxa"/>
            <w:tcBorders>
              <w:tl2br w:val="nil"/>
              <w:tr2bl w:val="nil"/>
            </w:tcBorders>
            <w:noWrap w:val="0"/>
            <w:vAlign w:val="center"/>
          </w:tcPr>
          <w:p w14:paraId="6C4EB24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p>
        </w:tc>
        <w:tc>
          <w:tcPr>
            <w:tcW w:w="2382" w:type="dxa"/>
            <w:tcBorders>
              <w:tl2br w:val="nil"/>
              <w:tr2bl w:val="nil"/>
            </w:tcBorders>
            <w:noWrap w:val="0"/>
            <w:vAlign w:val="center"/>
          </w:tcPr>
          <w:p w14:paraId="6F38C69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5C20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1081C1C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w:t>
            </w:r>
          </w:p>
        </w:tc>
        <w:tc>
          <w:tcPr>
            <w:tcW w:w="2496" w:type="dxa"/>
            <w:tcBorders>
              <w:tl2br w:val="nil"/>
              <w:tr2bl w:val="nil"/>
            </w:tcBorders>
            <w:noWrap w:val="0"/>
            <w:vAlign w:val="center"/>
          </w:tcPr>
          <w:p w14:paraId="2F3F0F9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USB线</w:t>
            </w:r>
          </w:p>
        </w:tc>
        <w:tc>
          <w:tcPr>
            <w:tcW w:w="1437" w:type="dxa"/>
            <w:tcBorders>
              <w:tl2br w:val="nil"/>
              <w:tr2bl w:val="nil"/>
            </w:tcBorders>
            <w:noWrap w:val="0"/>
            <w:vAlign w:val="center"/>
          </w:tcPr>
          <w:p w14:paraId="1546AC6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条</w:t>
            </w:r>
          </w:p>
        </w:tc>
        <w:tc>
          <w:tcPr>
            <w:tcW w:w="1437" w:type="dxa"/>
            <w:tcBorders>
              <w:tl2br w:val="nil"/>
              <w:tr2bl w:val="nil"/>
            </w:tcBorders>
            <w:noWrap w:val="0"/>
            <w:vAlign w:val="center"/>
          </w:tcPr>
          <w:p w14:paraId="04FF208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p>
        </w:tc>
        <w:tc>
          <w:tcPr>
            <w:tcW w:w="2382" w:type="dxa"/>
            <w:tcBorders>
              <w:tl2br w:val="nil"/>
              <w:tr2bl w:val="nil"/>
            </w:tcBorders>
            <w:noWrap w:val="0"/>
            <w:vAlign w:val="center"/>
          </w:tcPr>
          <w:p w14:paraId="34BF6AF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r w14:paraId="2729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tcBorders>
              <w:tl2br w:val="nil"/>
              <w:tr2bl w:val="nil"/>
            </w:tcBorders>
            <w:noWrap w:val="0"/>
            <w:vAlign w:val="center"/>
          </w:tcPr>
          <w:p w14:paraId="7432B33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9</w:t>
            </w:r>
          </w:p>
        </w:tc>
        <w:tc>
          <w:tcPr>
            <w:tcW w:w="2496" w:type="dxa"/>
            <w:tcBorders>
              <w:tl2br w:val="nil"/>
              <w:tr2bl w:val="nil"/>
            </w:tcBorders>
            <w:noWrap w:val="0"/>
            <w:vAlign w:val="center"/>
          </w:tcPr>
          <w:p w14:paraId="2A76C37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片仓</w:t>
            </w:r>
          </w:p>
        </w:tc>
        <w:tc>
          <w:tcPr>
            <w:tcW w:w="1437" w:type="dxa"/>
            <w:tcBorders>
              <w:tl2br w:val="nil"/>
              <w:tr2bl w:val="nil"/>
            </w:tcBorders>
            <w:noWrap w:val="0"/>
            <w:vAlign w:val="center"/>
          </w:tcPr>
          <w:p w14:paraId="664E99B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个</w:t>
            </w:r>
          </w:p>
        </w:tc>
        <w:tc>
          <w:tcPr>
            <w:tcW w:w="1437" w:type="dxa"/>
            <w:tcBorders>
              <w:tl2br w:val="nil"/>
              <w:tr2bl w:val="nil"/>
            </w:tcBorders>
            <w:noWrap w:val="0"/>
            <w:vAlign w:val="center"/>
          </w:tcPr>
          <w:p w14:paraId="218A5C5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2382" w:type="dxa"/>
            <w:tcBorders>
              <w:tl2br w:val="nil"/>
              <w:tr2bl w:val="nil"/>
            </w:tcBorders>
            <w:noWrap w:val="0"/>
            <w:vAlign w:val="center"/>
          </w:tcPr>
          <w:p w14:paraId="2B59DC3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p>
        </w:tc>
      </w:tr>
    </w:tbl>
    <w:p w14:paraId="0ACE3CB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3F9D418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玻片扫描影像系统</w:t>
      </w:r>
      <w:bookmarkEnd w:id="71"/>
      <w:r>
        <w:rPr>
          <w:rFonts w:hint="eastAsia" w:ascii="仿宋" w:hAnsi="仿宋" w:eastAsia="仿宋" w:cs="仿宋"/>
          <w:color w:val="000000" w:themeColor="text1"/>
          <w:sz w:val="24"/>
          <w:szCs w:val="24"/>
          <w:lang w:val="en-US" w:eastAsia="zh-CN"/>
          <w14:textFill>
            <w14:solidFill>
              <w14:schemeClr w14:val="tx1"/>
            </w14:solidFill>
          </w14:textFill>
        </w:rPr>
        <w:t>技术参数表</w:t>
      </w:r>
    </w:p>
    <w:tbl>
      <w:tblPr>
        <w:tblStyle w:val="2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700"/>
      </w:tblGrid>
      <w:tr w14:paraId="720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3" w:type="dxa"/>
            <w:tcBorders>
              <w:tl2br w:val="nil"/>
              <w:tr2bl w:val="nil"/>
            </w:tcBorders>
            <w:noWrap w:val="0"/>
            <w:vAlign w:val="top"/>
          </w:tcPr>
          <w:p w14:paraId="59AD320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名称</w:t>
            </w:r>
          </w:p>
        </w:tc>
        <w:tc>
          <w:tcPr>
            <w:tcW w:w="8700" w:type="dxa"/>
            <w:tcBorders>
              <w:tl2br w:val="nil"/>
              <w:tr2bl w:val="nil"/>
            </w:tcBorders>
            <w:noWrap w:val="0"/>
            <w:vAlign w:val="top"/>
          </w:tcPr>
          <w:p w14:paraId="3416533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参数</w:t>
            </w:r>
          </w:p>
        </w:tc>
      </w:tr>
      <w:tr w14:paraId="03C9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3" w:type="dxa"/>
            <w:tcBorders>
              <w:tl2br w:val="nil"/>
              <w:tr2bl w:val="nil"/>
            </w:tcBorders>
            <w:noWrap w:val="0"/>
            <w:vAlign w:val="top"/>
          </w:tcPr>
          <w:p w14:paraId="4986FEE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6B1ADC4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51ADED4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04EAF83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281C70F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4E069CC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硬件</w:t>
            </w:r>
          </w:p>
        </w:tc>
        <w:tc>
          <w:tcPr>
            <w:tcW w:w="8700" w:type="dxa"/>
            <w:tcBorders>
              <w:tl2br w:val="nil"/>
              <w:tr2bl w:val="nil"/>
            </w:tcBorders>
            <w:noWrap w:val="0"/>
            <w:vAlign w:val="top"/>
          </w:tcPr>
          <w:p w14:paraId="053CC07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1.1扫描系统采用一体化封闭式设计，整体性好，为非显微镜改装和拼凑的产品，且扫描仪与产品涉及到的所有软件均为同一品牌，确保最佳的兼容性及后期的拓展升级;</w:t>
            </w:r>
          </w:p>
          <w:p w14:paraId="36AB1AC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1.2单次装载量：单次装载≥60张玻片，自动加载、卸载切片</w:t>
            </w:r>
          </w:p>
          <w:p w14:paraId="36CFBE4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1.3扫描区域：可自动精准识别有效组织形状，并只沿组织边缘对有效组织部分进行扫描，而非矩形区域扫描，以节约扫描时间及存储空间。要求提供软件操作截图，以备验收核查；</w:t>
            </w:r>
          </w:p>
          <w:p w14:paraId="669FBF2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1.4扫描原理：面阵扫描，保证色彩还原度，不支持其他扫描方式;</w:t>
            </w:r>
          </w:p>
          <w:p w14:paraId="09D8B00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1.5扫描分辨率：20倍物镜，扫描图像分辨率≤0.23μm/pixel； </w:t>
            </w:r>
          </w:p>
          <w:p w14:paraId="4627A3A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1.6扫描速度：扫描15mm×15mm组织区域并满足图像分辨率0.13μm/pixel条件下，扫描时间≤42秒；</w:t>
            </w:r>
          </w:p>
          <w:p w14:paraId="29DE03A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扫描方式：具有单层扫描、多层垒叠扫描、多层融合扫描三种扫描方式，其中多层融合扫描可对组织多层扫描后，将每一层最清楚图像区域融合叠加为一层图像以提高图像质量便于发高水平文章或数字化教学；要求提供软件操作截图，以备验收核查；</w:t>
            </w:r>
          </w:p>
          <w:p w14:paraId="45572F7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1.8物镜：标配高品质平场复消色差物镜20倍，数值孔径N.A.≥0.8；</w:t>
            </w:r>
          </w:p>
          <w:p w14:paraId="1C7948E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1.9扫描相机：面阵相机，原装进口高分辨、高速扫描相机；≥5 MP像素（2448×2048）；帧率</w:t>
            </w:r>
            <w:bookmarkStart w:id="72" w:name="_Hlk26897694"/>
            <w:r>
              <w:rPr>
                <w:rFonts w:hint="eastAsia" w:ascii="仿宋" w:hAnsi="仿宋" w:eastAsia="仿宋" w:cs="仿宋"/>
                <w:color w:val="000000" w:themeColor="text1"/>
                <w:sz w:val="24"/>
                <w:szCs w:val="24"/>
                <w:lang w:val="en-US" w:eastAsia="zh-CN"/>
                <w14:textFill>
                  <w14:solidFill>
                    <w14:schemeClr w14:val="tx1"/>
                  </w14:solidFill>
                </w14:textFill>
              </w:rPr>
              <w:t>≥</w:t>
            </w:r>
            <w:bookmarkEnd w:id="72"/>
            <w:r>
              <w:rPr>
                <w:rFonts w:hint="eastAsia" w:ascii="仿宋" w:hAnsi="仿宋" w:eastAsia="仿宋" w:cs="仿宋"/>
                <w:color w:val="000000" w:themeColor="text1"/>
                <w:sz w:val="24"/>
                <w:szCs w:val="24"/>
                <w:lang w:val="en-US" w:eastAsia="zh-CN"/>
                <w14:textFill>
                  <w14:solidFill>
                    <w14:schemeClr w14:val="tx1"/>
                  </w14:solidFill>
                </w14:textFill>
              </w:rPr>
              <w:t>75 FPS；CMOS传感器；像素尺寸≤3.45um×3.45um ；USB 3.1 Gen1接口；量子效率≥70%；提供所使用相机的说明文件、内部安装照片以备核查；</w:t>
            </w:r>
          </w:p>
          <w:p w14:paraId="26FCA82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1.10扫描过程中采用双片夹工艺专利技术提升效率，降低进出片时耗节省扫描时间；需提供专利证书证明材料，以备验收核查。</w:t>
            </w:r>
          </w:p>
          <w:p w14:paraId="6BFF0FF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1.11高精度水平升降装置：在电机带动物镜高频率升降进行聚焦，采用高精度水平升降装置可以有效矫正水平移动过程中产生的高度误差，获得高清晰的图像。需提供专利证书证明材料，以备验收核查。</w:t>
            </w:r>
          </w:p>
          <w:p w14:paraId="7D686D84">
            <w:pPr>
              <w:keepNext w:val="0"/>
              <w:keepLines w:val="0"/>
              <w:pageBreakBefore w:val="0"/>
              <w:kinsoku/>
              <w:wordWrap/>
              <w:overflowPunct/>
              <w:topLinePunct w:val="0"/>
              <w:bidi w:val="0"/>
              <w:spacing w:line="264" w:lineRule="auto"/>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1.12扫描计算机配置：</w:t>
            </w:r>
            <w:bookmarkStart w:id="73" w:name="_Hlk492972626"/>
            <w:r>
              <w:rPr>
                <w:rFonts w:hint="eastAsia" w:ascii="仿宋" w:hAnsi="仿宋" w:eastAsia="仿宋" w:cs="仿宋"/>
                <w:color w:val="000000" w:themeColor="text1"/>
                <w:sz w:val="24"/>
                <w:szCs w:val="24"/>
                <w:lang w:val="en-US" w:eastAsia="zh-CN"/>
                <w14:textFill>
                  <w14:solidFill>
                    <w14:schemeClr w14:val="tx1"/>
                  </w14:solidFill>
                </w14:textFill>
              </w:rPr>
              <w:t>不低于inter i7处理器，内存≥16G，512GB固态硬盘，机械硬盘:≥2T ,显示器≥25英寸64位Windows Professional 10操作系统。</w:t>
            </w:r>
          </w:p>
          <w:bookmarkEnd w:id="73"/>
          <w:p w14:paraId="0BE432A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tc>
      </w:tr>
      <w:tr w14:paraId="5000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3" w:type="dxa"/>
            <w:tcBorders>
              <w:tl2br w:val="nil"/>
              <w:tr2bl w:val="nil"/>
            </w:tcBorders>
            <w:noWrap w:val="0"/>
            <w:vAlign w:val="top"/>
          </w:tcPr>
          <w:p w14:paraId="249D5C6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35EE5A0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39C2634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441BA55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7AB568B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75A7C97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软件</w:t>
            </w:r>
          </w:p>
        </w:tc>
        <w:tc>
          <w:tcPr>
            <w:tcW w:w="8700" w:type="dxa"/>
            <w:tcBorders>
              <w:tl2br w:val="nil"/>
              <w:tr2bl w:val="nil"/>
            </w:tcBorders>
            <w:noWrap w:val="0"/>
            <w:vAlign w:val="top"/>
          </w:tcPr>
          <w:p w14:paraId="52492A3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1.玻片扫描影像系统软件</w:t>
            </w:r>
          </w:p>
          <w:p w14:paraId="169B52E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1.1一键扫描：自动聚焦、无需提前预览或划定扫描区域；</w:t>
            </w:r>
          </w:p>
          <w:p w14:paraId="3940ABB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 自动跳过空位：激光检测切片位置，自动跳过空位；要求提供实拍内部图片，以备验收核查；</w:t>
            </w:r>
          </w:p>
          <w:p w14:paraId="1B8CB2F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1.3多层垒叠模式：可进行多层垒叠扫描，扫描层数≥40层，层间距范围1-10step，Z轴扫描精度≤0.2μm/ step；要求提供软件操作截图，以备验收核查；</w:t>
            </w:r>
          </w:p>
          <w:p w14:paraId="3D2C3BC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1.4实时预览采图功能：可在扫描进行前预览指定的标本区域，并对预览图像进行单视野采图保存；要求提供软件操作截图，以备验收核查；</w:t>
            </w:r>
          </w:p>
          <w:p w14:paraId="6AC6E1C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1.5条码识别：可自动识别一维和二维码，自动根据条码信息命名切片；自动对玻片标识进行拍照，保存玻片信息；可自动识别不少于以下一维码类型：Code 128，Code 93，EAN 8，EAN 13，UPC-A，Interleaved 2 of 5，Code 39等。</w:t>
            </w:r>
          </w:p>
          <w:p w14:paraId="05E5767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2.数字病理阅片软件</w:t>
            </w:r>
          </w:p>
          <w:p w14:paraId="434258F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zh-CN" w:eastAsia="zh-CN"/>
                <w14:textFill>
                  <w14:solidFill>
                    <w14:schemeClr w14:val="tx1"/>
                  </w14:solidFill>
                </w14:textFill>
              </w:rPr>
              <w:t>图像浏览：支持全视野倍率至80×之间无极变倍或固定倍率缩放、无接缝图像、快速流畅浏览，无卡顿、延迟;</w:t>
            </w:r>
            <w:r>
              <w:rPr>
                <w:rFonts w:hint="eastAsia" w:ascii="仿宋" w:hAnsi="仿宋" w:eastAsia="仿宋" w:cs="仿宋"/>
                <w:color w:val="000000" w:themeColor="text1"/>
                <w:sz w:val="24"/>
                <w:szCs w:val="24"/>
                <w:lang w:val="en-US" w:eastAsia="zh-CN"/>
                <w14:textFill>
                  <w14:solidFill>
                    <w14:schemeClr w14:val="tx1"/>
                  </w14:solidFill>
                </w14:textFill>
              </w:rPr>
              <w:t>要求提供软件操作截图，以备验收核查；</w:t>
            </w:r>
          </w:p>
          <w:p w14:paraId="7F6A5E1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2.2镜像功能：可将图像进行360°旋转，同时实现水平水平翻转，垂直翻转。要求提供软件操作截图，以备验收核查；</w:t>
            </w:r>
          </w:p>
          <w:p w14:paraId="333E01B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2.3截图功能：可选择屏幕分辨率、300dpi、400dpi和600dpi等多种截图模式，以用于发报告或SCI论文；</w:t>
            </w:r>
          </w:p>
          <w:p w14:paraId="0B1F888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 标记功能：可以利用软件在图像上添加圈点、箭头、直线、矩形等标记及文字注释。</w:t>
            </w:r>
          </w:p>
          <w:p w14:paraId="344C849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2.5同屏对比功能：同时显示至少9张图像，可以同时控制这些图像进行操作，比如放大或者缩小，移动位置等，便于同一标本不同染色的对照；</w:t>
            </w:r>
          </w:p>
          <w:p w14:paraId="5BC7408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2.6切片管理：支持对浏览中的文件进行改名，要求提供软件操作截图，以备验收核查；</w:t>
            </w:r>
          </w:p>
        </w:tc>
      </w:tr>
    </w:tbl>
    <w:p w14:paraId="28BE4B6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0C4899AF">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74" w:name="_Toc18920"/>
      <w:r>
        <w:rPr>
          <w:rFonts w:hint="eastAsia" w:ascii="仿宋" w:hAnsi="仿宋" w:eastAsia="仿宋" w:cs="仿宋"/>
          <w:b/>
          <w:bCs/>
          <w:color w:val="000000" w:themeColor="text1"/>
          <w:sz w:val="28"/>
          <w:szCs w:val="28"/>
          <w:lang w:val="en-US" w:eastAsia="zh-CN"/>
          <w14:textFill>
            <w14:solidFill>
              <w14:schemeClr w14:val="tx1"/>
            </w14:solidFill>
          </w14:textFill>
        </w:rPr>
        <w:t>18）病理质控信息管理系统</w:t>
      </w:r>
      <w:bookmarkEnd w:id="74"/>
    </w:p>
    <w:p w14:paraId="43022148">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各工作站信息质控管理软件功能如下：</w:t>
      </w:r>
    </w:p>
    <w:p w14:paraId="564312A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登记工作站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07D343C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标本分库登记，可设置各库的报告时间，组织学支持大小标本分类设置报告期限，系统自动提醒延期的报告。</w:t>
      </w:r>
    </w:p>
    <w:p w14:paraId="79EF644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传染性标本，病例记录黄色提醒，保护医疗人员。</w:t>
      </w:r>
    </w:p>
    <w:p w14:paraId="60ABF1E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记录不合格标本拒收原因。</w:t>
      </w:r>
      <w:r>
        <w:rPr>
          <w:rFonts w:hint="eastAsia" w:ascii="仿宋" w:hAnsi="仿宋" w:eastAsia="仿宋" w:cs="仿宋"/>
          <w:color w:val="000000" w:themeColor="text1"/>
          <w:sz w:val="24"/>
          <w:szCs w:val="24"/>
          <w:lang w:val="en-US" w:eastAsia="zh-CN"/>
          <w14:textFill>
            <w14:solidFill>
              <w14:schemeClr w14:val="tx1"/>
            </w14:solidFill>
          </w14:textFill>
        </w:rPr>
        <w:tab/>
      </w:r>
    </w:p>
    <w:p w14:paraId="59229AD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登记时出现病理号重号有自动提示。</w:t>
      </w:r>
      <w:r>
        <w:rPr>
          <w:rFonts w:hint="eastAsia" w:ascii="仿宋" w:hAnsi="仿宋" w:eastAsia="仿宋" w:cs="仿宋"/>
          <w:color w:val="000000" w:themeColor="text1"/>
          <w:sz w:val="24"/>
          <w:szCs w:val="24"/>
          <w:lang w:val="en-US" w:eastAsia="zh-CN"/>
          <w14:textFill>
            <w14:solidFill>
              <w14:schemeClr w14:val="tx1"/>
            </w14:solidFill>
          </w14:textFill>
        </w:rPr>
        <w:tab/>
      </w:r>
    </w:p>
    <w:p w14:paraId="2ED1AA3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系统自动进行“同名检索”，遇到同名病人能自动提示“其他检查”，并能进一步进行住院号或病人编号的匹配，以准确锁定该病人的历史检查。</w:t>
      </w:r>
    </w:p>
    <w:p w14:paraId="6E9B55F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纸质申请单数字化存储功能，支持自动批量电子化，支持诊断对申请单档案的直接调阅。</w:t>
      </w:r>
    </w:p>
    <w:p w14:paraId="342F610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标签及回执单打印，支持一维及二维码，能够单个或批量打印。</w:t>
      </w:r>
    </w:p>
    <w:p w14:paraId="48ABE0A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各工作站的登记，取材，包埋，切片，诊断，延期，报告，打印主要状态色标颜色提示，用户可自定义提醒颜色。</w:t>
      </w:r>
    </w:p>
    <w:p w14:paraId="4D7972C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大体取材工作站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29DCB7E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系统自动提示所有已登记但尚未取材的病例列表，或是有补取要求的病例列表。</w:t>
      </w:r>
    </w:p>
    <w:p w14:paraId="167D16E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支持申请单条码和标本条码双扫码核对确认后取材。</w:t>
      </w:r>
    </w:p>
    <w:p w14:paraId="3343C5B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取材录入，同部位标本，支持单键点击批量增加记录功能。</w:t>
      </w:r>
    </w:p>
    <w:p w14:paraId="7AD412D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取材时系统自动提示该病例是否做过冰冻，并能查看冰冻结果。多次冰冻有每次的</w:t>
      </w: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接收时间和标本名称，支持同病例多个冰冻结果查看。</w:t>
      </w:r>
    </w:p>
    <w:p w14:paraId="296CE60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取材类别除常规，冰冻外，可自定义其他类别如：转块，快速，尸检，转包等。</w:t>
      </w:r>
    </w:p>
    <w:p w14:paraId="6F1B3CB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进行大体标本照相，通过与取材工作站相连的大体标本拍摄台，图像与病例直接关联保存，大体成像设备具有红外遥控功能，摄像1~16倍可变。</w:t>
      </w:r>
    </w:p>
    <w:p w14:paraId="07C901E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进行取材明细记录，系统自动计算蜡块总数和材块总数。</w:t>
      </w:r>
    </w:p>
    <w:p w14:paraId="28186B0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可以预打印包埋号，具有包埋号打号机接口功能。</w:t>
      </w:r>
    </w:p>
    <w:p w14:paraId="3898571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包埋工作站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006539C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val="en-US" w:eastAsia="zh-CN"/>
          <w14:textFill>
            <w14:solidFill>
              <w14:schemeClr w14:val="tx1"/>
            </w14:solidFill>
          </w14:textFill>
        </w:rPr>
        <w:t>系统自动打开所有已取材但尚未包埋病例的取材明细记录，供技术员在包埋时进行核对。</w:t>
      </w:r>
      <w:r>
        <w:rPr>
          <w:rFonts w:hint="eastAsia" w:ascii="仿宋" w:hAnsi="仿宋" w:eastAsia="仿宋" w:cs="仿宋"/>
          <w:color w:val="000000" w:themeColor="text1"/>
          <w:sz w:val="24"/>
          <w:szCs w:val="24"/>
          <w:lang w:val="en-US" w:eastAsia="zh-CN"/>
          <w14:textFill>
            <w14:solidFill>
              <w14:schemeClr w14:val="tx1"/>
            </w14:solidFill>
          </w14:textFill>
        </w:rPr>
        <w:tab/>
      </w:r>
    </w:p>
    <w:p w14:paraId="3D5BCFF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lang w:val="en-US" w:eastAsia="zh-CN"/>
          <w14:textFill>
            <w14:solidFill>
              <w14:schemeClr w14:val="tx1"/>
            </w14:solidFill>
          </w14:textFill>
        </w:rPr>
        <w:t>待包埋，已包埋记录系统用不同颜色区分。</w:t>
      </w:r>
    </w:p>
    <w:p w14:paraId="18EF71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lang w:val="en-US" w:eastAsia="zh-CN"/>
          <w14:textFill>
            <w14:solidFill>
              <w14:schemeClr w14:val="tx1"/>
            </w14:solidFill>
          </w14:textFill>
        </w:rPr>
        <w:t>支持包埋扫码核对，扫码后记录自动变为已包埋。</w:t>
      </w:r>
    </w:p>
    <w:p w14:paraId="39C08B5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3.4.</w:t>
      </w:r>
      <w:r>
        <w:rPr>
          <w:rFonts w:hint="eastAsia" w:ascii="仿宋" w:hAnsi="仿宋" w:eastAsia="仿宋" w:cs="仿宋"/>
          <w:color w:val="000000" w:themeColor="text1"/>
          <w:sz w:val="24"/>
          <w:szCs w:val="24"/>
          <w:lang w:val="en-US" w:eastAsia="zh-CN"/>
          <w14:textFill>
            <w14:solidFill>
              <w14:schemeClr w14:val="tx1"/>
            </w14:solidFill>
          </w14:textFill>
        </w:rPr>
        <w:t>脱钙记录和非脱钙记录分类查询，支持脱钙记录确认提醒功能。</w:t>
      </w:r>
    </w:p>
    <w:p w14:paraId="0A2102B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3.5.</w:t>
      </w:r>
      <w:r>
        <w:rPr>
          <w:rFonts w:hint="eastAsia" w:ascii="仿宋" w:hAnsi="仿宋" w:eastAsia="仿宋" w:cs="仿宋"/>
          <w:color w:val="000000" w:themeColor="text1"/>
          <w:sz w:val="24"/>
          <w:szCs w:val="24"/>
          <w:lang w:val="en-US" w:eastAsia="zh-CN"/>
          <w14:textFill>
            <w14:solidFill>
              <w14:schemeClr w14:val="tx1"/>
            </w14:solidFill>
          </w14:textFill>
        </w:rPr>
        <w:t>支持包埋记录的打印输出，可打印包埋号码。</w:t>
      </w:r>
    </w:p>
    <w:p w14:paraId="4FA6F7C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3.6.</w:t>
      </w:r>
      <w:r>
        <w:rPr>
          <w:rFonts w:hint="eastAsia" w:ascii="仿宋" w:hAnsi="仿宋" w:eastAsia="仿宋" w:cs="仿宋"/>
          <w:color w:val="000000" w:themeColor="text1"/>
          <w:sz w:val="24"/>
          <w:szCs w:val="24"/>
          <w:lang w:val="en-US" w:eastAsia="zh-CN"/>
          <w14:textFill>
            <w14:solidFill>
              <w14:schemeClr w14:val="tx1"/>
            </w14:solidFill>
          </w14:textFill>
        </w:rPr>
        <w:t>包埋完成后进行确认，病例状态自动变为“已包埋”。</w:t>
      </w:r>
      <w:r>
        <w:rPr>
          <w:rFonts w:hint="eastAsia" w:ascii="仿宋" w:hAnsi="仿宋" w:eastAsia="仿宋" w:cs="仿宋"/>
          <w:color w:val="000000" w:themeColor="text1"/>
          <w:sz w:val="24"/>
          <w:szCs w:val="24"/>
          <w:lang w:val="en-US" w:eastAsia="zh-CN"/>
          <w14:textFill>
            <w14:solidFill>
              <w14:schemeClr w14:val="tx1"/>
            </w14:solidFill>
          </w14:textFill>
        </w:rPr>
        <w:tab/>
      </w:r>
    </w:p>
    <w:p w14:paraId="4E7BD6B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3.7.</w:t>
      </w:r>
      <w:r>
        <w:rPr>
          <w:rFonts w:hint="eastAsia" w:ascii="仿宋" w:hAnsi="仿宋" w:eastAsia="仿宋" w:cs="仿宋"/>
          <w:color w:val="000000" w:themeColor="text1"/>
          <w:sz w:val="24"/>
          <w:szCs w:val="24"/>
          <w:lang w:val="en-US" w:eastAsia="zh-CN"/>
          <w14:textFill>
            <w14:solidFill>
              <w14:schemeClr w14:val="tx1"/>
            </w14:solidFill>
          </w14:textFill>
        </w:rPr>
        <w:t>相关记录可用于技术员工作量统计。</w:t>
      </w:r>
    </w:p>
    <w:p w14:paraId="0380403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3.8.</w:t>
      </w:r>
      <w:r>
        <w:rPr>
          <w:rFonts w:hint="eastAsia" w:ascii="仿宋" w:hAnsi="仿宋" w:eastAsia="仿宋" w:cs="仿宋"/>
          <w:color w:val="000000" w:themeColor="text1"/>
          <w:sz w:val="24"/>
          <w:szCs w:val="24"/>
          <w:lang w:val="en-US" w:eastAsia="zh-CN"/>
          <w14:textFill>
            <w14:solidFill>
              <w14:schemeClr w14:val="tx1"/>
            </w14:solidFill>
          </w14:textFill>
        </w:rPr>
        <w:t>支持自定义录入脱水状况，并统计查询。</w:t>
      </w:r>
    </w:p>
    <w:p w14:paraId="4F66177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切片工作站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6766324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lang w:val="en-US" w:eastAsia="zh-CN"/>
          <w14:textFill>
            <w14:solidFill>
              <w14:schemeClr w14:val="tx1"/>
            </w14:solidFill>
          </w14:textFill>
        </w:rPr>
        <w:t>系统自动提示所有已包埋但尚未制成切片的病例列表，或是有重切、深切要求的病例列表，或是下了免疫组化医嘱需切白片的病例列表。</w:t>
      </w:r>
    </w:p>
    <w:p w14:paraId="0EF04C9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szCs w:val="24"/>
          <w:lang w:val="en-US" w:eastAsia="zh-CN"/>
          <w14:textFill>
            <w14:solidFill>
              <w14:schemeClr w14:val="tx1"/>
            </w14:solidFill>
          </w14:textFill>
        </w:rPr>
        <w:t>医生在报告站开出了重切深切医嘱，切片站可以自动给技术员以提示，以及时处理。</w:t>
      </w:r>
    </w:p>
    <w:p w14:paraId="23E7F82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4.3.</w:t>
      </w:r>
      <w:r>
        <w:rPr>
          <w:rFonts w:hint="eastAsia" w:ascii="仿宋" w:hAnsi="仿宋" w:eastAsia="仿宋" w:cs="仿宋"/>
          <w:color w:val="000000" w:themeColor="text1"/>
          <w:sz w:val="24"/>
          <w:szCs w:val="24"/>
          <w:lang w:val="en-US" w:eastAsia="zh-CN"/>
          <w14:textFill>
            <w14:solidFill>
              <w14:schemeClr w14:val="tx1"/>
            </w14:solidFill>
          </w14:textFill>
        </w:rPr>
        <w:t>按照蜡块包埋情况或重切、深切要求自动生成切片条码标签列表，用户可以进行手工调整。</w:t>
      </w:r>
    </w:p>
    <w:p w14:paraId="4A59605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4.4.</w:t>
      </w:r>
      <w:r>
        <w:rPr>
          <w:rFonts w:hint="eastAsia" w:ascii="仿宋" w:hAnsi="仿宋" w:eastAsia="仿宋" w:cs="仿宋"/>
          <w:color w:val="000000" w:themeColor="text1"/>
          <w:sz w:val="24"/>
          <w:szCs w:val="24"/>
          <w:lang w:val="en-US" w:eastAsia="zh-CN"/>
          <w14:textFill>
            <w14:solidFill>
              <w14:schemeClr w14:val="tx1"/>
            </w14:solidFill>
          </w14:textFill>
        </w:rPr>
        <w:t>支持扫描并核对切片记录。</w:t>
      </w:r>
    </w:p>
    <w:p w14:paraId="588B6B5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4.5.</w:t>
      </w:r>
      <w:r>
        <w:rPr>
          <w:rFonts w:hint="eastAsia" w:ascii="仿宋" w:hAnsi="仿宋" w:eastAsia="仿宋" w:cs="仿宋"/>
          <w:color w:val="000000" w:themeColor="text1"/>
          <w:sz w:val="24"/>
          <w:szCs w:val="24"/>
          <w:lang w:val="en-US" w:eastAsia="zh-CN"/>
          <w14:textFill>
            <w14:solidFill>
              <w14:schemeClr w14:val="tx1"/>
            </w14:solidFill>
          </w14:textFill>
        </w:rPr>
        <w:t>相关记录可用于技术员工作量统计。</w:t>
      </w:r>
    </w:p>
    <w:p w14:paraId="3ECEE26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lang w:val="en-US" w:eastAsia="zh-CN"/>
          <w14:textFill>
            <w14:solidFill>
              <w14:schemeClr w14:val="tx1"/>
            </w14:solidFill>
          </w14:textFill>
        </w:rPr>
        <w:t>切片标签的生成适应切片不合并、自动合并、手工合并等多种情况。</w:t>
      </w:r>
    </w:p>
    <w:p w14:paraId="5F2221E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4.7.</w:t>
      </w:r>
      <w:r>
        <w:rPr>
          <w:rFonts w:hint="eastAsia" w:ascii="仿宋" w:hAnsi="仿宋" w:eastAsia="仿宋" w:cs="仿宋"/>
          <w:color w:val="000000" w:themeColor="text1"/>
          <w:sz w:val="24"/>
          <w:szCs w:val="24"/>
          <w:lang w:val="en-US" w:eastAsia="zh-CN"/>
          <w14:textFill>
            <w14:solidFill>
              <w14:schemeClr w14:val="tx1"/>
            </w14:solidFill>
          </w14:textFill>
        </w:rPr>
        <w:t>对每个病例都产生出切片明细列表，支持单项指标查询，支持按病理号，标记物或列表汇总多种报表格式输出。</w:t>
      </w:r>
    </w:p>
    <w:p w14:paraId="506F68C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4.8.</w:t>
      </w:r>
      <w:r>
        <w:rPr>
          <w:rFonts w:hint="eastAsia" w:ascii="仿宋" w:hAnsi="仿宋" w:eastAsia="仿宋" w:cs="仿宋"/>
          <w:color w:val="000000" w:themeColor="text1"/>
          <w:sz w:val="24"/>
          <w:szCs w:val="24"/>
          <w:lang w:val="en-US" w:eastAsia="zh-CN"/>
          <w14:textFill>
            <w14:solidFill>
              <w14:schemeClr w14:val="tx1"/>
            </w14:solidFill>
          </w14:textFill>
        </w:rPr>
        <w:t>支持切片合并，合并规则支持2，3，4等多蜡块合并为一张玻片。</w:t>
      </w:r>
    </w:p>
    <w:p w14:paraId="21E9A74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lang w:val="en-US" w:eastAsia="zh-CN"/>
          <w14:textFill>
            <w14:solidFill>
              <w14:schemeClr w14:val="tx1"/>
            </w14:solidFill>
          </w14:textFill>
        </w:rPr>
        <w:t>支持单个或批量自定义增加切片记录。</w:t>
      </w:r>
    </w:p>
    <w:p w14:paraId="4EBD8C3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特检工作站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4E995FB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5.1</w:t>
      </w:r>
      <w:r>
        <w:rPr>
          <w:rFonts w:hint="eastAsia" w:ascii="仿宋" w:hAnsi="仿宋" w:eastAsia="仿宋" w:cs="仿宋"/>
          <w:color w:val="000000" w:themeColor="text1"/>
          <w:sz w:val="24"/>
          <w:szCs w:val="24"/>
          <w:lang w:val="en-US" w:eastAsia="zh-CN"/>
          <w14:textFill>
            <w14:solidFill>
              <w14:schemeClr w14:val="tx1"/>
            </w14:solidFill>
          </w14:textFill>
        </w:rPr>
        <w:t>系统自动提示已发出特检医嘱（免疫组化、特殊染色、分子病理等）要求但尚未执行的病例信息列表。</w:t>
      </w:r>
    </w:p>
    <w:p w14:paraId="68E11A9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5.2.</w:t>
      </w:r>
      <w:r>
        <w:rPr>
          <w:rFonts w:hint="eastAsia" w:ascii="仿宋" w:hAnsi="仿宋" w:eastAsia="仿宋" w:cs="仿宋"/>
          <w:color w:val="000000" w:themeColor="text1"/>
          <w:sz w:val="24"/>
          <w:szCs w:val="24"/>
          <w:lang w:val="en-US" w:eastAsia="zh-CN"/>
          <w14:textFill>
            <w14:solidFill>
              <w14:schemeClr w14:val="tx1"/>
            </w14:solidFill>
          </w14:textFill>
        </w:rPr>
        <w:t>免疫库标记物可自定义，具有免疫试剂库存量及试剂质保时间提醒功能。</w:t>
      </w:r>
    </w:p>
    <w:p w14:paraId="1FD3353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5.3.</w:t>
      </w:r>
      <w:r>
        <w:rPr>
          <w:rFonts w:hint="eastAsia" w:ascii="仿宋" w:hAnsi="仿宋" w:eastAsia="仿宋" w:cs="仿宋"/>
          <w:color w:val="000000" w:themeColor="text1"/>
          <w:sz w:val="24"/>
          <w:szCs w:val="24"/>
          <w:lang w:val="en-US" w:eastAsia="zh-CN"/>
          <w14:textFill>
            <w14:solidFill>
              <w14:schemeClr w14:val="tx1"/>
            </w14:solidFill>
          </w14:textFill>
        </w:rPr>
        <w:t>可从特检医嘱信息中提取病例信息、标记物名称等内容，来自动生成免疫组化切片等切片条码标签，并打印出来。</w:t>
      </w:r>
    </w:p>
    <w:p w14:paraId="4FDED7A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5.4.</w:t>
      </w:r>
      <w:r>
        <w:rPr>
          <w:rFonts w:hint="eastAsia" w:ascii="仿宋" w:hAnsi="仿宋" w:eastAsia="仿宋" w:cs="仿宋"/>
          <w:color w:val="000000" w:themeColor="text1"/>
          <w:sz w:val="24"/>
          <w:szCs w:val="24"/>
          <w:lang w:val="en-US" w:eastAsia="zh-CN"/>
          <w14:textFill>
            <w14:solidFill>
              <w14:schemeClr w14:val="tx1"/>
            </w14:solidFill>
          </w14:textFill>
        </w:rPr>
        <w:t>可按照标记物，病理号或未执行列表分类来打印染色工作表。支持免疫组化单指标查询和报表统计。</w:t>
      </w:r>
    </w:p>
    <w:p w14:paraId="2CF94B2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lang w:val="en-US" w:eastAsia="zh-CN"/>
          <w14:textFill>
            <w14:solidFill>
              <w14:schemeClr w14:val="tx1"/>
            </w14:solidFill>
          </w14:textFill>
        </w:rPr>
        <w:t>免疫组化染色完成并确认后，信息自动返回报告工作站并提示医生查看。</w:t>
      </w:r>
    </w:p>
    <w:p w14:paraId="0E6B06A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5.6.</w:t>
      </w:r>
      <w:r>
        <w:rPr>
          <w:rFonts w:hint="eastAsia" w:ascii="仿宋" w:hAnsi="仿宋" w:eastAsia="仿宋" w:cs="仿宋"/>
          <w:color w:val="000000" w:themeColor="text1"/>
          <w:sz w:val="24"/>
          <w:szCs w:val="24"/>
          <w:lang w:val="en-US" w:eastAsia="zh-CN"/>
          <w14:textFill>
            <w14:solidFill>
              <w14:schemeClr w14:val="tx1"/>
            </w14:solidFill>
          </w14:textFill>
        </w:rPr>
        <w:t>免疫切片支持机器制片和人工制片分类功能。</w:t>
      </w:r>
    </w:p>
    <w:p w14:paraId="6DAC789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5.7.</w:t>
      </w:r>
      <w:r>
        <w:rPr>
          <w:rFonts w:hint="eastAsia" w:ascii="仿宋" w:hAnsi="仿宋" w:eastAsia="仿宋" w:cs="仿宋"/>
          <w:color w:val="000000" w:themeColor="text1"/>
          <w:sz w:val="24"/>
          <w:szCs w:val="24"/>
          <w:lang w:val="en-US" w:eastAsia="zh-CN"/>
          <w14:textFill>
            <w14:solidFill>
              <w14:schemeClr w14:val="tx1"/>
            </w14:solidFill>
          </w14:textFill>
        </w:rPr>
        <w:t>免疫标记物支持公用和私有，支持用户自定义。免疫组化表支持按照病理号，标记物或列表多种方式显示。</w:t>
      </w:r>
    </w:p>
    <w:p w14:paraId="0296D7D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5.8.</w:t>
      </w:r>
      <w:r>
        <w:rPr>
          <w:rFonts w:hint="eastAsia" w:ascii="仿宋" w:hAnsi="仿宋" w:eastAsia="仿宋" w:cs="仿宋"/>
          <w:color w:val="000000" w:themeColor="text1"/>
          <w:sz w:val="24"/>
          <w:szCs w:val="24"/>
          <w:lang w:val="en-US" w:eastAsia="zh-CN"/>
          <w14:textFill>
            <w14:solidFill>
              <w14:schemeClr w14:val="tx1"/>
            </w14:solidFill>
          </w14:textFill>
        </w:rPr>
        <w:t>对同病人的已下医嘱项目，同蜡块具有红色提醒功能。</w:t>
      </w:r>
    </w:p>
    <w:p w14:paraId="0F825F0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5.9.</w:t>
      </w:r>
      <w:r>
        <w:rPr>
          <w:rFonts w:hint="eastAsia" w:ascii="仿宋" w:hAnsi="仿宋" w:eastAsia="仿宋" w:cs="仿宋"/>
          <w:color w:val="000000" w:themeColor="text1"/>
          <w:sz w:val="24"/>
          <w:szCs w:val="24"/>
          <w:lang w:val="en-US" w:eastAsia="zh-CN"/>
          <w14:textFill>
            <w14:solidFill>
              <w14:schemeClr w14:val="tx1"/>
            </w14:solidFill>
          </w14:textFill>
        </w:rPr>
        <w:t>免疫试剂库有质控结果，验证结果，验证时间，抗体定位，对照组织，修复方式等标记。</w:t>
      </w:r>
    </w:p>
    <w:p w14:paraId="16436FF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5.10.</w:t>
      </w:r>
      <w:r>
        <w:rPr>
          <w:rFonts w:hint="eastAsia" w:ascii="仿宋" w:hAnsi="仿宋" w:eastAsia="仿宋" w:cs="仿宋"/>
          <w:color w:val="000000" w:themeColor="text1"/>
          <w:sz w:val="24"/>
          <w:szCs w:val="24"/>
          <w:lang w:val="en-US" w:eastAsia="zh-CN"/>
          <w14:textFill>
            <w14:solidFill>
              <w14:schemeClr w14:val="tx1"/>
            </w14:solidFill>
          </w14:textFill>
        </w:rPr>
        <w:t>医嘱延迟执行和拒绝执行标记，延迟医嘱能够录入延期原因，拒绝医嘱通知提醒诊断医生。</w:t>
      </w:r>
    </w:p>
    <w:p w14:paraId="2C3F6EF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5.11.</w:t>
      </w:r>
      <w:r>
        <w:rPr>
          <w:rFonts w:hint="eastAsia" w:ascii="仿宋" w:hAnsi="仿宋" w:eastAsia="仿宋" w:cs="仿宋"/>
          <w:color w:val="000000" w:themeColor="text1"/>
          <w:sz w:val="24"/>
          <w:szCs w:val="24"/>
          <w:lang w:val="en-US" w:eastAsia="zh-CN"/>
          <w14:textFill>
            <w14:solidFill>
              <w14:schemeClr w14:val="tx1"/>
            </w14:solidFill>
          </w14:textFill>
        </w:rPr>
        <w:t>诊断医生下医嘱时，试剂不足时具有提示功能。</w:t>
      </w:r>
    </w:p>
    <w:p w14:paraId="25AA934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报告工作站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4BC7416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6.1.</w:t>
      </w:r>
      <w:r>
        <w:rPr>
          <w:rFonts w:hint="eastAsia" w:ascii="仿宋" w:hAnsi="仿宋" w:eastAsia="仿宋" w:cs="仿宋"/>
          <w:color w:val="000000" w:themeColor="text1"/>
          <w:sz w:val="24"/>
          <w:szCs w:val="24"/>
          <w:lang w:val="en-US" w:eastAsia="zh-CN"/>
          <w14:textFill>
            <w14:solidFill>
              <w14:schemeClr w14:val="tx1"/>
            </w14:solidFill>
          </w14:textFill>
        </w:rPr>
        <w:t>根据登录用户身份，自动提示“我的未审核报告”、“我的未打印报告”、“我的未写报告”、“我的延期报告”“我的收藏夹”、“科内会诊”、“需随访病例”等列表。</w:t>
      </w:r>
    </w:p>
    <w:p w14:paraId="52F7D8E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lang w:val="en-US" w:eastAsia="zh-CN"/>
          <w14:textFill>
            <w14:solidFill>
              <w14:schemeClr w14:val="tx1"/>
            </w14:solidFill>
          </w14:textFill>
        </w:rPr>
        <w:t>“小标本3天、大标本5天”的报告时间规则进行自动提示，所有病例库的时间规则可用户自定义，具有智能排除周末非工作时间功能。</w:t>
      </w:r>
    </w:p>
    <w:p w14:paraId="136E79D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6.3.</w:t>
      </w:r>
      <w:r>
        <w:rPr>
          <w:rFonts w:hint="eastAsia" w:ascii="仿宋" w:hAnsi="仿宋" w:eastAsia="仿宋" w:cs="仿宋"/>
          <w:color w:val="000000" w:themeColor="text1"/>
          <w:sz w:val="24"/>
          <w:szCs w:val="24"/>
          <w:lang w:val="en-US" w:eastAsia="zh-CN"/>
          <w14:textFill>
            <w14:solidFill>
              <w14:schemeClr w14:val="tx1"/>
            </w14:solidFill>
          </w14:textFill>
        </w:rPr>
        <w:t>提供PCR报告模块；FISH报告模块；流式报告模块；延时报告模块；免疫组化报告模块；多次冰冻报告模块；肾病报告专项模块，胃检专项报告模块。</w:t>
      </w:r>
    </w:p>
    <w:p w14:paraId="659A9EE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6.4.</w:t>
      </w:r>
      <w:r>
        <w:rPr>
          <w:rFonts w:hint="eastAsia" w:ascii="仿宋" w:hAnsi="仿宋" w:eastAsia="仿宋" w:cs="仿宋"/>
          <w:color w:val="000000" w:themeColor="text1"/>
          <w:sz w:val="24"/>
          <w:szCs w:val="24"/>
          <w:lang w:val="en-US" w:eastAsia="zh-CN"/>
          <w14:textFill>
            <w14:solidFill>
              <w14:schemeClr w14:val="tx1"/>
            </w14:solidFill>
          </w14:textFill>
        </w:rPr>
        <w:t>对蜡块已下特检医嘱的记录，有红色提醒。</w:t>
      </w:r>
    </w:p>
    <w:p w14:paraId="5A7CA60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6.5.</w:t>
      </w:r>
      <w:r>
        <w:rPr>
          <w:rFonts w:hint="eastAsia" w:ascii="仿宋" w:hAnsi="仿宋" w:eastAsia="仿宋" w:cs="仿宋"/>
          <w:color w:val="000000" w:themeColor="text1"/>
          <w:sz w:val="24"/>
          <w:szCs w:val="24"/>
          <w:lang w:val="en-US" w:eastAsia="zh-CN"/>
          <w14:textFill>
            <w14:solidFill>
              <w14:schemeClr w14:val="tx1"/>
            </w14:solidFill>
          </w14:textFill>
        </w:rPr>
        <w:t>具有专业结构化报告模块，如肺癌，浸润性乳腺癌，肝细胞癌，前列腺癌，肾癌，胃癌，甲状腺癌，结直肠癌。</w:t>
      </w:r>
    </w:p>
    <w:p w14:paraId="6D4838A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6.6.</w:t>
      </w:r>
      <w:r>
        <w:rPr>
          <w:rFonts w:hint="eastAsia" w:ascii="仿宋" w:hAnsi="仿宋" w:eastAsia="仿宋" w:cs="仿宋"/>
          <w:color w:val="000000" w:themeColor="text1"/>
          <w:sz w:val="24"/>
          <w:szCs w:val="24"/>
          <w:lang w:val="en-US" w:eastAsia="zh-CN"/>
          <w14:textFill>
            <w14:solidFill>
              <w14:schemeClr w14:val="tx1"/>
            </w14:solidFill>
          </w14:textFill>
        </w:rPr>
        <w:t>自动提示该病例的历史病理结果和同次送检的其他标本检查情况。</w:t>
      </w:r>
    </w:p>
    <w:p w14:paraId="6580E41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6.7.</w:t>
      </w:r>
      <w:r>
        <w:rPr>
          <w:rFonts w:hint="eastAsia" w:ascii="仿宋" w:hAnsi="仿宋" w:eastAsia="仿宋" w:cs="仿宋"/>
          <w:color w:val="000000" w:themeColor="text1"/>
          <w:sz w:val="24"/>
          <w:szCs w:val="24"/>
          <w:lang w:val="en-US" w:eastAsia="zh-CN"/>
          <w14:textFill>
            <w14:solidFill>
              <w14:schemeClr w14:val="tx1"/>
            </w14:solidFill>
          </w14:textFill>
        </w:rPr>
        <w:t>可自定义显示记录数目，可按年，月，日等条件显示记录。</w:t>
      </w:r>
    </w:p>
    <w:p w14:paraId="3861E6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6.8.</w:t>
      </w:r>
      <w:r>
        <w:rPr>
          <w:rFonts w:hint="eastAsia" w:ascii="仿宋" w:hAnsi="仿宋" w:eastAsia="仿宋" w:cs="仿宋"/>
          <w:color w:val="000000" w:themeColor="text1"/>
          <w:sz w:val="24"/>
          <w:szCs w:val="24"/>
          <w:lang w:val="en-US" w:eastAsia="zh-CN"/>
          <w14:textFill>
            <w14:solidFill>
              <w14:schemeClr w14:val="tx1"/>
            </w14:solidFill>
          </w14:textFill>
        </w:rPr>
        <w:t>适应病理报告三级医生负责制，提供定向复片、多级复片功能，初诊意见和复片意见单独保存备查。上级医生可对初诊意见进行结果评价，可以统计复片数和复片准备率。</w:t>
      </w:r>
    </w:p>
    <w:p w14:paraId="19608F6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记录初级医生或进修医生的初诊意见，支持科内会诊。</w:t>
      </w:r>
    </w:p>
    <w:p w14:paraId="34050AA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6.9.</w:t>
      </w:r>
      <w:r>
        <w:rPr>
          <w:rFonts w:hint="eastAsia" w:ascii="仿宋" w:hAnsi="仿宋" w:eastAsia="仿宋" w:cs="仿宋"/>
          <w:color w:val="000000" w:themeColor="text1"/>
          <w:sz w:val="24"/>
          <w:szCs w:val="24"/>
          <w:lang w:val="en-US" w:eastAsia="zh-CN"/>
          <w14:textFill>
            <w14:solidFill>
              <w14:schemeClr w14:val="tx1"/>
            </w14:solidFill>
          </w14:textFill>
        </w:rPr>
        <w:t>可发出内部医嘱要求，包括重切、深切、补取、免疫组化等，发出的内部医嘱在相应的工作站点上有相应提示，可查看内部医嘱相应的执行情况（医嘱状态）和结果，可对免疫组化结果进行染色评价。</w:t>
      </w:r>
      <w:r>
        <w:rPr>
          <w:rFonts w:hint="eastAsia" w:ascii="仿宋" w:hAnsi="仿宋" w:eastAsia="仿宋" w:cs="仿宋"/>
          <w:color w:val="000000" w:themeColor="text1"/>
          <w:sz w:val="24"/>
          <w:szCs w:val="24"/>
          <w:lang w:val="en-US" w:eastAsia="zh-CN"/>
          <w14:textFill>
            <w14:solidFill>
              <w14:schemeClr w14:val="tx1"/>
            </w14:solidFill>
          </w14:textFill>
        </w:rPr>
        <w:tab/>
      </w:r>
    </w:p>
    <w:p w14:paraId="5EF7BBC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6.10.</w:t>
      </w:r>
      <w:r>
        <w:rPr>
          <w:rFonts w:hint="eastAsia" w:ascii="仿宋" w:hAnsi="仿宋" w:eastAsia="仿宋" w:cs="仿宋"/>
          <w:color w:val="000000" w:themeColor="text1"/>
          <w:sz w:val="24"/>
          <w:szCs w:val="24"/>
          <w:lang w:val="en-US" w:eastAsia="zh-CN"/>
          <w14:textFill>
            <w14:solidFill>
              <w14:schemeClr w14:val="tx1"/>
            </w14:solidFill>
          </w14:textFill>
        </w:rPr>
        <w:t>可发出科内会诊申请，系统会自动加入“科内会诊”列表并进行提示，其他医生登录系统后可以快速定位这些会诊病例，可增加、修改、删除自己的科内会诊意见。</w:t>
      </w:r>
      <w:r>
        <w:rPr>
          <w:rFonts w:hint="eastAsia" w:ascii="仿宋" w:hAnsi="仿宋" w:eastAsia="仿宋" w:cs="仿宋"/>
          <w:color w:val="000000" w:themeColor="text1"/>
          <w:sz w:val="24"/>
          <w:szCs w:val="24"/>
          <w:lang w:val="en-US" w:eastAsia="zh-CN"/>
          <w14:textFill>
            <w14:solidFill>
              <w14:schemeClr w14:val="tx1"/>
            </w14:solidFill>
          </w14:textFill>
        </w:rPr>
        <w:tab/>
      </w:r>
    </w:p>
    <w:p w14:paraId="4549D59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6.11.</w:t>
      </w:r>
      <w:r>
        <w:rPr>
          <w:rFonts w:hint="eastAsia" w:ascii="仿宋" w:hAnsi="仿宋" w:eastAsia="仿宋" w:cs="仿宋"/>
          <w:color w:val="000000" w:themeColor="text1"/>
          <w:sz w:val="24"/>
          <w:szCs w:val="24"/>
          <w:lang w:val="en-US" w:eastAsia="zh-CN"/>
          <w14:textFill>
            <w14:solidFill>
              <w14:schemeClr w14:val="tx1"/>
            </w14:solidFill>
          </w14:textFill>
        </w:rPr>
        <w:t>可对病例进行随访标记，系统会自动加入“需随访病例”列表并进行提示，可录入并保存随访结果，并可继续随访或结束随访。</w:t>
      </w:r>
      <w:r>
        <w:rPr>
          <w:rFonts w:hint="eastAsia" w:ascii="仿宋" w:hAnsi="仿宋" w:eastAsia="仿宋" w:cs="仿宋"/>
          <w:color w:val="000000" w:themeColor="text1"/>
          <w:sz w:val="24"/>
          <w:szCs w:val="24"/>
          <w:lang w:val="en-US" w:eastAsia="zh-CN"/>
          <w14:textFill>
            <w14:solidFill>
              <w14:schemeClr w14:val="tx1"/>
            </w14:solidFill>
          </w14:textFill>
        </w:rPr>
        <w:tab/>
      </w:r>
      <w:r>
        <w:rPr>
          <w:rFonts w:hint="eastAsia" w:ascii="仿宋" w:hAnsi="仿宋" w:eastAsia="仿宋" w:cs="仿宋"/>
          <w:color w:val="000000" w:themeColor="text1"/>
          <w:sz w:val="24"/>
          <w:szCs w:val="24"/>
          <w:lang w:val="en-US" w:eastAsia="zh-CN"/>
          <w14:textFill>
            <w14:solidFill>
              <w14:schemeClr w14:val="tx1"/>
            </w14:solidFill>
          </w14:textFill>
        </w:rPr>
        <w:tab/>
      </w:r>
    </w:p>
    <w:p w14:paraId="381FF20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6.12.</w:t>
      </w:r>
      <w:r>
        <w:rPr>
          <w:rFonts w:hint="eastAsia" w:ascii="仿宋" w:hAnsi="仿宋" w:eastAsia="仿宋" w:cs="仿宋"/>
          <w:color w:val="000000" w:themeColor="text1"/>
          <w:sz w:val="24"/>
          <w:szCs w:val="24"/>
          <w:lang w:val="en-US" w:eastAsia="zh-CN"/>
          <w14:textFill>
            <w14:solidFill>
              <w14:schemeClr w14:val="tx1"/>
            </w14:solidFill>
          </w14:textFill>
        </w:rPr>
        <w:t>丰富实用的报表工具，包括病理检查登记本、病理报告签收本、取材工作单、切片工作单、染色工作表（按标记物）、染色工作表（按病理号）、病理检查底单、门诊回执、借片凭证等。</w:t>
      </w:r>
    </w:p>
    <w:p w14:paraId="21C22D2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6.13.</w:t>
      </w:r>
      <w:r>
        <w:rPr>
          <w:rFonts w:hint="eastAsia" w:ascii="仿宋" w:hAnsi="仿宋" w:eastAsia="仿宋" w:cs="仿宋"/>
          <w:color w:val="000000" w:themeColor="text1"/>
          <w:sz w:val="24"/>
          <w:szCs w:val="24"/>
          <w:lang w:val="en-US" w:eastAsia="zh-CN"/>
          <w14:textFill>
            <w14:solidFill>
              <w14:schemeClr w14:val="tx1"/>
            </w14:solidFill>
          </w14:textFill>
        </w:rPr>
        <w:t>统计工具，包括报告发放统计、收费统计、病理医生工作量统计、科室工作量月报表、送检工作量月报表、技术医嘱月报表、特检医嘱月报表、切片质量月报表、诊断符合率月报表、复片率和复片准确率统计等。</w:t>
      </w:r>
      <w:r>
        <w:rPr>
          <w:rFonts w:hint="eastAsia" w:ascii="仿宋" w:hAnsi="仿宋" w:eastAsia="仿宋" w:cs="仿宋"/>
          <w:color w:val="000000" w:themeColor="text1"/>
          <w:sz w:val="24"/>
          <w:szCs w:val="24"/>
          <w:lang w:val="en-US" w:eastAsia="zh-CN"/>
          <w14:textFill>
            <w14:solidFill>
              <w14:schemeClr w14:val="tx1"/>
            </w14:solidFill>
          </w14:textFill>
        </w:rPr>
        <w:tab/>
      </w:r>
    </w:p>
    <w:p w14:paraId="4F5F58B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6.14.</w:t>
      </w:r>
      <w:r>
        <w:rPr>
          <w:rFonts w:hint="eastAsia" w:ascii="仿宋" w:hAnsi="仿宋" w:eastAsia="仿宋" w:cs="仿宋"/>
          <w:color w:val="000000" w:themeColor="text1"/>
          <w:sz w:val="24"/>
          <w:szCs w:val="24"/>
          <w:lang w:val="en-US" w:eastAsia="zh-CN"/>
          <w14:textFill>
            <w14:solidFill>
              <w14:schemeClr w14:val="tx1"/>
            </w14:solidFill>
          </w14:textFill>
        </w:rPr>
        <w:t>具有对所有病例的诊断随机抽查质控，评价，统计查询和报表功能。</w:t>
      </w:r>
    </w:p>
    <w:p w14:paraId="55ABDFA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HE切片和IHC切片，分类进行切片质量评价和切片质量质控，切片类别支持用户设定分值，具有自动评分功能。</w:t>
      </w:r>
    </w:p>
    <w:p w14:paraId="28307D1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6.15.</w:t>
      </w:r>
      <w:r>
        <w:rPr>
          <w:rFonts w:hint="eastAsia" w:ascii="仿宋" w:hAnsi="仿宋" w:eastAsia="仿宋" w:cs="仿宋"/>
          <w:color w:val="000000" w:themeColor="text1"/>
          <w:sz w:val="24"/>
          <w:szCs w:val="24"/>
          <w:lang w:val="en-US" w:eastAsia="zh-CN"/>
          <w14:textFill>
            <w14:solidFill>
              <w14:schemeClr w14:val="tx1"/>
            </w14:solidFill>
          </w14:textFill>
        </w:rPr>
        <w:t>冰冻超期报告时间，用户可自定义时间范围查询统计。</w:t>
      </w:r>
    </w:p>
    <w:p w14:paraId="0CD10B9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细胞学工作站</w:t>
      </w:r>
    </w:p>
    <w:p w14:paraId="0F9B204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7.1.</w:t>
      </w:r>
      <w:r>
        <w:rPr>
          <w:rFonts w:hint="eastAsia" w:ascii="仿宋" w:hAnsi="仿宋" w:eastAsia="仿宋" w:cs="仿宋"/>
          <w:color w:val="000000" w:themeColor="text1"/>
          <w:sz w:val="24"/>
          <w:szCs w:val="24"/>
          <w:lang w:val="en-US" w:eastAsia="zh-CN"/>
          <w14:textFill>
            <w14:solidFill>
              <w14:schemeClr w14:val="tx1"/>
            </w14:solidFill>
          </w14:textFill>
        </w:rPr>
        <w:t>细胞学具有TCT，TBS，HPV多种报告类型功能模块，病例独立分库管理，病理号按照预设格式自动升位。</w:t>
      </w:r>
    </w:p>
    <w:p w14:paraId="125E5EA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7.2.</w:t>
      </w:r>
      <w:r>
        <w:rPr>
          <w:rFonts w:hint="eastAsia" w:ascii="仿宋" w:hAnsi="仿宋" w:eastAsia="仿宋" w:cs="仿宋"/>
          <w:color w:val="000000" w:themeColor="text1"/>
          <w:sz w:val="24"/>
          <w:szCs w:val="24"/>
          <w:lang w:val="en-US" w:eastAsia="zh-CN"/>
          <w14:textFill>
            <w14:solidFill>
              <w14:schemeClr w14:val="tx1"/>
            </w14:solidFill>
          </w14:textFill>
        </w:rPr>
        <w:t>所有病例库，自由组合自定义查询。</w:t>
      </w:r>
    </w:p>
    <w:p w14:paraId="6C5796C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7.3.</w:t>
      </w:r>
      <w:r>
        <w:rPr>
          <w:rFonts w:hint="eastAsia" w:ascii="仿宋" w:hAnsi="仿宋" w:eastAsia="仿宋" w:cs="仿宋"/>
          <w:color w:val="000000" w:themeColor="text1"/>
          <w:sz w:val="24"/>
          <w:szCs w:val="24"/>
          <w:lang w:val="en-US" w:eastAsia="zh-CN"/>
          <w14:textFill>
            <w14:solidFill>
              <w14:schemeClr w14:val="tx1"/>
            </w14:solidFill>
          </w14:textFill>
        </w:rPr>
        <w:t>根据登录用户身份，自动提示“我的未审核报告”、“我的未打印报告”、“我的未写报告”、“我的收藏夹”、“科内会诊”、“需随访病例”等列表。</w:t>
      </w:r>
    </w:p>
    <w:p w14:paraId="5AFF163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7.4.</w:t>
      </w:r>
      <w:r>
        <w:rPr>
          <w:rFonts w:hint="eastAsia" w:ascii="仿宋" w:hAnsi="仿宋" w:eastAsia="仿宋" w:cs="仿宋"/>
          <w:color w:val="000000" w:themeColor="text1"/>
          <w:sz w:val="24"/>
          <w:szCs w:val="24"/>
          <w:lang w:val="en-US" w:eastAsia="zh-CN"/>
          <w14:textFill>
            <w14:solidFill>
              <w14:schemeClr w14:val="tx1"/>
            </w14:solidFill>
          </w14:textFill>
        </w:rPr>
        <w:t>自动提示该病例的历史病理结果和同次送检的其他标本检查情况。</w:t>
      </w:r>
    </w:p>
    <w:p w14:paraId="3B97187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7.5.</w:t>
      </w:r>
      <w:r>
        <w:rPr>
          <w:rFonts w:hint="eastAsia" w:ascii="仿宋" w:hAnsi="仿宋" w:eastAsia="仿宋" w:cs="仿宋"/>
          <w:color w:val="000000" w:themeColor="text1"/>
          <w:sz w:val="24"/>
          <w:szCs w:val="24"/>
          <w:lang w:val="en-US" w:eastAsia="zh-CN"/>
          <w14:textFill>
            <w14:solidFill>
              <w14:schemeClr w14:val="tx1"/>
            </w14:solidFill>
          </w14:textFill>
        </w:rPr>
        <w:t>采用包括TBS在内的多种分级报告系统，用户点选选项即可快速输出液基细胞学报告。</w:t>
      </w:r>
    </w:p>
    <w:p w14:paraId="6EE4030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7.6.</w:t>
      </w:r>
      <w:r>
        <w:rPr>
          <w:rFonts w:hint="eastAsia" w:ascii="仿宋" w:hAnsi="仿宋" w:eastAsia="仿宋" w:cs="仿宋"/>
          <w:color w:val="000000" w:themeColor="text1"/>
          <w:sz w:val="24"/>
          <w:szCs w:val="24"/>
          <w:lang w:val="en-US" w:eastAsia="zh-CN"/>
          <w14:textFill>
            <w14:solidFill>
              <w14:schemeClr w14:val="tx1"/>
            </w14:solidFill>
          </w14:textFill>
        </w:rPr>
        <w:t>可根据多个条件来组合查询或统计病例，可以进行模糊查询，也可以进行精确查询。查询或统计出的结果可以导出EXCEL表格文件。</w:t>
      </w:r>
    </w:p>
    <w:p w14:paraId="63E3D1D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7.7.</w:t>
      </w:r>
      <w:r>
        <w:rPr>
          <w:rFonts w:hint="eastAsia" w:ascii="仿宋" w:hAnsi="仿宋" w:eastAsia="仿宋" w:cs="仿宋"/>
          <w:color w:val="000000" w:themeColor="text1"/>
          <w:sz w:val="24"/>
          <w:szCs w:val="24"/>
          <w:lang w:val="en-US" w:eastAsia="zh-CN"/>
          <w14:textFill>
            <w14:solidFill>
              <w14:schemeClr w14:val="tx1"/>
            </w14:solidFill>
          </w14:textFill>
        </w:rPr>
        <w:t>有专项HPV检查报告模块，图形化输出高低危病毒检测项目，阳性结果在报告中自</w:t>
      </w:r>
      <w:r>
        <w:rPr>
          <w:rFonts w:hint="default" w:ascii="仿宋" w:hAnsi="仿宋" w:eastAsia="仿宋" w:cs="仿宋"/>
          <w:color w:val="000000" w:themeColor="text1"/>
          <w:sz w:val="24"/>
          <w:szCs w:val="24"/>
          <w:lang w:val="en-US" w:eastAsia="zh-CN"/>
          <w14:textFill>
            <w14:solidFill>
              <w14:schemeClr w14:val="tx1"/>
            </w14:solidFill>
          </w14:textFill>
        </w:rPr>
        <w:t>7.8.</w:t>
      </w:r>
      <w:r>
        <w:rPr>
          <w:rFonts w:hint="eastAsia" w:ascii="仿宋" w:hAnsi="仿宋" w:eastAsia="仿宋" w:cs="仿宋"/>
          <w:color w:val="000000" w:themeColor="text1"/>
          <w:sz w:val="24"/>
          <w:szCs w:val="24"/>
          <w:lang w:val="en-US" w:eastAsia="zh-CN"/>
          <w14:textFill>
            <w14:solidFill>
              <w14:schemeClr w14:val="tx1"/>
            </w14:solidFill>
          </w14:textFill>
        </w:rPr>
        <w:t>动有颜色提醒。</w:t>
      </w:r>
    </w:p>
    <w:p w14:paraId="269D580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7.9.</w:t>
      </w:r>
      <w:r>
        <w:rPr>
          <w:rFonts w:hint="eastAsia" w:ascii="仿宋" w:hAnsi="仿宋" w:eastAsia="仿宋" w:cs="仿宋"/>
          <w:color w:val="000000" w:themeColor="text1"/>
          <w:sz w:val="24"/>
          <w:szCs w:val="24"/>
          <w:lang w:val="en-US" w:eastAsia="zh-CN"/>
          <w14:textFill>
            <w14:solidFill>
              <w14:schemeClr w14:val="tx1"/>
            </w14:solidFill>
          </w14:textFill>
        </w:rPr>
        <w:t>具有临床联系模块，用于和临床的联系沟通，内有联系情况，联系人员，联系时间，允许用随访提醒功能，随访没有结束的病例，用户设定应随访时间，提前一周弹窗提醒。</w:t>
      </w:r>
    </w:p>
    <w:p w14:paraId="79E94F5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有常用的TCT报告格式，并提供国际标准的TBS报告模板内容和格式。</w:t>
      </w:r>
    </w:p>
    <w:p w14:paraId="3AE716E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分子工作站软件</w:t>
      </w:r>
    </w:p>
    <w:p w14:paraId="1CFF65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8.1.</w:t>
      </w:r>
      <w:r>
        <w:rPr>
          <w:rFonts w:hint="eastAsia" w:ascii="仿宋" w:hAnsi="仿宋" w:eastAsia="仿宋" w:cs="仿宋"/>
          <w:color w:val="000000" w:themeColor="text1"/>
          <w:sz w:val="24"/>
          <w:szCs w:val="24"/>
          <w:lang w:val="en-US" w:eastAsia="zh-CN"/>
          <w14:textFill>
            <w14:solidFill>
              <w14:schemeClr w14:val="tx1"/>
            </w14:solidFill>
          </w14:textFill>
        </w:rPr>
        <w:t>具有EGFR，KRASE，SCD2，ALK，1p19q，PD-L1，qPCR和Her2专用分子基因检测病理模块。</w:t>
      </w:r>
    </w:p>
    <w:p w14:paraId="09DE46A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8.2.</w:t>
      </w:r>
      <w:r>
        <w:rPr>
          <w:rFonts w:hint="eastAsia" w:ascii="仿宋" w:hAnsi="仿宋" w:eastAsia="仿宋" w:cs="仿宋"/>
          <w:color w:val="000000" w:themeColor="text1"/>
          <w:sz w:val="24"/>
          <w:szCs w:val="24"/>
          <w:lang w:val="en-US" w:eastAsia="zh-CN"/>
          <w14:textFill>
            <w14:solidFill>
              <w14:schemeClr w14:val="tx1"/>
            </w14:solidFill>
          </w14:textFill>
        </w:rPr>
        <w:t>可查看病例的基本信息、临床诊断信息、大体标本的照片和描述、取材的明细记录等内容。</w:t>
      </w:r>
    </w:p>
    <w:p w14:paraId="2ED7C54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8.3.</w:t>
      </w:r>
      <w:r>
        <w:rPr>
          <w:rFonts w:hint="eastAsia" w:ascii="仿宋" w:hAnsi="仿宋" w:eastAsia="仿宋" w:cs="仿宋"/>
          <w:color w:val="000000" w:themeColor="text1"/>
          <w:sz w:val="24"/>
          <w:szCs w:val="24"/>
          <w:lang w:val="en-US" w:eastAsia="zh-CN"/>
          <w14:textFill>
            <w14:solidFill>
              <w14:schemeClr w14:val="tx1"/>
            </w14:solidFill>
          </w14:textFill>
        </w:rPr>
        <w:t>支持通用的数字摄像头，采集多通道荧光图像。</w:t>
      </w:r>
    </w:p>
    <w:p w14:paraId="36CDA21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8.4.</w:t>
      </w:r>
      <w:r>
        <w:rPr>
          <w:rFonts w:hint="eastAsia" w:ascii="仿宋" w:hAnsi="仿宋" w:eastAsia="仿宋" w:cs="仿宋"/>
          <w:color w:val="000000" w:themeColor="text1"/>
          <w:sz w:val="24"/>
          <w:szCs w:val="24"/>
          <w:lang w:val="en-US" w:eastAsia="zh-CN"/>
          <w14:textFill>
            <w14:solidFill>
              <w14:schemeClr w14:val="tx1"/>
            </w14:solidFill>
          </w14:textFill>
        </w:rPr>
        <w:t>有分子病理检查的登记项目，表明项目名称，仪器方法，样本类型，样本详情，检测位点，检测探针等；</w:t>
      </w:r>
      <w:r>
        <w:rPr>
          <w:rFonts w:hint="eastAsia" w:ascii="仿宋" w:hAnsi="仿宋" w:eastAsia="仿宋" w:cs="仿宋"/>
          <w:color w:val="000000" w:themeColor="text1"/>
          <w:sz w:val="24"/>
          <w:szCs w:val="24"/>
          <w:lang w:val="en-US" w:eastAsia="zh-CN"/>
          <w14:textFill>
            <w14:solidFill>
              <w14:schemeClr w14:val="tx1"/>
            </w14:solidFill>
          </w14:textFill>
        </w:rPr>
        <w:tab/>
      </w:r>
    </w:p>
    <w:p w14:paraId="19BFA46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8.5.</w:t>
      </w:r>
      <w:r>
        <w:rPr>
          <w:rFonts w:hint="eastAsia" w:ascii="仿宋" w:hAnsi="仿宋" w:eastAsia="仿宋" w:cs="仿宋"/>
          <w:color w:val="000000" w:themeColor="text1"/>
          <w:sz w:val="24"/>
          <w:szCs w:val="24"/>
          <w:lang w:val="en-US" w:eastAsia="zh-CN"/>
          <w14:textFill>
            <w14:solidFill>
              <w14:schemeClr w14:val="tx1"/>
            </w14:solidFill>
          </w14:textFill>
        </w:rPr>
        <w:t>自动提示该病例的历史病理结果和同次送检的其他标本检查情况。</w:t>
      </w:r>
    </w:p>
    <w:p w14:paraId="2286C1F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8.6.</w:t>
      </w:r>
      <w:r>
        <w:rPr>
          <w:rFonts w:hint="eastAsia" w:ascii="仿宋" w:hAnsi="仿宋" w:eastAsia="仿宋" w:cs="仿宋"/>
          <w:color w:val="000000" w:themeColor="text1"/>
          <w:sz w:val="24"/>
          <w:szCs w:val="24"/>
          <w:lang w:val="en-US" w:eastAsia="zh-CN"/>
          <w14:textFill>
            <w14:solidFill>
              <w14:schemeClr w14:val="tx1"/>
            </w14:solidFill>
          </w14:textFill>
        </w:rPr>
        <w:t>使用光学摄像头或带标准DirectShow接口的数码摄像头，可实时浏览、采集和保存镜下图像，可对图像进行多种处理、测量、标注功能。</w:t>
      </w:r>
    </w:p>
    <w:p w14:paraId="7C522FB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8.7.</w:t>
      </w:r>
      <w:r>
        <w:rPr>
          <w:rFonts w:hint="eastAsia" w:ascii="仿宋" w:hAnsi="仿宋" w:eastAsia="仿宋" w:cs="仿宋"/>
          <w:color w:val="000000" w:themeColor="text1"/>
          <w:sz w:val="24"/>
          <w:szCs w:val="24"/>
          <w:lang w:val="en-US" w:eastAsia="zh-CN"/>
          <w14:textFill>
            <w14:solidFill>
              <w14:schemeClr w14:val="tx1"/>
            </w14:solidFill>
          </w14:textFill>
        </w:rPr>
        <w:t>录入镜下所见、病理诊断、免疫组化结果等诊断报告项目。</w:t>
      </w:r>
      <w:r>
        <w:rPr>
          <w:rFonts w:hint="eastAsia" w:ascii="仿宋" w:hAnsi="仿宋" w:eastAsia="仿宋" w:cs="仿宋"/>
          <w:color w:val="000000" w:themeColor="text1"/>
          <w:sz w:val="24"/>
          <w:szCs w:val="24"/>
          <w:lang w:val="en-US" w:eastAsia="zh-CN"/>
          <w14:textFill>
            <w14:solidFill>
              <w14:schemeClr w14:val="tx1"/>
            </w14:solidFill>
          </w14:textFill>
        </w:rPr>
        <w:tab/>
      </w:r>
    </w:p>
    <w:p w14:paraId="2467B69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8.8.</w:t>
      </w:r>
      <w:r>
        <w:rPr>
          <w:rFonts w:hint="eastAsia" w:ascii="仿宋" w:hAnsi="仿宋" w:eastAsia="仿宋" w:cs="仿宋"/>
          <w:color w:val="000000" w:themeColor="text1"/>
          <w:sz w:val="24"/>
          <w:szCs w:val="24"/>
          <w:lang w:val="en-US" w:eastAsia="zh-CN"/>
          <w14:textFill>
            <w14:solidFill>
              <w14:schemeClr w14:val="tx1"/>
            </w14:solidFill>
          </w14:textFill>
        </w:rPr>
        <w:t>报告常用词、报告格式自定义功能。</w:t>
      </w:r>
    </w:p>
    <w:p w14:paraId="0437E2A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8.9.</w:t>
      </w:r>
      <w:r>
        <w:rPr>
          <w:rFonts w:hint="eastAsia" w:ascii="仿宋" w:hAnsi="仿宋" w:eastAsia="仿宋" w:cs="仿宋"/>
          <w:color w:val="000000" w:themeColor="text1"/>
          <w:sz w:val="24"/>
          <w:szCs w:val="24"/>
          <w:lang w:val="en-US" w:eastAsia="zh-CN"/>
          <w14:textFill>
            <w14:solidFill>
              <w14:schemeClr w14:val="tx1"/>
            </w14:solidFill>
          </w14:textFill>
        </w:rPr>
        <w:t>有专用的分子病理诊断报告模块。</w:t>
      </w:r>
    </w:p>
    <w:p w14:paraId="492AEB5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归档工作站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628610D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10.1</w:t>
      </w:r>
      <w:r>
        <w:rPr>
          <w:rFonts w:hint="eastAsia" w:ascii="仿宋" w:hAnsi="仿宋" w:eastAsia="仿宋" w:cs="仿宋"/>
          <w:color w:val="000000" w:themeColor="text1"/>
          <w:sz w:val="24"/>
          <w:szCs w:val="24"/>
          <w:lang w:val="en-US" w:eastAsia="zh-CN"/>
          <w14:textFill>
            <w14:solidFill>
              <w14:schemeClr w14:val="tx1"/>
            </w14:solidFill>
          </w14:textFill>
        </w:rPr>
        <w:t>按照病理号区段，将资料（申请单或底单）、蜡块、玻片分别归档处理，录入具体的归档位置。</w:t>
      </w:r>
      <w:r>
        <w:rPr>
          <w:rFonts w:hint="eastAsia" w:ascii="仿宋" w:hAnsi="仿宋" w:eastAsia="仿宋" w:cs="仿宋"/>
          <w:color w:val="000000" w:themeColor="text1"/>
          <w:sz w:val="24"/>
          <w:szCs w:val="24"/>
          <w:lang w:val="en-US" w:eastAsia="zh-CN"/>
          <w14:textFill>
            <w14:solidFill>
              <w14:schemeClr w14:val="tx1"/>
            </w14:solidFill>
          </w14:textFill>
        </w:rPr>
        <w:tab/>
      </w:r>
    </w:p>
    <w:p w14:paraId="154815E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10.2</w:t>
      </w:r>
      <w:r>
        <w:rPr>
          <w:rFonts w:hint="eastAsia" w:ascii="仿宋" w:hAnsi="仿宋" w:eastAsia="仿宋" w:cs="仿宋"/>
          <w:color w:val="000000" w:themeColor="text1"/>
          <w:sz w:val="24"/>
          <w:szCs w:val="24"/>
          <w:lang w:val="en-US" w:eastAsia="zh-CN"/>
          <w14:textFill>
            <w14:solidFill>
              <w14:schemeClr w14:val="tx1"/>
            </w14:solidFill>
          </w14:textFill>
        </w:rPr>
        <w:t>病例状态自动变为“已归档”。</w:t>
      </w:r>
      <w:r>
        <w:rPr>
          <w:rFonts w:hint="eastAsia" w:ascii="仿宋" w:hAnsi="仿宋" w:eastAsia="仿宋" w:cs="仿宋"/>
          <w:color w:val="000000" w:themeColor="text1"/>
          <w:sz w:val="24"/>
          <w:szCs w:val="24"/>
          <w:lang w:val="en-US" w:eastAsia="zh-CN"/>
          <w14:textFill>
            <w14:solidFill>
              <w14:schemeClr w14:val="tx1"/>
            </w14:solidFill>
          </w14:textFill>
        </w:rPr>
        <w:tab/>
      </w:r>
    </w:p>
    <w:p w14:paraId="0548945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10.3</w:t>
      </w:r>
      <w:r>
        <w:rPr>
          <w:rFonts w:hint="eastAsia" w:ascii="仿宋" w:hAnsi="仿宋" w:eastAsia="仿宋" w:cs="仿宋"/>
          <w:color w:val="000000" w:themeColor="text1"/>
          <w:sz w:val="24"/>
          <w:szCs w:val="24"/>
          <w:lang w:val="en-US" w:eastAsia="zh-CN"/>
          <w14:textFill>
            <w14:solidFill>
              <w14:schemeClr w14:val="tx1"/>
            </w14:solidFill>
          </w14:textFill>
        </w:rPr>
        <w:t>记录借还片费用。</w:t>
      </w:r>
    </w:p>
    <w:p w14:paraId="5696947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10.4</w:t>
      </w:r>
      <w:r>
        <w:rPr>
          <w:rFonts w:hint="eastAsia" w:ascii="仿宋" w:hAnsi="仿宋" w:eastAsia="仿宋" w:cs="仿宋"/>
          <w:color w:val="000000" w:themeColor="text1"/>
          <w:sz w:val="24"/>
          <w:szCs w:val="24"/>
          <w:lang w:val="en-US" w:eastAsia="zh-CN"/>
          <w14:textFill>
            <w14:solidFill>
              <w14:schemeClr w14:val="tx1"/>
            </w14:solidFill>
          </w14:textFill>
        </w:rPr>
        <w:t>资料室借还片管理，及时了解和处理“借出”、“归还”、“作废”的切片情况。</w:t>
      </w:r>
    </w:p>
    <w:p w14:paraId="265D6AF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10.5</w:t>
      </w:r>
      <w:r>
        <w:rPr>
          <w:rFonts w:hint="eastAsia" w:ascii="仿宋" w:hAnsi="仿宋" w:eastAsia="仿宋" w:cs="仿宋"/>
          <w:color w:val="000000" w:themeColor="text1"/>
          <w:sz w:val="24"/>
          <w:szCs w:val="24"/>
          <w:lang w:val="en-US" w:eastAsia="zh-CN"/>
          <w14:textFill>
            <w14:solidFill>
              <w14:schemeClr w14:val="tx1"/>
            </w14:solidFill>
          </w14:textFill>
        </w:rPr>
        <w:t>切片归还时记录外院会诊意见，具有影像存储模块，快速关联外院结果。会诊结果录入后，在诊断工作站自动提醒相应诊断医生。</w:t>
      </w:r>
    </w:p>
    <w:p w14:paraId="17E0635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10.6</w:t>
      </w:r>
      <w:r>
        <w:rPr>
          <w:rFonts w:hint="eastAsia" w:ascii="仿宋" w:hAnsi="仿宋" w:eastAsia="仿宋" w:cs="仿宋"/>
          <w:color w:val="000000" w:themeColor="text1"/>
          <w:sz w:val="24"/>
          <w:szCs w:val="24"/>
          <w:lang w:val="en-US" w:eastAsia="zh-CN"/>
          <w14:textFill>
            <w14:solidFill>
              <w14:schemeClr w14:val="tx1"/>
            </w14:solidFill>
          </w14:textFill>
        </w:rPr>
        <w:t>打印借片凭证。</w:t>
      </w:r>
    </w:p>
    <w:p w14:paraId="4B01360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10.7</w:t>
      </w:r>
      <w:r>
        <w:rPr>
          <w:rFonts w:hint="eastAsia" w:ascii="仿宋" w:hAnsi="仿宋" w:eastAsia="仿宋" w:cs="仿宋"/>
          <w:color w:val="000000" w:themeColor="text1"/>
          <w:sz w:val="24"/>
          <w:szCs w:val="24"/>
          <w:lang w:val="en-US" w:eastAsia="zh-CN"/>
          <w14:textFill>
            <w14:solidFill>
              <w14:schemeClr w14:val="tx1"/>
            </w14:solidFill>
          </w14:textFill>
        </w:rPr>
        <w:t>录入会诊结果意见，和诊断工作站互联信息共享。</w:t>
      </w:r>
    </w:p>
    <w:p w14:paraId="383F225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管理工作站</w:t>
      </w:r>
      <w:r>
        <w:rPr>
          <w:rFonts w:hint="default" w:ascii="仿宋" w:hAnsi="仿宋" w:eastAsia="仿宋" w:cs="仿宋"/>
          <w:color w:val="000000" w:themeColor="text1"/>
          <w:sz w:val="24"/>
          <w:szCs w:val="24"/>
          <w:lang w:val="en-US" w:eastAsia="zh-CN"/>
          <w14:textFill>
            <w14:solidFill>
              <w14:schemeClr w14:val="tx1"/>
            </w14:solidFill>
          </w14:textFill>
        </w:rPr>
        <w:tab/>
      </w:r>
    </w:p>
    <w:p w14:paraId="219D7E2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11.1</w:t>
      </w:r>
      <w:r>
        <w:rPr>
          <w:rFonts w:hint="eastAsia" w:ascii="仿宋" w:hAnsi="仿宋" w:eastAsia="仿宋" w:cs="仿宋"/>
          <w:color w:val="000000" w:themeColor="text1"/>
          <w:sz w:val="24"/>
          <w:szCs w:val="24"/>
          <w:lang w:val="en-US" w:eastAsia="zh-CN"/>
          <w14:textFill>
            <w14:solidFill>
              <w14:schemeClr w14:val="tx1"/>
            </w14:solidFill>
          </w14:textFill>
        </w:rPr>
        <w:t>可设置单位名称，可管理外检单位。</w:t>
      </w:r>
      <w:r>
        <w:rPr>
          <w:rFonts w:hint="eastAsia" w:ascii="仿宋" w:hAnsi="仿宋" w:eastAsia="仿宋" w:cs="仿宋"/>
          <w:color w:val="000000" w:themeColor="text1"/>
          <w:sz w:val="24"/>
          <w:szCs w:val="24"/>
          <w:lang w:val="en-US" w:eastAsia="zh-CN"/>
          <w14:textFill>
            <w14:solidFill>
              <w14:schemeClr w14:val="tx1"/>
            </w14:solidFill>
          </w14:textFill>
        </w:rPr>
        <w:tab/>
      </w:r>
    </w:p>
    <w:p w14:paraId="12B2B04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11.2</w:t>
      </w:r>
      <w:r>
        <w:rPr>
          <w:rFonts w:hint="eastAsia" w:ascii="仿宋" w:hAnsi="仿宋" w:eastAsia="仿宋" w:cs="仿宋"/>
          <w:color w:val="000000" w:themeColor="text1"/>
          <w:sz w:val="24"/>
          <w:szCs w:val="24"/>
          <w:lang w:val="en-US" w:eastAsia="zh-CN"/>
          <w14:textFill>
            <w14:solidFill>
              <w14:schemeClr w14:val="tx1"/>
            </w14:solidFill>
          </w14:textFill>
        </w:rPr>
        <w:t>检查库规则可自定义设置，支持前缀后缀，清零方式支持年/月/日或连续。</w:t>
      </w:r>
    </w:p>
    <w:p w14:paraId="0330EC1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11.3</w:t>
      </w:r>
      <w:r>
        <w:rPr>
          <w:rFonts w:hint="eastAsia" w:ascii="仿宋" w:hAnsi="仿宋" w:eastAsia="仿宋" w:cs="仿宋"/>
          <w:color w:val="000000" w:themeColor="text1"/>
          <w:sz w:val="24"/>
          <w:szCs w:val="24"/>
          <w:lang w:val="en-US" w:eastAsia="zh-CN"/>
          <w14:textFill>
            <w14:solidFill>
              <w14:schemeClr w14:val="tx1"/>
            </w14:solidFill>
          </w14:textFill>
        </w:rPr>
        <w:t>数据库支持局域网及万维网方式。</w:t>
      </w:r>
    </w:p>
    <w:p w14:paraId="265A3D7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11.4</w:t>
      </w:r>
      <w:r>
        <w:rPr>
          <w:rFonts w:hint="eastAsia" w:ascii="仿宋" w:hAnsi="仿宋" w:eastAsia="仿宋" w:cs="仿宋"/>
          <w:color w:val="000000" w:themeColor="text1"/>
          <w:sz w:val="24"/>
          <w:szCs w:val="24"/>
          <w:lang w:val="en-US" w:eastAsia="zh-CN"/>
          <w14:textFill>
            <w14:solidFill>
              <w14:schemeClr w14:val="tx1"/>
            </w14:solidFill>
          </w14:textFill>
        </w:rPr>
        <w:t>多用户权限管理模块，具有访客账号。</w:t>
      </w:r>
    </w:p>
    <w:p w14:paraId="73418BB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11.5</w:t>
      </w:r>
      <w:r>
        <w:rPr>
          <w:rFonts w:hint="eastAsia" w:ascii="仿宋" w:hAnsi="仿宋" w:eastAsia="仿宋" w:cs="仿宋"/>
          <w:color w:val="000000" w:themeColor="text1"/>
          <w:sz w:val="24"/>
          <w:szCs w:val="24"/>
          <w:lang w:val="en-US" w:eastAsia="zh-CN"/>
          <w14:textFill>
            <w14:solidFill>
              <w14:schemeClr w14:val="tx1"/>
            </w14:solidFill>
          </w14:textFill>
        </w:rPr>
        <w:t>能够分库设置标本的报告时间，大小标本分别设置报告时间。</w:t>
      </w:r>
    </w:p>
    <w:p w14:paraId="39D50C6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11.6</w:t>
      </w:r>
      <w:r>
        <w:rPr>
          <w:rFonts w:hint="eastAsia" w:ascii="仿宋" w:hAnsi="仿宋" w:eastAsia="仿宋" w:cs="仿宋"/>
          <w:color w:val="000000" w:themeColor="text1"/>
          <w:sz w:val="24"/>
          <w:szCs w:val="24"/>
          <w:lang w:val="en-US" w:eastAsia="zh-CN"/>
          <w14:textFill>
            <w14:solidFill>
              <w14:schemeClr w14:val="tx1"/>
            </w14:solidFill>
          </w14:textFill>
        </w:rPr>
        <w:t>自动审核功能具有开启和关闭功能，自动审核时间用户自定义设置。</w:t>
      </w:r>
    </w:p>
    <w:p w14:paraId="632B09E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11.7</w:t>
      </w:r>
      <w:r>
        <w:rPr>
          <w:rFonts w:hint="eastAsia" w:ascii="仿宋" w:hAnsi="仿宋" w:eastAsia="仿宋" w:cs="仿宋"/>
          <w:color w:val="000000" w:themeColor="text1"/>
          <w:sz w:val="24"/>
          <w:szCs w:val="24"/>
          <w:lang w:val="en-US" w:eastAsia="zh-CN"/>
          <w14:textFill>
            <w14:solidFill>
              <w14:schemeClr w14:val="tx1"/>
            </w14:solidFill>
          </w14:textFill>
        </w:rPr>
        <w:t>外检单位管理模块，外检单位报告名称及医院图标设置功能。满足送检单位需要的报告格式。</w:t>
      </w:r>
    </w:p>
    <w:p w14:paraId="7CE162B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11.8</w:t>
      </w:r>
      <w:r>
        <w:rPr>
          <w:rFonts w:hint="eastAsia" w:ascii="仿宋" w:hAnsi="仿宋" w:eastAsia="仿宋" w:cs="仿宋"/>
          <w:color w:val="000000" w:themeColor="text1"/>
          <w:sz w:val="24"/>
          <w:szCs w:val="24"/>
          <w:lang w:val="en-US" w:eastAsia="zh-CN"/>
          <w14:textFill>
            <w14:solidFill>
              <w14:schemeClr w14:val="tx1"/>
            </w14:solidFill>
          </w14:textFill>
        </w:rPr>
        <w:t>具有中英文签名功能。</w:t>
      </w:r>
    </w:p>
    <w:p w14:paraId="3503026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lang w:val="en-US" w:eastAsia="zh-CN"/>
          <w14:textFill>
            <w14:solidFill>
              <w14:schemeClr w14:val="tx1"/>
            </w14:solidFill>
          </w14:textFill>
        </w:rPr>
        <w:t>外检单位管理模块，支持万维网管理，具有单独的账号及密码管理模块。</w:t>
      </w:r>
    </w:p>
    <w:p w14:paraId="351677B3">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75" w:name="_Toc3029"/>
      <w:r>
        <w:rPr>
          <w:rFonts w:hint="eastAsia" w:ascii="仿宋" w:hAnsi="仿宋" w:eastAsia="仿宋" w:cs="仿宋"/>
          <w:b/>
          <w:bCs/>
          <w:color w:val="000000" w:themeColor="text1"/>
          <w:sz w:val="28"/>
          <w:szCs w:val="28"/>
          <w:lang w:val="en-US" w:eastAsia="zh-CN"/>
          <w14:textFill>
            <w14:solidFill>
              <w14:schemeClr w14:val="tx1"/>
            </w14:solidFill>
          </w14:textFill>
        </w:rPr>
        <w:t>19）手工细胞染色通风柜</w:t>
      </w:r>
      <w:bookmarkEnd w:id="75"/>
    </w:p>
    <w:p w14:paraId="3707497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在化学实验室中，实验操作时会产生各种有害有味气体、臭气、湿气以及腐蚀性物质，为了保护使用者安全，防止实验中的污染物质向实验室扩散，在污染源附近要使用通风柜。</w:t>
      </w:r>
    </w:p>
    <w:p w14:paraId="76763AA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功能</w:t>
      </w:r>
    </w:p>
    <w:p w14:paraId="4B079E9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通风柜外壳采用1.0mm冷轧钢板经防锈处理，静电喷涂。</w:t>
      </w:r>
    </w:p>
    <w:p w14:paraId="176C41F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通风柜操作区采用抗倍特板，具有较高的防酸碱性；台面板采用实心理化板，能够拆卸。</w:t>
      </w:r>
    </w:p>
    <w:p w14:paraId="1C29DF7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通风柜前视窗为手动视窗，可以在行程范围内的任意高度停止。</w:t>
      </w:r>
    </w:p>
    <w:p w14:paraId="4F96176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通风柜前视窗玻璃是5mm厚钢化玻璃。</w:t>
      </w:r>
    </w:p>
    <w:p w14:paraId="432AACA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通风柜控制面板采用轻触式开关，集通风柜电源键、风机键、风机调速键、插座键、</w:t>
      </w: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日光灯键于一身，搭配LED数码显示屏，显示风机档位。</w:t>
      </w:r>
    </w:p>
    <w:p w14:paraId="144A1FD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通风柜电控系统具有防过载、防触电等功能。</w:t>
      </w:r>
    </w:p>
    <w:p w14:paraId="466496E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通风柜插座采用实验室专用安全产品，带透明防溅盖。</w:t>
      </w:r>
    </w:p>
    <w:p w14:paraId="4ED5F25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通风柜配置底柜，底柜采用1.0mm冷轧钢板经防锈处理，静电喷涂，具有较好的光洁度与耐腐蚀性；底柜内空尺寸约1660*480*730mm（L×D×H）。</w:t>
      </w:r>
    </w:p>
    <w:p w14:paraId="5682943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1.10.</w:t>
      </w:r>
      <w:r>
        <w:rPr>
          <w:rFonts w:hint="eastAsia" w:ascii="仿宋" w:hAnsi="仿宋" w:eastAsia="仿宋" w:cs="仿宋"/>
          <w:color w:val="000000" w:themeColor="text1"/>
          <w:sz w:val="24"/>
          <w:szCs w:val="24"/>
          <w:lang w:val="en-US" w:eastAsia="zh-CN"/>
          <w14:textFill>
            <w14:solidFill>
              <w14:schemeClr w14:val="tx1"/>
            </w14:solidFill>
          </w14:textFill>
        </w:rPr>
        <w:t>通风柜配置壁式供水装置、供水流量控制阀、实验室水槽，方便实验进行。</w:t>
      </w:r>
    </w:p>
    <w:p w14:paraId="475ED01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1.11.</w:t>
      </w:r>
      <w:r>
        <w:rPr>
          <w:rFonts w:hint="eastAsia" w:ascii="仿宋" w:hAnsi="仿宋" w:eastAsia="仿宋" w:cs="仿宋"/>
          <w:color w:val="000000" w:themeColor="text1"/>
          <w:sz w:val="24"/>
          <w:szCs w:val="24"/>
          <w:lang w:val="en-US" w:eastAsia="zh-CN"/>
          <w14:textFill>
            <w14:solidFill>
              <w14:schemeClr w14:val="tx1"/>
            </w14:solidFill>
          </w14:textFill>
        </w:rPr>
        <w:t>通风柜内置PP离心风机。</w:t>
      </w:r>
    </w:p>
    <w:p w14:paraId="78AC647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1.12.</w:t>
      </w:r>
      <w:r>
        <w:rPr>
          <w:rFonts w:hint="eastAsia" w:ascii="仿宋" w:hAnsi="仿宋" w:eastAsia="仿宋" w:cs="仿宋"/>
          <w:color w:val="000000" w:themeColor="text1"/>
          <w:sz w:val="24"/>
          <w:szCs w:val="24"/>
          <w:lang w:val="en-US" w:eastAsia="zh-CN"/>
          <w14:textFill>
            <w14:solidFill>
              <w14:schemeClr w14:val="tx1"/>
            </w14:solidFill>
          </w14:textFill>
        </w:rPr>
        <w:t>通风柜具有断电记忆功能，即当遇到突然断电后，再次通电可保持断电前的工作状态，方便实验操作。</w:t>
      </w:r>
    </w:p>
    <w:p w14:paraId="6E1EE5A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bookmarkStart w:id="76" w:name="_Toc27837"/>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321D89C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外部尺寸≥（L×D×H）1800mm×850mm×2465mm；</w:t>
      </w:r>
    </w:p>
    <w:p w14:paraId="1892714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内部尺寸≥（L×D×H）1500mm×600mm×820mm；</w:t>
      </w:r>
    </w:p>
    <w:p w14:paraId="041672F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台面板到地面高度：约850mm；</w:t>
      </w:r>
    </w:p>
    <w:p w14:paraId="75F18BB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吸入口风速：0.3～0.8m/s；</w:t>
      </w:r>
    </w:p>
    <w:p w14:paraId="609D988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系统排风量：≥1140m³/h；</w:t>
      </w:r>
    </w:p>
    <w:p w14:paraId="3F57F45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额定功率：≤500W；</w:t>
      </w:r>
    </w:p>
    <w:p w14:paraId="3306555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噪音等级：≤65dB；</w:t>
      </w:r>
    </w:p>
    <w:p w14:paraId="555B84C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照度：≥400lux；</w:t>
      </w:r>
    </w:p>
    <w:p w14:paraId="4DBB787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前窗玻璃开口高度：约750mm；</w:t>
      </w:r>
    </w:p>
    <w:p w14:paraId="597F864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2.10.</w:t>
      </w:r>
      <w:r>
        <w:rPr>
          <w:rFonts w:hint="eastAsia" w:ascii="仿宋" w:hAnsi="仿宋" w:eastAsia="仿宋" w:cs="仿宋"/>
          <w:color w:val="000000" w:themeColor="text1"/>
          <w:sz w:val="24"/>
          <w:szCs w:val="24"/>
          <w:lang w:val="en-US" w:eastAsia="zh-CN"/>
          <w14:textFill>
            <w14:solidFill>
              <w14:schemeClr w14:val="tx1"/>
            </w14:solidFill>
          </w14:textFill>
        </w:rPr>
        <w:t>LED日光灯功率：16W；</w:t>
      </w:r>
    </w:p>
    <w:p w14:paraId="0B418E6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2.11.</w:t>
      </w:r>
      <w:r>
        <w:rPr>
          <w:rFonts w:hint="eastAsia" w:ascii="仿宋" w:hAnsi="仿宋" w:eastAsia="仿宋" w:cs="仿宋"/>
          <w:color w:val="000000" w:themeColor="text1"/>
          <w:sz w:val="24"/>
          <w:szCs w:val="24"/>
          <w:lang w:val="en-US" w:eastAsia="zh-CN"/>
          <w14:textFill>
            <w14:solidFill>
              <w14:schemeClr w14:val="tx1"/>
            </w14:solidFill>
          </w14:textFill>
        </w:rPr>
        <w:t>风机型号：PP离心风机；</w:t>
      </w:r>
    </w:p>
    <w:p w14:paraId="684C76C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2.12.</w:t>
      </w:r>
      <w:r>
        <w:rPr>
          <w:rFonts w:hint="eastAsia" w:ascii="仿宋" w:hAnsi="仿宋" w:eastAsia="仿宋" w:cs="仿宋"/>
          <w:color w:val="000000" w:themeColor="text1"/>
          <w:sz w:val="24"/>
          <w:szCs w:val="24"/>
          <w:lang w:val="en-US" w:eastAsia="zh-CN"/>
          <w14:textFill>
            <w14:solidFill>
              <w14:schemeClr w14:val="tx1"/>
            </w14:solidFill>
          </w14:textFill>
        </w:rPr>
        <w:t>使用人数：2-3人。</w:t>
      </w:r>
    </w:p>
    <w:p w14:paraId="03CFCF01">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20）切片存放柜</w:t>
      </w:r>
      <w:bookmarkEnd w:id="76"/>
    </w:p>
    <w:p w14:paraId="005D1DB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bookmarkStart w:id="77" w:name="_Toc4295"/>
      <w:r>
        <w:rPr>
          <w:rFonts w:hint="default" w:ascii="仿宋" w:hAnsi="仿宋" w:eastAsia="仿宋" w:cs="仿宋"/>
          <w:color w:val="000000" w:themeColor="text1"/>
          <w:sz w:val="24"/>
          <w:szCs w:val="24"/>
          <w:lang w:val="en-US" w:eastAsia="zh-CN"/>
          <w14:textFill>
            <w14:solidFill>
              <w14:schemeClr w14:val="tx1"/>
            </w14:solidFill>
          </w14:textFill>
        </w:rPr>
        <w:t>1.柜体采用0.8mm冷轧钢板。</w:t>
      </w:r>
    </w:p>
    <w:p w14:paraId="77A3379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2.抽屉自动归位功能，每套12组合，每组合6个抽屉，共72个抽屉，约放切片≥55000片。</w:t>
      </w:r>
    </w:p>
    <w:p w14:paraId="12868CA7">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3.柜体经防锈处理，静电喷塑工艺。</w:t>
      </w:r>
    </w:p>
    <w:p w14:paraId="5FF42334">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4.最新利用槽式滑轮，起始点配高强度滑轮，抽屉推拉顺畅，同时防止抽屉拉出来过长造成意外跌落。</w:t>
      </w:r>
    </w:p>
    <w:p w14:paraId="2F6186B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5.另配高弹性减震垫，可使抽屉关闭时减轻与柜体的碰撞，同时使噪音减少至最低限度。</w:t>
      </w:r>
    </w:p>
    <w:p w14:paraId="5289A87A">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6.规格：约L403mm*W480mm*H1625mm</w:t>
      </w:r>
    </w:p>
    <w:p w14:paraId="55D7D62B">
      <w:pPr>
        <w:keepNext w:val="0"/>
        <w:keepLines w:val="0"/>
        <w:pageBreakBefore w:val="0"/>
        <w:kinsoku/>
        <w:wordWrap/>
        <w:overflowPunct/>
        <w:topLinePunct w:val="0"/>
        <w:bidi w:val="0"/>
        <w:spacing w:line="264" w:lineRule="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t>21）蜡块存放柜</w:t>
      </w:r>
    </w:p>
    <w:p w14:paraId="7288F06B">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1.柜体采用0.8mm冷轧钢板。</w:t>
      </w:r>
    </w:p>
    <w:p w14:paraId="62DBEF1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2.抽屉自动归位功能，每套4组合，每组合6个抽屉，共24个抽屉，约放蜡块16500个。</w:t>
      </w:r>
    </w:p>
    <w:p w14:paraId="3BC69A96">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3.柜体经防锈处理，静电喷塑工艺。</w:t>
      </w:r>
    </w:p>
    <w:p w14:paraId="780C5E0C">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4.最新利用槽式滑轮，起始点配高强度滑轮，抽屉推拉顺畅，同时防止抽屉拉出来过长造成意外跌落。</w:t>
      </w:r>
    </w:p>
    <w:p w14:paraId="2445E39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5.另配高弹性减震垫，可使抽屉关闭时减轻与柜体的碰撞，同时使噪音减少至最低限度。</w:t>
      </w:r>
    </w:p>
    <w:p w14:paraId="3D94EA0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6.规格：约L450*W480*H1685mm</w:t>
      </w:r>
    </w:p>
    <w:p w14:paraId="21746F66">
      <w:pPr>
        <w:keepNext w:val="0"/>
        <w:keepLines w:val="0"/>
        <w:pageBreakBefore w:val="0"/>
        <w:kinsoku/>
        <w:wordWrap/>
        <w:overflowPunct/>
        <w:topLinePunct w:val="0"/>
        <w:bidi w:val="0"/>
        <w:spacing w:line="264" w:lineRule="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t>22）晾片存放柜</w:t>
      </w:r>
    </w:p>
    <w:p w14:paraId="1741B48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1.柜体采用0.8mm冷轧钢板。</w:t>
      </w:r>
    </w:p>
    <w:p w14:paraId="21E9202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2.抽屉自动归位功能，每套4组合，每组合6个抽屉，共24个抽屉，约放晾片≥6300片。</w:t>
      </w:r>
    </w:p>
    <w:p w14:paraId="16BB44A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3.柜体经防锈处理，静电喷塑工艺。</w:t>
      </w:r>
    </w:p>
    <w:p w14:paraId="65CD5EC2">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4.最新利用槽式滑轮，起始点配高强度滑轮，抽屉推拉顺畅，同时防止抽屉拉出来过长造成意外跌落。</w:t>
      </w:r>
    </w:p>
    <w:p w14:paraId="731DBF5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5.另配高弹性减震垫，可使抽屉关闭时减轻与柜体的碰撞，同时使噪音减少至最低限度。</w:t>
      </w:r>
    </w:p>
    <w:p w14:paraId="2811EF6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6.规格：约L450mm*W480mm*H1685mm</w:t>
      </w:r>
    </w:p>
    <w:p w14:paraId="7DBB4301">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23）电热恒温干燥箱</w:t>
      </w:r>
      <w:bookmarkEnd w:id="77"/>
    </w:p>
    <w:p w14:paraId="707C1FA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功能</w:t>
      </w:r>
    </w:p>
    <w:p w14:paraId="1386E1D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微电脑智能控制器，设定温度后，仪表自行控制加热功率，并显示加热状态，控温精确而稳定；</w:t>
      </w:r>
    </w:p>
    <w:p w14:paraId="4A882E6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独立限温报警系统；</w:t>
      </w:r>
    </w:p>
    <w:p w14:paraId="4812BA8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可选多段程序控制器；</w:t>
      </w:r>
    </w:p>
    <w:p w14:paraId="178F16B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超温声光报警并自动切断加热电源；</w:t>
      </w:r>
    </w:p>
    <w:p w14:paraId="7DECAF4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内置两层不锈钢消毒搁板，高度可自由调节；</w:t>
      </w:r>
    </w:p>
    <w:p w14:paraId="55C3A22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可配打印机或RS-485接口，连接计算机记录温度等参数变化状况；</w:t>
      </w:r>
    </w:p>
    <w:p w14:paraId="571AD0C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箱体采用优质冷轧钢板，表面静电喷塑，涂层坚硬牢固，具有极强的防锈能力；工作室为材料优质304镜面不锈钢或优质镀锌板表面喷涂制作而成，箱内圆角造型，搁板支架可自由装卸；</w:t>
      </w:r>
    </w:p>
    <w:p w14:paraId="239185B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1.8.</w:t>
      </w:r>
      <w:r>
        <w:rPr>
          <w:rFonts w:hint="eastAsia" w:ascii="仿宋" w:hAnsi="仿宋" w:eastAsia="仿宋" w:cs="仿宋"/>
          <w:color w:val="000000" w:themeColor="text1"/>
          <w:sz w:val="24"/>
          <w:szCs w:val="24"/>
          <w:lang w:val="en-US" w:eastAsia="zh-CN"/>
          <w14:textFill>
            <w14:solidFill>
              <w14:schemeClr w14:val="tx1"/>
            </w14:solidFill>
          </w14:textFill>
        </w:rPr>
        <w:t>低噪音风机，能在高温下长时间稳定运行；可调式新型进风口，控制箱内进出的空气量。</w:t>
      </w:r>
    </w:p>
    <w:p w14:paraId="26A4F63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2167588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容积：≥70升；</w:t>
      </w:r>
    </w:p>
    <w:p w14:paraId="620931A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加热方式：不锈钢电加热器；</w:t>
      </w:r>
    </w:p>
    <w:p w14:paraId="7A53764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控温范围：室温+5~200℃/室温+5-250℃；</w:t>
      </w:r>
    </w:p>
    <w:p w14:paraId="7C6504C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温度分辨率：1℃；</w:t>
      </w:r>
    </w:p>
    <w:p w14:paraId="37F05DA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lang w:val="en-US" w:eastAsia="zh-CN"/>
          <w14:textFill>
            <w14:solidFill>
              <w14:schemeClr w14:val="tx1"/>
            </w14:solidFill>
          </w14:textFill>
        </w:rPr>
        <w:t>温度波动率：±2℃；</w:t>
      </w:r>
    </w:p>
    <w:p w14:paraId="5F4EAF0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lang w:val="en-US" w:eastAsia="zh-CN"/>
          <w14:textFill>
            <w14:solidFill>
              <w14:schemeClr w14:val="tx1"/>
            </w14:solidFill>
          </w14:textFill>
        </w:rPr>
        <w:t>隔板数量：2块；</w:t>
      </w:r>
    </w:p>
    <w:p w14:paraId="432704F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lang w:val="en-US" w:eastAsia="zh-CN"/>
          <w14:textFill>
            <w14:solidFill>
              <w14:schemeClr w14:val="tx1"/>
            </w14:solidFill>
          </w14:textFill>
        </w:rPr>
        <w:t>工作时间：1-999min定时或连续；</w:t>
      </w:r>
    </w:p>
    <w:p w14:paraId="4C03CE0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lang w:val="en-US" w:eastAsia="zh-CN"/>
          <w14:textFill>
            <w14:solidFill>
              <w14:schemeClr w14:val="tx1"/>
            </w14:solidFill>
          </w14:textFill>
        </w:rPr>
        <w:t>功率：约1050W；</w:t>
      </w:r>
    </w:p>
    <w:p w14:paraId="5F8DD77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lang w:val="en-US" w:eastAsia="zh-CN"/>
          <w14:textFill>
            <w14:solidFill>
              <w14:schemeClr w14:val="tx1"/>
            </w14:solidFill>
          </w14:textFill>
        </w:rPr>
        <w:t>工作室尺寸：约450*350*450mm；</w:t>
      </w:r>
    </w:p>
    <w:p w14:paraId="33338E5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2.10.</w:t>
      </w:r>
      <w:r>
        <w:rPr>
          <w:rFonts w:hint="eastAsia" w:ascii="仿宋" w:hAnsi="仿宋" w:eastAsia="仿宋" w:cs="仿宋"/>
          <w:color w:val="000000" w:themeColor="text1"/>
          <w:sz w:val="24"/>
          <w:szCs w:val="24"/>
          <w:lang w:val="en-US" w:eastAsia="zh-CN"/>
          <w14:textFill>
            <w14:solidFill>
              <w14:schemeClr w14:val="tx1"/>
            </w14:solidFill>
          </w14:textFill>
        </w:rPr>
        <w:t>外形尺寸：约705*520*630mm。</w:t>
      </w:r>
    </w:p>
    <w:p w14:paraId="34B48438">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78" w:name="_Toc9846"/>
      <w:r>
        <w:rPr>
          <w:rFonts w:hint="eastAsia" w:ascii="仿宋" w:hAnsi="仿宋" w:eastAsia="仿宋" w:cs="仿宋"/>
          <w:b/>
          <w:bCs/>
          <w:color w:val="000000" w:themeColor="text1"/>
          <w:sz w:val="28"/>
          <w:szCs w:val="28"/>
          <w:lang w:val="en-US" w:eastAsia="zh-CN"/>
          <w14:textFill>
            <w14:solidFill>
              <w14:schemeClr w14:val="tx1"/>
            </w14:solidFill>
          </w14:textFill>
        </w:rPr>
        <w:t>24）离心机</w:t>
      </w:r>
      <w:bookmarkEnd w:id="78"/>
      <w:bookmarkStart w:id="79" w:name="_Toc20595"/>
      <w:bookmarkStart w:id="80" w:name="_Toc9486"/>
    </w:p>
    <w:p w14:paraId="4C6899F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功能</w:t>
      </w:r>
    </w:p>
    <w:p w14:paraId="673014C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直流无刷电机，免维护；微电脑控制，可预选转速、时间、离心力、转子号；</w:t>
      </w:r>
    </w:p>
    <w:p w14:paraId="339A597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按键操作，液晶显示，同时显示转速、时间、离心力、转子号；</w:t>
      </w:r>
    </w:p>
    <w:p w14:paraId="41D9F4D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lang w:val="en-US" w:eastAsia="zh-CN"/>
          <w14:textFill>
            <w14:solidFill>
              <w14:schemeClr w14:val="tx1"/>
            </w14:solidFill>
          </w14:textFill>
        </w:rPr>
        <w:t>转速步增单位为100rpm，离心力最小递增单位为100xg；</w:t>
      </w:r>
    </w:p>
    <w:p w14:paraId="4CBF1DE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lang w:val="en-US" w:eastAsia="zh-CN"/>
          <w14:textFill>
            <w14:solidFill>
              <w14:schemeClr w14:val="tx1"/>
            </w14:solidFill>
          </w14:textFill>
        </w:rPr>
        <w:t>自动记忆上次运行参数；10种升降速率供选择，组合键调节升级速率；</w:t>
      </w:r>
    </w:p>
    <w:p w14:paraId="6CA8E82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en-US" w:eastAsia="zh-CN"/>
          <w14:textFill>
            <w14:solidFill>
              <w14:schemeClr w14:val="tx1"/>
            </w14:solidFill>
          </w14:textFill>
        </w:rPr>
        <w:t>内置自动平衡装置；</w:t>
      </w:r>
    </w:p>
    <w:p w14:paraId="39AF98E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全钢金属机箱、不锈钢容器室，电子安全门锁，离心机运行时，门锁不能打开，确保离心安全；</w:t>
      </w:r>
    </w:p>
    <w:p w14:paraId="5E0C489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1.7.</w:t>
      </w:r>
      <w:r>
        <w:rPr>
          <w:rFonts w:hint="eastAsia" w:ascii="仿宋" w:hAnsi="仿宋" w:eastAsia="仿宋" w:cs="仿宋"/>
          <w:color w:val="000000" w:themeColor="text1"/>
          <w:sz w:val="24"/>
          <w:szCs w:val="24"/>
          <w:lang w:val="en-US" w:eastAsia="zh-CN"/>
          <w14:textFill>
            <w14:solidFill>
              <w14:schemeClr w14:val="tx1"/>
            </w14:solidFill>
          </w14:textFill>
        </w:rPr>
        <w:t>按钮式盖开关，结实耐用；故障报警功能。</w:t>
      </w:r>
    </w:p>
    <w:p w14:paraId="779B651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技术参数</w:t>
      </w:r>
    </w:p>
    <w:p w14:paraId="6C3AD84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最高转速约5000r/min；</w:t>
      </w:r>
    </w:p>
    <w:p w14:paraId="0C3F295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最大相对离心力≥4400xg；</w:t>
      </w:r>
    </w:p>
    <w:p w14:paraId="1363F3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定时范围1－999min；</w:t>
      </w:r>
    </w:p>
    <w:bookmarkEnd w:id="79"/>
    <w:bookmarkEnd w:id="80"/>
    <w:p w14:paraId="3FD4BB40">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25）HPV全自动杂交捕获检测系统</w:t>
      </w:r>
    </w:p>
    <w:p w14:paraId="4128D8CA">
      <w:pPr>
        <w:keepNext w:val="0"/>
        <w:keepLines w:val="0"/>
        <w:pageBreakBefore w:val="0"/>
        <w:widowControl/>
        <w:kinsoku/>
        <w:wordWrap/>
        <w:overflowPunct/>
        <w:topLinePunct w:val="0"/>
        <w:autoSpaceDE/>
        <w:autoSpaceDN/>
        <w:bidi w:val="0"/>
        <w:adjustRightInd/>
        <w:snapToGrid/>
        <w:spacing w:line="0" w:lineRule="atLeast"/>
        <w:ind w:right="0" w:rightChars="0"/>
        <w:textAlignment w:val="auto"/>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技术参数及配置要求：</w:t>
      </w:r>
    </w:p>
    <w:p w14:paraId="296322E0">
      <w:pPr>
        <w:keepNext w:val="0"/>
        <w:keepLines w:val="0"/>
        <w:pageBreakBefore w:val="0"/>
        <w:numPr>
          <w:ilvl w:val="0"/>
          <w:numId w:val="14"/>
        </w:numPr>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适用范围：用于检测人体宫颈脱落细胞中的2</w:t>
      </w: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种人乳头瘤病毒分型检测（P</w:t>
      </w:r>
      <w:r>
        <w:rPr>
          <w:rFonts w:hint="default" w:ascii="仿宋" w:hAnsi="仿宋" w:eastAsia="仿宋" w:cs="仿宋"/>
          <w:color w:val="000000" w:themeColor="text1"/>
          <w:sz w:val="24"/>
          <w:szCs w:val="24"/>
          <w:lang w:val="en-US" w:eastAsia="zh-CN"/>
          <w14:textFill>
            <w14:solidFill>
              <w14:schemeClr w14:val="tx1"/>
            </w14:solidFill>
          </w14:textFill>
        </w:rPr>
        <w:t>CR-</w:t>
      </w:r>
      <w:r>
        <w:rPr>
          <w:rFonts w:hint="eastAsia" w:ascii="仿宋" w:hAnsi="仿宋" w:eastAsia="仿宋" w:cs="仿宋"/>
          <w:color w:val="000000" w:themeColor="text1"/>
          <w:sz w:val="24"/>
          <w:szCs w:val="24"/>
          <w:lang w:val="en-US" w:eastAsia="zh-CN"/>
          <w14:textFill>
            <w14:solidFill>
              <w14:schemeClr w14:val="tx1"/>
            </w14:solidFill>
          </w14:textFill>
        </w:rPr>
        <w:t>芯片杂交法）</w:t>
      </w:r>
    </w:p>
    <w:p w14:paraId="33DA4BBF">
      <w:pPr>
        <w:keepNext w:val="0"/>
        <w:keepLines w:val="0"/>
        <w:pageBreakBefore w:val="0"/>
        <w:numPr>
          <w:ilvl w:val="0"/>
          <w:numId w:val="14"/>
        </w:numPr>
        <w:kinsoku/>
        <w:wordWrap/>
        <w:overflowPunct/>
        <w:topLinePunct w:val="0"/>
        <w:bidi w:val="0"/>
        <w:spacing w:line="264" w:lineRule="auto"/>
        <w:ind w:left="0" w:leftChars="0" w:firstLine="0" w:firstLine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检测原理：PCR体外扩增和DNA反</w:t>
      </w:r>
      <w:r>
        <w:rPr>
          <w:rFonts w:hint="default" w:ascii="仿宋" w:hAnsi="仿宋" w:eastAsia="仿宋" w:cs="仿宋"/>
          <w:color w:val="000000" w:themeColor="text1"/>
          <w:sz w:val="24"/>
          <w:szCs w:val="24"/>
          <w:lang w:val="en-US" w:eastAsia="zh-CN"/>
          <w14:textFill>
            <w14:solidFill>
              <w14:schemeClr w14:val="tx1"/>
            </w14:solidFill>
          </w14:textFill>
        </w:rPr>
        <w:t>向</w:t>
      </w:r>
      <w:r>
        <w:rPr>
          <w:rFonts w:hint="eastAsia" w:ascii="仿宋" w:hAnsi="仿宋" w:eastAsia="仿宋" w:cs="仿宋"/>
          <w:color w:val="000000" w:themeColor="text1"/>
          <w:sz w:val="24"/>
          <w:szCs w:val="24"/>
          <w:lang w:val="en-US" w:eastAsia="zh-CN"/>
          <w14:textFill>
            <w14:solidFill>
              <w14:schemeClr w14:val="tx1"/>
            </w14:solidFill>
          </w14:textFill>
        </w:rPr>
        <w:t>杂交法相结合的DNA芯片技术；</w:t>
      </w:r>
    </w:p>
    <w:p w14:paraId="1779F42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 xml:space="preserve">3 </w:t>
      </w:r>
      <w:r>
        <w:rPr>
          <w:rFonts w:hint="eastAsia" w:ascii="仿宋" w:hAnsi="仿宋" w:eastAsia="仿宋" w:cs="仿宋"/>
          <w:color w:val="000000" w:themeColor="text1"/>
          <w:sz w:val="24"/>
          <w:szCs w:val="24"/>
          <w:lang w:val="en-US" w:eastAsia="zh-CN"/>
          <w14:textFill>
            <w14:solidFill>
              <w14:schemeClr w14:val="tx1"/>
            </w14:solidFill>
          </w14:textFill>
        </w:rPr>
        <w:t xml:space="preserve"> 全自动分子检测平台，一键式操作，完成“从样本到结果”的全程检测；DNA矩阵与微流控芯片产品一体化，真正实现了核酸提取、纯化、扩增和基因分型检测的全程自动化；</w:t>
      </w:r>
    </w:p>
    <w:p w14:paraId="55DB0030">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检测系统一体机设计，单台检测设备满足全部检测需求；</w:t>
      </w:r>
    </w:p>
    <w:p w14:paraId="0F8B6AB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核酸检测全程密闭在芯片内，不出现核酸在系统间或者反应管（孔）间的转移；</w:t>
      </w:r>
    </w:p>
    <w:p w14:paraId="0A82AB2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检测时间：不超过</w:t>
      </w: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小时；</w:t>
      </w:r>
    </w:p>
    <w:p w14:paraId="3117F0FA">
      <w:pPr>
        <w:keepNext w:val="0"/>
        <w:keepLines w:val="0"/>
        <w:pageBreakBefore w:val="0"/>
        <w:kinsoku/>
        <w:wordWrap/>
        <w:overflowPunct/>
        <w:topLinePunct w:val="0"/>
        <w:bidi w:val="0"/>
        <w:spacing w:line="264" w:lineRule="auto"/>
        <w:rPr>
          <w:rFonts w:hint="eastAsia" w:ascii="仿宋" w:hAnsi="仿宋" w:eastAsia="仿宋" w:cs="仿宋"/>
          <w:b w:val="0"/>
          <w:bCs/>
          <w:color w:val="auto"/>
          <w:kern w:val="0"/>
          <w:sz w:val="24"/>
          <w:szCs w:val="24"/>
        </w:rPr>
      </w:pPr>
      <w:r>
        <w:rPr>
          <w:rFonts w:hint="default"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通量：</w:t>
      </w:r>
      <w:r>
        <w:rPr>
          <w:rFonts w:hint="eastAsia" w:ascii="仿宋" w:hAnsi="仿宋" w:eastAsia="仿宋" w:cs="仿宋"/>
          <w:b w:val="0"/>
          <w:bCs/>
          <w:color w:val="auto"/>
          <w:kern w:val="0"/>
          <w:sz w:val="24"/>
          <w:szCs w:val="24"/>
        </w:rPr>
        <w:t>4-24通道</w:t>
      </w:r>
    </w:p>
    <w:p w14:paraId="51986EB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设备可具备紫外照射消毒灭菌功能；</w:t>
      </w:r>
    </w:p>
    <w:p w14:paraId="3803CB4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数据结果可追溯：设备全自动对检测结果进行拍照存储，保证结果可以进行回溯；</w:t>
      </w:r>
    </w:p>
    <w:p w14:paraId="26BC922E">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.每个样本检测过程均进行单样本独立质控，包括内参基因的引物和探针设计，保证样本制备提取纯化处于质量控制外，还包括空白探针以及阴性对照探针对单个样本进行设置空白和阴性对照，保证结果可靠。</w:t>
      </w:r>
    </w:p>
    <w:p w14:paraId="63DE77E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.内参质控有梯度浓度设置，可以监控样本细胞的采集质量</w:t>
      </w:r>
    </w:p>
    <w:p w14:paraId="4FAE5D9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数据管理：样品管上的条形码可被芯片控制仪自动识别，连接医院</w:t>
      </w:r>
      <w:r>
        <w:rPr>
          <w:rFonts w:hint="default" w:ascii="仿宋" w:hAnsi="仿宋" w:eastAsia="仿宋" w:cs="仿宋"/>
          <w:color w:val="000000" w:themeColor="text1"/>
          <w:sz w:val="24"/>
          <w:szCs w:val="24"/>
          <w:lang w:val="en-US" w:eastAsia="zh-CN"/>
          <w14:textFill>
            <w14:solidFill>
              <w14:schemeClr w14:val="tx1"/>
            </w14:solidFill>
          </w14:textFill>
        </w:rPr>
        <w:t>LIS</w:t>
      </w:r>
      <w:r>
        <w:rPr>
          <w:rFonts w:hint="eastAsia" w:ascii="仿宋" w:hAnsi="仿宋" w:eastAsia="仿宋" w:cs="仿宋"/>
          <w:color w:val="000000" w:themeColor="text1"/>
          <w:sz w:val="24"/>
          <w:szCs w:val="24"/>
          <w:lang w:val="en-US" w:eastAsia="zh-CN"/>
          <w14:textFill>
            <w14:solidFill>
              <w14:schemeClr w14:val="tx1"/>
            </w14:solidFill>
          </w14:textFill>
        </w:rPr>
        <w:t>系统，轻松实现检测结果的自动化存储与调用。</w:t>
      </w:r>
    </w:p>
    <w:p w14:paraId="0004A009">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 设备保修期2年，并永久免费提供软件升级服务；</w:t>
      </w:r>
    </w:p>
    <w:p w14:paraId="5F80C9B1">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 卖方在保修期内每半年免费进行一次状态检测；</w:t>
      </w:r>
    </w:p>
    <w:p w14:paraId="4074B31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 卖方为需方操作人员免费提供现场操作培训，为需方工程师免费提供技术培训；</w:t>
      </w:r>
    </w:p>
    <w:p w14:paraId="48A34BC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 维修响应时间≤</w:t>
      </w: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小时，报修后</w:t>
      </w:r>
      <w:r>
        <w:rPr>
          <w:rFonts w:hint="default"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lang w:val="en-US" w:eastAsia="zh-CN"/>
          <w14:textFill>
            <w14:solidFill>
              <w14:schemeClr w14:val="tx1"/>
            </w14:solidFill>
          </w14:textFill>
        </w:rPr>
        <w:t>小时内维修工程师到达现场；</w:t>
      </w:r>
    </w:p>
    <w:p w14:paraId="1CA5151C">
      <w:pPr>
        <w:keepNext w:val="0"/>
        <w:keepLines w:val="0"/>
        <w:pageBreakBefore w:val="0"/>
        <w:kinsoku/>
        <w:wordWrap/>
        <w:overflowPunct/>
        <w:topLinePunct w:val="0"/>
        <w:bidi w:val="0"/>
        <w:spacing w:line="264" w:lineRule="auto"/>
        <w:rPr>
          <w:rFonts w:hint="eastAsia" w:ascii="宋体" w:hAnsi="宋体" w:cs="宋体"/>
          <w:kern w:val="0"/>
          <w:sz w:val="24"/>
        </w:rPr>
      </w:pPr>
      <w:r>
        <w:rPr>
          <w:rFonts w:hint="eastAsia" w:ascii="仿宋" w:hAnsi="仿宋" w:eastAsia="仿宋" w:cs="仿宋"/>
          <w:color w:val="000000" w:themeColor="text1"/>
          <w:sz w:val="24"/>
          <w:szCs w:val="24"/>
          <w:lang w:val="en-US" w:eastAsia="zh-CN"/>
          <w14:textFill>
            <w14:solidFill>
              <w14:schemeClr w14:val="tx1"/>
            </w14:solidFill>
          </w14:textFill>
        </w:rPr>
        <w:t>17. 省内有固定的维修工程师，提供免费保修电话。</w:t>
      </w:r>
    </w:p>
    <w:p w14:paraId="1BF13797">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26）五人共览显微镜</w:t>
      </w:r>
    </w:p>
    <w:p w14:paraId="4D354E5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五人共览生物显微镜采用无限远光学系统，机座一体化的设计，配置无限远消色差物镜和大视野目镜。可供多人共同观察同一标本，高亮度照明，图像清晰。</w:t>
      </w:r>
    </w:p>
    <w:p w14:paraId="7C2583B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无穷远平场物镜参数表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924"/>
        <w:gridCol w:w="1904"/>
        <w:gridCol w:w="1714"/>
        <w:gridCol w:w="1644"/>
      </w:tblGrid>
      <w:tr w14:paraId="28C3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32" w:type="dxa"/>
            <w:tcBorders>
              <w:tl2br w:val="nil"/>
              <w:tr2bl w:val="nil"/>
            </w:tcBorders>
            <w:noWrap w:val="0"/>
            <w:vAlign w:val="center"/>
          </w:tcPr>
          <w:p w14:paraId="413D802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放大倍数</w:t>
            </w:r>
          </w:p>
        </w:tc>
        <w:tc>
          <w:tcPr>
            <w:tcW w:w="1924" w:type="dxa"/>
            <w:tcBorders>
              <w:tl2br w:val="nil"/>
              <w:tr2bl w:val="nil"/>
            </w:tcBorders>
            <w:noWrap w:val="0"/>
            <w:vAlign w:val="center"/>
          </w:tcPr>
          <w:p w14:paraId="22B0D84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数值孔径（NA）</w:t>
            </w:r>
          </w:p>
        </w:tc>
        <w:tc>
          <w:tcPr>
            <w:tcW w:w="1904" w:type="dxa"/>
            <w:tcBorders>
              <w:tl2br w:val="nil"/>
              <w:tr2bl w:val="nil"/>
            </w:tcBorders>
            <w:noWrap w:val="0"/>
            <w:vAlign w:val="center"/>
          </w:tcPr>
          <w:p w14:paraId="63C9915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盖玻片厚度(mm)</w:t>
            </w:r>
          </w:p>
        </w:tc>
        <w:tc>
          <w:tcPr>
            <w:tcW w:w="1714" w:type="dxa"/>
            <w:tcBorders>
              <w:tl2br w:val="nil"/>
              <w:tr2bl w:val="nil"/>
            </w:tcBorders>
            <w:noWrap w:val="0"/>
            <w:vAlign w:val="center"/>
          </w:tcPr>
          <w:p w14:paraId="12E9D28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工作距（mm）</w:t>
            </w:r>
          </w:p>
        </w:tc>
        <w:tc>
          <w:tcPr>
            <w:tcW w:w="1644" w:type="dxa"/>
            <w:tcBorders>
              <w:tl2br w:val="nil"/>
              <w:tr2bl w:val="nil"/>
            </w:tcBorders>
            <w:noWrap w:val="0"/>
            <w:vAlign w:val="center"/>
          </w:tcPr>
          <w:p w14:paraId="09E674D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放大率标志</w:t>
            </w:r>
          </w:p>
          <w:p w14:paraId="0B29E40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(色环)</w:t>
            </w:r>
          </w:p>
        </w:tc>
      </w:tr>
      <w:tr w14:paraId="0482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32" w:type="dxa"/>
            <w:tcBorders>
              <w:tl2br w:val="nil"/>
              <w:tr2bl w:val="nil"/>
            </w:tcBorders>
            <w:noWrap w:val="0"/>
            <w:vAlign w:val="top"/>
          </w:tcPr>
          <w:p w14:paraId="5F390A5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924" w:type="dxa"/>
            <w:tcBorders>
              <w:tl2br w:val="nil"/>
              <w:tr2bl w:val="nil"/>
            </w:tcBorders>
            <w:noWrap w:val="0"/>
            <w:vAlign w:val="top"/>
          </w:tcPr>
          <w:p w14:paraId="6769858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0.10</w:t>
            </w:r>
          </w:p>
        </w:tc>
        <w:tc>
          <w:tcPr>
            <w:tcW w:w="1904" w:type="dxa"/>
            <w:tcBorders>
              <w:tl2br w:val="nil"/>
              <w:tr2bl w:val="nil"/>
            </w:tcBorders>
            <w:noWrap w:val="0"/>
            <w:vAlign w:val="top"/>
          </w:tcPr>
          <w:p w14:paraId="74188E9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c>
          <w:tcPr>
            <w:tcW w:w="1714" w:type="dxa"/>
            <w:tcBorders>
              <w:tl2br w:val="nil"/>
              <w:tr2bl w:val="nil"/>
            </w:tcBorders>
            <w:noWrap w:val="0"/>
            <w:vAlign w:val="top"/>
          </w:tcPr>
          <w:p w14:paraId="0C7C9FCF">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18.5</w:t>
            </w:r>
          </w:p>
        </w:tc>
        <w:tc>
          <w:tcPr>
            <w:tcW w:w="1644" w:type="dxa"/>
            <w:tcBorders>
              <w:tl2br w:val="nil"/>
              <w:tr2bl w:val="nil"/>
            </w:tcBorders>
            <w:noWrap w:val="0"/>
            <w:vAlign w:val="top"/>
          </w:tcPr>
          <w:p w14:paraId="11FCE77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红色</w:t>
            </w:r>
          </w:p>
        </w:tc>
      </w:tr>
      <w:tr w14:paraId="6D4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32" w:type="dxa"/>
            <w:tcBorders>
              <w:tl2br w:val="nil"/>
              <w:tr2bl w:val="nil"/>
            </w:tcBorders>
            <w:noWrap w:val="0"/>
            <w:vAlign w:val="top"/>
          </w:tcPr>
          <w:p w14:paraId="0285316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924" w:type="dxa"/>
            <w:tcBorders>
              <w:tl2br w:val="nil"/>
              <w:tr2bl w:val="nil"/>
            </w:tcBorders>
            <w:noWrap w:val="0"/>
            <w:vAlign w:val="top"/>
          </w:tcPr>
          <w:p w14:paraId="0CD1443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0.25</w:t>
            </w:r>
          </w:p>
        </w:tc>
        <w:tc>
          <w:tcPr>
            <w:tcW w:w="1904" w:type="dxa"/>
            <w:tcBorders>
              <w:tl2br w:val="nil"/>
              <w:tr2bl w:val="nil"/>
            </w:tcBorders>
            <w:noWrap w:val="0"/>
            <w:vAlign w:val="top"/>
          </w:tcPr>
          <w:p w14:paraId="6BE6225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c>
          <w:tcPr>
            <w:tcW w:w="1714" w:type="dxa"/>
            <w:tcBorders>
              <w:tl2br w:val="nil"/>
              <w:tr2bl w:val="nil"/>
            </w:tcBorders>
            <w:noWrap w:val="0"/>
            <w:vAlign w:val="top"/>
          </w:tcPr>
          <w:p w14:paraId="73FAC583">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w:t>
            </w:r>
          </w:p>
        </w:tc>
        <w:tc>
          <w:tcPr>
            <w:tcW w:w="1644" w:type="dxa"/>
            <w:tcBorders>
              <w:tl2br w:val="nil"/>
              <w:tr2bl w:val="nil"/>
            </w:tcBorders>
            <w:noWrap w:val="0"/>
            <w:vAlign w:val="top"/>
          </w:tcPr>
          <w:p w14:paraId="6B1A2B5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黄色</w:t>
            </w:r>
          </w:p>
        </w:tc>
      </w:tr>
      <w:tr w14:paraId="26BF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32" w:type="dxa"/>
            <w:tcBorders>
              <w:tl2br w:val="nil"/>
              <w:tr2bl w:val="nil"/>
            </w:tcBorders>
            <w:noWrap w:val="0"/>
            <w:vAlign w:val="top"/>
          </w:tcPr>
          <w:p w14:paraId="496B267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w:t>
            </w:r>
          </w:p>
        </w:tc>
        <w:tc>
          <w:tcPr>
            <w:tcW w:w="1924" w:type="dxa"/>
            <w:tcBorders>
              <w:tl2br w:val="nil"/>
              <w:tr2bl w:val="nil"/>
            </w:tcBorders>
            <w:noWrap w:val="0"/>
            <w:vAlign w:val="top"/>
          </w:tcPr>
          <w:p w14:paraId="394B44C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0.65</w:t>
            </w:r>
          </w:p>
        </w:tc>
        <w:tc>
          <w:tcPr>
            <w:tcW w:w="1904" w:type="dxa"/>
            <w:tcBorders>
              <w:tl2br w:val="nil"/>
              <w:tr2bl w:val="nil"/>
            </w:tcBorders>
            <w:noWrap w:val="0"/>
            <w:vAlign w:val="top"/>
          </w:tcPr>
          <w:p w14:paraId="55AE0C0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c>
          <w:tcPr>
            <w:tcW w:w="1714" w:type="dxa"/>
            <w:tcBorders>
              <w:tl2br w:val="nil"/>
              <w:tr2bl w:val="nil"/>
            </w:tcBorders>
            <w:noWrap w:val="0"/>
            <w:vAlign w:val="top"/>
          </w:tcPr>
          <w:p w14:paraId="1FF9316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0.6</w:t>
            </w:r>
          </w:p>
        </w:tc>
        <w:tc>
          <w:tcPr>
            <w:tcW w:w="1644" w:type="dxa"/>
            <w:tcBorders>
              <w:tl2br w:val="nil"/>
              <w:tr2bl w:val="nil"/>
            </w:tcBorders>
            <w:noWrap w:val="0"/>
            <w:vAlign w:val="top"/>
          </w:tcPr>
          <w:p w14:paraId="412C467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淡蓝色</w:t>
            </w:r>
          </w:p>
        </w:tc>
      </w:tr>
      <w:tr w14:paraId="43D0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32" w:type="dxa"/>
            <w:tcBorders>
              <w:tl2br w:val="nil"/>
              <w:tr2bl w:val="nil"/>
            </w:tcBorders>
            <w:noWrap w:val="0"/>
            <w:vAlign w:val="top"/>
          </w:tcPr>
          <w:p w14:paraId="1FBA646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w:t>
            </w:r>
          </w:p>
        </w:tc>
        <w:tc>
          <w:tcPr>
            <w:tcW w:w="1924" w:type="dxa"/>
            <w:tcBorders>
              <w:tl2br w:val="nil"/>
              <w:tr2bl w:val="nil"/>
            </w:tcBorders>
            <w:noWrap w:val="0"/>
            <w:vAlign w:val="top"/>
          </w:tcPr>
          <w:p w14:paraId="3A299F7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1.25</w:t>
            </w:r>
          </w:p>
        </w:tc>
        <w:tc>
          <w:tcPr>
            <w:tcW w:w="1904" w:type="dxa"/>
            <w:tcBorders>
              <w:tl2br w:val="nil"/>
              <w:tr2bl w:val="nil"/>
            </w:tcBorders>
            <w:noWrap w:val="0"/>
            <w:vAlign w:val="top"/>
          </w:tcPr>
          <w:p w14:paraId="29AB2BE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c>
          <w:tcPr>
            <w:tcW w:w="1714" w:type="dxa"/>
            <w:tcBorders>
              <w:tl2br w:val="nil"/>
              <w:tr2bl w:val="nil"/>
            </w:tcBorders>
            <w:noWrap w:val="0"/>
            <w:vAlign w:val="top"/>
          </w:tcPr>
          <w:p w14:paraId="08DC1B5D">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0.15</w:t>
            </w:r>
          </w:p>
        </w:tc>
        <w:tc>
          <w:tcPr>
            <w:tcW w:w="1644" w:type="dxa"/>
            <w:tcBorders>
              <w:tl2br w:val="nil"/>
              <w:tr2bl w:val="nil"/>
            </w:tcBorders>
            <w:noWrap w:val="0"/>
            <w:vAlign w:val="top"/>
          </w:tcPr>
          <w:p w14:paraId="6B4E7CB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黑白二圈</w:t>
            </w:r>
          </w:p>
        </w:tc>
      </w:tr>
    </w:tbl>
    <w:p w14:paraId="4FE12F9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166C890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目镜参数表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2288"/>
        <w:gridCol w:w="1764"/>
        <w:gridCol w:w="1961"/>
      </w:tblGrid>
      <w:tr w14:paraId="34EF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06" w:type="dxa"/>
            <w:noWrap w:val="0"/>
            <w:vAlign w:val="center"/>
          </w:tcPr>
          <w:p w14:paraId="2B12AB1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类别</w:t>
            </w:r>
          </w:p>
        </w:tc>
        <w:tc>
          <w:tcPr>
            <w:tcW w:w="2288" w:type="dxa"/>
            <w:noWrap w:val="0"/>
            <w:vAlign w:val="center"/>
          </w:tcPr>
          <w:p w14:paraId="59AEBFD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放大率</w:t>
            </w:r>
          </w:p>
        </w:tc>
        <w:tc>
          <w:tcPr>
            <w:tcW w:w="1764" w:type="dxa"/>
            <w:noWrap w:val="0"/>
            <w:vAlign w:val="center"/>
          </w:tcPr>
          <w:p w14:paraId="2F01D15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镜筒</w:t>
            </w:r>
          </w:p>
        </w:tc>
        <w:tc>
          <w:tcPr>
            <w:tcW w:w="1961" w:type="dxa"/>
            <w:noWrap w:val="0"/>
            <w:vAlign w:val="center"/>
          </w:tcPr>
          <w:p w14:paraId="72BCA94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线视场（mm）</w:t>
            </w:r>
          </w:p>
        </w:tc>
      </w:tr>
      <w:tr w14:paraId="3428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06" w:type="dxa"/>
            <w:noWrap w:val="0"/>
            <w:vAlign w:val="center"/>
          </w:tcPr>
          <w:p w14:paraId="410A797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超大视野目镜</w:t>
            </w:r>
          </w:p>
        </w:tc>
        <w:tc>
          <w:tcPr>
            <w:tcW w:w="2288" w:type="dxa"/>
            <w:noWrap w:val="0"/>
            <w:vAlign w:val="center"/>
          </w:tcPr>
          <w:p w14:paraId="6D67E10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764" w:type="dxa"/>
            <w:noWrap w:val="0"/>
            <w:vAlign w:val="center"/>
          </w:tcPr>
          <w:p w14:paraId="7E48F4B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Φ30</w:t>
            </w:r>
          </w:p>
        </w:tc>
        <w:tc>
          <w:tcPr>
            <w:tcW w:w="1961" w:type="dxa"/>
            <w:noWrap w:val="0"/>
            <w:vAlign w:val="center"/>
          </w:tcPr>
          <w:p w14:paraId="44E6917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Φ22</w:t>
            </w:r>
          </w:p>
        </w:tc>
      </w:tr>
    </w:tbl>
    <w:p w14:paraId="30990AA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3216865D">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27）荧光显微镜</w:t>
      </w:r>
    </w:p>
    <w:p w14:paraId="05AB6C1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荧光显微镜可用于落射荧光显微观察和透射明视场观察，无限远光学系统与模块化设计，配置无放大率色差的无限远平场消色差荧光物镜和大视野目镜。</w:t>
      </w:r>
    </w:p>
    <w:p w14:paraId="0780749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显微镜参数表</w:t>
      </w:r>
    </w:p>
    <w:tbl>
      <w:tblPr>
        <w:tblStyle w:val="22"/>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Layout w:type="autofit"/>
        <w:tblCellMar>
          <w:top w:w="0" w:type="dxa"/>
          <w:left w:w="0" w:type="dxa"/>
          <w:bottom w:w="0" w:type="dxa"/>
          <w:right w:w="0" w:type="dxa"/>
        </w:tblCellMar>
      </w:tblPr>
      <w:tblGrid>
        <w:gridCol w:w="936"/>
        <w:gridCol w:w="2335"/>
        <w:gridCol w:w="5638"/>
      </w:tblGrid>
      <w:tr w14:paraId="655E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1859479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序号</w:t>
            </w:r>
          </w:p>
        </w:tc>
        <w:tc>
          <w:tcPr>
            <w:tcW w:w="2334" w:type="dxa"/>
            <w:shd w:val="clear" w:color="auto" w:fill="FFFFFF"/>
            <w:noWrap w:val="0"/>
            <w:tcMar>
              <w:top w:w="0" w:type="dxa"/>
              <w:left w:w="240" w:type="dxa"/>
              <w:bottom w:w="0" w:type="dxa"/>
              <w:right w:w="0" w:type="dxa"/>
            </w:tcMar>
            <w:vAlign w:val="center"/>
          </w:tcPr>
          <w:p w14:paraId="0FD728E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名称</w:t>
            </w:r>
          </w:p>
        </w:tc>
        <w:tc>
          <w:tcPr>
            <w:tcW w:w="5636" w:type="dxa"/>
            <w:shd w:val="clear" w:color="auto" w:fill="FFFFFF"/>
            <w:noWrap w:val="0"/>
            <w:tcMar>
              <w:top w:w="0" w:type="dxa"/>
              <w:left w:w="240" w:type="dxa"/>
              <w:bottom w:w="0" w:type="dxa"/>
              <w:right w:w="0" w:type="dxa"/>
            </w:tcMar>
            <w:vAlign w:val="center"/>
          </w:tcPr>
          <w:p w14:paraId="0B68DD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技术参数</w:t>
            </w:r>
          </w:p>
        </w:tc>
      </w:tr>
      <w:tr w14:paraId="5494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4E547C2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334" w:type="dxa"/>
            <w:shd w:val="clear" w:color="auto" w:fill="FFFFFF"/>
            <w:noWrap w:val="0"/>
            <w:tcMar>
              <w:top w:w="0" w:type="dxa"/>
              <w:left w:w="240" w:type="dxa"/>
              <w:bottom w:w="0" w:type="dxa"/>
              <w:right w:w="0" w:type="dxa"/>
            </w:tcMar>
            <w:vAlign w:val="center"/>
          </w:tcPr>
          <w:p w14:paraId="6B768FF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平场目镜</w:t>
            </w:r>
          </w:p>
        </w:tc>
        <w:tc>
          <w:tcPr>
            <w:tcW w:w="5636" w:type="dxa"/>
            <w:shd w:val="clear" w:color="auto" w:fill="FFFFFF"/>
            <w:noWrap w:val="0"/>
            <w:tcMar>
              <w:top w:w="0" w:type="dxa"/>
              <w:left w:w="240" w:type="dxa"/>
              <w:bottom w:w="0" w:type="dxa"/>
              <w:right w:w="0" w:type="dxa"/>
            </w:tcMar>
            <w:vAlign w:val="center"/>
          </w:tcPr>
          <w:p w14:paraId="174D5D7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大视野WF10X(Φ20mm)</w:t>
            </w:r>
          </w:p>
        </w:tc>
      </w:tr>
      <w:tr w14:paraId="6FF1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0CF5737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2334" w:type="dxa"/>
            <w:shd w:val="clear" w:color="auto" w:fill="FFFFFF"/>
            <w:noWrap w:val="0"/>
            <w:tcMar>
              <w:top w:w="0" w:type="dxa"/>
              <w:left w:w="240" w:type="dxa"/>
              <w:bottom w:w="0" w:type="dxa"/>
              <w:right w:w="0" w:type="dxa"/>
            </w:tcMar>
            <w:vAlign w:val="center"/>
          </w:tcPr>
          <w:p w14:paraId="065E897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无限远平场消色差物镜</w:t>
            </w:r>
          </w:p>
        </w:tc>
        <w:tc>
          <w:tcPr>
            <w:tcW w:w="5636" w:type="dxa"/>
            <w:shd w:val="clear" w:color="auto" w:fill="FFFFFF"/>
            <w:noWrap w:val="0"/>
            <w:tcMar>
              <w:top w:w="0" w:type="dxa"/>
              <w:left w:w="240" w:type="dxa"/>
              <w:bottom w:w="0" w:type="dxa"/>
              <w:right w:w="0" w:type="dxa"/>
            </w:tcMar>
            <w:vAlign w:val="center"/>
          </w:tcPr>
          <w:p w14:paraId="460D8F3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无限远PL4X/0.10、10X/0.25、40X/0.65、100X/1.25(油)</w:t>
            </w:r>
          </w:p>
        </w:tc>
      </w:tr>
      <w:tr w14:paraId="6F1F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37EECC1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2334" w:type="dxa"/>
            <w:shd w:val="clear" w:color="auto" w:fill="FFFFFF"/>
            <w:noWrap w:val="0"/>
            <w:tcMar>
              <w:top w:w="0" w:type="dxa"/>
              <w:left w:w="240" w:type="dxa"/>
              <w:bottom w:w="0" w:type="dxa"/>
              <w:right w:w="0" w:type="dxa"/>
            </w:tcMar>
            <w:vAlign w:val="center"/>
          </w:tcPr>
          <w:p w14:paraId="33AB1EE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总放大倍数</w:t>
            </w:r>
          </w:p>
        </w:tc>
        <w:tc>
          <w:tcPr>
            <w:tcW w:w="5636" w:type="dxa"/>
            <w:shd w:val="clear" w:color="auto" w:fill="FFFFFF"/>
            <w:noWrap w:val="0"/>
            <w:tcMar>
              <w:top w:w="0" w:type="dxa"/>
              <w:left w:w="240" w:type="dxa"/>
              <w:bottom w:w="0" w:type="dxa"/>
              <w:right w:w="0" w:type="dxa"/>
            </w:tcMar>
            <w:vAlign w:val="center"/>
          </w:tcPr>
          <w:p w14:paraId="6EC41DD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40X-1000X</w:t>
            </w:r>
          </w:p>
        </w:tc>
      </w:tr>
      <w:tr w14:paraId="117B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1E9C2A9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2334" w:type="dxa"/>
            <w:shd w:val="clear" w:color="auto" w:fill="FFFFFF"/>
            <w:noWrap w:val="0"/>
            <w:tcMar>
              <w:top w:w="0" w:type="dxa"/>
              <w:left w:w="240" w:type="dxa"/>
              <w:bottom w:w="0" w:type="dxa"/>
              <w:right w:w="0" w:type="dxa"/>
            </w:tcMar>
            <w:vAlign w:val="center"/>
          </w:tcPr>
          <w:p w14:paraId="02D0756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观察头</w:t>
            </w:r>
          </w:p>
        </w:tc>
        <w:tc>
          <w:tcPr>
            <w:tcW w:w="5636" w:type="dxa"/>
            <w:shd w:val="clear" w:color="auto" w:fill="FFFFFF"/>
            <w:noWrap w:val="0"/>
            <w:tcMar>
              <w:top w:w="0" w:type="dxa"/>
              <w:left w:w="240" w:type="dxa"/>
              <w:bottom w:w="0" w:type="dxa"/>
              <w:right w:w="0" w:type="dxa"/>
            </w:tcMar>
            <w:vAlign w:val="center"/>
          </w:tcPr>
          <w:p w14:paraId="296B8F9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三目,30°倾斜</w:t>
            </w:r>
          </w:p>
        </w:tc>
      </w:tr>
      <w:tr w14:paraId="0DBB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694F0B1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2334" w:type="dxa"/>
            <w:shd w:val="clear" w:color="auto" w:fill="FFFFFF"/>
            <w:noWrap w:val="0"/>
            <w:tcMar>
              <w:top w:w="0" w:type="dxa"/>
              <w:left w:w="240" w:type="dxa"/>
              <w:bottom w:w="0" w:type="dxa"/>
              <w:right w:w="0" w:type="dxa"/>
            </w:tcMar>
            <w:vAlign w:val="center"/>
          </w:tcPr>
          <w:p w14:paraId="5F42D0D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转换器</w:t>
            </w:r>
          </w:p>
        </w:tc>
        <w:tc>
          <w:tcPr>
            <w:tcW w:w="5636" w:type="dxa"/>
            <w:shd w:val="clear" w:color="auto" w:fill="FFFFFF"/>
            <w:noWrap w:val="0"/>
            <w:tcMar>
              <w:top w:w="0" w:type="dxa"/>
              <w:left w:w="240" w:type="dxa"/>
              <w:bottom w:w="0" w:type="dxa"/>
              <w:right w:w="0" w:type="dxa"/>
            </w:tcMar>
            <w:vAlign w:val="center"/>
          </w:tcPr>
          <w:p w14:paraId="74D0E39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五孔(内向式滚珠内定位)</w:t>
            </w:r>
          </w:p>
        </w:tc>
      </w:tr>
      <w:tr w14:paraId="57B2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383D61E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2334" w:type="dxa"/>
            <w:shd w:val="clear" w:color="auto" w:fill="FFFFFF"/>
            <w:noWrap w:val="0"/>
            <w:tcMar>
              <w:top w:w="0" w:type="dxa"/>
              <w:left w:w="240" w:type="dxa"/>
              <w:bottom w:w="0" w:type="dxa"/>
              <w:right w:w="0" w:type="dxa"/>
            </w:tcMar>
            <w:vAlign w:val="center"/>
          </w:tcPr>
          <w:p w14:paraId="66F94AE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载物台</w:t>
            </w:r>
          </w:p>
        </w:tc>
        <w:tc>
          <w:tcPr>
            <w:tcW w:w="5636" w:type="dxa"/>
            <w:shd w:val="clear" w:color="auto" w:fill="FFFFFF"/>
            <w:noWrap w:val="0"/>
            <w:tcMar>
              <w:top w:w="0" w:type="dxa"/>
              <w:left w:w="240" w:type="dxa"/>
              <w:bottom w:w="0" w:type="dxa"/>
              <w:right w:w="0" w:type="dxa"/>
            </w:tcMar>
            <w:vAlign w:val="center"/>
          </w:tcPr>
          <w:p w14:paraId="4D44A8A3">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载物台垂直运动方向距离不小于25mm，带聚焦粗调限位器，粗调旋钮扭矩可调，最小微调刻度单位≤1微米,人机工程学、右手、低位置同轴驱动选钮的高抗磨损性陶瓷覆盖层载物台。</w:t>
            </w:r>
          </w:p>
        </w:tc>
      </w:tr>
      <w:tr w14:paraId="68F1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1C39C79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2334" w:type="dxa"/>
            <w:shd w:val="clear" w:color="auto" w:fill="FFFFFF"/>
            <w:noWrap w:val="0"/>
            <w:tcMar>
              <w:top w:w="0" w:type="dxa"/>
              <w:left w:w="240" w:type="dxa"/>
              <w:bottom w:w="0" w:type="dxa"/>
              <w:right w:w="0" w:type="dxa"/>
            </w:tcMar>
            <w:vAlign w:val="center"/>
          </w:tcPr>
          <w:p w14:paraId="6592AAF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荧光滤光片组</w:t>
            </w:r>
          </w:p>
        </w:tc>
        <w:tc>
          <w:tcPr>
            <w:tcW w:w="5636" w:type="dxa"/>
            <w:shd w:val="clear" w:color="auto" w:fill="FFFFFF"/>
            <w:noWrap w:val="0"/>
            <w:tcMar>
              <w:top w:w="0" w:type="dxa"/>
              <w:left w:w="240" w:type="dxa"/>
              <w:bottom w:w="0" w:type="dxa"/>
              <w:right w:w="0" w:type="dxa"/>
            </w:tcMar>
            <w:vAlign w:val="center"/>
          </w:tcPr>
          <w:p w14:paraId="2CCF9E2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紫外UV、紫V、蓝B、绿G四组激发滤色片组</w:t>
            </w:r>
          </w:p>
          <w:p w14:paraId="0A00B24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荧光滤光片组B激发光波段:450~490nm</w:t>
            </w:r>
          </w:p>
          <w:p w14:paraId="585E64C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荧光滤光片组G激发光波段:495~555nm</w:t>
            </w:r>
          </w:p>
          <w:p w14:paraId="761CDAF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荧光滤光片组UV激发光波段320~380nm</w:t>
            </w:r>
          </w:p>
          <w:p w14:paraId="056CABF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荧光滤光片组V激发光波段380~415nm</w:t>
            </w:r>
          </w:p>
        </w:tc>
      </w:tr>
      <w:tr w14:paraId="18F3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4F39DF4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2334" w:type="dxa"/>
            <w:shd w:val="clear" w:color="auto" w:fill="FFFFFF"/>
            <w:noWrap w:val="0"/>
            <w:tcMar>
              <w:top w:w="0" w:type="dxa"/>
              <w:left w:w="240" w:type="dxa"/>
              <w:bottom w:w="0" w:type="dxa"/>
              <w:right w:w="0" w:type="dxa"/>
            </w:tcMar>
            <w:vAlign w:val="center"/>
          </w:tcPr>
          <w:p w14:paraId="4A3CDD8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聚光镜</w:t>
            </w:r>
          </w:p>
        </w:tc>
        <w:tc>
          <w:tcPr>
            <w:tcW w:w="5636" w:type="dxa"/>
            <w:shd w:val="clear" w:color="auto" w:fill="FFFFFF"/>
            <w:noWrap w:val="0"/>
            <w:tcMar>
              <w:top w:w="0" w:type="dxa"/>
              <w:left w:w="240" w:type="dxa"/>
              <w:bottom w:w="0" w:type="dxa"/>
              <w:right w:w="0" w:type="dxa"/>
            </w:tcMar>
            <w:vAlign w:val="center"/>
          </w:tcPr>
          <w:p w14:paraId="0BBB660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N.A.11可上下升降带可变光栏</w:t>
            </w:r>
          </w:p>
        </w:tc>
      </w:tr>
      <w:tr w14:paraId="51FD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9F9"/>
          <w:tblCellMar>
            <w:top w:w="0" w:type="dxa"/>
            <w:left w:w="0" w:type="dxa"/>
            <w:bottom w:w="0" w:type="dxa"/>
            <w:right w:w="0" w:type="dxa"/>
          </w:tblCellMar>
        </w:tblPrEx>
        <w:trPr>
          <w:jc w:val="center"/>
        </w:trPr>
        <w:tc>
          <w:tcPr>
            <w:tcW w:w="936" w:type="dxa"/>
            <w:shd w:val="clear" w:color="auto" w:fill="FFFFFF"/>
            <w:noWrap w:val="0"/>
            <w:tcMar>
              <w:top w:w="0" w:type="dxa"/>
              <w:left w:w="240" w:type="dxa"/>
              <w:bottom w:w="0" w:type="dxa"/>
              <w:right w:w="0" w:type="dxa"/>
            </w:tcMar>
            <w:vAlign w:val="center"/>
          </w:tcPr>
          <w:p w14:paraId="50C00E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2334" w:type="dxa"/>
            <w:shd w:val="clear" w:color="auto" w:fill="FFFFFF"/>
            <w:noWrap w:val="0"/>
            <w:tcMar>
              <w:top w:w="0" w:type="dxa"/>
              <w:left w:w="240" w:type="dxa"/>
              <w:bottom w:w="0" w:type="dxa"/>
              <w:right w:w="0" w:type="dxa"/>
            </w:tcMar>
            <w:vAlign w:val="center"/>
          </w:tcPr>
          <w:p w14:paraId="4A12331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照明</w:t>
            </w:r>
          </w:p>
        </w:tc>
        <w:tc>
          <w:tcPr>
            <w:tcW w:w="5636" w:type="dxa"/>
            <w:shd w:val="clear" w:color="auto" w:fill="FFFFFF"/>
            <w:noWrap w:val="0"/>
            <w:tcMar>
              <w:top w:w="0" w:type="dxa"/>
              <w:left w:w="240" w:type="dxa"/>
              <w:bottom w:w="0" w:type="dxa"/>
              <w:right w:w="0" w:type="dxa"/>
            </w:tcMar>
            <w:vAlign w:val="center"/>
          </w:tcPr>
          <w:p w14:paraId="2312ACD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透射照明：亮度可调 </w:t>
            </w:r>
            <w:r>
              <w:rPr>
                <w:rFonts w:hint="eastAsia" w:ascii="仿宋" w:hAnsi="仿宋" w:eastAsia="仿宋" w:cs="仿宋"/>
                <w:color w:val="000000" w:themeColor="text1"/>
                <w:sz w:val="24"/>
                <w:szCs w:val="24"/>
                <w:lang w:val="en-US" w:eastAsia="zh-CN"/>
                <w14:textFill>
                  <w14:solidFill>
                    <w14:schemeClr w14:val="tx1"/>
                  </w14:solidFill>
                </w14:textFill>
              </w:rPr>
              <w:br w:type="textWrapping"/>
            </w:r>
            <w:r>
              <w:rPr>
                <w:rFonts w:hint="eastAsia" w:ascii="仿宋" w:hAnsi="仿宋" w:eastAsia="仿宋" w:cs="仿宋"/>
                <w:color w:val="000000" w:themeColor="text1"/>
                <w:sz w:val="24"/>
                <w:szCs w:val="24"/>
                <w:lang w:val="en-US" w:eastAsia="zh-CN"/>
                <w14:textFill>
                  <w14:solidFill>
                    <w14:schemeClr w14:val="tx1"/>
                  </w14:solidFill>
                </w14:textFill>
              </w:rPr>
              <w:t>落射荧光照明：汞灯灯箱100W/DC</w:t>
            </w:r>
          </w:p>
        </w:tc>
      </w:tr>
    </w:tbl>
    <w:p w14:paraId="341D101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33BD9057">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28）生物显微镜</w:t>
      </w:r>
    </w:p>
    <w:p w14:paraId="3B0506A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生物显微镜是一款多功能科研级生物显微镜，采用NIS45无限远光学系统，机座一体化的设计，配置无限远平场消色差物镜和大视野目镜。</w:t>
      </w:r>
    </w:p>
    <w:p w14:paraId="6974E005">
      <w:pPr>
        <w:keepNext w:val="0"/>
        <w:keepLines w:val="0"/>
        <w:pageBreakBefore w:val="0"/>
        <w:kinsoku/>
        <w:wordWrap/>
        <w:overflowPunct/>
        <w:topLinePunct w:val="0"/>
        <w:bidi w:val="0"/>
        <w:spacing w:line="264"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显微镜参数表</w:t>
      </w:r>
    </w:p>
    <w:tbl>
      <w:tblPr>
        <w:tblStyle w:val="22"/>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956"/>
        <w:gridCol w:w="6310"/>
      </w:tblGrid>
      <w:tr w14:paraId="55E8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tcBorders>
              <w:tl2br w:val="nil"/>
              <w:tr2bl w:val="nil"/>
            </w:tcBorders>
            <w:noWrap w:val="0"/>
            <w:vAlign w:val="center"/>
          </w:tcPr>
          <w:p w14:paraId="1067028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序号</w:t>
            </w:r>
          </w:p>
        </w:tc>
        <w:tc>
          <w:tcPr>
            <w:tcW w:w="1086" w:type="pct"/>
            <w:tcBorders>
              <w:tl2br w:val="nil"/>
              <w:tr2bl w:val="nil"/>
            </w:tcBorders>
            <w:noWrap w:val="0"/>
            <w:vAlign w:val="center"/>
          </w:tcPr>
          <w:p w14:paraId="272F1C3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名称</w:t>
            </w:r>
          </w:p>
        </w:tc>
        <w:tc>
          <w:tcPr>
            <w:tcW w:w="3503" w:type="pct"/>
            <w:tcBorders>
              <w:tl2br w:val="nil"/>
              <w:tr2bl w:val="nil"/>
            </w:tcBorders>
            <w:noWrap w:val="0"/>
            <w:vAlign w:val="center"/>
          </w:tcPr>
          <w:p w14:paraId="7AB9650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技术参数</w:t>
            </w:r>
          </w:p>
        </w:tc>
      </w:tr>
      <w:tr w14:paraId="1561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604EE1E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086" w:type="pct"/>
            <w:tcBorders>
              <w:tl2br w:val="nil"/>
              <w:tr2bl w:val="nil"/>
            </w:tcBorders>
            <w:noWrap w:val="0"/>
            <w:vAlign w:val="center"/>
          </w:tcPr>
          <w:p w14:paraId="7260402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平场目镜</w:t>
            </w:r>
          </w:p>
        </w:tc>
        <w:tc>
          <w:tcPr>
            <w:tcW w:w="3503" w:type="pct"/>
            <w:tcBorders>
              <w:tl2br w:val="nil"/>
              <w:tr2bl w:val="nil"/>
            </w:tcBorders>
            <w:noWrap w:val="0"/>
            <w:vAlign w:val="top"/>
          </w:tcPr>
          <w:p w14:paraId="24B30C5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大视野WF10X(Φ22mm)</w:t>
            </w:r>
          </w:p>
        </w:tc>
      </w:tr>
      <w:tr w14:paraId="3658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103692F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086" w:type="pct"/>
            <w:tcBorders>
              <w:tl2br w:val="nil"/>
              <w:tr2bl w:val="nil"/>
            </w:tcBorders>
            <w:noWrap w:val="0"/>
            <w:vAlign w:val="center"/>
          </w:tcPr>
          <w:p w14:paraId="7CC80A9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无限远平场物镜</w:t>
            </w:r>
          </w:p>
        </w:tc>
        <w:tc>
          <w:tcPr>
            <w:tcW w:w="3503" w:type="pct"/>
            <w:tcBorders>
              <w:tl2br w:val="nil"/>
              <w:tr2bl w:val="nil"/>
            </w:tcBorders>
            <w:noWrap w:val="0"/>
            <w:vAlign w:val="top"/>
          </w:tcPr>
          <w:p w14:paraId="3091753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4X/0.10、10X/0.25、20X/0.40、40X/0.65（弹簧）、100X/1.25（油、弹簧）</w:t>
            </w:r>
          </w:p>
        </w:tc>
      </w:tr>
      <w:tr w14:paraId="75F9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67BFD44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086" w:type="pct"/>
            <w:tcBorders>
              <w:tl2br w:val="nil"/>
              <w:tr2bl w:val="nil"/>
            </w:tcBorders>
            <w:noWrap w:val="0"/>
            <w:vAlign w:val="center"/>
          </w:tcPr>
          <w:p w14:paraId="40D489A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总放大倍数</w:t>
            </w:r>
          </w:p>
        </w:tc>
        <w:tc>
          <w:tcPr>
            <w:tcW w:w="3503" w:type="pct"/>
            <w:tcBorders>
              <w:tl2br w:val="nil"/>
              <w:tr2bl w:val="nil"/>
            </w:tcBorders>
            <w:noWrap w:val="0"/>
            <w:vAlign w:val="top"/>
          </w:tcPr>
          <w:p w14:paraId="2D12DF4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40X-1000X</w:t>
            </w:r>
          </w:p>
        </w:tc>
      </w:tr>
      <w:tr w14:paraId="57ED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2600910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086" w:type="pct"/>
            <w:tcBorders>
              <w:tl2br w:val="nil"/>
              <w:tr2bl w:val="nil"/>
            </w:tcBorders>
            <w:noWrap w:val="0"/>
            <w:vAlign w:val="center"/>
          </w:tcPr>
          <w:p w14:paraId="18472FF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观察头</w:t>
            </w:r>
          </w:p>
        </w:tc>
        <w:tc>
          <w:tcPr>
            <w:tcW w:w="3503" w:type="pct"/>
            <w:tcBorders>
              <w:tl2br w:val="nil"/>
              <w:tr2bl w:val="nil"/>
            </w:tcBorders>
            <w:noWrap w:val="0"/>
            <w:vAlign w:val="top"/>
          </w:tcPr>
          <w:p w14:paraId="2A9037B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瞳距调整范围48-75mm，倾斜角度30°，带屈光度调节</w:t>
            </w:r>
          </w:p>
        </w:tc>
      </w:tr>
      <w:tr w14:paraId="6D44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5E1DD6D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1086" w:type="pct"/>
            <w:tcBorders>
              <w:tl2br w:val="nil"/>
              <w:tr2bl w:val="nil"/>
            </w:tcBorders>
            <w:noWrap w:val="0"/>
            <w:vAlign w:val="center"/>
          </w:tcPr>
          <w:p w14:paraId="5B1F453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转换器</w:t>
            </w:r>
          </w:p>
        </w:tc>
        <w:tc>
          <w:tcPr>
            <w:tcW w:w="3503" w:type="pct"/>
            <w:tcBorders>
              <w:tl2br w:val="nil"/>
              <w:tr2bl w:val="nil"/>
            </w:tcBorders>
            <w:noWrap w:val="0"/>
            <w:vAlign w:val="top"/>
          </w:tcPr>
          <w:p w14:paraId="25681A3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与显微镜机身固定的内旋式5孔物镜转盘</w:t>
            </w:r>
          </w:p>
        </w:tc>
      </w:tr>
      <w:tr w14:paraId="187C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0A1122A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086" w:type="pct"/>
            <w:tcBorders>
              <w:tl2br w:val="nil"/>
              <w:tr2bl w:val="nil"/>
            </w:tcBorders>
            <w:noWrap w:val="0"/>
            <w:vAlign w:val="center"/>
          </w:tcPr>
          <w:p w14:paraId="0B1844B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调焦机构</w:t>
            </w:r>
          </w:p>
        </w:tc>
        <w:tc>
          <w:tcPr>
            <w:tcW w:w="3503" w:type="pct"/>
            <w:tcBorders>
              <w:tl2br w:val="nil"/>
              <w:tr2bl w:val="nil"/>
            </w:tcBorders>
            <w:noWrap w:val="0"/>
            <w:vAlign w:val="top"/>
          </w:tcPr>
          <w:p w14:paraId="254A95D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载物台高度调节 ( 粗调: 15 mm )，可以进行张力调节；有粗调限位，避免标本或物镜的损伤；细调焦旋钮最小调节幅度: 2.5 μm。</w:t>
            </w:r>
          </w:p>
        </w:tc>
      </w:tr>
      <w:tr w14:paraId="7391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380C068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086" w:type="pct"/>
            <w:tcBorders>
              <w:tl2br w:val="nil"/>
              <w:tr2bl w:val="nil"/>
            </w:tcBorders>
            <w:noWrap w:val="0"/>
            <w:vAlign w:val="center"/>
          </w:tcPr>
          <w:p w14:paraId="0BA7518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载物台</w:t>
            </w:r>
          </w:p>
        </w:tc>
        <w:tc>
          <w:tcPr>
            <w:tcW w:w="3503" w:type="pct"/>
            <w:tcBorders>
              <w:tl2br w:val="nil"/>
              <w:tr2bl w:val="nil"/>
            </w:tcBorders>
            <w:noWrap w:val="0"/>
            <w:vAlign w:val="top"/>
          </w:tcPr>
          <w:p w14:paraId="3580245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钢丝传动，无齿条结构</w:t>
            </w:r>
          </w:p>
          <w:p w14:paraId="5C5FE2F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载物台高度：140mm</w:t>
            </w:r>
          </w:p>
          <w:p w14:paraId="72D3603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机械固定载物台, (W × D): 211 mm × 154 mm</w:t>
            </w:r>
          </w:p>
          <w:p w14:paraId="2C4B367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移动范围 (X × Y): 76 mm × 52 mm</w:t>
            </w:r>
          </w:p>
          <w:p w14:paraId="7580C07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载物台XY 移动可锁定</w:t>
            </w:r>
          </w:p>
        </w:tc>
      </w:tr>
      <w:tr w14:paraId="03FD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1916FE4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1086" w:type="pct"/>
            <w:tcBorders>
              <w:tl2br w:val="nil"/>
              <w:tr2bl w:val="nil"/>
            </w:tcBorders>
            <w:noWrap w:val="0"/>
            <w:vAlign w:val="center"/>
          </w:tcPr>
          <w:p w14:paraId="690A2F7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光瞳距离</w:t>
            </w:r>
          </w:p>
        </w:tc>
        <w:tc>
          <w:tcPr>
            <w:tcW w:w="3503" w:type="pct"/>
            <w:tcBorders>
              <w:tl2br w:val="nil"/>
              <w:tr2bl w:val="nil"/>
            </w:tcBorders>
            <w:noWrap w:val="0"/>
            <w:vAlign w:val="top"/>
          </w:tcPr>
          <w:p w14:paraId="1B74ACC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47-78mm</w:t>
            </w:r>
          </w:p>
        </w:tc>
      </w:tr>
      <w:tr w14:paraId="6322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2EBF185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1086" w:type="pct"/>
            <w:tcBorders>
              <w:tl2br w:val="nil"/>
              <w:tr2bl w:val="nil"/>
            </w:tcBorders>
            <w:noWrap w:val="0"/>
            <w:vAlign w:val="center"/>
          </w:tcPr>
          <w:p w14:paraId="1708764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聚光镜</w:t>
            </w:r>
          </w:p>
        </w:tc>
        <w:tc>
          <w:tcPr>
            <w:tcW w:w="3503" w:type="pct"/>
            <w:tcBorders>
              <w:tl2br w:val="nil"/>
              <w:tr2bl w:val="nil"/>
            </w:tcBorders>
            <w:noWrap w:val="0"/>
            <w:vAlign w:val="top"/>
          </w:tcPr>
          <w:p w14:paraId="788BEEE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内置孔径光阑；阿贝聚光镜 NA 1.25（ 油浸时）；通用7 孔位聚光镜，分别是 BF (4-100X), 2X, DF, Ph1, Ph2, Ph3, FL；具有聚光镜孔位锁 ( 仅限BF )。</w:t>
            </w:r>
          </w:p>
        </w:tc>
      </w:tr>
      <w:tr w14:paraId="658D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9" w:type="pct"/>
            <w:tcBorders>
              <w:tl2br w:val="nil"/>
              <w:tr2bl w:val="nil"/>
            </w:tcBorders>
            <w:noWrap w:val="0"/>
            <w:vAlign w:val="center"/>
          </w:tcPr>
          <w:p w14:paraId="1060A2B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086" w:type="pct"/>
            <w:tcBorders>
              <w:tl2br w:val="nil"/>
              <w:tr2bl w:val="nil"/>
            </w:tcBorders>
            <w:noWrap w:val="0"/>
            <w:vAlign w:val="center"/>
          </w:tcPr>
          <w:p w14:paraId="2B01EAF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照明</w:t>
            </w:r>
          </w:p>
        </w:tc>
        <w:tc>
          <w:tcPr>
            <w:tcW w:w="3503" w:type="pct"/>
            <w:tcBorders>
              <w:tl2br w:val="nil"/>
              <w:tr2bl w:val="nil"/>
            </w:tcBorders>
            <w:noWrap w:val="0"/>
            <w:vAlign w:val="top"/>
          </w:tcPr>
          <w:p w14:paraId="0FEBA7E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内置1WLED照明，亮度可调</w:t>
            </w:r>
          </w:p>
        </w:tc>
      </w:tr>
    </w:tbl>
    <w:p w14:paraId="7522768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6986B73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目镜参数表</w:t>
      </w:r>
    </w:p>
    <w:tbl>
      <w:tblPr>
        <w:tblStyle w:val="22"/>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1"/>
        <w:gridCol w:w="2694"/>
        <w:gridCol w:w="2325"/>
      </w:tblGrid>
      <w:tr w14:paraId="247F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99" w:type="pct"/>
            <w:noWrap w:val="0"/>
            <w:vAlign w:val="center"/>
          </w:tcPr>
          <w:p w14:paraId="068450A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放大倍率</w:t>
            </w:r>
          </w:p>
        </w:tc>
        <w:tc>
          <w:tcPr>
            <w:tcW w:w="1503" w:type="pct"/>
            <w:noWrap w:val="0"/>
            <w:vAlign w:val="center"/>
          </w:tcPr>
          <w:p w14:paraId="4D9168B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视场直径(mm)</w:t>
            </w:r>
          </w:p>
        </w:tc>
        <w:tc>
          <w:tcPr>
            <w:tcW w:w="1297" w:type="pct"/>
            <w:noWrap w:val="0"/>
            <w:vAlign w:val="center"/>
          </w:tcPr>
          <w:p w14:paraId="38C1DB3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外径(mm)</w:t>
            </w:r>
          </w:p>
        </w:tc>
      </w:tr>
      <w:tr w14:paraId="1020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99" w:type="pct"/>
            <w:noWrap w:val="0"/>
            <w:vAlign w:val="center"/>
          </w:tcPr>
          <w:p w14:paraId="1CEEA47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10X</w:t>
            </w:r>
          </w:p>
        </w:tc>
        <w:tc>
          <w:tcPr>
            <w:tcW w:w="1503" w:type="pct"/>
            <w:noWrap w:val="0"/>
            <w:vAlign w:val="center"/>
          </w:tcPr>
          <w:p w14:paraId="75FFD3FA">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Φ20</w:t>
            </w:r>
          </w:p>
        </w:tc>
        <w:tc>
          <w:tcPr>
            <w:tcW w:w="1297" w:type="pct"/>
            <w:noWrap w:val="0"/>
            <w:vAlign w:val="center"/>
          </w:tcPr>
          <w:p w14:paraId="14A07D4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Φ30</w:t>
            </w:r>
          </w:p>
        </w:tc>
      </w:tr>
    </w:tbl>
    <w:p w14:paraId="5DFC879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物镜参数表</w:t>
      </w:r>
    </w:p>
    <w:tbl>
      <w:tblPr>
        <w:tblStyle w:val="2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119"/>
        <w:gridCol w:w="1759"/>
        <w:gridCol w:w="1569"/>
        <w:gridCol w:w="1569"/>
        <w:gridCol w:w="1464"/>
      </w:tblGrid>
      <w:tr w14:paraId="0246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913" w:type="pct"/>
            <w:noWrap w:val="0"/>
            <w:vAlign w:val="center"/>
          </w:tcPr>
          <w:p w14:paraId="4D27CCC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放大倍率</w:t>
            </w:r>
          </w:p>
        </w:tc>
        <w:tc>
          <w:tcPr>
            <w:tcW w:w="611" w:type="pct"/>
            <w:noWrap w:val="0"/>
            <w:vAlign w:val="center"/>
          </w:tcPr>
          <w:p w14:paraId="7F0FCCE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数值孔径</w:t>
            </w:r>
          </w:p>
        </w:tc>
        <w:tc>
          <w:tcPr>
            <w:tcW w:w="960" w:type="pct"/>
            <w:noWrap w:val="0"/>
            <w:vAlign w:val="center"/>
          </w:tcPr>
          <w:p w14:paraId="4C191AD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工作距离(mm)</w:t>
            </w:r>
          </w:p>
        </w:tc>
        <w:tc>
          <w:tcPr>
            <w:tcW w:w="857" w:type="pct"/>
            <w:noWrap w:val="0"/>
            <w:vAlign w:val="center"/>
          </w:tcPr>
          <w:p w14:paraId="69FE054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共轭距离(mm)</w:t>
            </w:r>
          </w:p>
        </w:tc>
        <w:tc>
          <w:tcPr>
            <w:tcW w:w="857" w:type="pct"/>
            <w:noWrap w:val="0"/>
            <w:vAlign w:val="center"/>
          </w:tcPr>
          <w:p w14:paraId="0B002ED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齐焦距离(mm)</w:t>
            </w:r>
          </w:p>
        </w:tc>
        <w:tc>
          <w:tcPr>
            <w:tcW w:w="799" w:type="pct"/>
            <w:noWrap w:val="0"/>
            <w:vAlign w:val="center"/>
          </w:tcPr>
          <w:p w14:paraId="6CDBF09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盖玻片厚度(mm)</w:t>
            </w:r>
          </w:p>
        </w:tc>
      </w:tr>
      <w:tr w14:paraId="2BB6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3" w:type="pct"/>
            <w:noWrap w:val="0"/>
            <w:vAlign w:val="center"/>
          </w:tcPr>
          <w:p w14:paraId="13299FA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4X</w:t>
            </w:r>
          </w:p>
        </w:tc>
        <w:tc>
          <w:tcPr>
            <w:tcW w:w="611" w:type="pct"/>
            <w:noWrap w:val="0"/>
            <w:vAlign w:val="center"/>
          </w:tcPr>
          <w:p w14:paraId="79D25CD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0.10</w:t>
            </w:r>
          </w:p>
        </w:tc>
        <w:tc>
          <w:tcPr>
            <w:tcW w:w="960" w:type="pct"/>
            <w:noWrap w:val="0"/>
            <w:vAlign w:val="center"/>
          </w:tcPr>
          <w:p w14:paraId="40BAA5D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20.6.00</w:t>
            </w:r>
          </w:p>
        </w:tc>
        <w:tc>
          <w:tcPr>
            <w:tcW w:w="857" w:type="pct"/>
            <w:noWrap w:val="0"/>
            <w:vAlign w:val="center"/>
          </w:tcPr>
          <w:p w14:paraId="0DF3F59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857" w:type="pct"/>
            <w:noWrap w:val="0"/>
            <w:vAlign w:val="center"/>
          </w:tcPr>
          <w:p w14:paraId="29443E4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99" w:type="pct"/>
            <w:noWrap w:val="0"/>
            <w:vAlign w:val="center"/>
          </w:tcPr>
          <w:p w14:paraId="48A44B5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r>
      <w:tr w14:paraId="4E7F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3" w:type="pct"/>
            <w:noWrap w:val="0"/>
            <w:vAlign w:val="center"/>
          </w:tcPr>
          <w:p w14:paraId="4A8A0D2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10X</w:t>
            </w:r>
          </w:p>
        </w:tc>
        <w:tc>
          <w:tcPr>
            <w:tcW w:w="611" w:type="pct"/>
            <w:noWrap w:val="0"/>
            <w:vAlign w:val="center"/>
          </w:tcPr>
          <w:p w14:paraId="34581AB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0.25</w:t>
            </w:r>
          </w:p>
        </w:tc>
        <w:tc>
          <w:tcPr>
            <w:tcW w:w="960" w:type="pct"/>
            <w:noWrap w:val="0"/>
            <w:vAlign w:val="center"/>
          </w:tcPr>
          <w:p w14:paraId="5696B9B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18.00</w:t>
            </w:r>
          </w:p>
        </w:tc>
        <w:tc>
          <w:tcPr>
            <w:tcW w:w="857" w:type="pct"/>
            <w:noWrap w:val="0"/>
            <w:vAlign w:val="center"/>
          </w:tcPr>
          <w:p w14:paraId="109E8F7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857" w:type="pct"/>
            <w:noWrap w:val="0"/>
            <w:vAlign w:val="center"/>
          </w:tcPr>
          <w:p w14:paraId="6627F1C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99" w:type="pct"/>
            <w:noWrap w:val="0"/>
            <w:vAlign w:val="center"/>
          </w:tcPr>
          <w:p w14:paraId="165D382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r>
      <w:tr w14:paraId="107D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3" w:type="pct"/>
            <w:noWrap w:val="0"/>
            <w:vAlign w:val="center"/>
          </w:tcPr>
          <w:p w14:paraId="4F22D30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20X</w:t>
            </w:r>
          </w:p>
        </w:tc>
        <w:tc>
          <w:tcPr>
            <w:tcW w:w="611" w:type="pct"/>
            <w:noWrap w:val="0"/>
            <w:vAlign w:val="center"/>
          </w:tcPr>
          <w:p w14:paraId="2CA3D1B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0.40</w:t>
            </w:r>
          </w:p>
        </w:tc>
        <w:tc>
          <w:tcPr>
            <w:tcW w:w="960" w:type="pct"/>
            <w:noWrap w:val="0"/>
            <w:vAlign w:val="center"/>
          </w:tcPr>
          <w:p w14:paraId="0767E76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4.00</w:t>
            </w:r>
          </w:p>
        </w:tc>
        <w:tc>
          <w:tcPr>
            <w:tcW w:w="857" w:type="pct"/>
            <w:noWrap w:val="0"/>
            <w:vAlign w:val="center"/>
          </w:tcPr>
          <w:p w14:paraId="3EA2530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857" w:type="pct"/>
            <w:noWrap w:val="0"/>
            <w:vAlign w:val="center"/>
          </w:tcPr>
          <w:p w14:paraId="0CBB319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99" w:type="pct"/>
            <w:noWrap w:val="0"/>
            <w:vAlign w:val="center"/>
          </w:tcPr>
          <w:p w14:paraId="0B83E41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r>
      <w:tr w14:paraId="4B8F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3" w:type="pct"/>
            <w:noWrap w:val="0"/>
            <w:vAlign w:val="center"/>
          </w:tcPr>
          <w:p w14:paraId="2BF2500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40X(S)</w:t>
            </w:r>
          </w:p>
        </w:tc>
        <w:tc>
          <w:tcPr>
            <w:tcW w:w="611" w:type="pct"/>
            <w:noWrap w:val="0"/>
            <w:vAlign w:val="center"/>
          </w:tcPr>
          <w:p w14:paraId="06AD785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0.65</w:t>
            </w:r>
          </w:p>
        </w:tc>
        <w:tc>
          <w:tcPr>
            <w:tcW w:w="960" w:type="pct"/>
            <w:noWrap w:val="0"/>
            <w:vAlign w:val="center"/>
          </w:tcPr>
          <w:p w14:paraId="4CA259D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857" w:type="pct"/>
            <w:noWrap w:val="0"/>
            <w:vAlign w:val="center"/>
          </w:tcPr>
          <w:p w14:paraId="401F6CF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857" w:type="pct"/>
            <w:noWrap w:val="0"/>
            <w:vAlign w:val="center"/>
          </w:tcPr>
          <w:p w14:paraId="1F6FB53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99" w:type="pct"/>
            <w:noWrap w:val="0"/>
            <w:vAlign w:val="center"/>
          </w:tcPr>
          <w:p w14:paraId="48FA85A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r>
      <w:tr w14:paraId="4613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3" w:type="pct"/>
            <w:noWrap w:val="0"/>
            <w:vAlign w:val="center"/>
          </w:tcPr>
          <w:p w14:paraId="729A2BB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100X(S、Oil)</w:t>
            </w:r>
          </w:p>
        </w:tc>
        <w:tc>
          <w:tcPr>
            <w:tcW w:w="611" w:type="pct"/>
            <w:noWrap w:val="0"/>
            <w:vAlign w:val="center"/>
          </w:tcPr>
          <w:p w14:paraId="35620E8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1.25</w:t>
            </w:r>
          </w:p>
        </w:tc>
        <w:tc>
          <w:tcPr>
            <w:tcW w:w="960" w:type="pct"/>
            <w:noWrap w:val="0"/>
            <w:vAlign w:val="center"/>
          </w:tcPr>
          <w:p w14:paraId="199BFF9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0.30</w:t>
            </w:r>
          </w:p>
        </w:tc>
        <w:tc>
          <w:tcPr>
            <w:tcW w:w="857" w:type="pct"/>
            <w:noWrap w:val="0"/>
            <w:vAlign w:val="center"/>
          </w:tcPr>
          <w:p w14:paraId="41C9EE2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857" w:type="pct"/>
            <w:noWrap w:val="0"/>
            <w:vAlign w:val="center"/>
          </w:tcPr>
          <w:p w14:paraId="116DD83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799" w:type="pct"/>
            <w:noWrap w:val="0"/>
            <w:vAlign w:val="center"/>
          </w:tcPr>
          <w:p w14:paraId="0D6CF32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0.17</w:t>
            </w:r>
          </w:p>
        </w:tc>
      </w:tr>
    </w:tbl>
    <w:p w14:paraId="0F78A54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p>
    <w:p w14:paraId="2B4A0FD5">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29）全自动液基细胞制片机</w:t>
      </w:r>
    </w:p>
    <w:p w14:paraId="0D65042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制片原理：沉降式技术。根据人体不同类型细胞其比重不同的特点，尤其是病变细胞比重大、沉降速度快，从而最大程度地捕获病变细胞和具诊断价值的成份，提高检测阳性率；</w:t>
      </w:r>
    </w:p>
    <w:p w14:paraId="0E56F1F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通过过滤器可去除液基细胞学样本中的血液、黏液等干扰成份，富集细胞及诊断成份；</w:t>
      </w:r>
    </w:p>
    <w:p w14:paraId="62B27550">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根据人体不同类型细胞其比重不同的的特点，尤其是病变细胞比重大、沉降速度快，从而最大程度地捕获病变细胞和具诊断价值的成份，用自然沉降法制成背景清晰，诊断线索明确的细胞薄片；</w:t>
      </w:r>
    </w:p>
    <w:p w14:paraId="39697D4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制成的薄片诊断面积为直径13mm的圆；</w:t>
      </w:r>
    </w:p>
    <w:p w14:paraId="5673277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利用快速旋转产生的离心力，将染色仓中的废液甩除干净，其独特的废液排除方式，完全解决同类技术中的管道堵塞现象；</w:t>
      </w:r>
    </w:p>
    <w:p w14:paraId="475B83B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US" w:eastAsia="zh-CN"/>
          <w14:textFill>
            <w14:solidFill>
              <w14:schemeClr w14:val="tx1"/>
            </w14:solidFill>
          </w14:textFill>
        </w:rPr>
        <w:t>可精确转移各位点标本至相应位置，每次可处理1-12人份样本；</w:t>
      </w:r>
    </w:p>
    <w:p w14:paraId="5247FF77">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自动独立染色，染液一次性使用，避免标本交叉污染，保证制片的一致性；</w:t>
      </w:r>
    </w:p>
    <w:p w14:paraId="7967CEE1">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eastAsia="zh-CN"/>
          <w14:textFill>
            <w14:solidFill>
              <w14:schemeClr w14:val="tx1"/>
            </w14:solidFill>
          </w14:textFill>
        </w:rPr>
        <w:t>采用高精度注射泵，液体吸取注入量精度达微升级水平，避免了同类产品因管道加液大量浪费试剂，每人份染液消耗量不超过0.5毫升；</w:t>
      </w:r>
    </w:p>
    <w:p w14:paraId="072BCD9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en-US" w:eastAsia="zh-CN"/>
          <w14:textFill>
            <w14:solidFill>
              <w14:schemeClr w14:val="tx1"/>
            </w14:solidFill>
          </w14:textFill>
        </w:rPr>
        <w:t>实现了沉降式制片，自动染色的连续化，批量化和标准化。12人份样本从加样到染色完成，时间小于50分钟；</w:t>
      </w:r>
    </w:p>
    <w:p w14:paraId="7B648B7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val="en-US" w:eastAsia="zh-CN"/>
          <w14:textFill>
            <w14:solidFill>
              <w14:schemeClr w14:val="tx1"/>
            </w14:solidFill>
          </w14:textFill>
        </w:rPr>
        <w:t>具备缺液报警功能，自动检测试剂量；</w:t>
      </w:r>
    </w:p>
    <w:p w14:paraId="776BB3C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制成的薄片诊断面积为直径13mm的圆，明显节约医生的阅片时间，提高阅片效率；</w:t>
      </w:r>
    </w:p>
    <w:p w14:paraId="0E8DE30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采用中文触摸式操作平台；</w:t>
      </w:r>
    </w:p>
    <w:p w14:paraId="68F09B0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中文报告系统，可打印病历登记本等相关报表。</w:t>
      </w:r>
    </w:p>
    <w:p w14:paraId="347D9A6E">
      <w:pPr>
        <w:keepNext w:val="0"/>
        <w:keepLines w:val="0"/>
        <w:pageBreakBefore w:val="0"/>
        <w:kinsoku/>
        <w:wordWrap/>
        <w:overflowPunct/>
        <w:topLinePunct w:val="0"/>
        <w:bidi w:val="0"/>
        <w:spacing w:line="264" w:lineRule="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30）冰柜</w:t>
      </w:r>
    </w:p>
    <w:p w14:paraId="7FF2274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结构</w:t>
      </w:r>
    </w:p>
    <w:p w14:paraId="1876DBF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en-US" w:eastAsia="zh-CN"/>
          <w14:textFill>
            <w14:solidFill>
              <w14:schemeClr w14:val="tx1"/>
            </w14:solidFill>
          </w14:textFill>
        </w:rPr>
        <w:t>箱体外壳采用优质喷涂钢板；</w:t>
      </w:r>
    </w:p>
    <w:p w14:paraId="43594E6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内箱侧板采用压花铝板，底板为PP材质。</w:t>
      </w:r>
    </w:p>
    <w:p w14:paraId="44CAF939">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温度控制</w:t>
      </w:r>
    </w:p>
    <w:p w14:paraId="4D14093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en-US" w:eastAsia="zh-CN"/>
          <w14:textFill>
            <w14:solidFill>
              <w14:schemeClr w14:val="tx1"/>
            </w14:solidFill>
          </w14:textFill>
        </w:rPr>
        <w:t>采用微电脑控制系统，温度数字显示；</w:t>
      </w:r>
    </w:p>
    <w:p w14:paraId="6BC07EF5">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lang w:val="en-US" w:eastAsia="zh-CN"/>
          <w14:textFill>
            <w14:solidFill>
              <w14:schemeClr w14:val="tx1"/>
            </w14:solidFill>
          </w14:textFill>
        </w:rPr>
        <w:t>精准的电子温度控制，精度达到1℃；</w:t>
      </w:r>
    </w:p>
    <w:p w14:paraId="586681C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lang w:val="en-US" w:eastAsia="zh-CN"/>
          <w14:textFill>
            <w14:solidFill>
              <w14:schemeClr w14:val="tx1"/>
            </w14:solidFill>
          </w14:textFill>
        </w:rPr>
        <w:t>温度设定值偏差保护，避免误操作；</w:t>
      </w:r>
    </w:p>
    <w:p w14:paraId="29CBAFC4">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箱内温度稳定在2℃~10℃范围内；</w:t>
      </w:r>
    </w:p>
    <w:p w14:paraId="0681E11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制冷系统</w:t>
      </w:r>
    </w:p>
    <w:p w14:paraId="5F167BC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val="en-US" w:eastAsia="zh-CN"/>
          <w14:textFill>
            <w14:solidFill>
              <w14:schemeClr w14:val="tx1"/>
            </w14:solidFill>
          </w14:textFill>
        </w:rPr>
        <w:t>蒸发器配合循环风冷系统，确保冷藏箱内部温度恒定；</w:t>
      </w:r>
    </w:p>
    <w:p w14:paraId="5D32D6A8">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lang w:val="en-US" w:eastAsia="zh-CN"/>
          <w14:textFill>
            <w14:solidFill>
              <w14:schemeClr w14:val="tx1"/>
            </w14:solidFill>
          </w14:textFill>
        </w:rPr>
        <w:t>高密度保温发泡层采用环保聚氨酯发泡剂。</w:t>
      </w:r>
    </w:p>
    <w:p w14:paraId="555A242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安全保障</w:t>
      </w:r>
    </w:p>
    <w:p w14:paraId="30DEF056">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lang w:val="en-US" w:eastAsia="zh-CN"/>
          <w14:textFill>
            <w14:solidFill>
              <w14:schemeClr w14:val="tx1"/>
            </w14:solidFill>
          </w14:textFill>
        </w:rPr>
        <w:t>具备箱内高低温报警、开关门异常报警功能；</w:t>
      </w:r>
    </w:p>
    <w:p w14:paraId="5F3BA34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szCs w:val="24"/>
          <w:lang w:val="en-US" w:eastAsia="zh-CN"/>
          <w14:textFill>
            <w14:solidFill>
              <w14:schemeClr w14:val="tx1"/>
            </w14:solidFill>
          </w14:textFill>
        </w:rPr>
        <w:t>具备声音蜂鸣和灯光闪烁双重报警方式；</w:t>
      </w:r>
    </w:p>
    <w:p w14:paraId="0DE85D22">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4.3.</w:t>
      </w:r>
      <w:r>
        <w:rPr>
          <w:rFonts w:hint="eastAsia" w:ascii="仿宋" w:hAnsi="仿宋" w:eastAsia="仿宋" w:cs="仿宋"/>
          <w:color w:val="000000" w:themeColor="text1"/>
          <w:sz w:val="24"/>
          <w:szCs w:val="24"/>
          <w:lang w:val="en-US" w:eastAsia="zh-CN"/>
          <w14:textFill>
            <w14:solidFill>
              <w14:schemeClr w14:val="tx1"/>
            </w14:solidFill>
          </w14:textFill>
        </w:rPr>
        <w:t>温控器测点故障安全运行模式；</w:t>
      </w:r>
    </w:p>
    <w:p w14:paraId="243C7B1C">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4.4.</w:t>
      </w:r>
      <w:r>
        <w:rPr>
          <w:rFonts w:hint="eastAsia" w:ascii="仿宋" w:hAnsi="仿宋" w:eastAsia="仿宋" w:cs="仿宋"/>
          <w:color w:val="000000" w:themeColor="text1"/>
          <w:sz w:val="24"/>
          <w:szCs w:val="24"/>
          <w:lang w:val="en-US" w:eastAsia="zh-CN"/>
          <w14:textFill>
            <w14:solidFill>
              <w14:schemeClr w14:val="tx1"/>
            </w14:solidFill>
          </w14:textFill>
        </w:rPr>
        <w:t>密码保护功能，防止随意调整运行参数；</w:t>
      </w:r>
    </w:p>
    <w:p w14:paraId="4FFCA3D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4.5.</w:t>
      </w:r>
      <w:r>
        <w:rPr>
          <w:rFonts w:hint="eastAsia" w:ascii="仿宋" w:hAnsi="仿宋" w:eastAsia="仿宋" w:cs="仿宋"/>
          <w:color w:val="000000" w:themeColor="text1"/>
          <w:sz w:val="24"/>
          <w:szCs w:val="24"/>
          <w:lang w:val="en-US" w:eastAsia="zh-CN"/>
          <w14:textFill>
            <w14:solidFill>
              <w14:schemeClr w14:val="tx1"/>
            </w14:solidFill>
          </w14:textFill>
        </w:rPr>
        <w:t>断电保护：冷藏箱延时启动功能，避免电网恢复供电时多台设备同时导致断路器保护。</w:t>
      </w:r>
    </w:p>
    <w:p w14:paraId="5F30BA6E">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lang w:val="en-US" w:eastAsia="zh-CN"/>
          <w14:textFill>
            <w14:solidFill>
              <w14:schemeClr w14:val="tx1"/>
            </w14:solidFill>
          </w14:textFill>
        </w:rPr>
        <w:t>安全门锁设计，确保存放物品安全；</w:t>
      </w:r>
    </w:p>
    <w:p w14:paraId="40DD5CC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4.7.</w:t>
      </w:r>
      <w:r>
        <w:rPr>
          <w:rFonts w:hint="eastAsia" w:ascii="仿宋" w:hAnsi="仿宋" w:eastAsia="仿宋" w:cs="仿宋"/>
          <w:color w:val="000000" w:themeColor="text1"/>
          <w:sz w:val="24"/>
          <w:szCs w:val="24"/>
          <w:lang w:val="en-US" w:eastAsia="zh-CN"/>
          <w14:textFill>
            <w14:solidFill>
              <w14:schemeClr w14:val="tx1"/>
            </w14:solidFill>
          </w14:textFill>
        </w:rPr>
        <w:t>大屏幕数字显示；</w:t>
      </w:r>
    </w:p>
    <w:p w14:paraId="6973EE2B">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4.8.</w:t>
      </w:r>
      <w:r>
        <w:rPr>
          <w:rFonts w:hint="eastAsia" w:ascii="仿宋" w:hAnsi="仿宋" w:eastAsia="仿宋" w:cs="仿宋"/>
          <w:color w:val="000000" w:themeColor="text1"/>
          <w:sz w:val="24"/>
          <w:szCs w:val="24"/>
          <w:lang w:val="en-US" w:eastAsia="zh-CN"/>
          <w14:textFill>
            <w14:solidFill>
              <w14:schemeClr w14:val="tx1"/>
            </w14:solidFill>
          </w14:textFill>
        </w:rPr>
        <w:t>高度可调节搁架设计，适用于存储不同高度的物品；</w:t>
      </w:r>
    </w:p>
    <w:p w14:paraId="28ED53E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lang w:val="en-US" w:eastAsia="zh-CN"/>
          <w14:textFill>
            <w14:solidFill>
              <w14:schemeClr w14:val="tx1"/>
            </w14:solidFill>
          </w14:textFill>
        </w:rPr>
        <w:t>万向脚轮设计，独立调平地脚；</w:t>
      </w:r>
    </w:p>
    <w:p w14:paraId="37767E8F">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4.10.</w:t>
      </w:r>
      <w:r>
        <w:rPr>
          <w:rFonts w:hint="eastAsia" w:ascii="仿宋" w:hAnsi="仿宋" w:eastAsia="仿宋" w:cs="仿宋"/>
          <w:color w:val="000000" w:themeColor="text1"/>
          <w:sz w:val="24"/>
          <w:szCs w:val="24"/>
          <w:lang w:val="en-US" w:eastAsia="zh-CN"/>
          <w14:textFill>
            <w14:solidFill>
              <w14:schemeClr w14:val="tx1"/>
            </w14:solidFill>
          </w14:textFill>
        </w:rPr>
        <w:t>双层中空电加热膜玻璃门，设备运行时无凝露；</w:t>
      </w:r>
    </w:p>
    <w:p w14:paraId="0E9BF553">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4.11.</w:t>
      </w:r>
      <w:r>
        <w:rPr>
          <w:rFonts w:hint="eastAsia" w:ascii="仿宋" w:hAnsi="仿宋" w:eastAsia="仿宋" w:cs="仿宋"/>
          <w:color w:val="000000" w:themeColor="text1"/>
          <w:sz w:val="24"/>
          <w:szCs w:val="24"/>
          <w:lang w:val="en-US" w:eastAsia="zh-CN"/>
          <w14:textFill>
            <w14:solidFill>
              <w14:schemeClr w14:val="tx1"/>
            </w14:solidFill>
          </w14:textFill>
        </w:rPr>
        <w:t>内置LED节能照明灯，开关门自动点亮或熄灭。</w:t>
      </w:r>
    </w:p>
    <w:p w14:paraId="3CF77F5D">
      <w:pPr>
        <w:keepNext w:val="0"/>
        <w:keepLines w:val="0"/>
        <w:pageBreakBefore w:val="0"/>
        <w:kinsoku/>
        <w:wordWrap/>
        <w:overflowPunct/>
        <w:topLinePunct w:val="0"/>
        <w:bidi w:val="0"/>
        <w:spacing w:line="264"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冰柜技术参数表</w:t>
      </w:r>
    </w:p>
    <w:tbl>
      <w:tblPr>
        <w:tblStyle w:val="22"/>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36"/>
        <w:gridCol w:w="4081"/>
        <w:gridCol w:w="3209"/>
      </w:tblGrid>
      <w:tr w14:paraId="7218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restart"/>
            <w:noWrap w:val="0"/>
            <w:tcMar>
              <w:top w:w="15" w:type="dxa"/>
              <w:left w:w="15" w:type="dxa"/>
              <w:right w:w="15" w:type="dxa"/>
            </w:tcMar>
            <w:vAlign w:val="center"/>
          </w:tcPr>
          <w:p w14:paraId="03371BD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技术参数</w:t>
            </w:r>
          </w:p>
        </w:tc>
        <w:tc>
          <w:tcPr>
            <w:tcW w:w="4081" w:type="dxa"/>
            <w:noWrap w:val="0"/>
            <w:tcMar>
              <w:top w:w="15" w:type="dxa"/>
              <w:left w:w="15" w:type="dxa"/>
              <w:right w:w="15" w:type="dxa"/>
            </w:tcMar>
            <w:vAlign w:val="center"/>
          </w:tcPr>
          <w:p w14:paraId="14805B3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类型（搁架/抽屉）/材质</w:t>
            </w:r>
          </w:p>
        </w:tc>
        <w:tc>
          <w:tcPr>
            <w:tcW w:w="3209" w:type="dxa"/>
            <w:noWrap w:val="0"/>
            <w:tcMar>
              <w:top w:w="15" w:type="dxa"/>
              <w:left w:w="15" w:type="dxa"/>
              <w:right w:w="15" w:type="dxa"/>
            </w:tcMar>
            <w:vAlign w:val="center"/>
          </w:tcPr>
          <w:p w14:paraId="7CC1D3A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搁架/钢丝浸塑</w:t>
            </w:r>
          </w:p>
        </w:tc>
      </w:tr>
      <w:tr w14:paraId="7696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2B4D89C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59EDAEE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搁架数量</w:t>
            </w:r>
          </w:p>
        </w:tc>
        <w:tc>
          <w:tcPr>
            <w:tcW w:w="3209" w:type="dxa"/>
            <w:noWrap w:val="0"/>
            <w:tcMar>
              <w:top w:w="15" w:type="dxa"/>
              <w:left w:w="15" w:type="dxa"/>
              <w:right w:w="15" w:type="dxa"/>
            </w:tcMar>
            <w:vAlign w:val="center"/>
          </w:tcPr>
          <w:p w14:paraId="7D21794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r>
      <w:tr w14:paraId="6C42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7D88D02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66070F1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制冷方式（风冷/直冷）</w:t>
            </w:r>
          </w:p>
        </w:tc>
        <w:tc>
          <w:tcPr>
            <w:tcW w:w="3209" w:type="dxa"/>
            <w:noWrap w:val="0"/>
            <w:tcMar>
              <w:top w:w="15" w:type="dxa"/>
              <w:left w:w="15" w:type="dxa"/>
              <w:right w:w="15" w:type="dxa"/>
            </w:tcMar>
            <w:vAlign w:val="center"/>
          </w:tcPr>
          <w:p w14:paraId="1CE313E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风冷</w:t>
            </w:r>
          </w:p>
        </w:tc>
      </w:tr>
      <w:tr w14:paraId="7905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31213A1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5427716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除霜方式（自动/手动）</w:t>
            </w:r>
          </w:p>
        </w:tc>
        <w:tc>
          <w:tcPr>
            <w:tcW w:w="3209" w:type="dxa"/>
            <w:noWrap w:val="0"/>
            <w:tcMar>
              <w:top w:w="15" w:type="dxa"/>
              <w:left w:w="15" w:type="dxa"/>
              <w:right w:w="15" w:type="dxa"/>
            </w:tcMar>
            <w:vAlign w:val="center"/>
          </w:tcPr>
          <w:p w14:paraId="78D6B4D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自动</w:t>
            </w:r>
          </w:p>
        </w:tc>
      </w:tr>
      <w:tr w14:paraId="096C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08892F9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2035692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制冷剂/g</w:t>
            </w:r>
          </w:p>
        </w:tc>
        <w:tc>
          <w:tcPr>
            <w:tcW w:w="3209" w:type="dxa"/>
            <w:noWrap w:val="0"/>
            <w:tcMar>
              <w:top w:w="15" w:type="dxa"/>
              <w:left w:w="15" w:type="dxa"/>
              <w:right w:w="15" w:type="dxa"/>
            </w:tcMar>
            <w:vAlign w:val="center"/>
          </w:tcPr>
          <w:p w14:paraId="1C33B48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R600a/31g</w:t>
            </w:r>
          </w:p>
        </w:tc>
      </w:tr>
      <w:tr w14:paraId="032B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7034540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4F995B0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噪音级别</w:t>
            </w:r>
          </w:p>
        </w:tc>
        <w:tc>
          <w:tcPr>
            <w:tcW w:w="3209" w:type="dxa"/>
            <w:noWrap w:val="0"/>
            <w:tcMar>
              <w:top w:w="15" w:type="dxa"/>
              <w:left w:w="15" w:type="dxa"/>
              <w:right w:w="15" w:type="dxa"/>
            </w:tcMar>
            <w:vAlign w:val="center"/>
          </w:tcPr>
          <w:p w14:paraId="1136777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≤55dB（A）</w:t>
            </w:r>
          </w:p>
        </w:tc>
      </w:tr>
      <w:tr w14:paraId="0E06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restart"/>
            <w:noWrap w:val="0"/>
            <w:tcMar>
              <w:top w:w="15" w:type="dxa"/>
              <w:left w:w="15" w:type="dxa"/>
              <w:right w:w="15" w:type="dxa"/>
            </w:tcMar>
            <w:vAlign w:val="center"/>
          </w:tcPr>
          <w:p w14:paraId="144D152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温度</w:t>
            </w:r>
          </w:p>
        </w:tc>
        <w:tc>
          <w:tcPr>
            <w:tcW w:w="4081" w:type="dxa"/>
            <w:noWrap w:val="0"/>
            <w:tcMar>
              <w:top w:w="15" w:type="dxa"/>
              <w:left w:w="15" w:type="dxa"/>
              <w:right w:w="15" w:type="dxa"/>
            </w:tcMar>
            <w:vAlign w:val="center"/>
          </w:tcPr>
          <w:p w14:paraId="5A1A60B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环温</w:t>
            </w:r>
          </w:p>
        </w:tc>
        <w:tc>
          <w:tcPr>
            <w:tcW w:w="3209" w:type="dxa"/>
            <w:noWrap w:val="0"/>
            <w:tcMar>
              <w:top w:w="15" w:type="dxa"/>
              <w:left w:w="15" w:type="dxa"/>
              <w:right w:w="15" w:type="dxa"/>
            </w:tcMar>
            <w:vAlign w:val="center"/>
          </w:tcPr>
          <w:p w14:paraId="09AC030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10~32℃</w:t>
            </w:r>
          </w:p>
        </w:tc>
      </w:tr>
      <w:tr w14:paraId="5F90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3D596AB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4466FAA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温度范围</w:t>
            </w:r>
          </w:p>
        </w:tc>
        <w:tc>
          <w:tcPr>
            <w:tcW w:w="3209" w:type="dxa"/>
            <w:noWrap w:val="0"/>
            <w:tcMar>
              <w:top w:w="15" w:type="dxa"/>
              <w:left w:w="15" w:type="dxa"/>
              <w:right w:w="15" w:type="dxa"/>
            </w:tcMar>
            <w:vAlign w:val="center"/>
          </w:tcPr>
          <w:p w14:paraId="5C63A69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5±3℃</w:t>
            </w:r>
          </w:p>
        </w:tc>
      </w:tr>
      <w:tr w14:paraId="3380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restart"/>
            <w:noWrap w:val="0"/>
            <w:tcMar>
              <w:top w:w="15" w:type="dxa"/>
              <w:left w:w="15" w:type="dxa"/>
              <w:right w:w="15" w:type="dxa"/>
            </w:tcMar>
            <w:vAlign w:val="center"/>
          </w:tcPr>
          <w:p w14:paraId="0078B8E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控制</w:t>
            </w:r>
          </w:p>
        </w:tc>
        <w:tc>
          <w:tcPr>
            <w:tcW w:w="4081" w:type="dxa"/>
            <w:noWrap w:val="0"/>
            <w:tcMar>
              <w:top w:w="15" w:type="dxa"/>
              <w:left w:w="15" w:type="dxa"/>
              <w:right w:w="15" w:type="dxa"/>
            </w:tcMar>
            <w:vAlign w:val="center"/>
          </w:tcPr>
          <w:p w14:paraId="1ACA0C4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冷凝器类型</w:t>
            </w:r>
          </w:p>
        </w:tc>
        <w:tc>
          <w:tcPr>
            <w:tcW w:w="3209" w:type="dxa"/>
            <w:noWrap w:val="0"/>
            <w:tcMar>
              <w:top w:w="15" w:type="dxa"/>
              <w:left w:w="15" w:type="dxa"/>
              <w:right w:w="15" w:type="dxa"/>
            </w:tcMar>
            <w:vAlign w:val="center"/>
          </w:tcPr>
          <w:p w14:paraId="50848DE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丝管式</w:t>
            </w:r>
          </w:p>
        </w:tc>
      </w:tr>
      <w:tr w14:paraId="7765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5BCE7B4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5686046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传感器类型</w:t>
            </w:r>
          </w:p>
        </w:tc>
        <w:tc>
          <w:tcPr>
            <w:tcW w:w="3209" w:type="dxa"/>
            <w:noWrap w:val="0"/>
            <w:tcMar>
              <w:top w:w="15" w:type="dxa"/>
              <w:left w:w="15" w:type="dxa"/>
              <w:right w:w="15" w:type="dxa"/>
            </w:tcMar>
            <w:vAlign w:val="center"/>
          </w:tcPr>
          <w:p w14:paraId="5AC2C35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NTC</w:t>
            </w:r>
          </w:p>
        </w:tc>
      </w:tr>
      <w:tr w14:paraId="3B22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6E4C0C1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425C646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温控器</w:t>
            </w:r>
          </w:p>
        </w:tc>
        <w:tc>
          <w:tcPr>
            <w:tcW w:w="3209" w:type="dxa"/>
            <w:noWrap w:val="0"/>
            <w:tcMar>
              <w:top w:w="15" w:type="dxa"/>
              <w:left w:w="15" w:type="dxa"/>
              <w:right w:w="15" w:type="dxa"/>
            </w:tcMar>
            <w:vAlign w:val="center"/>
          </w:tcPr>
          <w:p w14:paraId="0CA11F9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电子温控</w:t>
            </w:r>
          </w:p>
        </w:tc>
      </w:tr>
      <w:tr w14:paraId="4F2D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03102C3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60A9038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显示方式</w:t>
            </w:r>
          </w:p>
        </w:tc>
        <w:tc>
          <w:tcPr>
            <w:tcW w:w="3209" w:type="dxa"/>
            <w:noWrap w:val="0"/>
            <w:tcMar>
              <w:top w:w="15" w:type="dxa"/>
              <w:left w:w="15" w:type="dxa"/>
              <w:right w:w="15" w:type="dxa"/>
            </w:tcMar>
            <w:vAlign w:val="center"/>
          </w:tcPr>
          <w:p w14:paraId="55C66A0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LED数码管</w:t>
            </w:r>
          </w:p>
        </w:tc>
      </w:tr>
      <w:tr w14:paraId="15A8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restart"/>
            <w:noWrap w:val="0"/>
            <w:tcMar>
              <w:top w:w="15" w:type="dxa"/>
              <w:left w:w="15" w:type="dxa"/>
              <w:right w:w="15" w:type="dxa"/>
            </w:tcMar>
            <w:vAlign w:val="center"/>
          </w:tcPr>
          <w:p w14:paraId="4DEDB58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电制参数</w:t>
            </w:r>
          </w:p>
        </w:tc>
        <w:tc>
          <w:tcPr>
            <w:tcW w:w="4081" w:type="dxa"/>
            <w:noWrap w:val="0"/>
            <w:tcMar>
              <w:top w:w="15" w:type="dxa"/>
              <w:left w:w="15" w:type="dxa"/>
              <w:right w:w="15" w:type="dxa"/>
            </w:tcMar>
            <w:vAlign w:val="center"/>
          </w:tcPr>
          <w:p w14:paraId="476AB11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电压/频率（V/Hz)</w:t>
            </w:r>
          </w:p>
        </w:tc>
        <w:tc>
          <w:tcPr>
            <w:tcW w:w="3209" w:type="dxa"/>
            <w:noWrap w:val="0"/>
            <w:tcMar>
              <w:top w:w="15" w:type="dxa"/>
              <w:left w:w="15" w:type="dxa"/>
              <w:right w:w="15" w:type="dxa"/>
            </w:tcMar>
            <w:vAlign w:val="center"/>
          </w:tcPr>
          <w:p w14:paraId="541E428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220/50、220/60</w:t>
            </w:r>
          </w:p>
        </w:tc>
      </w:tr>
      <w:tr w14:paraId="1FDF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5CC5A18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0693073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功率（W)</w:t>
            </w:r>
          </w:p>
        </w:tc>
        <w:tc>
          <w:tcPr>
            <w:tcW w:w="3209" w:type="dxa"/>
            <w:noWrap w:val="0"/>
            <w:tcMar>
              <w:top w:w="15" w:type="dxa"/>
              <w:left w:w="15" w:type="dxa"/>
              <w:right w:w="15" w:type="dxa"/>
            </w:tcMar>
            <w:vAlign w:val="center"/>
          </w:tcPr>
          <w:p w14:paraId="4D887470">
            <w:pPr>
              <w:keepNext w:val="0"/>
              <w:keepLines w:val="0"/>
              <w:pageBreakBefore w:val="0"/>
              <w:kinsoku/>
              <w:wordWrap/>
              <w:overflowPunct/>
              <w:topLinePunct w:val="0"/>
              <w:bidi w:val="0"/>
              <w:spacing w:line="264"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约162</w:t>
            </w:r>
          </w:p>
        </w:tc>
      </w:tr>
      <w:tr w14:paraId="7181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2AD9571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271CD13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电流（A)</w:t>
            </w:r>
          </w:p>
        </w:tc>
        <w:tc>
          <w:tcPr>
            <w:tcW w:w="3209" w:type="dxa"/>
            <w:noWrap w:val="0"/>
            <w:tcMar>
              <w:top w:w="15" w:type="dxa"/>
              <w:left w:w="15" w:type="dxa"/>
              <w:right w:w="15" w:type="dxa"/>
            </w:tcMar>
            <w:vAlign w:val="center"/>
          </w:tcPr>
          <w:p w14:paraId="17C7E37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约1.1</w:t>
            </w:r>
          </w:p>
        </w:tc>
      </w:tr>
      <w:tr w14:paraId="3A61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restart"/>
            <w:noWrap w:val="0"/>
            <w:tcMar>
              <w:top w:w="15" w:type="dxa"/>
              <w:left w:w="15" w:type="dxa"/>
              <w:right w:w="15" w:type="dxa"/>
            </w:tcMar>
            <w:vAlign w:val="center"/>
          </w:tcPr>
          <w:p w14:paraId="7B6A9DD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材质</w:t>
            </w:r>
          </w:p>
        </w:tc>
        <w:tc>
          <w:tcPr>
            <w:tcW w:w="4081" w:type="dxa"/>
            <w:noWrap w:val="0"/>
            <w:tcMar>
              <w:top w:w="15" w:type="dxa"/>
              <w:left w:w="15" w:type="dxa"/>
              <w:right w:w="15" w:type="dxa"/>
            </w:tcMar>
            <w:vAlign w:val="center"/>
          </w:tcPr>
          <w:p w14:paraId="6108622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内部材料</w:t>
            </w:r>
          </w:p>
        </w:tc>
        <w:tc>
          <w:tcPr>
            <w:tcW w:w="3209" w:type="dxa"/>
            <w:noWrap w:val="0"/>
            <w:tcMar>
              <w:top w:w="15" w:type="dxa"/>
              <w:left w:w="15" w:type="dxa"/>
              <w:right w:w="15" w:type="dxa"/>
            </w:tcMar>
            <w:vAlign w:val="center"/>
          </w:tcPr>
          <w:p w14:paraId="452DD34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压花铝板</w:t>
            </w:r>
          </w:p>
        </w:tc>
      </w:tr>
      <w:tr w14:paraId="5479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29461AC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204AB6B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外部材料</w:t>
            </w:r>
          </w:p>
        </w:tc>
        <w:tc>
          <w:tcPr>
            <w:tcW w:w="3209" w:type="dxa"/>
            <w:noWrap w:val="0"/>
            <w:tcMar>
              <w:top w:w="15" w:type="dxa"/>
              <w:left w:w="15" w:type="dxa"/>
              <w:right w:w="15" w:type="dxa"/>
            </w:tcMar>
            <w:vAlign w:val="center"/>
          </w:tcPr>
          <w:p w14:paraId="7F542BE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喷涂钢板</w:t>
            </w:r>
          </w:p>
        </w:tc>
      </w:tr>
      <w:tr w14:paraId="0A40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033580C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7161356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隔热层</w:t>
            </w:r>
          </w:p>
        </w:tc>
        <w:tc>
          <w:tcPr>
            <w:tcW w:w="3209" w:type="dxa"/>
            <w:noWrap w:val="0"/>
            <w:tcMar>
              <w:top w:w="15" w:type="dxa"/>
              <w:left w:w="15" w:type="dxa"/>
              <w:right w:w="15" w:type="dxa"/>
            </w:tcMar>
            <w:vAlign w:val="center"/>
          </w:tcPr>
          <w:p w14:paraId="295CD7F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聚氨酯发泡</w:t>
            </w:r>
          </w:p>
        </w:tc>
      </w:tr>
      <w:tr w14:paraId="0BC9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noWrap w:val="0"/>
            <w:tcMar>
              <w:top w:w="15" w:type="dxa"/>
              <w:left w:w="15" w:type="dxa"/>
              <w:right w:w="15" w:type="dxa"/>
            </w:tcMar>
            <w:vAlign w:val="center"/>
          </w:tcPr>
          <w:p w14:paraId="0DC3DD01">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尺寸</w:t>
            </w:r>
          </w:p>
        </w:tc>
        <w:tc>
          <w:tcPr>
            <w:tcW w:w="4081" w:type="dxa"/>
            <w:noWrap w:val="0"/>
            <w:tcMar>
              <w:top w:w="15" w:type="dxa"/>
              <w:left w:w="15" w:type="dxa"/>
              <w:right w:w="15" w:type="dxa"/>
            </w:tcMar>
            <w:vAlign w:val="center"/>
          </w:tcPr>
          <w:p w14:paraId="60DED25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有效容积（L)</w:t>
            </w:r>
          </w:p>
        </w:tc>
        <w:tc>
          <w:tcPr>
            <w:tcW w:w="3209" w:type="dxa"/>
            <w:noWrap w:val="0"/>
            <w:tcMar>
              <w:top w:w="15" w:type="dxa"/>
              <w:left w:w="15" w:type="dxa"/>
              <w:right w:w="15" w:type="dxa"/>
            </w:tcMar>
            <w:vAlign w:val="center"/>
          </w:tcPr>
          <w:p w14:paraId="2B46D3A0">
            <w:pPr>
              <w:keepNext w:val="0"/>
              <w:keepLines w:val="0"/>
              <w:pageBreakBefore w:val="0"/>
              <w:kinsoku/>
              <w:wordWrap/>
              <w:overflowPunct/>
              <w:topLinePunct w:val="0"/>
              <w:bidi w:val="0"/>
              <w:spacing w:line="264"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≥230</w:t>
            </w:r>
          </w:p>
        </w:tc>
      </w:tr>
      <w:tr w14:paraId="5E1C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restart"/>
            <w:noWrap w:val="0"/>
            <w:tcMar>
              <w:top w:w="15" w:type="dxa"/>
              <w:left w:w="15" w:type="dxa"/>
              <w:right w:w="15" w:type="dxa"/>
            </w:tcMar>
            <w:vAlign w:val="center"/>
          </w:tcPr>
          <w:p w14:paraId="6246ADA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报警</w:t>
            </w:r>
          </w:p>
        </w:tc>
        <w:tc>
          <w:tcPr>
            <w:tcW w:w="4081" w:type="dxa"/>
            <w:noWrap w:val="0"/>
            <w:tcMar>
              <w:top w:w="15" w:type="dxa"/>
              <w:left w:w="15" w:type="dxa"/>
              <w:right w:w="15" w:type="dxa"/>
            </w:tcMar>
            <w:vAlign w:val="center"/>
          </w:tcPr>
          <w:p w14:paraId="1B7A189E">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高低温报警</w:t>
            </w:r>
          </w:p>
        </w:tc>
        <w:tc>
          <w:tcPr>
            <w:tcW w:w="3209" w:type="dxa"/>
            <w:noWrap w:val="0"/>
            <w:tcMar>
              <w:top w:w="15" w:type="dxa"/>
              <w:left w:w="15" w:type="dxa"/>
              <w:right w:w="15" w:type="dxa"/>
            </w:tcMar>
            <w:vAlign w:val="center"/>
          </w:tcPr>
          <w:p w14:paraId="33D2F55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标配</w:t>
            </w:r>
          </w:p>
        </w:tc>
      </w:tr>
      <w:tr w14:paraId="3B05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1F5642B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4AC86E3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断电报警</w:t>
            </w:r>
          </w:p>
        </w:tc>
        <w:tc>
          <w:tcPr>
            <w:tcW w:w="3209" w:type="dxa"/>
            <w:noWrap w:val="0"/>
            <w:tcMar>
              <w:top w:w="15" w:type="dxa"/>
              <w:left w:w="15" w:type="dxa"/>
              <w:right w:w="15" w:type="dxa"/>
            </w:tcMar>
            <w:vAlign w:val="center"/>
          </w:tcPr>
          <w:p w14:paraId="3CA77A3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标配</w:t>
            </w:r>
          </w:p>
        </w:tc>
      </w:tr>
      <w:tr w14:paraId="078C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476D1E33">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358209A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温控器故障报警</w:t>
            </w:r>
          </w:p>
        </w:tc>
        <w:tc>
          <w:tcPr>
            <w:tcW w:w="3209" w:type="dxa"/>
            <w:noWrap w:val="0"/>
            <w:tcMar>
              <w:top w:w="15" w:type="dxa"/>
              <w:left w:w="15" w:type="dxa"/>
              <w:right w:w="15" w:type="dxa"/>
            </w:tcMar>
            <w:vAlign w:val="center"/>
          </w:tcPr>
          <w:p w14:paraId="19D2E9C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标配</w:t>
            </w:r>
          </w:p>
        </w:tc>
      </w:tr>
      <w:tr w14:paraId="043C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3243AF20">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5FDF7AA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门开关报警</w:t>
            </w:r>
          </w:p>
        </w:tc>
        <w:tc>
          <w:tcPr>
            <w:tcW w:w="3209" w:type="dxa"/>
            <w:noWrap w:val="0"/>
            <w:tcMar>
              <w:top w:w="15" w:type="dxa"/>
              <w:left w:w="15" w:type="dxa"/>
              <w:right w:w="15" w:type="dxa"/>
            </w:tcMar>
            <w:vAlign w:val="center"/>
          </w:tcPr>
          <w:p w14:paraId="68436C55">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标配</w:t>
            </w:r>
          </w:p>
        </w:tc>
      </w:tr>
      <w:tr w14:paraId="3346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4C1701C9">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07C2F53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断电报警时长（h）</w:t>
            </w:r>
          </w:p>
        </w:tc>
        <w:tc>
          <w:tcPr>
            <w:tcW w:w="3209" w:type="dxa"/>
            <w:noWrap w:val="0"/>
            <w:tcMar>
              <w:top w:w="15" w:type="dxa"/>
              <w:left w:w="15" w:type="dxa"/>
              <w:right w:w="15" w:type="dxa"/>
            </w:tcMar>
            <w:vAlign w:val="center"/>
          </w:tcPr>
          <w:p w14:paraId="2A18265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r>
      <w:tr w14:paraId="2EDF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restart"/>
            <w:noWrap w:val="0"/>
            <w:tcMar>
              <w:top w:w="15" w:type="dxa"/>
              <w:left w:w="15" w:type="dxa"/>
              <w:right w:w="15" w:type="dxa"/>
            </w:tcMar>
            <w:vAlign w:val="center"/>
          </w:tcPr>
          <w:p w14:paraId="52907B4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附件</w:t>
            </w:r>
          </w:p>
        </w:tc>
        <w:tc>
          <w:tcPr>
            <w:tcW w:w="4081" w:type="dxa"/>
            <w:noWrap w:val="0"/>
            <w:tcMar>
              <w:top w:w="15" w:type="dxa"/>
              <w:left w:w="15" w:type="dxa"/>
              <w:right w:w="15" w:type="dxa"/>
            </w:tcMar>
            <w:vAlign w:val="center"/>
          </w:tcPr>
          <w:p w14:paraId="24FE9782">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脚轮</w:t>
            </w:r>
          </w:p>
        </w:tc>
        <w:tc>
          <w:tcPr>
            <w:tcW w:w="3209" w:type="dxa"/>
            <w:noWrap w:val="0"/>
            <w:tcMar>
              <w:top w:w="15" w:type="dxa"/>
              <w:left w:w="15" w:type="dxa"/>
              <w:right w:w="15" w:type="dxa"/>
            </w:tcMar>
            <w:vAlign w:val="center"/>
          </w:tcPr>
          <w:p w14:paraId="1BA5B57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标配</w:t>
            </w:r>
          </w:p>
        </w:tc>
      </w:tr>
      <w:tr w14:paraId="6B7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39EB4E04">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45983BA6">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调平脚</w:t>
            </w:r>
          </w:p>
        </w:tc>
        <w:tc>
          <w:tcPr>
            <w:tcW w:w="3209" w:type="dxa"/>
            <w:noWrap w:val="0"/>
            <w:tcMar>
              <w:top w:w="15" w:type="dxa"/>
              <w:left w:w="15" w:type="dxa"/>
              <w:right w:w="15" w:type="dxa"/>
            </w:tcMar>
            <w:vAlign w:val="center"/>
          </w:tcPr>
          <w:p w14:paraId="1317CAEB">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标配</w:t>
            </w:r>
          </w:p>
        </w:tc>
      </w:tr>
      <w:tr w14:paraId="633B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516456C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32397E68">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外门/类型</w:t>
            </w:r>
          </w:p>
        </w:tc>
        <w:tc>
          <w:tcPr>
            <w:tcW w:w="3209" w:type="dxa"/>
            <w:noWrap w:val="0"/>
            <w:tcMar>
              <w:top w:w="15" w:type="dxa"/>
              <w:left w:w="15" w:type="dxa"/>
              <w:right w:w="15" w:type="dxa"/>
            </w:tcMar>
            <w:vAlign w:val="center"/>
          </w:tcPr>
          <w:p w14:paraId="4D71E5BF">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1/电加热玻璃门</w:t>
            </w:r>
          </w:p>
        </w:tc>
      </w:tr>
      <w:tr w14:paraId="6E1C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723F9EF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07DCD9E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外门锁扣</w:t>
            </w:r>
          </w:p>
        </w:tc>
        <w:tc>
          <w:tcPr>
            <w:tcW w:w="3209" w:type="dxa"/>
            <w:noWrap w:val="0"/>
            <w:tcMar>
              <w:top w:w="15" w:type="dxa"/>
              <w:left w:w="15" w:type="dxa"/>
              <w:right w:w="15" w:type="dxa"/>
            </w:tcMar>
            <w:vAlign w:val="center"/>
          </w:tcPr>
          <w:p w14:paraId="222C710C">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r>
      <w:tr w14:paraId="1767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736" w:type="dxa"/>
            <w:vMerge w:val="continue"/>
            <w:noWrap w:val="0"/>
            <w:tcMar>
              <w:top w:w="15" w:type="dxa"/>
              <w:left w:w="15" w:type="dxa"/>
              <w:right w:w="15" w:type="dxa"/>
            </w:tcMar>
            <w:vAlign w:val="center"/>
          </w:tcPr>
          <w:p w14:paraId="030B931D">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081" w:type="dxa"/>
            <w:noWrap w:val="0"/>
            <w:tcMar>
              <w:top w:w="15" w:type="dxa"/>
              <w:left w:w="15" w:type="dxa"/>
              <w:right w:w="15" w:type="dxa"/>
            </w:tcMar>
            <w:vAlign w:val="center"/>
          </w:tcPr>
          <w:p w14:paraId="0469C487">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灯（LED/荧光灯)</w:t>
            </w:r>
          </w:p>
        </w:tc>
        <w:tc>
          <w:tcPr>
            <w:tcW w:w="3209" w:type="dxa"/>
            <w:noWrap w:val="0"/>
            <w:tcMar>
              <w:top w:w="15" w:type="dxa"/>
              <w:left w:w="15" w:type="dxa"/>
              <w:right w:w="15" w:type="dxa"/>
            </w:tcMar>
            <w:vAlign w:val="center"/>
          </w:tcPr>
          <w:p w14:paraId="0C7D19FA">
            <w:pPr>
              <w:keepNext w:val="0"/>
              <w:keepLines w:val="0"/>
              <w:pageBreakBefore w:val="0"/>
              <w:kinsoku/>
              <w:wordWrap/>
              <w:overflowPunct/>
              <w:topLinePunct w:val="0"/>
              <w:bidi w:val="0"/>
              <w:spacing w:line="26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LED</w:t>
            </w:r>
          </w:p>
        </w:tc>
      </w:tr>
    </w:tbl>
    <w:p w14:paraId="5406F633">
      <w:pPr>
        <w:pStyle w:val="15"/>
        <w:numPr>
          <w:ilvl w:val="0"/>
          <w:numId w:val="0"/>
        </w:numPr>
        <w:tabs>
          <w:tab w:val="left" w:pos="540"/>
        </w:tabs>
        <w:snapToGrid w:val="0"/>
        <w:spacing w:line="360" w:lineRule="auto"/>
        <w:ind w:leftChars="0"/>
        <w:jc w:val="left"/>
        <w:rPr>
          <w:rFonts w:hint="eastAsia" w:ascii="仿宋" w:hAnsi="仿宋" w:eastAsia="仿宋" w:cs="仿宋"/>
          <w:b/>
          <w:color w:val="auto"/>
          <w:sz w:val="24"/>
          <w:szCs w:val="24"/>
          <w:highlight w:val="none"/>
          <w:lang w:eastAsia="zh-CN"/>
        </w:rPr>
      </w:pPr>
    </w:p>
    <w:p w14:paraId="5DB77A2B">
      <w:pPr>
        <w:pStyle w:val="15"/>
        <w:numPr>
          <w:ilvl w:val="0"/>
          <w:numId w:val="0"/>
        </w:numPr>
        <w:tabs>
          <w:tab w:val="left" w:pos="540"/>
        </w:tabs>
        <w:snapToGrid w:val="0"/>
        <w:spacing w:line="360" w:lineRule="auto"/>
        <w:ind w:left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三、商务要求</w:t>
      </w:r>
    </w:p>
    <w:p w14:paraId="3A786D42">
      <w:pPr>
        <w:pStyle w:val="15"/>
        <w:numPr>
          <w:ilvl w:val="0"/>
          <w:numId w:val="15"/>
        </w:numPr>
        <w:tabs>
          <w:tab w:val="left" w:pos="540"/>
        </w:tabs>
        <w:snapToGrid w:val="0"/>
        <w:spacing w:line="360" w:lineRule="auto"/>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供货要求：</w:t>
      </w:r>
      <w:bookmarkStart w:id="196" w:name="_GoBack"/>
      <w:bookmarkEnd w:id="196"/>
    </w:p>
    <w:p w14:paraId="3DECE6A1">
      <w:pPr>
        <w:pStyle w:val="15"/>
        <w:numPr>
          <w:ilvl w:val="0"/>
          <w:numId w:val="0"/>
        </w:numPr>
        <w:tabs>
          <w:tab w:val="left" w:pos="540"/>
        </w:tabs>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货物为本次招标前原制造商制造的非淘汰类全新产品，整机无污染，无侵权行为、表面无划损、无任何缺陷隐患，在中国境内可依常规安全合法使用。货物为原厂商未启封全新包装，具出厂合格证，序列号、包装箱号与出厂批号一致，并可追索查阅。应附关键设备的用户手册、保修手册、有关单证资料及配备件、随机工具等，设备使用操作及安全须知等重要资料应附有中文说明。</w:t>
      </w:r>
    </w:p>
    <w:p w14:paraId="0E15DA49">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所提供货物的技术规格和标准要符合中华人民共和国有关部门最新颁布的标准及规范，并附产品合格证书。</w:t>
      </w:r>
    </w:p>
    <w:p w14:paraId="00816DD6">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投标人报价时所提供的货物如在实际供货时已经停产（不列入该厂家当时的产品系统），如果未能按原价提供更优质的货物，则按违约处理，赔偿合同金额5%的违约金。 </w:t>
      </w:r>
    </w:p>
    <w:p w14:paraId="76A152F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成交供应商应保证采购人在使用设备或设备的任何一部分，都不受第三方关于侵犯其所有权、专利权的指控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如因此指控为采购人带来的损失均由中标供应商承担，供应商必须就此点提供书面承诺</w:t>
      </w:r>
      <w:r>
        <w:rPr>
          <w:rFonts w:hint="eastAsia" w:ascii="仿宋" w:hAnsi="仿宋" w:eastAsia="仿宋" w:cs="仿宋"/>
          <w:color w:val="auto"/>
          <w:sz w:val="24"/>
          <w:szCs w:val="24"/>
          <w:highlight w:val="none"/>
        </w:rPr>
        <w:t>。</w:t>
      </w:r>
    </w:p>
    <w:p w14:paraId="5CBA72D0">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14:paraId="247F7C15">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 投标人针对本项目所投标的货物需提供所供设备的维护保养方案，所投产品应易于维护，或免维护。</w:t>
      </w:r>
    </w:p>
    <w:p w14:paraId="196F431F">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 xml:space="preserve">报价要求：报价应包括供货方设计、安装、随机零配件、标配工具、运输费用及保险、调试、培训、质保期服务、各项税费及合同实施过程中不可预见费用等。 </w:t>
      </w:r>
    </w:p>
    <w:p w14:paraId="78F791E8">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交货期：合同签订后</w:t>
      </w:r>
      <w:r>
        <w:rPr>
          <w:rFonts w:hint="eastAsia" w:ascii="仿宋" w:hAnsi="仿宋" w:eastAsia="仿宋" w:cs="仿宋"/>
          <w:color w:val="auto"/>
          <w:sz w:val="24"/>
          <w:szCs w:val="24"/>
          <w:highlight w:val="none"/>
          <w:lang w:val="en-US" w:eastAsia="zh-CN"/>
        </w:rPr>
        <w:t>30日历日</w:t>
      </w:r>
      <w:r>
        <w:rPr>
          <w:rFonts w:hint="eastAsia" w:ascii="仿宋" w:hAnsi="仿宋" w:eastAsia="仿宋" w:cs="仿宋"/>
          <w:color w:val="auto"/>
          <w:sz w:val="24"/>
          <w:szCs w:val="24"/>
          <w:highlight w:val="none"/>
        </w:rPr>
        <w:t>内完成供货、</w:t>
      </w:r>
      <w:r>
        <w:rPr>
          <w:rFonts w:hint="eastAsia" w:ascii="仿宋" w:hAnsi="仿宋" w:eastAsia="仿宋" w:cs="仿宋"/>
          <w:color w:val="auto"/>
          <w:sz w:val="24"/>
          <w:szCs w:val="24"/>
          <w:highlight w:val="none"/>
          <w:lang w:val="en-US" w:eastAsia="zh-CN"/>
        </w:rPr>
        <w:t>组装、</w:t>
      </w:r>
      <w:r>
        <w:rPr>
          <w:rFonts w:hint="eastAsia" w:ascii="仿宋" w:hAnsi="仿宋" w:eastAsia="仿宋" w:cs="仿宋"/>
          <w:color w:val="auto"/>
          <w:sz w:val="24"/>
          <w:szCs w:val="24"/>
          <w:highlight w:val="none"/>
        </w:rPr>
        <w:t xml:space="preserve">调试并交付验收，除双方对推迟工期书面达成一致外，中标人要在规定的工期内完工。 </w:t>
      </w:r>
    </w:p>
    <w:p w14:paraId="18B77438">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4、交货地点：采购人指定地点。</w:t>
      </w:r>
    </w:p>
    <w:p w14:paraId="2FEB5C8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5、培训要求：投标人要满足本节要求的培训服务。 </w:t>
      </w:r>
    </w:p>
    <w:p w14:paraId="0B1057AA">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（1）投标人要根据招标文件采购的设备及采用的相关技术，提出培训计划，并在征得使用方同意后实施。 </w:t>
      </w:r>
    </w:p>
    <w:p w14:paraId="597D7260">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（2）投标人要提供高水平的培训。培训应包括硬件、软件等。 </w:t>
      </w:r>
    </w:p>
    <w:p w14:paraId="7B6A01C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（3）投标人派出的培训教员应至少具有三年的培训经验。所有的培训教员要用中文授课(如果讲师不会讲中文， 投标人要提供中文翻译)，除非有其它的协议规定。 </w:t>
      </w:r>
    </w:p>
    <w:p w14:paraId="228C3488">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4）投标人要为所有被培训人员提供培训用各类设备、文字资料和讲义等相关用品。所有的资料是中文书写。 </w:t>
      </w:r>
    </w:p>
    <w:p w14:paraId="68B741FE">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（5）培训工作须在验收之前完成。 </w:t>
      </w:r>
    </w:p>
    <w:p w14:paraId="4EF4AC3B">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（6）投标人必需提供但不限于以下培训要求： </w:t>
      </w:r>
    </w:p>
    <w:p w14:paraId="578A4EE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培训内容：系统设备软硬件培训。包括各种常见的软硬件故障及特点、系统的工作原理及特点，相关的设备安装和维护及常见故障现象及诊断、常见的问题及解决办法等。 </w:t>
      </w:r>
    </w:p>
    <w:p w14:paraId="798E1F3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用户单位培训：所有设备的安装调试、系统优化培训。</w:t>
      </w:r>
    </w:p>
    <w:p w14:paraId="144F5795">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特别强调：用户（项目单位）有权对投标人提出的培训项目内容进行选择。其他：培训开始时间与用户协商后安排实施。中标人应负责所有培训费用。 </w:t>
      </w:r>
    </w:p>
    <w:p w14:paraId="1E9580F9">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质量保证及售后服务：</w:t>
      </w:r>
    </w:p>
    <w:p w14:paraId="7B226AE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14:paraId="3CE2F443">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14:paraId="1E415D4D">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 xml:space="preserve">售后服务要求 </w:t>
      </w:r>
    </w:p>
    <w:p w14:paraId="7D3A277F">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质保期为</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及以上</w:t>
      </w:r>
      <w:r>
        <w:rPr>
          <w:rFonts w:hint="eastAsia" w:ascii="仿宋" w:hAnsi="仿宋" w:eastAsia="仿宋" w:cs="仿宋"/>
          <w:b/>
          <w:bCs/>
          <w:color w:val="auto"/>
          <w:sz w:val="24"/>
          <w:szCs w:val="24"/>
          <w:highlight w:val="none"/>
        </w:rPr>
        <w:t>（采购需求中另有要求的从其规定）。从验收合格之日起</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年内（采购需求中另有要求的从其规定）</w:t>
      </w:r>
      <w:r>
        <w:rPr>
          <w:rFonts w:hint="eastAsia" w:ascii="仿宋" w:hAnsi="仿宋" w:eastAsia="仿宋" w:cs="仿宋"/>
          <w:color w:val="auto"/>
          <w:sz w:val="24"/>
          <w:szCs w:val="24"/>
          <w:highlight w:val="none"/>
        </w:rPr>
        <w:t xml:space="preserve">，采购人所购设备各部件发生非人为故障，投标人应上门更换同种品牌不低于原规格型号的新部件，费用包含在本项目的投标报价内。投标人投标产品属于国家规定“三包”范围的，其产品质量保证期不得 低于“三包”规定；投标人的质量保证期承诺优于国家“三包”规定的，按投标人实际承诺执行。 </w:t>
      </w:r>
    </w:p>
    <w:p w14:paraId="12FB20B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采购人报修后，除招标文件有特殊要求外，投标人须在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小时内派员上门现场维护，并在24小时内解决问题，在规定时间内不能解决问题的设备，应提供不低于原档次的零部件给采购人代用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在投标文件中提交书面承诺函，否则投标无效</w:t>
      </w:r>
      <w:r>
        <w:rPr>
          <w:rFonts w:hint="eastAsia" w:ascii="仿宋" w:hAnsi="仿宋" w:eastAsia="仿宋" w:cs="仿宋"/>
          <w:color w:val="auto"/>
          <w:sz w:val="24"/>
          <w:szCs w:val="24"/>
          <w:highlight w:val="none"/>
        </w:rPr>
        <w:t xml:space="preserve">。 </w:t>
      </w:r>
    </w:p>
    <w:p w14:paraId="4063E22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kern w:val="0"/>
          <w:sz w:val="24"/>
          <w:szCs w:val="24"/>
        </w:rPr>
        <w:t>★</w:t>
      </w:r>
      <w:r>
        <w:rPr>
          <w:rFonts w:hint="eastAsia" w:ascii="仿宋" w:hAnsi="仿宋" w:eastAsia="仿宋" w:cs="仿宋"/>
          <w:color w:val="auto"/>
          <w:sz w:val="24"/>
          <w:szCs w:val="24"/>
          <w:highlight w:val="none"/>
        </w:rPr>
        <w:t>保修期间，非易损件一个月内连续2次出现同一故障，投标人必须无条件更换同一档次零部件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在投标文件中提交书面承诺函，否则投标无效</w:t>
      </w:r>
      <w:r>
        <w:rPr>
          <w:rFonts w:hint="eastAsia" w:ascii="仿宋" w:hAnsi="仿宋" w:eastAsia="仿宋" w:cs="仿宋"/>
          <w:color w:val="auto"/>
          <w:sz w:val="24"/>
          <w:szCs w:val="24"/>
          <w:highlight w:val="none"/>
        </w:rPr>
        <w:t>。</w:t>
      </w:r>
    </w:p>
    <w:p w14:paraId="19F14E9A">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质保期满后 </w:t>
      </w:r>
    </w:p>
    <w:p w14:paraId="1B48B3BB">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（1）质保期满后，投标人提供终身有偿上门维护服务。 </w:t>
      </w:r>
    </w:p>
    <w:p w14:paraId="086F0F3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（2）保证保修期以后对用户的零配件供应。保修期后设备维修配件更换只收取成本费用。 </w:t>
      </w:r>
    </w:p>
    <w:p w14:paraId="768E749B">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、采购人配合条件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投标人在投标文件中要列明在项目实施过程中要求采购人提供的配合条件。</w:t>
      </w:r>
    </w:p>
    <w:p w14:paraId="0078A0E2">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、违约责任 </w:t>
      </w:r>
    </w:p>
    <w:p w14:paraId="52C5147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（1）中标人未能按时交付货物或交付的货物不符合招标文件，合同规定标准的，则向采购人支付货物总金额5％的违约金，违约金从履约保证金中扣除。 </w:t>
      </w:r>
    </w:p>
    <w:p w14:paraId="5C335A4E">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如发现中标人交付货物的质量，规格和数量，不符合或达不到合同规定的技术参数和要求的，采购人有权拒收货物，由此造成采购人损失的，中标人向采购人支付货物总金额5%的违约金，违约金从履约保证金中扣除。 </w:t>
      </w:r>
    </w:p>
    <w:p w14:paraId="6CFF9DFC">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（3）质保期内，中标人无法按时为采购人提供售后服务或以任何理由拒绝履行售后服务承诺的，中标人向采购人支付货物总金额5%的违约金，违约金从履约保证金中扣除。 </w:t>
      </w:r>
    </w:p>
    <w:p w14:paraId="3E32FBA0">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（4）如在合同执行期间因中标人违约导致履约保证金部分扣除，中标人需在五个工作日内将扣除的 履约保证金补齐。 </w:t>
      </w:r>
    </w:p>
    <w:p w14:paraId="6D90B30D">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、付款方式 </w:t>
      </w:r>
    </w:p>
    <w:p w14:paraId="493DFAD1">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签订合同后支付合同金额的40%，项目服务完成后支付30%，验收审计结束后支付30%（具体以合同签订为准）。</w:t>
      </w:r>
    </w:p>
    <w:p w14:paraId="4F3AC0A3">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）中标人向采购人申请付款的同时，应向采购人开具等额有效发票。 </w:t>
      </w:r>
    </w:p>
    <w:p w14:paraId="27608CF4">
      <w:pPr>
        <w:pStyle w:val="15"/>
        <w:numPr>
          <w:ilvl w:val="0"/>
          <w:numId w:val="0"/>
        </w:numPr>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）履约保证金在</w:t>
      </w:r>
      <w:r>
        <w:rPr>
          <w:rFonts w:hint="eastAsia" w:ascii="仿宋" w:hAnsi="仿宋" w:eastAsia="仿宋" w:cs="仿宋"/>
          <w:color w:val="auto"/>
          <w:sz w:val="24"/>
          <w:szCs w:val="24"/>
          <w:highlight w:val="none"/>
          <w:lang w:val="en-US" w:eastAsia="zh-CN"/>
        </w:rPr>
        <w:t>合同履行完毕</w:t>
      </w:r>
      <w:r>
        <w:rPr>
          <w:rFonts w:hint="eastAsia" w:ascii="仿宋" w:hAnsi="仿宋" w:eastAsia="仿宋" w:cs="仿宋"/>
          <w:color w:val="auto"/>
          <w:sz w:val="24"/>
          <w:szCs w:val="24"/>
          <w:highlight w:val="none"/>
        </w:rPr>
        <w:t>后，设备正常运行，由中标人提出申请，凭采购人出具的无质量及违约问题的证明及履约保证金收据，在十五个工作日内无息退还全额履约保证金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具体以合同签订为准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53A59F">
      <w:pPr>
        <w:pStyle w:val="15"/>
        <w:tabs>
          <w:tab w:val="left" w:pos="540"/>
        </w:tabs>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.诚信履约</w:t>
      </w:r>
    </w:p>
    <w:p w14:paraId="63B9D8C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认为此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简称“有效报价提示一”）</w:t>
      </w:r>
    </w:p>
    <w:p w14:paraId="5A8982E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认为投标方的报价明显低于其他通过符合性审查投标方的报价，此情形是评标委员会根据市场竞争的现场情况来认为此报价有可能影响产品质量或者不能诚信履约的，投标方按评标委员的要求在评标现场合理的时间内提供书面说明，必要时提交相关证明材料。评标委员会认定投标方对此报价的书面说明或证明可以佐证此报价的产品质量和具有合理履约能力予以通过审查。（简称“有效报价提示二”）</w:t>
      </w:r>
    </w:p>
    <w:p w14:paraId="5EEE61AB">
      <w:pPr>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14:paraId="56844E98">
      <w:pPr>
        <w:pStyle w:val="16"/>
        <w:keepNext w:val="0"/>
        <w:keepLines w:val="0"/>
        <w:pageBreakBefore w:val="0"/>
        <w:kinsoku/>
        <w:wordWrap/>
        <w:overflowPunct/>
        <w:topLinePunct w:val="0"/>
        <w:bidi w:val="0"/>
        <w:adjustRightInd/>
        <w:spacing w:line="240" w:lineRule="auto"/>
        <w:rPr>
          <w:rFonts w:hint="eastAsia" w:ascii="仿宋" w:hAnsi="仿宋" w:eastAsia="仿宋" w:cs="仿宋"/>
          <w:color w:val="auto"/>
          <w:sz w:val="24"/>
          <w:szCs w:val="24"/>
          <w:lang w:val="en-US" w:eastAsia="zh-CN"/>
        </w:rPr>
      </w:pPr>
    </w:p>
    <w:p w14:paraId="006BAC23">
      <w:pPr>
        <w:keepNext w:val="0"/>
        <w:keepLines w:val="0"/>
        <w:pageBreakBefore w:val="0"/>
        <w:kinsoku/>
        <w:wordWrap/>
        <w:overflowPunct/>
        <w:topLinePunct w:val="0"/>
        <w:bidi w:val="0"/>
        <w:adjustRightInd/>
        <w:spacing w:line="240" w:lineRule="auto"/>
        <w:rPr>
          <w:rFonts w:hint="eastAsia" w:ascii="仿宋" w:hAnsi="仿宋" w:eastAsia="仿宋" w:cs="仿宋"/>
          <w:b/>
          <w:bCs/>
          <w:i w:val="0"/>
          <w:iCs w:val="0"/>
          <w:color w:val="auto"/>
          <w:sz w:val="32"/>
          <w:szCs w:val="32"/>
          <w:lang w:val="en-US" w:eastAsia="zh-CN"/>
        </w:rPr>
      </w:pPr>
      <w:bookmarkStart w:id="81" w:name="_Toc3191"/>
      <w:r>
        <w:rPr>
          <w:rFonts w:hint="eastAsia" w:ascii="仿宋" w:hAnsi="仿宋" w:eastAsia="仿宋" w:cs="仿宋"/>
          <w:b/>
          <w:bCs/>
          <w:i w:val="0"/>
          <w:iCs w:val="0"/>
          <w:color w:val="auto"/>
          <w:sz w:val="32"/>
          <w:szCs w:val="32"/>
          <w:lang w:val="en-US" w:eastAsia="zh-CN"/>
        </w:rPr>
        <w:br w:type="page"/>
      </w:r>
    </w:p>
    <w:p w14:paraId="31E1F1A4">
      <w:pPr>
        <w:jc w:val="center"/>
        <w:outlineLvl w:val="0"/>
        <w:rPr>
          <w:rFonts w:hint="eastAsia"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第六章  评标方法和标准</w:t>
      </w:r>
      <w:bookmarkEnd w:id="81"/>
    </w:p>
    <w:p w14:paraId="238CFBF4">
      <w:pPr>
        <w:pStyle w:val="30"/>
        <w:keepNext w:val="0"/>
        <w:keepLines w:val="0"/>
        <w:pageBreakBefore w:val="0"/>
        <w:tabs>
          <w:tab w:val="right" w:pos="8306"/>
        </w:tabs>
        <w:kinsoku/>
        <w:wordWrap/>
        <w:overflowPunct/>
        <w:topLinePunct w:val="0"/>
        <w:autoSpaceDE/>
        <w:autoSpaceDN/>
        <w:bidi w:val="0"/>
        <w:adjustRightInd/>
        <w:snapToGrid/>
        <w:spacing w:line="440" w:lineRule="exact"/>
        <w:ind w:right="199" w:rightChars="95"/>
        <w:jc w:val="both"/>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一、评标方法</w:t>
      </w:r>
      <w:r>
        <w:rPr>
          <w:rFonts w:hint="eastAsia" w:ascii="仿宋" w:hAnsi="仿宋" w:eastAsia="仿宋" w:cs="仿宋"/>
          <w:b/>
          <w:bCs/>
          <w:color w:val="auto"/>
          <w:spacing w:val="0"/>
          <w:kern w:val="2"/>
          <w:sz w:val="24"/>
          <w:szCs w:val="24"/>
          <w:u w:val="none"/>
          <w:lang w:val="en-US" w:eastAsia="zh-CN" w:bidi="ar"/>
        </w:rPr>
        <w:tab/>
      </w:r>
    </w:p>
    <w:p w14:paraId="14A2D6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b w:val="0"/>
          <w:bCs w:val="0"/>
          <w:color w:val="auto"/>
          <w:spacing w:val="0"/>
          <w:kern w:val="2"/>
          <w:sz w:val="24"/>
          <w:szCs w:val="24"/>
          <w:u w:val="none"/>
          <w:lang w:val="en-US" w:eastAsia="zh-CN" w:bidi="ar"/>
        </w:rPr>
        <w:t>本项目采用综合评分法是指投标文件满足招标文件全部实质性要求，且按照评审因素的量化指标评审得分最高的投标人为中标候选人的评标方法。</w:t>
      </w:r>
    </w:p>
    <w:p w14:paraId="462AAE56">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bookmarkStart w:id="82" w:name="_Toc492286392"/>
      <w:bookmarkStart w:id="83" w:name="_Toc509318020"/>
      <w:bookmarkStart w:id="84" w:name="_Toc19513"/>
      <w:bookmarkStart w:id="85" w:name="_Toc22445"/>
      <w:bookmarkStart w:id="86" w:name="_Toc386"/>
      <w:bookmarkStart w:id="87" w:name="_Toc26426"/>
      <w:r>
        <w:rPr>
          <w:rFonts w:hint="eastAsia" w:ascii="仿宋" w:hAnsi="仿宋" w:eastAsia="仿宋" w:cs="仿宋"/>
          <w:b/>
          <w:bCs/>
          <w:color w:val="auto"/>
          <w:spacing w:val="0"/>
          <w:kern w:val="2"/>
          <w:sz w:val="24"/>
          <w:szCs w:val="24"/>
          <w:u w:val="none"/>
          <w:lang w:val="en-US" w:eastAsia="zh-CN" w:bidi="ar"/>
        </w:rPr>
        <w:t>二、资格审查</w:t>
      </w:r>
      <w:bookmarkEnd w:id="82"/>
      <w:bookmarkEnd w:id="83"/>
      <w:bookmarkEnd w:id="84"/>
      <w:bookmarkEnd w:id="85"/>
      <w:bookmarkEnd w:id="86"/>
      <w:bookmarkEnd w:id="87"/>
    </w:p>
    <w:p w14:paraId="55B18FF0">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采购人或采购代理机构依据招标文件，对投标文件中的资格证明文件进行审查，以确定投标人是否具备投标资格，未通过资格审查的投标不进入符合性审查。审查内容如下：</w:t>
      </w:r>
    </w:p>
    <w:p w14:paraId="16489B1D">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387"/>
        <w:gridCol w:w="6198"/>
      </w:tblGrid>
      <w:tr w14:paraId="24C9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49D49838">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pacing w:val="0"/>
                <w:kern w:val="2"/>
                <w:sz w:val="21"/>
                <w:szCs w:val="21"/>
                <w:u w:val="none"/>
                <w:vertAlign w:val="baseline"/>
                <w:lang w:val="en-US" w:eastAsia="zh-CN" w:bidi="ar"/>
              </w:rPr>
            </w:pPr>
            <w:r>
              <w:rPr>
                <w:rFonts w:hint="eastAsia" w:ascii="仿宋" w:hAnsi="仿宋" w:eastAsia="仿宋" w:cs="仿宋"/>
                <w:b/>
                <w:bCs/>
                <w:color w:val="auto"/>
                <w:spacing w:val="0"/>
                <w:kern w:val="2"/>
                <w:sz w:val="21"/>
                <w:szCs w:val="21"/>
                <w:u w:val="none"/>
                <w:vertAlign w:val="baseline"/>
                <w:lang w:val="en-US" w:eastAsia="zh-CN" w:bidi="ar"/>
              </w:rPr>
              <w:t>序号</w:t>
            </w:r>
          </w:p>
        </w:tc>
        <w:tc>
          <w:tcPr>
            <w:tcW w:w="2387" w:type="dxa"/>
            <w:vAlign w:val="center"/>
          </w:tcPr>
          <w:p w14:paraId="583866F4">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pacing w:val="0"/>
                <w:kern w:val="2"/>
                <w:sz w:val="21"/>
                <w:szCs w:val="21"/>
                <w:u w:val="none"/>
                <w:vertAlign w:val="baseline"/>
                <w:lang w:val="en-US" w:eastAsia="zh-CN" w:bidi="ar"/>
              </w:rPr>
            </w:pPr>
            <w:r>
              <w:rPr>
                <w:rFonts w:hint="eastAsia" w:ascii="仿宋" w:hAnsi="仿宋" w:eastAsia="仿宋" w:cs="仿宋"/>
                <w:b/>
                <w:bCs/>
                <w:color w:val="auto"/>
                <w:szCs w:val="21"/>
              </w:rPr>
              <w:t>资格条件</w:t>
            </w:r>
          </w:p>
        </w:tc>
        <w:tc>
          <w:tcPr>
            <w:tcW w:w="6198" w:type="dxa"/>
            <w:vAlign w:val="center"/>
          </w:tcPr>
          <w:p w14:paraId="5C6CE04C">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pacing w:val="0"/>
                <w:kern w:val="2"/>
                <w:sz w:val="21"/>
                <w:szCs w:val="21"/>
                <w:u w:val="none"/>
                <w:vertAlign w:val="baseline"/>
                <w:lang w:val="en-US" w:eastAsia="zh-CN" w:bidi="ar"/>
              </w:rPr>
            </w:pPr>
            <w:r>
              <w:rPr>
                <w:rFonts w:hint="eastAsia" w:ascii="仿宋" w:hAnsi="仿宋" w:eastAsia="仿宋" w:cs="仿宋"/>
                <w:b/>
                <w:bCs/>
                <w:color w:val="auto"/>
                <w:szCs w:val="21"/>
              </w:rPr>
              <w:t>审查内容和审查标准</w:t>
            </w:r>
          </w:p>
        </w:tc>
      </w:tr>
      <w:tr w14:paraId="121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7000C33">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1</w:t>
            </w:r>
          </w:p>
        </w:tc>
        <w:tc>
          <w:tcPr>
            <w:tcW w:w="2387" w:type="dxa"/>
            <w:vAlign w:val="center"/>
          </w:tcPr>
          <w:p w14:paraId="11654BB6">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具有独立承担民事责任的能力</w:t>
            </w:r>
          </w:p>
        </w:tc>
        <w:tc>
          <w:tcPr>
            <w:tcW w:w="6198" w:type="dxa"/>
            <w:vAlign w:val="center"/>
          </w:tcPr>
          <w:p w14:paraId="1DAD29B2">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须提供在中华人民共和国境内注册的法人或其他组织或自然人的营业执照副本或事业法人登记证或执业许可证或身份证等相关证明扫描件（除身份证外其余证件须单位电子签章）</w:t>
            </w:r>
          </w:p>
        </w:tc>
      </w:tr>
      <w:tr w14:paraId="4FAA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4EB8C70">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2</w:t>
            </w:r>
          </w:p>
        </w:tc>
        <w:tc>
          <w:tcPr>
            <w:tcW w:w="2387" w:type="dxa"/>
            <w:vAlign w:val="center"/>
          </w:tcPr>
          <w:p w14:paraId="35138FB9">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具有良好的商业信誉和健全的财务会计制度</w:t>
            </w:r>
          </w:p>
        </w:tc>
        <w:tc>
          <w:tcPr>
            <w:tcW w:w="6198" w:type="dxa"/>
            <w:vAlign w:val="center"/>
          </w:tcPr>
          <w:p w14:paraId="23798904">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本单位2023年或2024年由会计师事务所出具的完整财务审计报告，审计报告须包括资产负债表、利润表、现金流量表、所有者权益变动（如有）及其附注（扫描件并单位电子签章）或提供开标日前一个月内银行出具的资信证明。银行资信证明可提供原件，也可扫描件并单位电子签章。当月新成立公司不需提供。</w:t>
            </w:r>
          </w:p>
        </w:tc>
      </w:tr>
      <w:tr w14:paraId="2769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6038F3A8">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3</w:t>
            </w:r>
          </w:p>
        </w:tc>
        <w:tc>
          <w:tcPr>
            <w:tcW w:w="2387" w:type="dxa"/>
            <w:vAlign w:val="center"/>
          </w:tcPr>
          <w:p w14:paraId="75F3A37B">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具有履行合同所必需的设备和专业技术能力</w:t>
            </w:r>
          </w:p>
        </w:tc>
        <w:tc>
          <w:tcPr>
            <w:tcW w:w="6198" w:type="dxa"/>
            <w:vAlign w:val="center"/>
          </w:tcPr>
          <w:p w14:paraId="1A2A068E">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须提供具备履行合同所必需的设备和专业技术能力的证明材料或书面声明</w:t>
            </w:r>
          </w:p>
        </w:tc>
      </w:tr>
      <w:tr w14:paraId="3DA3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02764F1">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4</w:t>
            </w:r>
          </w:p>
        </w:tc>
        <w:tc>
          <w:tcPr>
            <w:tcW w:w="2387" w:type="dxa"/>
            <w:vAlign w:val="center"/>
          </w:tcPr>
          <w:p w14:paraId="15CA39D9">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有依法缴纳税收和依法缴纳社会保障资金的记录</w:t>
            </w:r>
          </w:p>
        </w:tc>
        <w:tc>
          <w:tcPr>
            <w:tcW w:w="6198" w:type="dxa"/>
            <w:vAlign w:val="center"/>
          </w:tcPr>
          <w:p w14:paraId="509983E8">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rPr>
            </w:pPr>
            <w:r>
              <w:rPr>
                <w:rFonts w:hint="eastAsia" w:ascii="仿宋" w:hAnsi="仿宋" w:eastAsia="仿宋" w:cs="仿宋"/>
                <w:color w:val="auto"/>
                <w:sz w:val="21"/>
                <w:szCs w:val="21"/>
                <w:lang w:val="en-US" w:eastAsia="zh-CN"/>
              </w:rPr>
              <w:t>须提供投标文件递交截止日期之前三个月的纳税记录或证明文件扫描件并单位电子签章</w:t>
            </w:r>
            <w:r>
              <w:rPr>
                <w:rFonts w:hint="eastAsia" w:ascii="仿宋" w:hAnsi="仿宋" w:eastAsia="仿宋" w:cs="仿宋"/>
                <w:color w:val="auto"/>
                <w:szCs w:val="21"/>
              </w:rPr>
              <w:t>（依法免税</w:t>
            </w:r>
            <w:r>
              <w:rPr>
                <w:rFonts w:hint="eastAsia" w:ascii="仿宋" w:hAnsi="仿宋" w:eastAsia="仿宋" w:cs="仿宋"/>
                <w:color w:val="auto"/>
                <w:szCs w:val="21"/>
                <w:lang w:val="en-US" w:eastAsia="zh-CN"/>
              </w:rPr>
              <w:t>或无需纳税</w:t>
            </w:r>
            <w:r>
              <w:rPr>
                <w:rFonts w:hint="eastAsia" w:ascii="仿宋" w:hAnsi="仿宋" w:eastAsia="仿宋" w:cs="仿宋"/>
                <w:color w:val="auto"/>
                <w:szCs w:val="21"/>
              </w:rPr>
              <w:t>的应提供相应</w:t>
            </w:r>
            <w:r>
              <w:rPr>
                <w:rFonts w:hint="eastAsia" w:ascii="仿宋" w:hAnsi="仿宋" w:eastAsia="仿宋" w:cs="仿宋"/>
                <w:color w:val="auto"/>
                <w:szCs w:val="21"/>
                <w:lang w:val="en-US" w:eastAsia="zh-CN"/>
              </w:rPr>
              <w:t>零申报</w:t>
            </w:r>
            <w:r>
              <w:rPr>
                <w:rFonts w:hint="eastAsia" w:ascii="仿宋" w:hAnsi="仿宋" w:eastAsia="仿宋" w:cs="仿宋"/>
                <w:color w:val="auto"/>
                <w:szCs w:val="21"/>
              </w:rPr>
              <w:t>文件说明</w:t>
            </w:r>
            <w:r>
              <w:rPr>
                <w:rFonts w:hint="eastAsia" w:ascii="仿宋" w:hAnsi="仿宋" w:eastAsia="仿宋" w:cs="仿宋"/>
                <w:color w:val="auto"/>
                <w:szCs w:val="21"/>
                <w:lang w:val="en-US" w:eastAsia="zh-CN"/>
              </w:rPr>
              <w:t>或无欠税证明</w:t>
            </w:r>
            <w:r>
              <w:rPr>
                <w:rFonts w:hint="eastAsia" w:ascii="仿宋" w:hAnsi="仿宋" w:eastAsia="仿宋" w:cs="仿宋"/>
                <w:color w:val="auto"/>
                <w:szCs w:val="21"/>
                <w:lang w:eastAsia="zh-CN"/>
              </w:rPr>
              <w:t>，当月新成立公司</w:t>
            </w:r>
            <w:r>
              <w:rPr>
                <w:rFonts w:hint="eastAsia" w:ascii="仿宋" w:hAnsi="仿宋" w:eastAsia="仿宋" w:cs="仿宋"/>
                <w:color w:val="auto"/>
                <w:szCs w:val="21"/>
                <w:lang w:val="en-US" w:eastAsia="zh-CN"/>
              </w:rPr>
              <w:t>无</w:t>
            </w:r>
            <w:r>
              <w:rPr>
                <w:rFonts w:hint="eastAsia" w:ascii="仿宋" w:hAnsi="仿宋" w:eastAsia="仿宋" w:cs="仿宋"/>
                <w:color w:val="auto"/>
                <w:szCs w:val="21"/>
                <w:lang w:eastAsia="zh-CN"/>
              </w:rPr>
              <w:t>需提供</w:t>
            </w:r>
            <w:r>
              <w:rPr>
                <w:rFonts w:hint="eastAsia" w:ascii="仿宋" w:hAnsi="仿宋" w:eastAsia="仿宋" w:cs="仿宋"/>
                <w:color w:val="auto"/>
                <w:szCs w:val="21"/>
              </w:rPr>
              <w:t>）</w:t>
            </w:r>
          </w:p>
          <w:p w14:paraId="7946F301">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须提供投标文件递交截止日期之前三个月的为员工缴纳社会保障资金的证明材料扫描件并单位电子签章，证明材料是社会保险登记证和缴纳社会保险的凭据（单位社保缴费凭证）（依法不需要缴纳社会保障资金的应提供相应文件说明，当月新成立公司无需提供）</w:t>
            </w:r>
            <w:r>
              <w:rPr>
                <w:rFonts w:hint="eastAsia" w:ascii="仿宋" w:hAnsi="仿宋" w:eastAsia="仿宋" w:cs="仿宋"/>
                <w:b w:val="0"/>
                <w:bCs w:val="0"/>
                <w:color w:val="auto"/>
                <w:spacing w:val="0"/>
                <w:kern w:val="2"/>
                <w:sz w:val="21"/>
                <w:szCs w:val="21"/>
                <w:u w:val="none"/>
                <w:vertAlign w:val="baseline"/>
                <w:lang w:val="en-US" w:eastAsia="zh-CN" w:bidi="ar"/>
              </w:rPr>
              <w:t>。</w:t>
            </w:r>
          </w:p>
        </w:tc>
      </w:tr>
      <w:tr w14:paraId="6E2B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4F3D8557">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5</w:t>
            </w:r>
          </w:p>
        </w:tc>
        <w:tc>
          <w:tcPr>
            <w:tcW w:w="2387" w:type="dxa"/>
            <w:vAlign w:val="center"/>
          </w:tcPr>
          <w:p w14:paraId="3F85781D">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参加政府采购活动前三年内，在经营活动中没有重大违法记录</w:t>
            </w:r>
          </w:p>
        </w:tc>
        <w:tc>
          <w:tcPr>
            <w:tcW w:w="6198" w:type="dxa"/>
            <w:vAlign w:val="center"/>
          </w:tcPr>
          <w:p w14:paraId="4C972594">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须提供声明函</w:t>
            </w:r>
          </w:p>
        </w:tc>
      </w:tr>
      <w:tr w14:paraId="2C4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514E7D6">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6</w:t>
            </w:r>
          </w:p>
        </w:tc>
        <w:tc>
          <w:tcPr>
            <w:tcW w:w="2387" w:type="dxa"/>
            <w:vAlign w:val="center"/>
          </w:tcPr>
          <w:p w14:paraId="66861D58">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法定代表人证明书或法定代表人授权委托书</w:t>
            </w:r>
          </w:p>
        </w:tc>
        <w:tc>
          <w:tcPr>
            <w:tcW w:w="6198" w:type="dxa"/>
            <w:vAlign w:val="center"/>
          </w:tcPr>
          <w:p w14:paraId="7EC7A25D">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法定代表人证明书或法定代表人授权委托书</w:t>
            </w:r>
          </w:p>
        </w:tc>
      </w:tr>
      <w:tr w14:paraId="584A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99" w:type="dxa"/>
            <w:vAlign w:val="center"/>
          </w:tcPr>
          <w:p w14:paraId="275A6620">
            <w:pPr>
              <w:pStyle w:val="3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7</w:t>
            </w:r>
          </w:p>
        </w:tc>
        <w:tc>
          <w:tcPr>
            <w:tcW w:w="2387" w:type="dxa"/>
            <w:vAlign w:val="center"/>
          </w:tcPr>
          <w:p w14:paraId="67DA80BE">
            <w:pPr>
              <w:pStyle w:val="3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特定资格条件</w:t>
            </w:r>
          </w:p>
        </w:tc>
        <w:tc>
          <w:tcPr>
            <w:tcW w:w="6198" w:type="dxa"/>
            <w:vAlign w:val="center"/>
          </w:tcPr>
          <w:p w14:paraId="1F14CFE0">
            <w:pPr>
              <w:pStyle w:val="30"/>
              <w:keepNext w:val="0"/>
              <w:keepLines w:val="0"/>
              <w:pageBreakBefore w:val="0"/>
              <w:widowControl/>
              <w:numPr>
                <w:ilvl w:val="0"/>
                <w:numId w:val="16"/>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投标货物若属于一类医疗器械，则无须提供此项；所有证件必须在有效期内； 以上所需的证件、资料如有有效期规定的，均需在有效期内。（提供证明文件）</w:t>
            </w:r>
          </w:p>
          <w:p w14:paraId="2188905F">
            <w:pPr>
              <w:pStyle w:val="30"/>
              <w:keepNext w:val="0"/>
              <w:keepLines w:val="0"/>
              <w:pageBreakBefore w:val="0"/>
              <w:widowControl/>
              <w:numPr>
                <w:ilvl w:val="0"/>
                <w:numId w:val="16"/>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投标人须提供所投产品有效的《中华人民共和国医疗器械注册证》，若注册证有附件的，还须提供附件。</w:t>
            </w:r>
          </w:p>
          <w:p w14:paraId="5B0253F7">
            <w:pPr>
              <w:pStyle w:val="30"/>
              <w:keepNext w:val="0"/>
              <w:keepLines w:val="0"/>
              <w:pageBreakBefore w:val="0"/>
              <w:widowControl/>
              <w:numPr>
                <w:ilvl w:val="0"/>
                <w:numId w:val="16"/>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与采购人存在利害关系可能影响采购公正性的法人、其他组织或者个人，不得参加投标；（提供相应承诺）</w:t>
            </w:r>
          </w:p>
          <w:p w14:paraId="747DD11C">
            <w:pPr>
              <w:pStyle w:val="30"/>
              <w:keepNext w:val="0"/>
              <w:keepLines w:val="0"/>
              <w:pageBreakBefore w:val="0"/>
              <w:widowControl/>
              <w:numPr>
                <w:ilvl w:val="0"/>
                <w:numId w:val="16"/>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pacing w:val="0"/>
                <w:kern w:val="2"/>
                <w:sz w:val="21"/>
                <w:szCs w:val="21"/>
                <w:u w:val="none"/>
                <w:vertAlign w:val="baseline"/>
                <w:lang w:val="en-US" w:eastAsia="zh-CN" w:bidi="ar"/>
              </w:rPr>
            </w:pPr>
            <w:r>
              <w:rPr>
                <w:rFonts w:hint="eastAsia" w:ascii="仿宋" w:hAnsi="仿宋" w:eastAsia="仿宋" w:cs="仿宋"/>
                <w:b w:val="0"/>
                <w:bCs w:val="0"/>
                <w:color w:val="auto"/>
                <w:spacing w:val="0"/>
                <w:kern w:val="2"/>
                <w:sz w:val="21"/>
                <w:szCs w:val="21"/>
                <w:u w:val="none"/>
                <w:vertAlign w:val="baseline"/>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提供相应承诺）</w:t>
            </w:r>
          </w:p>
        </w:tc>
      </w:tr>
    </w:tbl>
    <w:p w14:paraId="525C4401">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p>
    <w:p w14:paraId="1081AA1F">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bookmarkStart w:id="88" w:name="_Toc509318023"/>
      <w:bookmarkStart w:id="89" w:name="_Toc492286395"/>
      <w:bookmarkStart w:id="90" w:name="_Toc31761"/>
      <w:r>
        <w:rPr>
          <w:rFonts w:hint="eastAsia" w:ascii="仿宋" w:hAnsi="仿宋" w:eastAsia="仿宋" w:cs="仿宋"/>
          <w:b/>
          <w:bCs/>
          <w:color w:val="auto"/>
          <w:spacing w:val="0"/>
          <w:kern w:val="2"/>
          <w:sz w:val="24"/>
          <w:szCs w:val="24"/>
          <w:u w:val="none"/>
          <w:lang w:val="en-US" w:eastAsia="zh-CN" w:bidi="ar"/>
        </w:rPr>
        <w:t>三、符合性审查</w:t>
      </w:r>
      <w:bookmarkEnd w:id="88"/>
      <w:bookmarkEnd w:id="89"/>
      <w:bookmarkEnd w:id="90"/>
    </w:p>
    <w:p w14:paraId="08520E5D">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评标委员会对通过资格审查的合格投标人的投标文件进行符合性审查，未通过符合性审查的投标不进入详细评审。符合性审查记录表如下：</w:t>
      </w:r>
    </w:p>
    <w:p w14:paraId="2E4AF0CA">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p>
    <w:tbl>
      <w:tblPr>
        <w:tblStyle w:val="2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669"/>
        <w:gridCol w:w="3384"/>
        <w:gridCol w:w="3041"/>
      </w:tblGrid>
      <w:tr w14:paraId="5EBF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3" w:type="dxa"/>
            <w:vAlign w:val="center"/>
          </w:tcPr>
          <w:p w14:paraId="02769A28">
            <w:pPr>
              <w:pStyle w:val="16"/>
              <w:spacing w:line="240" w:lineRule="auto"/>
              <w:ind w:right="-1" w:rightChars="0"/>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序号</w:t>
            </w:r>
          </w:p>
        </w:tc>
        <w:tc>
          <w:tcPr>
            <w:tcW w:w="1669" w:type="dxa"/>
            <w:vAlign w:val="center"/>
          </w:tcPr>
          <w:p w14:paraId="61BE716B">
            <w:pPr>
              <w:pStyle w:val="16"/>
              <w:spacing w:line="240" w:lineRule="auto"/>
              <w:ind w:right="65" w:rightChars="31"/>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评审因素</w:t>
            </w:r>
          </w:p>
        </w:tc>
        <w:tc>
          <w:tcPr>
            <w:tcW w:w="3384" w:type="dxa"/>
            <w:vAlign w:val="center"/>
          </w:tcPr>
          <w:p w14:paraId="6A1A7616">
            <w:pPr>
              <w:pStyle w:val="16"/>
              <w:spacing w:line="240" w:lineRule="auto"/>
              <w:ind w:right="-73" w:rightChars="-35"/>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rPr>
              <w:t>审查内容和审查标准</w:t>
            </w:r>
          </w:p>
        </w:tc>
        <w:tc>
          <w:tcPr>
            <w:tcW w:w="3041" w:type="dxa"/>
            <w:vAlign w:val="center"/>
          </w:tcPr>
          <w:p w14:paraId="0CBB4B5B">
            <w:pPr>
              <w:pStyle w:val="16"/>
              <w:spacing w:line="240" w:lineRule="auto"/>
              <w:ind w:right="-73" w:rightChars="-35"/>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合格标准</w:t>
            </w:r>
          </w:p>
        </w:tc>
      </w:tr>
      <w:tr w14:paraId="0BEF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3" w:type="dxa"/>
            <w:vAlign w:val="center"/>
          </w:tcPr>
          <w:p w14:paraId="4D92E2EA">
            <w:pPr>
              <w:pStyle w:val="16"/>
              <w:spacing w:line="240" w:lineRule="auto"/>
              <w:ind w:right="-71" w:rightChars="-34"/>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w:t>
            </w:r>
          </w:p>
        </w:tc>
        <w:tc>
          <w:tcPr>
            <w:tcW w:w="1669" w:type="dxa"/>
            <w:vAlign w:val="center"/>
          </w:tcPr>
          <w:p w14:paraId="642D9129">
            <w:pPr>
              <w:pStyle w:val="16"/>
              <w:spacing w:line="240" w:lineRule="auto"/>
              <w:ind w:right="65" w:rightChars="31"/>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rPr>
              <w:t>报价</w:t>
            </w:r>
          </w:p>
        </w:tc>
        <w:tc>
          <w:tcPr>
            <w:tcW w:w="3384" w:type="dxa"/>
            <w:vAlign w:val="center"/>
          </w:tcPr>
          <w:p w14:paraId="2A6F403D">
            <w:pPr>
              <w:pStyle w:val="16"/>
              <w:spacing w:line="240" w:lineRule="auto"/>
              <w:ind w:right="-73" w:rightChars="-35"/>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针对同一种货物</w:t>
            </w:r>
            <w:r>
              <w:rPr>
                <w:rFonts w:hint="eastAsia" w:ascii="仿宋" w:hAnsi="仿宋" w:eastAsia="仿宋" w:cs="仿宋"/>
                <w:color w:val="auto"/>
                <w:sz w:val="21"/>
                <w:szCs w:val="21"/>
                <w:vertAlign w:val="baseline"/>
                <w:lang w:val="en-US" w:eastAsia="zh-CN"/>
              </w:rPr>
              <w:t>或服务</w:t>
            </w:r>
            <w:r>
              <w:rPr>
                <w:rFonts w:hint="eastAsia" w:ascii="仿宋" w:hAnsi="仿宋" w:eastAsia="仿宋" w:cs="仿宋"/>
                <w:color w:val="auto"/>
                <w:sz w:val="21"/>
                <w:szCs w:val="21"/>
                <w:vertAlign w:val="baseline"/>
              </w:rPr>
              <w:t>出现了两个或两个以上的报价；报价</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超过项目/包预算或最高限价或经评标委员会认定低于成本的</w:t>
            </w:r>
          </w:p>
        </w:tc>
        <w:tc>
          <w:tcPr>
            <w:tcW w:w="3041" w:type="dxa"/>
            <w:vAlign w:val="center"/>
          </w:tcPr>
          <w:p w14:paraId="088AD056">
            <w:pPr>
              <w:pStyle w:val="16"/>
              <w:spacing w:line="240" w:lineRule="auto"/>
              <w:ind w:right="-73" w:rightChars="-35"/>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rPr>
              <w:t>针对同一种货物</w:t>
            </w:r>
            <w:r>
              <w:rPr>
                <w:rFonts w:hint="eastAsia" w:ascii="仿宋" w:hAnsi="仿宋" w:eastAsia="仿宋" w:cs="仿宋"/>
                <w:color w:val="auto"/>
                <w:sz w:val="21"/>
                <w:szCs w:val="21"/>
                <w:vertAlign w:val="baseline"/>
                <w:lang w:val="en-US" w:eastAsia="zh-CN"/>
              </w:rPr>
              <w:t>或服务未</w:t>
            </w:r>
            <w:r>
              <w:rPr>
                <w:rFonts w:hint="eastAsia" w:ascii="仿宋" w:hAnsi="仿宋" w:eastAsia="仿宋" w:cs="仿宋"/>
                <w:color w:val="auto"/>
                <w:sz w:val="21"/>
                <w:szCs w:val="21"/>
                <w:vertAlign w:val="baseline"/>
              </w:rPr>
              <w:t>出现了两个或两个以上的报价；报价</w:t>
            </w:r>
            <w:r>
              <w:rPr>
                <w:rFonts w:hint="eastAsia" w:ascii="仿宋" w:hAnsi="仿宋" w:eastAsia="仿宋" w:cs="仿宋"/>
                <w:color w:val="auto"/>
                <w:sz w:val="21"/>
                <w:szCs w:val="21"/>
                <w:vertAlign w:val="baseline"/>
                <w:lang w:val="en-US" w:eastAsia="zh-CN"/>
              </w:rPr>
              <w:t>未</w:t>
            </w:r>
            <w:r>
              <w:rPr>
                <w:rFonts w:hint="eastAsia" w:ascii="仿宋" w:hAnsi="仿宋" w:eastAsia="仿宋" w:cs="仿宋"/>
                <w:color w:val="auto"/>
                <w:sz w:val="21"/>
                <w:szCs w:val="21"/>
                <w:vertAlign w:val="baseline"/>
              </w:rPr>
              <w:t>超过项目/包预算或最高限价</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经评标委员会认定</w:t>
            </w:r>
            <w:r>
              <w:rPr>
                <w:rFonts w:hint="eastAsia" w:ascii="仿宋" w:hAnsi="仿宋" w:eastAsia="仿宋" w:cs="仿宋"/>
                <w:color w:val="auto"/>
                <w:sz w:val="21"/>
                <w:szCs w:val="21"/>
                <w:vertAlign w:val="baseline"/>
                <w:lang w:val="en-US" w:eastAsia="zh-CN"/>
              </w:rPr>
              <w:t>报价未</w:t>
            </w:r>
            <w:r>
              <w:rPr>
                <w:rFonts w:hint="eastAsia" w:ascii="仿宋" w:hAnsi="仿宋" w:eastAsia="仿宋" w:cs="仿宋"/>
                <w:color w:val="auto"/>
                <w:sz w:val="21"/>
                <w:szCs w:val="21"/>
                <w:vertAlign w:val="baseline"/>
              </w:rPr>
              <w:t>低于成本的</w:t>
            </w:r>
          </w:p>
        </w:tc>
      </w:tr>
      <w:tr w14:paraId="0C6F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0AE163CC">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669" w:type="dxa"/>
            <w:vAlign w:val="center"/>
          </w:tcPr>
          <w:p w14:paraId="51443035">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文件签章</w:t>
            </w:r>
          </w:p>
        </w:tc>
        <w:tc>
          <w:tcPr>
            <w:tcW w:w="3384" w:type="dxa"/>
            <w:vAlign w:val="center"/>
          </w:tcPr>
          <w:p w14:paraId="319165DB">
            <w:pPr>
              <w:pStyle w:val="16"/>
              <w:spacing w:line="240" w:lineRule="auto"/>
              <w:ind w:right="-73" w:rightChars="-35"/>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按照规定在应由</w:t>
            </w:r>
            <w:r>
              <w:rPr>
                <w:rFonts w:hint="eastAsia" w:ascii="仿宋" w:hAnsi="仿宋" w:eastAsia="仿宋" w:cs="仿宋"/>
                <w:color w:val="auto"/>
                <w:sz w:val="21"/>
                <w:szCs w:val="21"/>
                <w:vertAlign w:val="baseline"/>
                <w:lang w:val="en-US" w:eastAsia="zh-CN"/>
              </w:rPr>
              <w:t>法定代表人</w:t>
            </w:r>
            <w:r>
              <w:rPr>
                <w:rFonts w:hint="eastAsia" w:ascii="仿宋" w:hAnsi="仿宋" w:eastAsia="仿宋" w:cs="仿宋"/>
                <w:color w:val="auto"/>
                <w:sz w:val="21"/>
                <w:szCs w:val="21"/>
                <w:vertAlign w:val="baseline"/>
              </w:rPr>
              <w:t>或授权代表在所有规定签字处逐一</w:t>
            </w:r>
            <w:r>
              <w:rPr>
                <w:rFonts w:hint="eastAsia" w:ascii="仿宋" w:hAnsi="仿宋" w:eastAsia="仿宋" w:cs="仿宋"/>
                <w:color w:val="auto"/>
                <w:sz w:val="21"/>
                <w:szCs w:val="21"/>
                <w:vertAlign w:val="baseline"/>
                <w:lang w:val="en-US" w:eastAsia="zh-CN"/>
              </w:rPr>
              <w:t>电子</w:t>
            </w:r>
            <w:r>
              <w:rPr>
                <w:rFonts w:hint="eastAsia" w:ascii="仿宋" w:hAnsi="仿宋" w:eastAsia="仿宋" w:cs="仿宋"/>
                <w:color w:val="auto"/>
                <w:sz w:val="21"/>
                <w:szCs w:val="21"/>
                <w:vertAlign w:val="baseline"/>
              </w:rPr>
              <w:t>签章</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lang w:val="en-US" w:eastAsia="zh-CN"/>
              </w:rPr>
              <w:t>法定代表人及单位</w:t>
            </w:r>
            <w:r>
              <w:rPr>
                <w:rFonts w:hint="eastAsia" w:ascii="仿宋" w:hAnsi="仿宋" w:eastAsia="仿宋" w:cs="仿宋"/>
                <w:color w:val="auto"/>
                <w:sz w:val="21"/>
                <w:szCs w:val="21"/>
                <w:vertAlign w:val="baseline"/>
                <w:lang w:eastAsia="zh-CN"/>
              </w:rPr>
              <w:t>）</w:t>
            </w:r>
          </w:p>
        </w:tc>
        <w:tc>
          <w:tcPr>
            <w:tcW w:w="3041" w:type="dxa"/>
            <w:vAlign w:val="center"/>
          </w:tcPr>
          <w:p w14:paraId="4E88D8A2">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按照规定在应由</w:t>
            </w:r>
            <w:r>
              <w:rPr>
                <w:rFonts w:hint="eastAsia" w:ascii="仿宋" w:hAnsi="仿宋" w:eastAsia="仿宋" w:cs="仿宋"/>
                <w:color w:val="auto"/>
                <w:sz w:val="21"/>
                <w:szCs w:val="21"/>
                <w:vertAlign w:val="baseline"/>
                <w:lang w:val="en-US" w:eastAsia="zh-CN"/>
              </w:rPr>
              <w:t>法定代表人</w:t>
            </w:r>
            <w:r>
              <w:rPr>
                <w:rFonts w:hint="eastAsia" w:ascii="仿宋" w:hAnsi="仿宋" w:eastAsia="仿宋" w:cs="仿宋"/>
                <w:color w:val="auto"/>
                <w:sz w:val="21"/>
                <w:szCs w:val="21"/>
                <w:vertAlign w:val="baseline"/>
              </w:rPr>
              <w:t>或授权代表在所有规定签字处逐一</w:t>
            </w:r>
            <w:r>
              <w:rPr>
                <w:rFonts w:hint="eastAsia" w:ascii="仿宋" w:hAnsi="仿宋" w:eastAsia="仿宋" w:cs="仿宋"/>
                <w:color w:val="auto"/>
                <w:sz w:val="21"/>
                <w:szCs w:val="21"/>
                <w:vertAlign w:val="baseline"/>
                <w:lang w:val="en-US" w:eastAsia="zh-CN"/>
              </w:rPr>
              <w:t>电子</w:t>
            </w:r>
            <w:r>
              <w:rPr>
                <w:rFonts w:hint="eastAsia" w:ascii="仿宋" w:hAnsi="仿宋" w:eastAsia="仿宋" w:cs="仿宋"/>
                <w:color w:val="auto"/>
                <w:sz w:val="21"/>
                <w:szCs w:val="21"/>
                <w:vertAlign w:val="baseline"/>
              </w:rPr>
              <w:t>签章</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lang w:val="en-US" w:eastAsia="zh-CN"/>
              </w:rPr>
              <w:t>法定代表人及单位</w:t>
            </w:r>
            <w:r>
              <w:rPr>
                <w:rFonts w:hint="eastAsia" w:ascii="仿宋" w:hAnsi="仿宋" w:eastAsia="仿宋" w:cs="仿宋"/>
                <w:color w:val="auto"/>
                <w:sz w:val="21"/>
                <w:szCs w:val="21"/>
                <w:vertAlign w:val="baseline"/>
                <w:lang w:eastAsia="zh-CN"/>
              </w:rPr>
              <w:t>）</w:t>
            </w:r>
          </w:p>
        </w:tc>
      </w:tr>
      <w:tr w14:paraId="370C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5889D6D7">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1669" w:type="dxa"/>
            <w:vAlign w:val="center"/>
          </w:tcPr>
          <w:p w14:paraId="06E81DC8">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rPr>
              <w:t>内容</w:t>
            </w:r>
          </w:p>
        </w:tc>
        <w:tc>
          <w:tcPr>
            <w:tcW w:w="3384" w:type="dxa"/>
            <w:vAlign w:val="center"/>
          </w:tcPr>
          <w:p w14:paraId="240F45A8">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按照</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rPr>
              <w:t>规定的内容填写</w:t>
            </w:r>
          </w:p>
        </w:tc>
        <w:tc>
          <w:tcPr>
            <w:tcW w:w="3041" w:type="dxa"/>
            <w:vAlign w:val="center"/>
          </w:tcPr>
          <w:p w14:paraId="2B2D444E">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rPr>
              <w:t>按照</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rPr>
              <w:t>规定的内容填写</w:t>
            </w:r>
          </w:p>
        </w:tc>
      </w:tr>
      <w:tr w14:paraId="29A4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7175EF69">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1669" w:type="dxa"/>
            <w:vAlign w:val="center"/>
          </w:tcPr>
          <w:p w14:paraId="79FB39F3">
            <w:pPr>
              <w:pStyle w:val="16"/>
              <w:spacing w:line="240" w:lineRule="auto"/>
              <w:ind w:right="65" w:rightChars="31"/>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投标保证金</w:t>
            </w:r>
          </w:p>
        </w:tc>
        <w:tc>
          <w:tcPr>
            <w:tcW w:w="3384" w:type="dxa"/>
            <w:vAlign w:val="center"/>
          </w:tcPr>
          <w:p w14:paraId="6125F9CA">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按</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文件规定递交保证金、保证金金额、保证金形式</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符合</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文件规定的</w:t>
            </w:r>
          </w:p>
        </w:tc>
        <w:tc>
          <w:tcPr>
            <w:tcW w:w="3041" w:type="dxa"/>
            <w:vAlign w:val="center"/>
          </w:tcPr>
          <w:p w14:paraId="35FF58CC">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rPr>
              <w:t>按</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文件规定递交保证金、保证金金额、保证金形式符合</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文件规定的</w:t>
            </w:r>
          </w:p>
        </w:tc>
      </w:tr>
      <w:tr w14:paraId="7F3F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48BFB93A">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1669" w:type="dxa"/>
            <w:vAlign w:val="center"/>
          </w:tcPr>
          <w:p w14:paraId="0025704C">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有效期</w:t>
            </w:r>
          </w:p>
        </w:tc>
        <w:tc>
          <w:tcPr>
            <w:tcW w:w="3384" w:type="dxa"/>
            <w:vAlign w:val="center"/>
          </w:tcPr>
          <w:p w14:paraId="75E6310D">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有效期</w:t>
            </w: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满足</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文件要求</w:t>
            </w:r>
          </w:p>
        </w:tc>
        <w:tc>
          <w:tcPr>
            <w:tcW w:w="3041" w:type="dxa"/>
            <w:vAlign w:val="center"/>
          </w:tcPr>
          <w:p w14:paraId="0C1CB34D">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投标</w:t>
            </w:r>
            <w:r>
              <w:rPr>
                <w:rFonts w:hint="eastAsia" w:ascii="仿宋" w:hAnsi="仿宋" w:eastAsia="仿宋" w:cs="仿宋"/>
                <w:color w:val="auto"/>
                <w:sz w:val="21"/>
                <w:szCs w:val="21"/>
                <w:vertAlign w:val="baseline"/>
              </w:rPr>
              <w:t>有效期满足</w:t>
            </w:r>
            <w:r>
              <w:rPr>
                <w:rFonts w:hint="eastAsia" w:ascii="仿宋" w:hAnsi="仿宋" w:eastAsia="仿宋" w:cs="仿宋"/>
                <w:color w:val="auto"/>
                <w:sz w:val="21"/>
                <w:szCs w:val="21"/>
                <w:vertAlign w:val="baseline"/>
                <w:lang w:val="en-US" w:eastAsia="zh-CN"/>
              </w:rPr>
              <w:t>招标</w:t>
            </w:r>
            <w:r>
              <w:rPr>
                <w:rFonts w:hint="eastAsia" w:ascii="仿宋" w:hAnsi="仿宋" w:eastAsia="仿宋" w:cs="仿宋"/>
                <w:color w:val="auto"/>
                <w:sz w:val="21"/>
                <w:szCs w:val="21"/>
                <w:vertAlign w:val="baseline"/>
              </w:rPr>
              <w:t>文件要求</w:t>
            </w:r>
          </w:p>
        </w:tc>
      </w:tr>
      <w:tr w14:paraId="3DB7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3D63E12D">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1669" w:type="dxa"/>
            <w:vAlign w:val="center"/>
          </w:tcPr>
          <w:p w14:paraId="48405315">
            <w:pPr>
              <w:pStyle w:val="16"/>
              <w:spacing w:line="240" w:lineRule="auto"/>
              <w:ind w:right="65" w:rightChars="31"/>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实质性响应</w:t>
            </w:r>
          </w:p>
        </w:tc>
        <w:tc>
          <w:tcPr>
            <w:tcW w:w="3384" w:type="dxa"/>
            <w:vAlign w:val="center"/>
          </w:tcPr>
          <w:p w14:paraId="63D1E095">
            <w:pPr>
              <w:pStyle w:val="16"/>
              <w:spacing w:line="240" w:lineRule="auto"/>
              <w:ind w:right="-73" w:rightChars="-35"/>
              <w:jc w:val="both"/>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是否</w:t>
            </w:r>
            <w:r>
              <w:rPr>
                <w:rFonts w:hint="eastAsia" w:ascii="仿宋" w:hAnsi="仿宋" w:eastAsia="仿宋" w:cs="仿宋"/>
                <w:color w:val="auto"/>
                <w:sz w:val="21"/>
                <w:szCs w:val="21"/>
                <w:vertAlign w:val="baseline"/>
              </w:rPr>
              <w:t>响应招标文件中</w:t>
            </w:r>
            <w:r>
              <w:rPr>
                <w:rFonts w:hint="eastAsia" w:ascii="仿宋" w:hAnsi="仿宋" w:eastAsia="仿宋" w:cs="仿宋"/>
                <w:color w:val="auto"/>
                <w:sz w:val="21"/>
                <w:szCs w:val="21"/>
                <w:vertAlign w:val="baseline"/>
                <w:lang w:val="en-US" w:eastAsia="zh-CN"/>
              </w:rPr>
              <w:t>实质性</w:t>
            </w:r>
            <w:r>
              <w:rPr>
                <w:rFonts w:hint="eastAsia" w:ascii="仿宋" w:hAnsi="仿宋" w:eastAsia="仿宋" w:cs="仿宋"/>
                <w:color w:val="auto"/>
                <w:sz w:val="21"/>
                <w:szCs w:val="21"/>
                <w:vertAlign w:val="baseline"/>
              </w:rPr>
              <w:t>条款（即标注</w:t>
            </w:r>
            <w:r>
              <w:rPr>
                <w:rFonts w:hint="eastAsia" w:ascii="仿宋" w:hAnsi="仿宋" w:eastAsia="仿宋" w:cs="仿宋"/>
                <w:bCs/>
                <w:color w:val="auto"/>
                <w:kern w:val="0"/>
                <w:sz w:val="24"/>
                <w:szCs w:val="24"/>
              </w:rPr>
              <w:t>★</w:t>
            </w:r>
            <w:r>
              <w:rPr>
                <w:rFonts w:hint="eastAsia" w:ascii="仿宋" w:hAnsi="仿宋" w:eastAsia="仿宋" w:cs="仿宋"/>
                <w:color w:val="auto"/>
                <w:sz w:val="21"/>
                <w:szCs w:val="21"/>
                <w:vertAlign w:val="baseline"/>
              </w:rPr>
              <w:t>号条款）的要求</w:t>
            </w:r>
          </w:p>
        </w:tc>
        <w:tc>
          <w:tcPr>
            <w:tcW w:w="3041" w:type="dxa"/>
            <w:vAlign w:val="center"/>
          </w:tcPr>
          <w:p w14:paraId="2D33D449">
            <w:pPr>
              <w:pStyle w:val="16"/>
              <w:spacing w:line="240" w:lineRule="auto"/>
              <w:ind w:right="-73" w:rightChars="-35"/>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响应招标文件中</w:t>
            </w:r>
            <w:r>
              <w:rPr>
                <w:rFonts w:hint="eastAsia" w:ascii="仿宋" w:hAnsi="仿宋" w:eastAsia="仿宋" w:cs="仿宋"/>
                <w:color w:val="auto"/>
                <w:sz w:val="21"/>
                <w:szCs w:val="21"/>
                <w:vertAlign w:val="baseline"/>
                <w:lang w:val="en-US" w:eastAsia="zh-CN"/>
              </w:rPr>
              <w:t>实质性</w:t>
            </w:r>
            <w:r>
              <w:rPr>
                <w:rFonts w:hint="eastAsia" w:ascii="仿宋" w:hAnsi="仿宋" w:eastAsia="仿宋" w:cs="仿宋"/>
                <w:color w:val="auto"/>
                <w:sz w:val="21"/>
                <w:szCs w:val="21"/>
                <w:vertAlign w:val="baseline"/>
              </w:rPr>
              <w:t>条款（即标注</w:t>
            </w:r>
            <w:r>
              <w:rPr>
                <w:rFonts w:hint="eastAsia" w:ascii="仿宋" w:hAnsi="仿宋" w:eastAsia="仿宋" w:cs="仿宋"/>
                <w:bCs/>
                <w:color w:val="auto"/>
                <w:kern w:val="0"/>
                <w:sz w:val="24"/>
                <w:szCs w:val="24"/>
              </w:rPr>
              <w:t>★</w:t>
            </w:r>
            <w:r>
              <w:rPr>
                <w:rFonts w:hint="eastAsia" w:ascii="仿宋" w:hAnsi="仿宋" w:eastAsia="仿宋" w:cs="仿宋"/>
                <w:color w:val="auto"/>
                <w:sz w:val="21"/>
                <w:szCs w:val="21"/>
                <w:vertAlign w:val="baseline"/>
              </w:rPr>
              <w:t>号条款）的要求</w:t>
            </w:r>
          </w:p>
        </w:tc>
      </w:tr>
      <w:tr w14:paraId="54FE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439E501D">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7</w:t>
            </w:r>
          </w:p>
        </w:tc>
        <w:tc>
          <w:tcPr>
            <w:tcW w:w="1669" w:type="dxa"/>
            <w:vAlign w:val="center"/>
          </w:tcPr>
          <w:p w14:paraId="74B78033">
            <w:pPr>
              <w:pStyle w:val="16"/>
              <w:spacing w:line="240" w:lineRule="auto"/>
              <w:ind w:right="65" w:rightChars="31"/>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附加条件</w:t>
            </w:r>
          </w:p>
        </w:tc>
        <w:tc>
          <w:tcPr>
            <w:tcW w:w="3384" w:type="dxa"/>
            <w:vAlign w:val="center"/>
          </w:tcPr>
          <w:p w14:paraId="388A7984">
            <w:pPr>
              <w:pStyle w:val="16"/>
              <w:spacing w:line="240" w:lineRule="auto"/>
              <w:ind w:right="-73" w:rightChars="-35"/>
              <w:jc w:val="both"/>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投标文件是否</w:t>
            </w:r>
            <w:r>
              <w:rPr>
                <w:rFonts w:hint="eastAsia" w:ascii="仿宋" w:hAnsi="仿宋" w:eastAsia="仿宋" w:cs="仿宋"/>
                <w:color w:val="auto"/>
                <w:sz w:val="21"/>
                <w:szCs w:val="21"/>
                <w:vertAlign w:val="baseline"/>
                <w:lang w:eastAsia="zh-CN"/>
              </w:rPr>
              <w:t>含有采购人不能接受的附加条件的</w:t>
            </w:r>
          </w:p>
        </w:tc>
        <w:tc>
          <w:tcPr>
            <w:tcW w:w="3041" w:type="dxa"/>
            <w:vAlign w:val="center"/>
          </w:tcPr>
          <w:p w14:paraId="3EE0C9F4">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投标文件未</w:t>
            </w:r>
            <w:r>
              <w:rPr>
                <w:rFonts w:hint="eastAsia" w:ascii="仿宋" w:hAnsi="仿宋" w:eastAsia="仿宋" w:cs="仿宋"/>
                <w:color w:val="auto"/>
                <w:sz w:val="21"/>
                <w:szCs w:val="21"/>
                <w:vertAlign w:val="baseline"/>
                <w:lang w:eastAsia="zh-CN"/>
              </w:rPr>
              <w:t>含有采购人不能接受的附加条件的</w:t>
            </w:r>
          </w:p>
        </w:tc>
      </w:tr>
      <w:tr w14:paraId="018B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03" w:type="dxa"/>
            <w:vAlign w:val="center"/>
          </w:tcPr>
          <w:p w14:paraId="4580DDBC">
            <w:pPr>
              <w:pStyle w:val="16"/>
              <w:spacing w:line="240" w:lineRule="auto"/>
              <w:ind w:right="-71" w:rightChars="-34"/>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8</w:t>
            </w:r>
          </w:p>
        </w:tc>
        <w:tc>
          <w:tcPr>
            <w:tcW w:w="1669" w:type="dxa"/>
            <w:vAlign w:val="center"/>
          </w:tcPr>
          <w:p w14:paraId="379E9650">
            <w:pPr>
              <w:pStyle w:val="16"/>
              <w:spacing w:line="240" w:lineRule="auto"/>
              <w:ind w:right="65" w:rightChars="31"/>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其他</w:t>
            </w:r>
          </w:p>
        </w:tc>
        <w:tc>
          <w:tcPr>
            <w:tcW w:w="3384" w:type="dxa"/>
            <w:vAlign w:val="center"/>
          </w:tcPr>
          <w:p w14:paraId="478E6536">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lang w:val="en-US" w:eastAsia="zh-CN"/>
              </w:rPr>
              <w:t>中是否存在违反国家法律、法规和招标文件规定的其他无效情形</w:t>
            </w:r>
          </w:p>
        </w:tc>
        <w:tc>
          <w:tcPr>
            <w:tcW w:w="3041" w:type="dxa"/>
            <w:vAlign w:val="center"/>
          </w:tcPr>
          <w:p w14:paraId="0EDC5D94">
            <w:pPr>
              <w:pStyle w:val="16"/>
              <w:spacing w:line="240" w:lineRule="auto"/>
              <w:ind w:right="-73" w:rightChars="-35"/>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w:t>
            </w:r>
            <w:r>
              <w:rPr>
                <w:rFonts w:hint="eastAsia" w:ascii="仿宋" w:hAnsi="仿宋" w:eastAsia="仿宋" w:cs="仿宋"/>
                <w:color w:val="auto"/>
                <w:sz w:val="21"/>
                <w:szCs w:val="21"/>
                <w:vertAlign w:val="baseline"/>
                <w:lang w:val="en-US" w:eastAsia="zh-CN"/>
              </w:rPr>
              <w:t>中不存在违反国家法律、法规和招标文件规定的其他无效情形</w:t>
            </w:r>
          </w:p>
        </w:tc>
      </w:tr>
    </w:tbl>
    <w:p w14:paraId="1867DE78">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p>
    <w:p w14:paraId="55F26BD8">
      <w:pPr>
        <w:pStyle w:val="30"/>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四、详细评审（适用所有包）</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48F3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8" w:type="dxa"/>
            <w:gridSpan w:val="2"/>
            <w:vAlign w:val="center"/>
          </w:tcPr>
          <w:p w14:paraId="353903A2">
            <w:pPr>
              <w:spacing w:line="240" w:lineRule="auto"/>
              <w:ind w:left="0" w:leftChars="0" w:right="638" w:rightChars="304"/>
              <w:jc w:val="center"/>
              <w:rPr>
                <w:rFonts w:hint="eastAsia" w:ascii="仿宋" w:hAnsi="仿宋" w:eastAsia="仿宋" w:cs="仿宋"/>
                <w:b/>
                <w:bCs w:val="0"/>
                <w:color w:val="0000FF"/>
                <w:sz w:val="21"/>
                <w:szCs w:val="21"/>
                <w:vertAlign w:val="baseline"/>
              </w:rPr>
            </w:pPr>
            <w:r>
              <w:rPr>
                <w:rFonts w:hint="eastAsia" w:ascii="仿宋" w:hAnsi="仿宋" w:eastAsia="仿宋" w:cs="仿宋"/>
                <w:b/>
                <w:bCs w:val="0"/>
                <w:color w:val="0000FF"/>
                <w:kern w:val="0"/>
                <w:sz w:val="21"/>
                <w:szCs w:val="21"/>
              </w:rPr>
              <w:t>评分因素</w:t>
            </w:r>
          </w:p>
        </w:tc>
        <w:tc>
          <w:tcPr>
            <w:tcW w:w="843" w:type="dxa"/>
            <w:vAlign w:val="center"/>
          </w:tcPr>
          <w:p w14:paraId="18EB0207">
            <w:pPr>
              <w:spacing w:line="240" w:lineRule="auto"/>
              <w:ind w:left="0" w:leftChars="0" w:right="0" w:rightChars="0"/>
              <w:jc w:val="center"/>
              <w:rPr>
                <w:rFonts w:hint="eastAsia" w:ascii="仿宋" w:hAnsi="仿宋" w:eastAsia="仿宋" w:cs="仿宋"/>
                <w:b/>
                <w:bCs w:val="0"/>
                <w:color w:val="0000FF"/>
                <w:sz w:val="21"/>
                <w:szCs w:val="21"/>
                <w:vertAlign w:val="baseline"/>
              </w:rPr>
            </w:pPr>
            <w:r>
              <w:rPr>
                <w:rFonts w:hint="eastAsia" w:ascii="仿宋" w:hAnsi="仿宋" w:eastAsia="仿宋" w:cs="仿宋"/>
                <w:b/>
                <w:bCs w:val="0"/>
                <w:color w:val="0000FF"/>
                <w:kern w:val="0"/>
                <w:sz w:val="21"/>
                <w:szCs w:val="21"/>
              </w:rPr>
              <w:t>分值</w:t>
            </w:r>
          </w:p>
        </w:tc>
        <w:tc>
          <w:tcPr>
            <w:tcW w:w="5611" w:type="dxa"/>
            <w:vAlign w:val="center"/>
          </w:tcPr>
          <w:p w14:paraId="390BD527">
            <w:pPr>
              <w:spacing w:line="240" w:lineRule="auto"/>
              <w:ind w:left="0" w:leftChars="0" w:right="-31" w:rightChars="-15"/>
              <w:jc w:val="center"/>
              <w:rPr>
                <w:rFonts w:hint="eastAsia" w:ascii="仿宋" w:hAnsi="仿宋" w:eastAsia="仿宋" w:cs="仿宋"/>
                <w:b/>
                <w:bCs w:val="0"/>
                <w:color w:val="0000FF"/>
                <w:sz w:val="21"/>
                <w:szCs w:val="21"/>
                <w:vertAlign w:val="baseline"/>
              </w:rPr>
            </w:pPr>
            <w:r>
              <w:rPr>
                <w:rFonts w:hint="eastAsia" w:ascii="仿宋" w:hAnsi="仿宋" w:eastAsia="仿宋" w:cs="仿宋"/>
                <w:b/>
                <w:bCs w:val="0"/>
                <w:color w:val="0000FF"/>
                <w:kern w:val="0"/>
                <w:sz w:val="21"/>
                <w:szCs w:val="21"/>
              </w:rPr>
              <w:t>评分细则</w:t>
            </w:r>
          </w:p>
        </w:tc>
      </w:tr>
      <w:tr w14:paraId="7397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068" w:type="dxa"/>
            <w:gridSpan w:val="2"/>
            <w:vAlign w:val="center"/>
          </w:tcPr>
          <w:p w14:paraId="04DB305F">
            <w:pPr>
              <w:pStyle w:val="16"/>
              <w:spacing w:line="240" w:lineRule="auto"/>
              <w:ind w:right="8" w:rightChars="0"/>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价格部分（30 分）</w:t>
            </w:r>
          </w:p>
        </w:tc>
        <w:tc>
          <w:tcPr>
            <w:tcW w:w="843" w:type="dxa"/>
            <w:vAlign w:val="center"/>
          </w:tcPr>
          <w:p w14:paraId="57891E5B">
            <w:pPr>
              <w:pStyle w:val="16"/>
              <w:spacing w:line="240" w:lineRule="auto"/>
              <w:ind w:right="0" w:rightChars="0"/>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30</w:t>
            </w:r>
          </w:p>
        </w:tc>
        <w:tc>
          <w:tcPr>
            <w:tcW w:w="5611" w:type="dxa"/>
            <w:vAlign w:val="center"/>
          </w:tcPr>
          <w:p w14:paraId="5E29E9DC">
            <w:pPr>
              <w:pStyle w:val="16"/>
              <w:spacing w:line="240" w:lineRule="auto"/>
              <w:ind w:right="-31" w:rightChars="-15"/>
              <w:jc w:val="both"/>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lang w:val="en-US" w:eastAsia="zh-CN"/>
              </w:rPr>
              <w:t>满足招</w:t>
            </w:r>
            <w:r>
              <w:rPr>
                <w:rFonts w:hint="eastAsia" w:ascii="仿宋" w:hAnsi="仿宋" w:eastAsia="仿宋" w:cs="仿宋"/>
                <w:color w:val="0000FF"/>
                <w:sz w:val="21"/>
                <w:szCs w:val="21"/>
                <w:vertAlign w:val="baseline"/>
              </w:rPr>
              <w:t>标文件要求且投标价格最低的有效投标报价（即除低于成本报价以外的报价）为评标基准价。其他</w:t>
            </w:r>
            <w:r>
              <w:rPr>
                <w:rFonts w:hint="eastAsia" w:ascii="仿宋" w:hAnsi="仿宋" w:eastAsia="仿宋" w:cs="仿宋"/>
                <w:color w:val="0000FF"/>
                <w:sz w:val="21"/>
                <w:szCs w:val="21"/>
                <w:vertAlign w:val="baseline"/>
                <w:lang w:val="en-US" w:eastAsia="zh-CN"/>
              </w:rPr>
              <w:t>投标人</w:t>
            </w:r>
            <w:r>
              <w:rPr>
                <w:rFonts w:hint="eastAsia" w:ascii="仿宋" w:hAnsi="仿宋" w:eastAsia="仿宋" w:cs="仿宋"/>
                <w:color w:val="0000FF"/>
                <w:sz w:val="21"/>
                <w:szCs w:val="21"/>
                <w:vertAlign w:val="baseline"/>
              </w:rPr>
              <w:t>的价格分统一按照下列公式计算：</w:t>
            </w:r>
          </w:p>
          <w:p w14:paraId="2640074A">
            <w:pPr>
              <w:pStyle w:val="16"/>
              <w:spacing w:line="240" w:lineRule="auto"/>
              <w:ind w:right="-31" w:rightChars="-15"/>
              <w:jc w:val="both"/>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rPr>
              <w:t>投标报价得分=（评标基准价/投标报价）×</w:t>
            </w:r>
            <w:r>
              <w:rPr>
                <w:rFonts w:hint="eastAsia" w:ascii="仿宋" w:hAnsi="仿宋" w:eastAsia="仿宋" w:cs="仿宋"/>
                <w:color w:val="0000FF"/>
                <w:sz w:val="21"/>
                <w:szCs w:val="21"/>
                <w:vertAlign w:val="baseline"/>
                <w:lang w:val="en-US" w:eastAsia="zh-CN"/>
              </w:rPr>
              <w:t>价格满分分值</w:t>
            </w:r>
          </w:p>
        </w:tc>
      </w:tr>
      <w:tr w14:paraId="5062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074" w:type="dxa"/>
            <w:vMerge w:val="restart"/>
            <w:tcBorders>
              <w:right w:val="single" w:color="000000" w:sz="4" w:space="0"/>
            </w:tcBorders>
            <w:vAlign w:val="center"/>
          </w:tcPr>
          <w:p w14:paraId="2BE9E8DA">
            <w:pPr>
              <w:pStyle w:val="16"/>
              <w:spacing w:line="240" w:lineRule="auto"/>
              <w:ind w:right="-19" w:rightChars="-9"/>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rPr>
              <w:t>商务部分(</w:t>
            </w:r>
            <w:r>
              <w:rPr>
                <w:rFonts w:hint="eastAsia" w:ascii="仿宋" w:hAnsi="仿宋" w:eastAsia="仿宋" w:cs="仿宋"/>
                <w:color w:val="0000FF"/>
                <w:sz w:val="21"/>
                <w:szCs w:val="21"/>
                <w:vertAlign w:val="baseline"/>
                <w:lang w:val="en-US" w:eastAsia="zh-CN"/>
              </w:rPr>
              <w:t>6</w:t>
            </w:r>
            <w:r>
              <w:rPr>
                <w:rFonts w:hint="eastAsia" w:ascii="仿宋" w:hAnsi="仿宋" w:eastAsia="仿宋" w:cs="仿宋"/>
                <w:color w:val="0000FF"/>
                <w:sz w:val="21"/>
                <w:szCs w:val="21"/>
                <w:vertAlign w:val="baseline"/>
              </w:rPr>
              <w:t>分)</w:t>
            </w:r>
          </w:p>
        </w:tc>
        <w:tc>
          <w:tcPr>
            <w:tcW w:w="994" w:type="dxa"/>
            <w:tcBorders>
              <w:left w:val="single" w:color="000000" w:sz="4" w:space="0"/>
            </w:tcBorders>
            <w:vAlign w:val="center"/>
          </w:tcPr>
          <w:p w14:paraId="19E3736F">
            <w:pPr>
              <w:pStyle w:val="16"/>
              <w:spacing w:line="240" w:lineRule="auto"/>
              <w:ind w:right="31" w:rightChars="15"/>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类似项目业绩</w:t>
            </w:r>
          </w:p>
        </w:tc>
        <w:tc>
          <w:tcPr>
            <w:tcW w:w="843" w:type="dxa"/>
            <w:vAlign w:val="center"/>
          </w:tcPr>
          <w:p w14:paraId="7A24C313">
            <w:pPr>
              <w:pStyle w:val="16"/>
              <w:spacing w:line="240" w:lineRule="auto"/>
              <w:ind w:right="0" w:rightChars="0"/>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4</w:t>
            </w:r>
          </w:p>
        </w:tc>
        <w:tc>
          <w:tcPr>
            <w:tcW w:w="5611" w:type="dxa"/>
          </w:tcPr>
          <w:p w14:paraId="5FB0E434">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lang w:val="en-US" w:eastAsia="zh-CN"/>
              </w:rPr>
              <w:t>投标人</w:t>
            </w:r>
            <w:r>
              <w:rPr>
                <w:rFonts w:hint="eastAsia" w:ascii="仿宋" w:hAnsi="仿宋" w:eastAsia="仿宋" w:cs="仿宋"/>
                <w:color w:val="0000FF"/>
                <w:sz w:val="21"/>
                <w:szCs w:val="21"/>
                <w:vertAlign w:val="baseline"/>
              </w:rPr>
              <w:t>自20</w:t>
            </w:r>
            <w:r>
              <w:rPr>
                <w:rFonts w:hint="eastAsia" w:ascii="仿宋" w:hAnsi="仿宋" w:eastAsia="仿宋" w:cs="仿宋"/>
                <w:color w:val="0000FF"/>
                <w:sz w:val="21"/>
                <w:szCs w:val="21"/>
                <w:vertAlign w:val="baseline"/>
                <w:lang w:val="en-US" w:eastAsia="zh-CN"/>
              </w:rPr>
              <w:t>22</w:t>
            </w:r>
            <w:r>
              <w:rPr>
                <w:rFonts w:hint="eastAsia" w:ascii="仿宋" w:hAnsi="仿宋" w:eastAsia="仿宋" w:cs="仿宋"/>
                <w:color w:val="0000FF"/>
                <w:sz w:val="21"/>
                <w:szCs w:val="21"/>
                <w:vertAlign w:val="baseline"/>
              </w:rPr>
              <w:t>年</w:t>
            </w:r>
            <w:r>
              <w:rPr>
                <w:rFonts w:hint="eastAsia" w:ascii="仿宋" w:hAnsi="仿宋" w:eastAsia="仿宋" w:cs="仿宋"/>
                <w:color w:val="0000FF"/>
                <w:sz w:val="21"/>
                <w:szCs w:val="21"/>
                <w:vertAlign w:val="baseline"/>
                <w:lang w:val="en-US" w:eastAsia="zh-CN"/>
              </w:rPr>
              <w:t>3月</w:t>
            </w:r>
            <w:r>
              <w:rPr>
                <w:rFonts w:hint="eastAsia" w:ascii="仿宋" w:hAnsi="仿宋" w:eastAsia="仿宋" w:cs="仿宋"/>
                <w:color w:val="0000FF"/>
                <w:sz w:val="21"/>
                <w:szCs w:val="21"/>
                <w:vertAlign w:val="baseline"/>
              </w:rPr>
              <w:t>至投标截止日止（以合同签订合同时间为准）</w:t>
            </w:r>
            <w:r>
              <w:rPr>
                <w:rFonts w:hint="eastAsia" w:ascii="仿宋" w:hAnsi="仿宋" w:eastAsia="仿宋" w:cs="仿宋"/>
                <w:color w:val="0000FF"/>
                <w:sz w:val="21"/>
                <w:szCs w:val="21"/>
                <w:vertAlign w:val="baseline"/>
                <w:lang w:eastAsia="zh-CN"/>
              </w:rPr>
              <w:t>供应商或制造商</w:t>
            </w:r>
            <w:r>
              <w:rPr>
                <w:rFonts w:hint="eastAsia" w:ascii="仿宋" w:hAnsi="仿宋" w:eastAsia="仿宋" w:cs="仿宋"/>
                <w:color w:val="0000FF"/>
                <w:sz w:val="21"/>
                <w:szCs w:val="21"/>
                <w:vertAlign w:val="baseline"/>
              </w:rPr>
              <w:t>承担的类似项目，每提供</w:t>
            </w:r>
            <w:r>
              <w:rPr>
                <w:rFonts w:hint="eastAsia" w:ascii="仿宋" w:hAnsi="仿宋" w:eastAsia="仿宋" w:cs="仿宋"/>
                <w:color w:val="0000FF"/>
                <w:sz w:val="21"/>
                <w:szCs w:val="21"/>
                <w:vertAlign w:val="baseline"/>
                <w:lang w:val="en-US" w:eastAsia="zh-CN"/>
              </w:rPr>
              <w:t>1</w:t>
            </w:r>
            <w:r>
              <w:rPr>
                <w:rFonts w:hint="eastAsia" w:ascii="仿宋" w:hAnsi="仿宋" w:eastAsia="仿宋" w:cs="仿宋"/>
                <w:color w:val="0000FF"/>
                <w:sz w:val="21"/>
                <w:szCs w:val="21"/>
                <w:vertAlign w:val="baseline"/>
              </w:rPr>
              <w:t>份有效的业绩资料得</w:t>
            </w:r>
            <w:r>
              <w:rPr>
                <w:rFonts w:hint="eastAsia" w:ascii="仿宋" w:hAnsi="仿宋" w:eastAsia="仿宋" w:cs="仿宋"/>
                <w:color w:val="0000FF"/>
                <w:sz w:val="21"/>
                <w:szCs w:val="21"/>
                <w:vertAlign w:val="baseline"/>
                <w:lang w:val="en-US" w:eastAsia="zh-CN"/>
              </w:rPr>
              <w:t>2</w:t>
            </w:r>
            <w:r>
              <w:rPr>
                <w:rFonts w:hint="eastAsia" w:ascii="仿宋" w:hAnsi="仿宋" w:eastAsia="仿宋" w:cs="仿宋"/>
                <w:color w:val="0000FF"/>
                <w:sz w:val="21"/>
                <w:szCs w:val="21"/>
                <w:vertAlign w:val="baseline"/>
              </w:rPr>
              <w:t>分，满分</w:t>
            </w:r>
            <w:r>
              <w:rPr>
                <w:rFonts w:hint="eastAsia" w:ascii="仿宋" w:hAnsi="仿宋" w:eastAsia="仿宋" w:cs="仿宋"/>
                <w:color w:val="0000FF"/>
                <w:sz w:val="21"/>
                <w:szCs w:val="21"/>
                <w:vertAlign w:val="baseline"/>
                <w:lang w:val="en-US" w:eastAsia="zh-CN"/>
              </w:rPr>
              <w:t>4</w:t>
            </w:r>
            <w:r>
              <w:rPr>
                <w:rFonts w:hint="eastAsia" w:ascii="仿宋" w:hAnsi="仿宋" w:eastAsia="仿宋" w:cs="仿宋"/>
                <w:color w:val="0000FF"/>
                <w:sz w:val="21"/>
                <w:szCs w:val="21"/>
                <w:vertAlign w:val="baseline"/>
              </w:rPr>
              <w:t>分。</w:t>
            </w:r>
          </w:p>
          <w:p w14:paraId="310F256F">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注：1.须提供业绩合同关键页（含：首页、</w:t>
            </w:r>
            <w:r>
              <w:rPr>
                <w:rFonts w:hint="eastAsia" w:ascii="仿宋" w:hAnsi="仿宋" w:eastAsia="仿宋" w:cs="仿宋"/>
                <w:color w:val="0000FF"/>
                <w:sz w:val="21"/>
                <w:szCs w:val="21"/>
                <w:vertAlign w:val="baseline"/>
                <w:lang w:val="en-US" w:eastAsia="zh-CN"/>
              </w:rPr>
              <w:t>货物和</w:t>
            </w:r>
            <w:r>
              <w:rPr>
                <w:rFonts w:hint="eastAsia" w:ascii="仿宋" w:hAnsi="仿宋" w:eastAsia="仿宋" w:cs="仿宋"/>
                <w:color w:val="0000FF"/>
                <w:sz w:val="21"/>
                <w:szCs w:val="21"/>
                <w:vertAlign w:val="baseline"/>
              </w:rPr>
              <w:t>服务内容信息页、合同金额页、签字盖章页）。</w:t>
            </w:r>
            <w:r>
              <w:rPr>
                <w:rFonts w:hint="eastAsia" w:ascii="仿宋" w:hAnsi="仿宋" w:eastAsia="仿宋" w:cs="仿宋"/>
                <w:color w:val="0000FF"/>
                <w:sz w:val="21"/>
                <w:szCs w:val="21"/>
                <w:vertAlign w:val="baseline"/>
                <w:lang w:eastAsia="zh-CN"/>
              </w:rPr>
              <w:t>扫描件</w:t>
            </w:r>
            <w:r>
              <w:rPr>
                <w:rFonts w:hint="eastAsia" w:ascii="仿宋" w:hAnsi="仿宋" w:eastAsia="仿宋" w:cs="仿宋"/>
                <w:color w:val="0000FF"/>
                <w:sz w:val="21"/>
                <w:szCs w:val="21"/>
                <w:vertAlign w:val="baseline"/>
              </w:rPr>
              <w:t>加盖公章，时间以合同签订日期为准。不符合上述要求或未按要求提供有效证明文件的业绩在评审时将不予认</w:t>
            </w:r>
            <w:r>
              <w:rPr>
                <w:rFonts w:hint="eastAsia" w:ascii="仿宋" w:hAnsi="仿宋" w:eastAsia="仿宋" w:cs="仿宋"/>
                <w:color w:val="0000FF"/>
                <w:sz w:val="21"/>
                <w:szCs w:val="21"/>
                <w:vertAlign w:val="baseline"/>
                <w:lang w:val="en-US" w:eastAsia="zh-CN"/>
              </w:rPr>
              <w:t>定</w:t>
            </w:r>
            <w:r>
              <w:rPr>
                <w:rFonts w:hint="eastAsia" w:ascii="仿宋" w:hAnsi="仿宋" w:eastAsia="仿宋" w:cs="仿宋"/>
                <w:color w:val="0000FF"/>
                <w:sz w:val="21"/>
                <w:szCs w:val="21"/>
                <w:vertAlign w:val="baseline"/>
              </w:rPr>
              <w:t>。</w:t>
            </w:r>
          </w:p>
          <w:p w14:paraId="58AF134C">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lang w:val="en-US" w:eastAsia="zh-CN"/>
              </w:rPr>
              <w:t>2.</w:t>
            </w:r>
            <w:r>
              <w:rPr>
                <w:rFonts w:hint="eastAsia" w:ascii="仿宋" w:hAnsi="仿宋" w:eastAsia="仿宋" w:cs="仿宋"/>
                <w:color w:val="0000FF"/>
                <w:sz w:val="21"/>
                <w:szCs w:val="21"/>
                <w:vertAlign w:val="baseline"/>
                <w:lang w:eastAsia="zh-CN"/>
              </w:rPr>
              <w:t>投标人</w:t>
            </w:r>
            <w:r>
              <w:rPr>
                <w:rFonts w:hint="eastAsia" w:ascii="仿宋" w:hAnsi="仿宋" w:eastAsia="仿宋" w:cs="仿宋"/>
                <w:color w:val="0000FF"/>
                <w:sz w:val="21"/>
                <w:szCs w:val="21"/>
                <w:vertAlign w:val="baseline"/>
              </w:rPr>
              <w:t>提供虚假合同的，按虚假投标处理。</w:t>
            </w:r>
          </w:p>
        </w:tc>
      </w:tr>
      <w:tr w14:paraId="29E9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74" w:type="dxa"/>
            <w:vMerge w:val="continue"/>
            <w:tcBorders>
              <w:right w:val="single" w:color="000000" w:sz="4" w:space="0"/>
            </w:tcBorders>
            <w:vAlign w:val="center"/>
          </w:tcPr>
          <w:p w14:paraId="7A7587A4">
            <w:pPr>
              <w:pStyle w:val="16"/>
              <w:spacing w:line="240" w:lineRule="auto"/>
              <w:ind w:right="-19" w:rightChars="-9"/>
              <w:jc w:val="center"/>
              <w:rPr>
                <w:rFonts w:hint="eastAsia" w:ascii="仿宋" w:hAnsi="仿宋" w:eastAsia="仿宋" w:cs="仿宋"/>
                <w:color w:val="0000FF"/>
                <w:sz w:val="21"/>
                <w:szCs w:val="21"/>
                <w:vertAlign w:val="baseline"/>
              </w:rPr>
            </w:pPr>
          </w:p>
        </w:tc>
        <w:tc>
          <w:tcPr>
            <w:tcW w:w="994" w:type="dxa"/>
            <w:tcBorders>
              <w:left w:val="single" w:color="000000" w:sz="4" w:space="0"/>
            </w:tcBorders>
            <w:vAlign w:val="center"/>
          </w:tcPr>
          <w:p w14:paraId="21BFF5B9">
            <w:pPr>
              <w:pStyle w:val="16"/>
              <w:spacing w:line="240" w:lineRule="auto"/>
              <w:ind w:right="31" w:rightChars="15"/>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售后服务人员</w:t>
            </w:r>
          </w:p>
        </w:tc>
        <w:tc>
          <w:tcPr>
            <w:tcW w:w="843" w:type="dxa"/>
            <w:vAlign w:val="center"/>
          </w:tcPr>
          <w:p w14:paraId="1372EDB6">
            <w:pPr>
              <w:pStyle w:val="16"/>
              <w:spacing w:line="240" w:lineRule="auto"/>
              <w:ind w:right="0" w:rightChars="0"/>
              <w:jc w:val="center"/>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2</w:t>
            </w:r>
          </w:p>
        </w:tc>
        <w:tc>
          <w:tcPr>
            <w:tcW w:w="5611" w:type="dxa"/>
            <w:vAlign w:val="center"/>
          </w:tcPr>
          <w:p w14:paraId="307379B6">
            <w:pPr>
              <w:pStyle w:val="16"/>
              <w:spacing w:line="240" w:lineRule="auto"/>
              <w:ind w:right="-31" w:rightChars="-15"/>
              <w:jc w:val="both"/>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厂家须具备专业维护工程师，并具备相应的资格证明，得1分（需提供证明材料）</w:t>
            </w:r>
          </w:p>
          <w:p w14:paraId="0776F887">
            <w:pPr>
              <w:pStyle w:val="16"/>
              <w:spacing w:line="240" w:lineRule="auto"/>
              <w:ind w:right="-31" w:rightChars="-15"/>
              <w:jc w:val="both"/>
              <w:rPr>
                <w:rFonts w:hint="eastAsia"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vertAlign w:val="baseline"/>
                <w:lang w:val="en-US" w:eastAsia="zh-CN"/>
              </w:rPr>
              <w:t>厂家须具备技术支持，并具备相应的资格证明，得1分（需提供证明材料）</w:t>
            </w:r>
          </w:p>
        </w:tc>
      </w:tr>
      <w:tr w14:paraId="64B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48C89F63">
            <w:pPr>
              <w:pStyle w:val="16"/>
              <w:spacing w:line="240" w:lineRule="auto"/>
              <w:ind w:right="-19" w:rightChars="-9"/>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技术部分 (</w:t>
            </w:r>
            <w:r>
              <w:rPr>
                <w:rFonts w:hint="eastAsia" w:ascii="仿宋" w:hAnsi="仿宋" w:eastAsia="仿宋" w:cs="仿宋"/>
                <w:color w:val="0000FF"/>
                <w:sz w:val="21"/>
                <w:szCs w:val="21"/>
                <w:vertAlign w:val="baseline"/>
                <w:lang w:val="en-US" w:eastAsia="zh-CN"/>
              </w:rPr>
              <w:t>64</w:t>
            </w:r>
            <w:r>
              <w:rPr>
                <w:rFonts w:hint="eastAsia" w:ascii="仿宋" w:hAnsi="仿宋" w:eastAsia="仿宋" w:cs="仿宋"/>
                <w:color w:val="0000FF"/>
                <w:sz w:val="21"/>
                <w:szCs w:val="21"/>
                <w:vertAlign w:val="baseline"/>
              </w:rPr>
              <w:t>分)</w:t>
            </w:r>
          </w:p>
        </w:tc>
        <w:tc>
          <w:tcPr>
            <w:tcW w:w="994" w:type="dxa"/>
            <w:tcBorders>
              <w:left w:val="single" w:color="000000" w:sz="4" w:space="0"/>
            </w:tcBorders>
            <w:vAlign w:val="center"/>
          </w:tcPr>
          <w:p w14:paraId="3953A056">
            <w:pPr>
              <w:pStyle w:val="16"/>
              <w:spacing w:line="240" w:lineRule="auto"/>
              <w:ind w:right="31" w:rightChars="15"/>
              <w:jc w:val="center"/>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对</w:t>
            </w:r>
            <w:r>
              <w:rPr>
                <w:rFonts w:hint="eastAsia" w:ascii="仿宋" w:hAnsi="仿宋" w:eastAsia="仿宋" w:cs="仿宋"/>
                <w:color w:val="0000FF"/>
                <w:sz w:val="21"/>
                <w:szCs w:val="21"/>
                <w:vertAlign w:val="baseline"/>
                <w:lang w:val="en-US" w:eastAsia="zh-CN"/>
              </w:rPr>
              <w:t>投标</w:t>
            </w:r>
            <w:r>
              <w:rPr>
                <w:rFonts w:hint="eastAsia" w:ascii="仿宋" w:hAnsi="仿宋" w:eastAsia="仿宋" w:cs="仿宋"/>
                <w:color w:val="0000FF"/>
                <w:sz w:val="21"/>
                <w:szCs w:val="21"/>
                <w:vertAlign w:val="baseline"/>
                <w:lang w:eastAsia="zh-CN"/>
              </w:rPr>
              <w:t>文件</w:t>
            </w:r>
            <w:r>
              <w:rPr>
                <w:rFonts w:hint="eastAsia" w:ascii="仿宋" w:hAnsi="仿宋" w:eastAsia="仿宋" w:cs="仿宋"/>
                <w:color w:val="0000FF"/>
                <w:sz w:val="21"/>
                <w:szCs w:val="21"/>
                <w:vertAlign w:val="baseline"/>
              </w:rPr>
              <w:t>技术规格要求的响应程度</w:t>
            </w:r>
          </w:p>
        </w:tc>
        <w:tc>
          <w:tcPr>
            <w:tcW w:w="843" w:type="dxa"/>
            <w:vAlign w:val="center"/>
          </w:tcPr>
          <w:p w14:paraId="5C6EF52E">
            <w:pPr>
              <w:pStyle w:val="16"/>
              <w:spacing w:line="240" w:lineRule="auto"/>
              <w:ind w:right="0" w:rightChars="0"/>
              <w:jc w:val="center"/>
              <w:rPr>
                <w:rFonts w:hint="default" w:ascii="仿宋" w:hAnsi="仿宋" w:eastAsia="仿宋" w:cs="仿宋"/>
                <w:color w:val="0000FF"/>
                <w:sz w:val="21"/>
                <w:szCs w:val="21"/>
                <w:vertAlign w:val="baseline"/>
                <w:lang w:val="en-US" w:eastAsia="zh-CN"/>
              </w:rPr>
            </w:pPr>
            <w:r>
              <w:rPr>
                <w:rFonts w:hint="eastAsia" w:ascii="仿宋" w:hAnsi="仿宋" w:eastAsia="仿宋" w:cs="仿宋"/>
                <w:color w:val="0000FF"/>
                <w:sz w:val="21"/>
                <w:szCs w:val="21"/>
                <w:highlight w:val="none"/>
                <w:vertAlign w:val="baseline"/>
                <w:lang w:val="en-US" w:eastAsia="zh-CN"/>
              </w:rPr>
              <w:t>48</w:t>
            </w:r>
          </w:p>
        </w:tc>
        <w:tc>
          <w:tcPr>
            <w:tcW w:w="5611" w:type="dxa"/>
          </w:tcPr>
          <w:p w14:paraId="22BD207E">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根据投标人对第五章采购需求中“技术指标参数”的响应情况进行评审，参数指标完全满足或优于的，得48分。</w:t>
            </w:r>
          </w:p>
          <w:p w14:paraId="1859F1DC">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除标注“★”指标外，每有一项其他条款技术参数指标不满足扣1分，扣完为止。</w:t>
            </w:r>
          </w:p>
          <w:p w14:paraId="6B7A36BA">
            <w:pPr>
              <w:pStyle w:val="16"/>
              <w:spacing w:line="240" w:lineRule="auto"/>
              <w:ind w:right="-31" w:rightChars="-15"/>
              <w:rPr>
                <w:rFonts w:hint="eastAsia" w:ascii="仿宋" w:hAnsi="仿宋" w:eastAsia="仿宋" w:cs="仿宋"/>
                <w:color w:val="0000FF"/>
                <w:sz w:val="21"/>
                <w:szCs w:val="21"/>
                <w:vertAlign w:val="baseline"/>
              </w:rPr>
            </w:pPr>
            <w:r>
              <w:rPr>
                <w:rFonts w:hint="eastAsia" w:ascii="仿宋" w:hAnsi="仿宋" w:eastAsia="仿宋" w:cs="仿宋"/>
                <w:color w:val="0000FF"/>
                <w:sz w:val="21"/>
                <w:szCs w:val="21"/>
                <w:vertAlign w:val="baseline"/>
              </w:rPr>
              <w:t>注：投标人需提供相关的证明文件，同时根据采购需求如实响应，是否偏离情况根据投标人产品技术性能检测报告（完整）文件及产品说明书中的内容为依据，无证明文件依据的视为负偏离。如虚假提供材料应标后果自负。</w:t>
            </w:r>
          </w:p>
        </w:tc>
      </w:tr>
      <w:tr w14:paraId="1259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74" w:type="dxa"/>
            <w:vMerge w:val="continue"/>
            <w:tcBorders>
              <w:right w:val="single" w:color="000000" w:sz="4" w:space="0"/>
            </w:tcBorders>
            <w:vAlign w:val="center"/>
          </w:tcPr>
          <w:p w14:paraId="26F02F17">
            <w:pPr>
              <w:pStyle w:val="16"/>
              <w:spacing w:line="240" w:lineRule="auto"/>
              <w:ind w:right="638" w:rightChars="304"/>
              <w:jc w:val="center"/>
              <w:rPr>
                <w:rFonts w:hint="eastAsia" w:ascii="仿宋" w:hAnsi="仿宋" w:eastAsia="仿宋" w:cs="仿宋"/>
                <w:color w:val="0000FF"/>
                <w:sz w:val="21"/>
                <w:szCs w:val="21"/>
                <w:vertAlign w:val="baseline"/>
              </w:rPr>
            </w:pPr>
          </w:p>
        </w:tc>
        <w:tc>
          <w:tcPr>
            <w:tcW w:w="994" w:type="dxa"/>
            <w:tcBorders>
              <w:left w:val="single" w:color="000000" w:sz="4" w:space="0"/>
            </w:tcBorders>
            <w:vAlign w:val="center"/>
          </w:tcPr>
          <w:p w14:paraId="4CD2E2D2">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rPr>
              <w:t>项目实施方案</w:t>
            </w:r>
          </w:p>
        </w:tc>
        <w:tc>
          <w:tcPr>
            <w:tcW w:w="843" w:type="dxa"/>
            <w:vAlign w:val="center"/>
          </w:tcPr>
          <w:p w14:paraId="722A3981">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lang w:val="en-US" w:eastAsia="zh-CN"/>
              </w:rPr>
              <w:t>8</w:t>
            </w:r>
          </w:p>
        </w:tc>
        <w:tc>
          <w:tcPr>
            <w:tcW w:w="5611" w:type="dxa"/>
            <w:vAlign w:val="center"/>
          </w:tcPr>
          <w:p w14:paraId="35F8A0E9">
            <w:pPr>
              <w:widowControl/>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2"/>
                <w:sz w:val="21"/>
                <w:szCs w:val="21"/>
                <w:highlight w:val="none"/>
                <w:vertAlign w:val="baseline"/>
                <w:lang w:val="en-US" w:eastAsia="zh-CN" w:bidi="ar-SA"/>
              </w:rPr>
              <w:t>对各投标人拟定的项目实施方案（包含但不限于：①产品备货方案、②产品运输方案、③本项目人员配置及安排、④产品质量保障措施）进行综合评审：以上4项方案内容完整，内容齐全的得8分，每有一项缺失或缺陷的扣2分，扣完为止。 【内容存在缺陷或不足是指：内容与实际情况不符、内容与项目无关、内容表述错误、内容前后表述矛盾、内容凭空编造、逻辑漏洞、科学原理错误以及不可能实现的夸大情形、内容与项目不匹配、项目信息错误（包括时间、地点、名称等）、不符合本项目涉及的相关规范或标准要求等情形。】</w:t>
            </w:r>
          </w:p>
        </w:tc>
      </w:tr>
      <w:tr w14:paraId="448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4" w:type="dxa"/>
            <w:vMerge w:val="continue"/>
            <w:tcBorders>
              <w:right w:val="single" w:color="000000" w:sz="4" w:space="0"/>
            </w:tcBorders>
            <w:vAlign w:val="center"/>
          </w:tcPr>
          <w:p w14:paraId="5B1C7F52">
            <w:pPr>
              <w:pStyle w:val="16"/>
              <w:spacing w:line="240" w:lineRule="auto"/>
              <w:ind w:right="638" w:rightChars="304"/>
              <w:jc w:val="center"/>
              <w:rPr>
                <w:rFonts w:hint="eastAsia" w:ascii="仿宋" w:hAnsi="仿宋" w:eastAsia="仿宋" w:cs="仿宋"/>
                <w:color w:val="0000FF"/>
                <w:sz w:val="21"/>
                <w:szCs w:val="21"/>
                <w:vertAlign w:val="baseline"/>
              </w:rPr>
            </w:pPr>
          </w:p>
        </w:tc>
        <w:tc>
          <w:tcPr>
            <w:tcW w:w="994" w:type="dxa"/>
            <w:tcBorders>
              <w:left w:val="single" w:color="000000" w:sz="4" w:space="0"/>
            </w:tcBorders>
            <w:vAlign w:val="center"/>
          </w:tcPr>
          <w:p w14:paraId="1D7D03AA">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rPr>
              <w:t>售后服务保障</w:t>
            </w:r>
          </w:p>
        </w:tc>
        <w:tc>
          <w:tcPr>
            <w:tcW w:w="843" w:type="dxa"/>
            <w:vAlign w:val="center"/>
          </w:tcPr>
          <w:p w14:paraId="49F73486">
            <w:pPr>
              <w:widowControl/>
              <w:jc w:val="center"/>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0"/>
                <w:sz w:val="21"/>
                <w:szCs w:val="21"/>
                <w:highlight w:val="none"/>
                <w:lang w:val="en-US" w:eastAsia="zh-CN"/>
              </w:rPr>
              <w:t>8</w:t>
            </w:r>
          </w:p>
        </w:tc>
        <w:tc>
          <w:tcPr>
            <w:tcW w:w="5611" w:type="dxa"/>
            <w:vAlign w:val="center"/>
          </w:tcPr>
          <w:p w14:paraId="4221FA4D">
            <w:pPr>
              <w:widowControl/>
              <w:textAlignment w:val="center"/>
              <w:rPr>
                <w:rFonts w:hint="eastAsia" w:ascii="仿宋" w:hAnsi="仿宋" w:eastAsia="仿宋" w:cs="仿宋"/>
                <w:color w:val="0000FF"/>
                <w:kern w:val="2"/>
                <w:sz w:val="21"/>
                <w:szCs w:val="21"/>
                <w:highlight w:val="none"/>
                <w:vertAlign w:val="baseline"/>
                <w:lang w:val="en-US" w:eastAsia="zh-CN" w:bidi="ar-SA"/>
              </w:rPr>
            </w:pPr>
            <w:r>
              <w:rPr>
                <w:rFonts w:hint="eastAsia" w:ascii="仿宋" w:hAnsi="仿宋" w:eastAsia="仿宋" w:cs="仿宋"/>
                <w:color w:val="0000FF"/>
                <w:kern w:val="2"/>
                <w:sz w:val="21"/>
                <w:szCs w:val="21"/>
                <w:highlight w:val="none"/>
                <w:vertAlign w:val="baseline"/>
                <w:lang w:val="en-US" w:eastAsia="zh-CN" w:bidi="ar-SA"/>
              </w:rPr>
              <w:t>投标人提供了售后服务方案及措施（包括但不限于①售后服务措施、②培训计划、③售后服务网点、④售后服务人员），以上4项内容无缺陷、内容齐全的得8分，每有一项缺失或缺陷的扣2分，扣完为止。 【内容存在缺陷或不足是指：内容与实际情况不符、内容与项目无关、内容表述错误、内容前后表述矛盾、内容凭空编造、逻辑漏洞、科学原理错误以及不可能实现的夸大情形、内容与项目不匹配、项目信息错误（包括时间、地点、名称等）、不符合本项目涉及的相关规范或标准要求等情形。】</w:t>
            </w:r>
          </w:p>
        </w:tc>
      </w:tr>
    </w:tbl>
    <w:p w14:paraId="52A5E11B">
      <w:pPr>
        <w:pStyle w:val="30"/>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pacing w:val="0"/>
          <w:kern w:val="2"/>
          <w:sz w:val="24"/>
          <w:szCs w:val="24"/>
          <w:u w:val="none"/>
          <w:lang w:val="en-US" w:eastAsia="zh-CN" w:bidi="ar"/>
        </w:rPr>
      </w:pPr>
      <w:r>
        <w:rPr>
          <w:rFonts w:hint="eastAsia" w:ascii="仿宋" w:hAnsi="仿宋" w:eastAsia="仿宋" w:cs="仿宋"/>
          <w:b/>
          <w:bCs/>
          <w:color w:val="auto"/>
          <w:spacing w:val="0"/>
          <w:kern w:val="2"/>
          <w:sz w:val="24"/>
          <w:szCs w:val="24"/>
          <w:u w:val="none"/>
          <w:lang w:val="en-US" w:eastAsia="zh-CN" w:bidi="ar"/>
        </w:rPr>
        <w:t>五、详细评审中应考虑下列因素：</w:t>
      </w:r>
    </w:p>
    <w:p w14:paraId="686EF9C5">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1.  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128FEF96">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  中小微型企业有关政策</w:t>
      </w:r>
    </w:p>
    <w:p w14:paraId="2941D6B0">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□2.1、本项目为专门面向中小（小微）企业采购项目，无价格评审优惠。</w:t>
      </w:r>
    </w:p>
    <w:p w14:paraId="47F15168">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sym w:font="Wingdings 2" w:char="0052"/>
      </w:r>
      <w:r>
        <w:rPr>
          <w:rFonts w:hint="eastAsia" w:ascii="仿宋" w:hAnsi="仿宋" w:eastAsia="仿宋" w:cs="仿宋"/>
          <w:b w:val="0"/>
          <w:bCs w:val="0"/>
          <w:color w:val="auto"/>
          <w:spacing w:val="0"/>
          <w:kern w:val="2"/>
          <w:sz w:val="24"/>
          <w:szCs w:val="24"/>
          <w:u w:val="none"/>
          <w:lang w:val="en-US" w:eastAsia="zh-CN" w:bidi="ar"/>
        </w:rPr>
        <w:t>2.2、本项目为非专门面向中小企业（含中型、小型、微型企业）采购项目，具体评审优惠如下：</w:t>
      </w:r>
    </w:p>
    <w:p w14:paraId="6DA76DF8">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2.2.1根据《政府采购促进中小企业发展暂行办法》（财库[2020]46号）、《财政部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pacing w:val="0"/>
          <w:kern w:val="2"/>
          <w:sz w:val="24"/>
          <w:szCs w:val="24"/>
          <w:u w:val="single"/>
          <w:lang w:val="en-US" w:eastAsia="zh-CN" w:bidi="ar"/>
        </w:rPr>
        <w:t xml:space="preserve"> 10 % </w:t>
      </w:r>
      <w:r>
        <w:rPr>
          <w:rFonts w:hint="eastAsia" w:ascii="仿宋" w:hAnsi="仿宋" w:eastAsia="仿宋" w:cs="仿宋"/>
          <w:b w:val="0"/>
          <w:bCs w:val="0"/>
          <w:color w:val="auto"/>
          <w:spacing w:val="0"/>
          <w:kern w:val="2"/>
          <w:sz w:val="24"/>
          <w:szCs w:val="24"/>
          <w:u w:val="none"/>
          <w:lang w:val="en-US" w:eastAsia="zh-CN" w:bidi="ar"/>
        </w:rPr>
        <w:t>后参与评审。对于同时属于小微企业、监狱企业或残疾人福利性单位的，不重复进行投标报价扣除。</w:t>
      </w:r>
    </w:p>
    <w:p w14:paraId="2BFF7CCA">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2.2.2.  联合协议中约定，小型、微型企业和监狱企业的协议合同金额占到联合体协议合同总金额30%以上的，可给予联合体</w:t>
      </w:r>
      <w:r>
        <w:rPr>
          <w:rFonts w:hint="eastAsia" w:ascii="仿宋" w:hAnsi="仿宋" w:eastAsia="仿宋" w:cs="仿宋"/>
          <w:b w:val="0"/>
          <w:bCs w:val="0"/>
          <w:color w:val="auto"/>
          <w:spacing w:val="0"/>
          <w:kern w:val="2"/>
          <w:sz w:val="24"/>
          <w:szCs w:val="24"/>
          <w:u w:val="single"/>
          <w:lang w:val="en-US" w:eastAsia="zh-CN" w:bidi="ar"/>
        </w:rPr>
        <w:t xml:space="preserve"> 4 %</w:t>
      </w:r>
      <w:r>
        <w:rPr>
          <w:rFonts w:hint="eastAsia" w:ascii="仿宋" w:hAnsi="仿宋" w:eastAsia="仿宋" w:cs="仿宋"/>
          <w:b w:val="0"/>
          <w:bCs w:val="0"/>
          <w:color w:val="auto"/>
          <w:spacing w:val="0"/>
          <w:kern w:val="2"/>
          <w:sz w:val="24"/>
          <w:szCs w:val="24"/>
          <w:u w:val="none"/>
          <w:lang w:val="en-US" w:eastAsia="zh-CN" w:bidi="ar"/>
        </w:rPr>
        <w:t xml:space="preserve"> 的价格扣除。联合体各方均为小型、微型企业和监狱企业的，联合体视同为小型、微型企业和监狱企业。</w:t>
      </w:r>
    </w:p>
    <w:p w14:paraId="7560EB1F">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2.2.3、说明：在政府采购活动中，供应商提供的货物、工程或者服务符合下列情形的，享受本办法规定的中小企业扶持政策：</w:t>
      </w:r>
    </w:p>
    <w:p w14:paraId="739A9DFB">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EF91388">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（a）在货物采购项目中，货物由中小企业制造，即货物由中小企业生产且使用该中小企业商号或者注册商标；</w:t>
      </w:r>
    </w:p>
    <w:p w14:paraId="45A0E7D4">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（b）在工程采购项目中，工程由中小企业承建，即工程施工单位为中小企业；</w:t>
      </w:r>
    </w:p>
    <w:p w14:paraId="685C180F">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（c）在服务采购项目中，服务由中小企业承接，即提供服务的人员为中小企业依照《中华人民共和国劳动法》订立劳动合同的从业人员。</w:t>
      </w:r>
    </w:p>
    <w:p w14:paraId="577D3080">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（d）在货物采购项目中，供应商提供的货物既有中小企业制造货物，也有大型企业制造货物的，不享受本办法规定的中小企业扶持政策。</w:t>
      </w:r>
    </w:p>
    <w:p w14:paraId="030743DE">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single"/>
          <w:lang w:val="en-US" w:eastAsia="zh-CN" w:bidi="ar"/>
        </w:rPr>
      </w:pPr>
      <w:r>
        <w:rPr>
          <w:rFonts w:hint="eastAsia" w:ascii="仿宋" w:hAnsi="仿宋" w:eastAsia="仿宋" w:cs="仿宋"/>
          <w:b w:val="0"/>
          <w:bCs w:val="0"/>
          <w:color w:val="auto"/>
          <w:spacing w:val="0"/>
          <w:kern w:val="2"/>
          <w:sz w:val="24"/>
          <w:szCs w:val="24"/>
          <w:u w:val="none"/>
          <w:lang w:val="en-US" w:eastAsia="zh-CN" w:bidi="ar"/>
        </w:rPr>
        <w:t>3、投标人所投产品如被列入财政部与国家主管部门颁发的节能产品目录或环境标志产品目录，应提供相关证明，在评标时予以优先采购，具体优惠措施为：</w:t>
      </w:r>
      <w:r>
        <w:rPr>
          <w:rFonts w:hint="eastAsia" w:ascii="仿宋" w:hAnsi="仿宋" w:eastAsia="仿宋" w:cs="仿宋"/>
          <w:b w:val="0"/>
          <w:bCs w:val="0"/>
          <w:color w:val="auto"/>
          <w:spacing w:val="0"/>
          <w:kern w:val="2"/>
          <w:sz w:val="24"/>
          <w:szCs w:val="24"/>
          <w:u w:val="single"/>
          <w:lang w:val="en-US" w:eastAsia="zh-CN" w:bidi="ar"/>
        </w:rPr>
        <w:t>采购人采购产品属于节能产品、环境标志产品品目清单范围内，且投标人所投产品具有节能产品、环境标志产品认证证书，在评标时予以优先采购，具体优惠措施为：在技术部分打分项中加1分。</w:t>
      </w:r>
    </w:p>
    <w:p w14:paraId="6F3F6D4A">
      <w:pPr>
        <w:pStyle w:val="30"/>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4、根据《关于运用政府采购政策支持脱贫攻坚的通知》（财库〔2019〕27 号）的规定，采购人采购农副产品的，对产地在国家级贫困地区的农副产品的优先采购措施：</w:t>
      </w:r>
      <w:r>
        <w:rPr>
          <w:rFonts w:hint="eastAsia" w:ascii="仿宋" w:hAnsi="仿宋" w:eastAsia="仿宋" w:cs="仿宋"/>
          <w:b w:val="0"/>
          <w:bCs w:val="0"/>
          <w:color w:val="auto"/>
          <w:kern w:val="0"/>
          <w:sz w:val="24"/>
          <w:szCs w:val="24"/>
          <w:u w:val="single"/>
          <w:lang w:val="en-US" w:eastAsia="zh-CN" w:bidi="ar"/>
        </w:rPr>
        <w:t xml:space="preserve">  /   </w:t>
      </w:r>
      <w:r>
        <w:rPr>
          <w:rFonts w:hint="eastAsia" w:ascii="仿宋" w:hAnsi="仿宋" w:eastAsia="仿宋" w:cs="仿宋"/>
          <w:b w:val="0"/>
          <w:bCs w:val="0"/>
          <w:color w:val="auto"/>
          <w:kern w:val="0"/>
          <w:sz w:val="24"/>
          <w:szCs w:val="24"/>
          <w:u w:val="none"/>
          <w:lang w:val="en-US" w:eastAsia="zh-CN" w:bidi="ar"/>
        </w:rPr>
        <w:t xml:space="preserve">。 </w:t>
      </w:r>
    </w:p>
    <w:p w14:paraId="1BE25174">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5、 同品牌处理办法：</w:t>
      </w:r>
    </w:p>
    <w:p w14:paraId="7F582D9F">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如采用最低评标办法，则：</w:t>
      </w:r>
      <w:r>
        <w:rPr>
          <w:rFonts w:hint="eastAsia" w:ascii="仿宋" w:hAnsi="仿宋" w:eastAsia="仿宋" w:cs="仿宋"/>
          <w:b w:val="0"/>
          <w:bCs w:val="0"/>
          <w:color w:val="auto"/>
          <w:spacing w:val="0"/>
          <w:kern w:val="2"/>
          <w:sz w:val="24"/>
          <w:szCs w:val="24"/>
          <w:u w:val="single"/>
          <w:lang w:val="en-US" w:eastAsia="zh-CN" w:bidi="ar"/>
        </w:rPr>
        <w:t>提供相同品牌产品的不同投标人以其中通过资格审查、符合性审查且报价最低的参加评标；报价相同的，由评标委员会采取随机抽取方式确定，其他同品牌投标人不作为中标候选人。</w:t>
      </w:r>
    </w:p>
    <w:p w14:paraId="664865A6">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single"/>
          <w:lang w:val="en-US" w:eastAsia="zh-CN" w:bidi="ar"/>
        </w:rPr>
      </w:pPr>
      <w:r>
        <w:rPr>
          <w:rFonts w:hint="eastAsia" w:ascii="仿宋" w:hAnsi="仿宋" w:eastAsia="仿宋" w:cs="仿宋"/>
          <w:b w:val="0"/>
          <w:bCs w:val="0"/>
          <w:color w:val="auto"/>
          <w:spacing w:val="0"/>
          <w:kern w:val="2"/>
          <w:sz w:val="24"/>
          <w:szCs w:val="24"/>
          <w:u w:val="none"/>
          <w:lang w:val="en-US" w:eastAsia="zh-CN" w:bidi="ar"/>
        </w:rPr>
        <w:t>如采用综合评标法，则：</w:t>
      </w:r>
      <w:r>
        <w:rPr>
          <w:rFonts w:hint="eastAsia" w:ascii="仿宋" w:hAnsi="仿宋" w:eastAsia="仿宋" w:cs="仿宋"/>
          <w:b w:val="0"/>
          <w:bCs w:val="0"/>
          <w:color w:val="auto"/>
          <w:spacing w:val="0"/>
          <w:kern w:val="2"/>
          <w:sz w:val="24"/>
          <w:szCs w:val="24"/>
          <w:u w:val="single"/>
          <w:lang w:val="en-US" w:eastAsia="zh-CN"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4546E1FD">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6、中标候选人并列式时的处理方式：   </w:t>
      </w:r>
    </w:p>
    <w:p w14:paraId="3AAE44C2">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如采用最低评标办法，则：由评标委员会随机抽取的方式确定；</w:t>
      </w:r>
    </w:p>
    <w:p w14:paraId="66BA15FC">
      <w:pPr>
        <w:pStyle w:val="30"/>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pacing w:val="0"/>
          <w:kern w:val="2"/>
          <w:sz w:val="24"/>
          <w:szCs w:val="24"/>
          <w:u w:val="none"/>
          <w:lang w:val="en-US" w:eastAsia="zh-CN" w:bidi="ar"/>
        </w:rPr>
      </w:pPr>
      <w:r>
        <w:rPr>
          <w:rFonts w:hint="eastAsia" w:ascii="仿宋" w:hAnsi="仿宋" w:eastAsia="仿宋" w:cs="仿宋"/>
          <w:b w:val="0"/>
          <w:bCs w:val="0"/>
          <w:color w:val="auto"/>
          <w:spacing w:val="0"/>
          <w:kern w:val="2"/>
          <w:sz w:val="24"/>
          <w:szCs w:val="24"/>
          <w:u w:val="none"/>
          <w:lang w:val="en-US" w:eastAsia="zh-CN" w:bidi="ar"/>
        </w:rPr>
        <w:t xml:space="preserve">如采用综合评标法，则：综合评审得分相同的,投标报价最低优先，如报价相同则技术部分得分最高优先，投标报价相同且技术部分得分也相同的，由评标委员会现场采取随机抽取方式确定。 </w:t>
      </w:r>
    </w:p>
    <w:p w14:paraId="667599F4">
      <w:pPr>
        <w:pStyle w:val="30"/>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pacing w:val="0"/>
          <w:kern w:val="2"/>
          <w:sz w:val="24"/>
          <w:szCs w:val="24"/>
          <w:u w:val="none"/>
          <w:lang w:val="en-US" w:eastAsia="zh-CN" w:bidi="ar"/>
        </w:rPr>
        <w:sectPr>
          <w:footerReference r:id="rId6" w:type="default"/>
          <w:pgSz w:w="11906" w:h="16838"/>
          <w:pgMar w:top="1440" w:right="1349" w:bottom="1440" w:left="1406"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0CE68CC">
      <w:pPr>
        <w:rPr>
          <w:rFonts w:hint="eastAsia" w:ascii="仿宋" w:hAnsi="仿宋" w:eastAsia="仿宋" w:cs="仿宋"/>
          <w:b w:val="0"/>
          <w:bCs w:val="0"/>
          <w:color w:val="auto"/>
          <w:spacing w:val="0"/>
          <w:kern w:val="2"/>
          <w:sz w:val="24"/>
          <w:szCs w:val="24"/>
          <w:u w:val="none"/>
          <w:lang w:val="en-US" w:eastAsia="zh-CN" w:bidi="ar"/>
        </w:rPr>
      </w:pPr>
    </w:p>
    <w:p w14:paraId="2CA7ECFF">
      <w:pPr>
        <w:pStyle w:val="30"/>
        <w:pageBreakBefore w:val="0"/>
        <w:numPr>
          <w:ilvl w:val="0"/>
          <w:numId w:val="0"/>
        </w:numPr>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bCs/>
          <w:i w:val="0"/>
          <w:iCs w:val="0"/>
          <w:color w:val="auto"/>
          <w:sz w:val="32"/>
          <w:szCs w:val="32"/>
          <w:lang w:val="en-US" w:eastAsia="zh-CN"/>
        </w:rPr>
      </w:pPr>
      <w:bookmarkStart w:id="91" w:name="_Toc17967"/>
      <w:r>
        <w:rPr>
          <w:rFonts w:hint="eastAsia" w:ascii="仿宋" w:hAnsi="仿宋" w:eastAsia="仿宋" w:cs="仿宋"/>
          <w:b/>
          <w:bCs/>
          <w:i w:val="0"/>
          <w:iCs w:val="0"/>
          <w:color w:val="auto"/>
          <w:sz w:val="32"/>
          <w:szCs w:val="32"/>
          <w:lang w:val="en-US" w:eastAsia="zh-CN"/>
        </w:rPr>
        <w:t>第七章  投标文件格式</w:t>
      </w:r>
      <w:bookmarkEnd w:id="91"/>
    </w:p>
    <w:p w14:paraId="29213B90">
      <w:pPr>
        <w:pStyle w:val="3"/>
        <w:pageBreakBefore w:val="0"/>
        <w:kinsoku/>
        <w:wordWrap/>
        <w:overflowPunct/>
        <w:topLinePunct w:val="0"/>
        <w:autoSpaceDE/>
        <w:autoSpaceDN/>
        <w:bidi w:val="0"/>
        <w:adjustRightInd/>
        <w:snapToGrid/>
        <w:spacing w:before="0" w:line="440" w:lineRule="exact"/>
        <w:textAlignment w:val="auto"/>
        <w:outlineLvl w:val="9"/>
        <w:rPr>
          <w:rFonts w:hint="eastAsia" w:ascii="仿宋" w:hAnsi="仿宋" w:eastAsia="仿宋" w:cs="仿宋"/>
          <w:color w:val="auto"/>
          <w:sz w:val="24"/>
        </w:rPr>
      </w:pPr>
      <w:bookmarkStart w:id="92" w:name="_Toc507399516"/>
    </w:p>
    <w:bookmarkEnd w:id="92"/>
    <w:p w14:paraId="4AD4292D">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pPr>
      <w:bookmarkStart w:id="93" w:name="_Toc507399517"/>
    </w:p>
    <w:p w14:paraId="0916E82C">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pPr>
    </w:p>
    <w:p w14:paraId="4B0F5891">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pPr>
    </w:p>
    <w:p w14:paraId="7F53B052">
      <w:pPr>
        <w:pStyle w:val="12"/>
        <w:spacing w:line="364" w:lineRule="auto"/>
        <w:ind w:left="360" w:right="515" w:firstLine="480"/>
        <w:jc w:val="both"/>
        <w:rPr>
          <w:rFonts w:hint="eastAsia" w:ascii="仿宋" w:hAnsi="仿宋" w:eastAsia="仿宋" w:cs="仿宋"/>
          <w:color w:val="auto"/>
        </w:rPr>
      </w:pPr>
      <w:r>
        <w:rPr>
          <w:rFonts w:hint="eastAsia" w:ascii="仿宋" w:hAnsi="仿宋" w:eastAsia="仿宋" w:cs="仿宋"/>
          <w:color w:val="auto"/>
          <w:spacing w:val="-7"/>
        </w:rPr>
        <w:t>为保证</w:t>
      </w:r>
      <w:r>
        <w:rPr>
          <w:rFonts w:hint="eastAsia" w:ascii="仿宋" w:hAnsi="仿宋" w:eastAsia="仿宋" w:cs="仿宋"/>
          <w:color w:val="auto"/>
          <w:spacing w:val="-7"/>
          <w:lang w:val="en-US" w:eastAsia="zh-CN"/>
        </w:rPr>
        <w:t>评标</w:t>
      </w:r>
      <w:r>
        <w:rPr>
          <w:rFonts w:hint="eastAsia" w:ascii="仿宋" w:hAnsi="仿宋" w:eastAsia="仿宋" w:cs="仿宋"/>
          <w:color w:val="auto"/>
          <w:spacing w:val="-7"/>
        </w:rPr>
        <w:t>工作的顺利进行，各</w:t>
      </w:r>
      <w:r>
        <w:rPr>
          <w:rFonts w:hint="eastAsia" w:ascii="仿宋" w:hAnsi="仿宋" w:eastAsia="仿宋" w:cs="仿宋"/>
          <w:color w:val="auto"/>
          <w:spacing w:val="-7"/>
          <w:lang w:val="en-US" w:eastAsia="zh-CN"/>
        </w:rPr>
        <w:t>投标人</w:t>
      </w:r>
      <w:r>
        <w:rPr>
          <w:rFonts w:hint="eastAsia" w:ascii="仿宋" w:hAnsi="仿宋" w:eastAsia="仿宋" w:cs="仿宋"/>
          <w:color w:val="auto"/>
          <w:spacing w:val="-7"/>
        </w:rPr>
        <w:t>需参照如下的格式，认真进行</w:t>
      </w:r>
      <w:r>
        <w:rPr>
          <w:rFonts w:hint="eastAsia" w:ascii="仿宋" w:hAnsi="仿宋" w:eastAsia="仿宋" w:cs="仿宋"/>
          <w:color w:val="auto"/>
          <w:spacing w:val="-7"/>
          <w:lang w:val="en-US" w:eastAsia="zh-CN"/>
        </w:rPr>
        <w:t>投标</w:t>
      </w:r>
      <w:r>
        <w:rPr>
          <w:rFonts w:hint="eastAsia" w:ascii="仿宋" w:hAnsi="仿宋" w:eastAsia="仿宋" w:cs="仿宋"/>
          <w:color w:val="auto"/>
          <w:spacing w:val="-7"/>
        </w:rPr>
        <w:t>文件的编</w:t>
      </w:r>
      <w:r>
        <w:rPr>
          <w:rFonts w:hint="eastAsia" w:ascii="仿宋" w:hAnsi="仿宋" w:eastAsia="仿宋" w:cs="仿宋"/>
          <w:color w:val="auto"/>
          <w:spacing w:val="-6"/>
        </w:rPr>
        <w:t>写工作。</w:t>
      </w:r>
      <w:r>
        <w:rPr>
          <w:rFonts w:hint="eastAsia" w:ascii="仿宋" w:hAnsi="仿宋" w:eastAsia="仿宋" w:cs="仿宋"/>
          <w:color w:val="auto"/>
          <w:u w:val="single"/>
        </w:rPr>
        <w:t>需建立详细的目录。</w:t>
      </w:r>
    </w:p>
    <w:p w14:paraId="5158A692">
      <w:pPr>
        <w:pStyle w:val="12"/>
        <w:spacing w:before="144" w:line="374" w:lineRule="auto"/>
        <w:ind w:left="360" w:right="515" w:firstLine="480"/>
        <w:rPr>
          <w:rFonts w:hint="eastAsia" w:ascii="仿宋" w:hAnsi="仿宋" w:eastAsia="仿宋" w:cs="仿宋"/>
          <w:color w:val="auto"/>
        </w:rPr>
      </w:pPr>
      <w:r>
        <w:rPr>
          <w:rFonts w:hint="eastAsia" w:ascii="仿宋" w:hAnsi="仿宋" w:eastAsia="仿宋" w:cs="仿宋"/>
          <w:color w:val="auto"/>
          <w:spacing w:val="-6"/>
        </w:rPr>
        <w:t>各</w:t>
      </w:r>
      <w:r>
        <w:rPr>
          <w:rFonts w:hint="eastAsia" w:ascii="仿宋" w:hAnsi="仿宋" w:eastAsia="仿宋" w:cs="仿宋"/>
          <w:color w:val="auto"/>
          <w:spacing w:val="-6"/>
          <w:lang w:val="en-US" w:eastAsia="zh-CN"/>
        </w:rPr>
        <w:t>投标人</w:t>
      </w:r>
      <w:r>
        <w:rPr>
          <w:rFonts w:hint="eastAsia" w:ascii="仿宋" w:hAnsi="仿宋" w:eastAsia="仿宋" w:cs="仿宋"/>
          <w:color w:val="auto"/>
          <w:spacing w:val="-6"/>
        </w:rPr>
        <w:t>提交文件中涉及商业机密的，应明确标明，采购人及最终用户将给予保密</w:t>
      </w:r>
      <w:r>
        <w:rPr>
          <w:rFonts w:hint="eastAsia" w:ascii="仿宋" w:hAnsi="仿宋" w:eastAsia="仿宋" w:cs="仿宋"/>
          <w:color w:val="auto"/>
        </w:rPr>
        <w:t>处理，否则视为公开资料。</w:t>
      </w:r>
    </w:p>
    <w:p w14:paraId="1FF9603E">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sectPr>
          <w:pgSz w:w="11910" w:h="16850"/>
          <w:pgMar w:top="1600" w:right="2430" w:bottom="280" w:left="1080" w:header="720" w:footer="720" w:gutter="0"/>
          <w:pgBorders>
            <w:top w:val="none" w:sz="0" w:space="0"/>
            <w:left w:val="none" w:sz="0" w:space="0"/>
            <w:bottom w:val="none" w:sz="0" w:space="0"/>
            <w:right w:val="none" w:sz="0" w:space="0"/>
          </w:pgBorders>
          <w:pgNumType w:fmt="decimal"/>
          <w:cols w:space="720" w:num="1"/>
        </w:sectPr>
      </w:pPr>
    </w:p>
    <w:p w14:paraId="2C46B1E7">
      <w:pPr>
        <w:spacing w:before="88"/>
        <w:ind w:left="360"/>
        <w:outlineLvl w:val="1"/>
        <w:rPr>
          <w:rFonts w:hint="eastAsia" w:ascii="仿宋" w:hAnsi="仿宋" w:eastAsia="仿宋" w:cs="仿宋"/>
          <w:color w:val="auto"/>
        </w:rPr>
      </w:pPr>
      <w:r>
        <w:rPr>
          <w:rFonts w:hint="eastAsia" w:ascii="仿宋" w:hAnsi="仿宋" w:eastAsia="仿宋" w:cs="仿宋"/>
          <w:color w:val="auto"/>
          <w:lang w:val="en-US" w:eastAsia="zh-CN"/>
        </w:rPr>
        <w:t>一、</w:t>
      </w:r>
      <w:r>
        <w:rPr>
          <w:rFonts w:hint="eastAsia" w:ascii="仿宋" w:hAnsi="仿宋" w:eastAsia="仿宋" w:cs="仿宋"/>
          <w:color w:val="auto"/>
        </w:rPr>
        <w:t>封面格式</w:t>
      </w:r>
    </w:p>
    <w:p w14:paraId="6280C6B3">
      <w:pPr>
        <w:pStyle w:val="12"/>
        <w:rPr>
          <w:rFonts w:hint="eastAsia" w:ascii="仿宋" w:hAnsi="仿宋" w:eastAsia="仿宋" w:cs="仿宋"/>
          <w:color w:val="auto"/>
          <w:sz w:val="20"/>
        </w:rPr>
      </w:pPr>
    </w:p>
    <w:p w14:paraId="1F50D916">
      <w:pPr>
        <w:pStyle w:val="12"/>
        <w:rPr>
          <w:rFonts w:hint="eastAsia" w:ascii="仿宋" w:hAnsi="仿宋" w:eastAsia="仿宋" w:cs="仿宋"/>
          <w:color w:val="auto"/>
          <w:sz w:val="20"/>
        </w:rPr>
      </w:pPr>
    </w:p>
    <w:p w14:paraId="202A10C3">
      <w:pPr>
        <w:pStyle w:val="12"/>
        <w:rPr>
          <w:rFonts w:hint="eastAsia" w:ascii="仿宋" w:hAnsi="仿宋" w:eastAsia="仿宋" w:cs="仿宋"/>
          <w:color w:val="auto"/>
          <w:sz w:val="20"/>
        </w:rPr>
      </w:pPr>
    </w:p>
    <w:p w14:paraId="1F17FC21">
      <w:pPr>
        <w:pStyle w:val="12"/>
        <w:rPr>
          <w:rFonts w:hint="eastAsia" w:ascii="仿宋" w:hAnsi="仿宋" w:eastAsia="仿宋" w:cs="仿宋"/>
          <w:color w:val="auto"/>
          <w:sz w:val="20"/>
        </w:rPr>
      </w:pPr>
    </w:p>
    <w:p w14:paraId="10AEC706">
      <w:pPr>
        <w:pStyle w:val="12"/>
        <w:rPr>
          <w:rFonts w:hint="eastAsia" w:ascii="仿宋" w:hAnsi="仿宋" w:eastAsia="仿宋" w:cs="仿宋"/>
          <w:color w:val="auto"/>
          <w:sz w:val="20"/>
        </w:rPr>
      </w:pPr>
    </w:p>
    <w:p w14:paraId="4DEFF380">
      <w:pPr>
        <w:pStyle w:val="12"/>
        <w:rPr>
          <w:rFonts w:hint="eastAsia" w:ascii="仿宋" w:hAnsi="仿宋" w:eastAsia="仿宋" w:cs="仿宋"/>
          <w:color w:val="auto"/>
          <w:sz w:val="20"/>
        </w:rPr>
      </w:pPr>
    </w:p>
    <w:p w14:paraId="75B99D6D">
      <w:pPr>
        <w:pStyle w:val="12"/>
        <w:spacing w:before="2"/>
        <w:rPr>
          <w:rFonts w:hint="eastAsia" w:ascii="仿宋" w:hAnsi="仿宋" w:eastAsia="仿宋" w:cs="仿宋"/>
          <w:color w:val="auto"/>
          <w:sz w:val="16"/>
        </w:rPr>
      </w:pPr>
    </w:p>
    <w:p w14:paraId="7A086B25">
      <w:pPr>
        <w:spacing w:before="0" w:line="1195" w:lineRule="exact"/>
        <w:ind w:left="0" w:right="165" w:firstLine="0"/>
        <w:jc w:val="center"/>
        <w:outlineLvl w:val="9"/>
        <w:rPr>
          <w:rFonts w:hint="eastAsia" w:ascii="仿宋" w:hAnsi="仿宋" w:eastAsia="仿宋" w:cs="仿宋"/>
          <w:b/>
          <w:bCs w:val="0"/>
          <w:color w:val="auto"/>
          <w:sz w:val="96"/>
        </w:rPr>
      </w:pPr>
      <w:bookmarkStart w:id="94" w:name="_Toc13737"/>
      <w:bookmarkStart w:id="95" w:name="_Toc21522"/>
      <w:r>
        <w:rPr>
          <w:rFonts w:hint="eastAsia" w:ascii="仿宋" w:hAnsi="仿宋" w:eastAsia="仿宋" w:cs="仿宋"/>
          <w:b/>
          <w:bCs w:val="0"/>
          <w:color w:val="auto"/>
          <w:sz w:val="72"/>
          <w:szCs w:val="72"/>
          <w:lang w:val="en-US" w:eastAsia="zh-CN"/>
        </w:rPr>
        <w:t>投标</w:t>
      </w:r>
      <w:r>
        <w:rPr>
          <w:rFonts w:hint="eastAsia" w:ascii="仿宋" w:hAnsi="仿宋" w:eastAsia="仿宋" w:cs="仿宋"/>
          <w:b/>
          <w:bCs w:val="0"/>
          <w:color w:val="auto"/>
          <w:sz w:val="72"/>
          <w:szCs w:val="72"/>
        </w:rPr>
        <w:t>文件</w:t>
      </w:r>
      <w:bookmarkEnd w:id="94"/>
      <w:bookmarkEnd w:id="95"/>
    </w:p>
    <w:p w14:paraId="251817C6">
      <w:pPr>
        <w:spacing w:before="684"/>
        <w:ind w:left="0" w:right="156" w:firstLine="0"/>
        <w:jc w:val="center"/>
        <w:outlineLvl w:val="9"/>
        <w:rPr>
          <w:rFonts w:hint="eastAsia" w:ascii="仿宋" w:hAnsi="仿宋" w:eastAsia="仿宋" w:cs="仿宋"/>
          <w:b/>
          <w:bCs w:val="0"/>
          <w:color w:val="auto"/>
          <w:sz w:val="52"/>
        </w:rPr>
      </w:pPr>
    </w:p>
    <w:p w14:paraId="57D36A23">
      <w:pPr>
        <w:pStyle w:val="12"/>
        <w:spacing w:before="8"/>
        <w:outlineLvl w:val="9"/>
        <w:rPr>
          <w:rFonts w:hint="eastAsia" w:ascii="仿宋" w:hAnsi="仿宋" w:eastAsia="仿宋" w:cs="仿宋"/>
          <w:b/>
          <w:bCs w:val="0"/>
          <w:color w:val="auto"/>
          <w:sz w:val="73"/>
        </w:rPr>
      </w:pPr>
    </w:p>
    <w:p w14:paraId="1A2F2387">
      <w:pPr>
        <w:keepNext/>
        <w:keepLines/>
        <w:pageBreakBefore w:val="0"/>
        <w:widowControl w:val="0"/>
        <w:tabs>
          <w:tab w:val="left" w:pos="7306"/>
        </w:tabs>
        <w:kinsoku/>
        <w:wordWrap/>
        <w:overflowPunct/>
        <w:topLinePunct w:val="0"/>
        <w:autoSpaceDE w:val="0"/>
        <w:autoSpaceDN w:val="0"/>
        <w:bidi w:val="0"/>
        <w:adjustRightInd w:val="0"/>
        <w:snapToGrid w:val="0"/>
        <w:spacing w:before="0" w:after="0" w:line="360" w:lineRule="auto"/>
        <w:ind w:left="0" w:firstLine="964" w:firstLineChars="300"/>
        <w:jc w:val="both"/>
        <w:textAlignment w:val="auto"/>
        <w:outlineLvl w:val="9"/>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rPr>
        <w:t>招标编号</w:t>
      </w:r>
      <w:r>
        <w:rPr>
          <w:rFonts w:hint="eastAsia" w:ascii="仿宋" w:hAnsi="仿宋" w:eastAsia="仿宋" w:cs="仿宋"/>
          <w:b/>
          <w:bCs w:val="0"/>
          <w:color w:val="auto"/>
          <w:spacing w:val="3"/>
          <w:sz w:val="32"/>
          <w:szCs w:val="32"/>
          <w:u w:val="none"/>
        </w:rPr>
        <w:t>：</w:t>
      </w:r>
    </w:p>
    <w:p w14:paraId="25A326C6">
      <w:pPr>
        <w:keepNext/>
        <w:keepLines/>
        <w:pageBreakBefore w:val="0"/>
        <w:widowControl w:val="0"/>
        <w:tabs>
          <w:tab w:val="left" w:pos="8536"/>
        </w:tabs>
        <w:kinsoku/>
        <w:wordWrap/>
        <w:overflowPunct/>
        <w:topLinePunct w:val="0"/>
        <w:autoSpaceDE w:val="0"/>
        <w:autoSpaceDN w:val="0"/>
        <w:bidi w:val="0"/>
        <w:adjustRightInd w:val="0"/>
        <w:snapToGrid w:val="0"/>
        <w:spacing w:before="0" w:after="0" w:line="360" w:lineRule="auto"/>
        <w:ind w:left="0" w:firstLine="964" w:firstLineChars="300"/>
        <w:jc w:val="both"/>
        <w:textAlignment w:val="auto"/>
        <w:outlineLvl w:val="9"/>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rPr>
        <w:t>项目名称</w:t>
      </w:r>
      <w:r>
        <w:rPr>
          <w:rFonts w:hint="eastAsia" w:ascii="仿宋" w:hAnsi="仿宋" w:eastAsia="仿宋" w:cs="仿宋"/>
          <w:b/>
          <w:bCs w:val="0"/>
          <w:color w:val="auto"/>
          <w:spacing w:val="3"/>
          <w:sz w:val="32"/>
          <w:szCs w:val="32"/>
          <w:u w:val="none"/>
        </w:rPr>
        <w:t>：</w:t>
      </w:r>
    </w:p>
    <w:p w14:paraId="7D28FF62">
      <w:pPr>
        <w:pageBreakBefore w:val="0"/>
        <w:tabs>
          <w:tab w:val="left" w:pos="7787"/>
        </w:tabs>
        <w:kinsoku/>
        <w:wordWrap/>
        <w:overflowPunct/>
        <w:topLinePunct w:val="0"/>
        <w:bidi w:val="0"/>
        <w:adjustRightInd w:val="0"/>
        <w:snapToGrid w:val="0"/>
        <w:spacing w:before="0" w:after="0" w:line="360" w:lineRule="auto"/>
        <w:ind w:left="0" w:firstLine="964" w:firstLineChars="300"/>
        <w:jc w:val="both"/>
        <w:textAlignment w:val="auto"/>
        <w:outlineLvl w:val="9"/>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lang w:eastAsia="zh-CN"/>
        </w:rPr>
        <w:t>投标人</w:t>
      </w:r>
      <w:r>
        <w:rPr>
          <w:rFonts w:hint="eastAsia" w:ascii="仿宋" w:hAnsi="仿宋" w:eastAsia="仿宋" w:cs="仿宋"/>
          <w:b/>
          <w:bCs w:val="0"/>
          <w:color w:val="auto"/>
          <w:sz w:val="32"/>
          <w:szCs w:val="32"/>
          <w:u w:val="none"/>
        </w:rPr>
        <w:t>名称</w:t>
      </w:r>
      <w:r>
        <w:rPr>
          <w:rFonts w:hint="eastAsia" w:ascii="仿宋" w:hAnsi="仿宋" w:eastAsia="仿宋" w:cs="仿宋"/>
          <w:b/>
          <w:bCs w:val="0"/>
          <w:color w:val="auto"/>
          <w:sz w:val="32"/>
          <w:szCs w:val="32"/>
          <w:u w:val="none"/>
          <w:lang w:eastAsia="zh-CN"/>
        </w:rPr>
        <w:t>（</w:t>
      </w:r>
      <w:r>
        <w:rPr>
          <w:rFonts w:hint="eastAsia" w:ascii="仿宋" w:hAnsi="仿宋" w:eastAsia="仿宋" w:cs="仿宋"/>
          <w:b/>
          <w:bCs w:val="0"/>
          <w:color w:val="auto"/>
          <w:sz w:val="32"/>
          <w:szCs w:val="32"/>
          <w:u w:val="none"/>
        </w:rPr>
        <w:t>盖公章</w:t>
      </w:r>
      <w:r>
        <w:rPr>
          <w:rFonts w:hint="eastAsia" w:ascii="仿宋" w:hAnsi="仿宋" w:eastAsia="仿宋" w:cs="仿宋"/>
          <w:b/>
          <w:bCs w:val="0"/>
          <w:color w:val="auto"/>
          <w:sz w:val="32"/>
          <w:szCs w:val="32"/>
          <w:u w:val="none"/>
          <w:lang w:eastAsia="zh-CN"/>
        </w:rPr>
        <w:t>）</w:t>
      </w:r>
      <w:r>
        <w:rPr>
          <w:rFonts w:hint="eastAsia" w:ascii="仿宋" w:hAnsi="仿宋" w:eastAsia="仿宋" w:cs="仿宋"/>
          <w:b/>
          <w:bCs w:val="0"/>
          <w:color w:val="auto"/>
          <w:spacing w:val="3"/>
          <w:sz w:val="32"/>
          <w:szCs w:val="32"/>
          <w:u w:val="none"/>
        </w:rPr>
        <w:t>：</w:t>
      </w:r>
    </w:p>
    <w:p w14:paraId="5498FBAB">
      <w:pPr>
        <w:pageBreakBefore w:val="0"/>
        <w:tabs>
          <w:tab w:val="left" w:pos="9453"/>
        </w:tabs>
        <w:kinsoku/>
        <w:wordWrap/>
        <w:overflowPunct/>
        <w:topLinePunct w:val="0"/>
        <w:bidi w:val="0"/>
        <w:adjustRightInd w:val="0"/>
        <w:snapToGrid w:val="0"/>
        <w:spacing w:before="0" w:line="360" w:lineRule="auto"/>
        <w:ind w:left="0" w:firstLine="964" w:firstLineChars="300"/>
        <w:textAlignment w:val="auto"/>
        <w:outlineLvl w:val="9"/>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w w:val="100"/>
          <w:sz w:val="32"/>
          <w:szCs w:val="32"/>
          <w:u w:val="none"/>
        </w:rPr>
        <w:t>法定代</w:t>
      </w:r>
      <w:r>
        <w:rPr>
          <w:rFonts w:hint="eastAsia" w:ascii="仿宋" w:hAnsi="仿宋" w:eastAsia="仿宋" w:cs="仿宋"/>
          <w:b/>
          <w:bCs w:val="0"/>
          <w:color w:val="auto"/>
          <w:spacing w:val="-3"/>
          <w:w w:val="100"/>
          <w:sz w:val="32"/>
          <w:szCs w:val="32"/>
          <w:u w:val="none"/>
        </w:rPr>
        <w:t>表</w:t>
      </w:r>
      <w:r>
        <w:rPr>
          <w:rFonts w:hint="eastAsia" w:ascii="仿宋" w:hAnsi="仿宋" w:eastAsia="仿宋" w:cs="仿宋"/>
          <w:b/>
          <w:bCs w:val="0"/>
          <w:color w:val="auto"/>
          <w:w w:val="100"/>
          <w:sz w:val="32"/>
          <w:szCs w:val="32"/>
          <w:u w:val="none"/>
        </w:rPr>
        <w:t>人或</w:t>
      </w:r>
      <w:r>
        <w:rPr>
          <w:rFonts w:hint="eastAsia" w:ascii="仿宋" w:hAnsi="仿宋" w:eastAsia="仿宋" w:cs="仿宋"/>
          <w:b/>
          <w:bCs w:val="0"/>
          <w:color w:val="auto"/>
          <w:spacing w:val="-3"/>
          <w:w w:val="100"/>
          <w:sz w:val="32"/>
          <w:szCs w:val="32"/>
          <w:u w:val="none"/>
        </w:rPr>
        <w:t>其授</w:t>
      </w:r>
      <w:r>
        <w:rPr>
          <w:rFonts w:hint="eastAsia" w:ascii="仿宋" w:hAnsi="仿宋" w:eastAsia="仿宋" w:cs="仿宋"/>
          <w:b/>
          <w:bCs w:val="0"/>
          <w:color w:val="auto"/>
          <w:w w:val="100"/>
          <w:sz w:val="32"/>
          <w:szCs w:val="32"/>
          <w:u w:val="none"/>
        </w:rPr>
        <w:t>权代表</w:t>
      </w:r>
      <w:r>
        <w:rPr>
          <w:rFonts w:hint="eastAsia" w:ascii="仿宋" w:hAnsi="仿宋" w:eastAsia="仿宋" w:cs="仿宋"/>
          <w:b/>
          <w:bCs w:val="0"/>
          <w:color w:val="auto"/>
          <w:w w:val="100"/>
          <w:sz w:val="32"/>
          <w:szCs w:val="32"/>
          <w:u w:val="none"/>
          <w:lang w:eastAsia="zh-CN"/>
        </w:rPr>
        <w:t>（</w:t>
      </w:r>
      <w:r>
        <w:rPr>
          <w:rFonts w:hint="eastAsia" w:ascii="仿宋" w:hAnsi="仿宋" w:eastAsia="仿宋" w:cs="仿宋"/>
          <w:b/>
          <w:bCs w:val="0"/>
          <w:color w:val="auto"/>
          <w:spacing w:val="-3"/>
          <w:w w:val="100"/>
          <w:sz w:val="32"/>
          <w:szCs w:val="32"/>
          <w:u w:val="none"/>
        </w:rPr>
        <w:t>签</w:t>
      </w:r>
      <w:r>
        <w:rPr>
          <w:rFonts w:hint="eastAsia" w:ascii="仿宋" w:hAnsi="仿宋" w:eastAsia="仿宋" w:cs="仿宋"/>
          <w:b/>
          <w:bCs w:val="0"/>
          <w:color w:val="auto"/>
          <w:w w:val="100"/>
          <w:sz w:val="32"/>
          <w:szCs w:val="32"/>
          <w:u w:val="none"/>
        </w:rPr>
        <w:t>字</w:t>
      </w:r>
      <w:r>
        <w:rPr>
          <w:rFonts w:hint="eastAsia" w:ascii="仿宋" w:hAnsi="仿宋" w:eastAsia="仿宋" w:cs="仿宋"/>
          <w:b/>
          <w:bCs w:val="0"/>
          <w:color w:val="auto"/>
          <w:spacing w:val="-3"/>
          <w:w w:val="100"/>
          <w:sz w:val="32"/>
          <w:szCs w:val="32"/>
          <w:u w:val="none"/>
        </w:rPr>
        <w:t>或签</w:t>
      </w:r>
      <w:r>
        <w:rPr>
          <w:rFonts w:hint="eastAsia" w:ascii="仿宋" w:hAnsi="仿宋" w:eastAsia="仿宋" w:cs="仿宋"/>
          <w:b/>
          <w:bCs w:val="0"/>
          <w:color w:val="auto"/>
          <w:w w:val="100"/>
          <w:sz w:val="32"/>
          <w:szCs w:val="32"/>
          <w:u w:val="none"/>
        </w:rPr>
        <w:t>章</w:t>
      </w:r>
      <w:r>
        <w:rPr>
          <w:rFonts w:hint="eastAsia" w:ascii="仿宋" w:hAnsi="仿宋" w:eastAsia="仿宋" w:cs="仿宋"/>
          <w:b/>
          <w:bCs w:val="0"/>
          <w:color w:val="auto"/>
          <w:w w:val="100"/>
          <w:sz w:val="32"/>
          <w:szCs w:val="32"/>
          <w:u w:val="none"/>
          <w:lang w:eastAsia="zh-CN"/>
        </w:rPr>
        <w:t>）：</w:t>
      </w:r>
    </w:p>
    <w:p w14:paraId="15E6F7FF">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32"/>
          <w:szCs w:val="32"/>
        </w:rPr>
      </w:pPr>
    </w:p>
    <w:p w14:paraId="122331C8">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20"/>
        </w:rPr>
      </w:pPr>
    </w:p>
    <w:p w14:paraId="512272DC">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20"/>
        </w:rPr>
      </w:pPr>
    </w:p>
    <w:p w14:paraId="7F577437">
      <w:pPr>
        <w:pStyle w:val="12"/>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sz w:val="20"/>
        </w:rPr>
      </w:pPr>
    </w:p>
    <w:p w14:paraId="6AA737F3">
      <w:pPr>
        <w:pStyle w:val="16"/>
        <w:pageBreakBefore w:val="0"/>
        <w:kinsoku/>
        <w:wordWrap/>
        <w:overflowPunct/>
        <w:topLinePunct w:val="0"/>
        <w:bidi w:val="0"/>
        <w:adjustRightInd w:val="0"/>
        <w:snapToGrid w:val="0"/>
        <w:spacing w:line="360" w:lineRule="auto"/>
        <w:ind w:left="0"/>
        <w:jc w:val="center"/>
        <w:textAlignment w:val="auto"/>
        <w:outlineLvl w:val="9"/>
        <w:rPr>
          <w:rFonts w:hint="eastAsia" w:ascii="仿宋" w:hAnsi="仿宋" w:eastAsia="仿宋" w:cs="仿宋"/>
          <w:color w:val="auto"/>
          <w:sz w:val="28"/>
          <w:szCs w:val="28"/>
          <w:lang w:val="en-US" w:eastAsia="zh-CN"/>
        </w:rPr>
        <w:sectPr>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bookmarkStart w:id="96" w:name="_Toc31285"/>
      <w:bookmarkStart w:id="97" w:name="_Toc20449"/>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bookmarkEnd w:id="96"/>
      <w:bookmarkEnd w:id="97"/>
      <w:r>
        <w:rPr>
          <w:rFonts w:hint="eastAsia" w:ascii="仿宋" w:hAnsi="仿宋" w:eastAsia="仿宋" w:cs="仿宋"/>
          <w:color w:val="auto"/>
          <w:sz w:val="28"/>
          <w:szCs w:val="28"/>
          <w:lang w:val="en-US" w:eastAsia="zh-CN"/>
        </w:rPr>
        <w:t xml:space="preserve">  日</w:t>
      </w:r>
    </w:p>
    <w:p w14:paraId="69D57C14">
      <w:pPr>
        <w:spacing w:before="91"/>
        <w:ind w:left="360" w:right="0" w:firstLine="0"/>
        <w:jc w:val="left"/>
        <w:outlineLvl w:val="9"/>
        <w:rPr>
          <w:rFonts w:hint="eastAsia" w:ascii="仿宋" w:hAnsi="仿宋" w:eastAsia="仿宋" w:cs="仿宋"/>
          <w:b/>
          <w:color w:val="auto"/>
          <w:sz w:val="28"/>
          <w:szCs w:val="28"/>
        </w:rPr>
      </w:pPr>
      <w:bookmarkStart w:id="98" w:name="_Toc21908"/>
      <w:bookmarkStart w:id="99" w:name="_Toc31589"/>
      <w:r>
        <w:rPr>
          <w:rFonts w:hint="eastAsia" w:ascii="仿宋" w:hAnsi="仿宋" w:eastAsia="仿宋" w:cs="仿宋"/>
          <w:b/>
          <w:color w:val="auto"/>
          <w:sz w:val="28"/>
          <w:szCs w:val="28"/>
          <w:lang w:val="en-US" w:eastAsia="zh-CN"/>
        </w:rPr>
        <w:t>投标</w:t>
      </w:r>
      <w:r>
        <w:rPr>
          <w:rFonts w:hint="eastAsia" w:ascii="仿宋" w:hAnsi="仿宋" w:eastAsia="仿宋" w:cs="仿宋"/>
          <w:b/>
          <w:color w:val="auto"/>
          <w:sz w:val="28"/>
          <w:szCs w:val="28"/>
        </w:rPr>
        <w:t>文件目录及索引</w:t>
      </w:r>
      <w:bookmarkEnd w:id="98"/>
      <w:bookmarkEnd w:id="99"/>
    </w:p>
    <w:p w14:paraId="2A9B3030">
      <w:pPr>
        <w:pStyle w:val="12"/>
        <w:spacing w:before="9"/>
        <w:rPr>
          <w:rFonts w:hint="eastAsia" w:ascii="仿宋" w:hAnsi="仿宋" w:eastAsia="仿宋" w:cs="仿宋"/>
          <w:b/>
          <w:color w:val="auto"/>
          <w:sz w:val="10"/>
        </w:rPr>
      </w:pPr>
    </w:p>
    <w:tbl>
      <w:tblPr>
        <w:tblStyle w:val="22"/>
        <w:tblW w:w="0" w:type="auto"/>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5389"/>
        <w:gridCol w:w="850"/>
        <w:gridCol w:w="2127"/>
      </w:tblGrid>
      <w:tr w14:paraId="45333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B45E7B4">
            <w:pPr>
              <w:pStyle w:val="41"/>
              <w:spacing w:before="25"/>
              <w:ind w:left="124"/>
              <w:rPr>
                <w:rFonts w:hint="eastAsia" w:ascii="仿宋" w:hAnsi="仿宋" w:eastAsia="仿宋" w:cs="仿宋"/>
                <w:b/>
                <w:color w:val="auto"/>
                <w:sz w:val="21"/>
              </w:rPr>
            </w:pPr>
            <w:r>
              <w:rPr>
                <w:rFonts w:hint="eastAsia" w:ascii="仿宋" w:hAnsi="仿宋" w:eastAsia="仿宋" w:cs="仿宋"/>
                <w:b/>
                <w:color w:val="auto"/>
                <w:sz w:val="21"/>
              </w:rPr>
              <w:t>序号</w:t>
            </w:r>
          </w:p>
        </w:tc>
        <w:tc>
          <w:tcPr>
            <w:tcW w:w="5389" w:type="dxa"/>
          </w:tcPr>
          <w:p w14:paraId="5655C6FB">
            <w:pPr>
              <w:pStyle w:val="41"/>
              <w:spacing w:before="25"/>
              <w:ind w:left="2254" w:right="2246"/>
              <w:jc w:val="center"/>
              <w:rPr>
                <w:rFonts w:hint="eastAsia" w:ascii="仿宋" w:hAnsi="仿宋" w:eastAsia="仿宋" w:cs="仿宋"/>
                <w:b/>
                <w:color w:val="auto"/>
                <w:sz w:val="21"/>
              </w:rPr>
            </w:pPr>
            <w:r>
              <w:rPr>
                <w:rFonts w:hint="eastAsia" w:ascii="仿宋" w:hAnsi="仿宋" w:eastAsia="仿宋" w:cs="仿宋"/>
                <w:b/>
                <w:color w:val="auto"/>
                <w:sz w:val="21"/>
              </w:rPr>
              <w:t>文件名称</w:t>
            </w:r>
          </w:p>
        </w:tc>
        <w:tc>
          <w:tcPr>
            <w:tcW w:w="850" w:type="dxa"/>
          </w:tcPr>
          <w:p w14:paraId="674B4659">
            <w:pPr>
              <w:pStyle w:val="41"/>
              <w:spacing w:before="25"/>
              <w:ind w:left="213"/>
              <w:rPr>
                <w:rFonts w:hint="eastAsia" w:ascii="仿宋" w:hAnsi="仿宋" w:eastAsia="仿宋" w:cs="仿宋"/>
                <w:b/>
                <w:color w:val="auto"/>
                <w:sz w:val="21"/>
              </w:rPr>
            </w:pPr>
            <w:r>
              <w:rPr>
                <w:rFonts w:hint="eastAsia" w:ascii="仿宋" w:hAnsi="仿宋" w:eastAsia="仿宋" w:cs="仿宋"/>
                <w:b/>
                <w:color w:val="auto"/>
                <w:sz w:val="21"/>
              </w:rPr>
              <w:t>页码</w:t>
            </w:r>
          </w:p>
        </w:tc>
        <w:tc>
          <w:tcPr>
            <w:tcW w:w="2127" w:type="dxa"/>
          </w:tcPr>
          <w:p w14:paraId="1A8434B2">
            <w:pPr>
              <w:pStyle w:val="41"/>
              <w:spacing w:before="25"/>
              <w:ind w:left="430"/>
              <w:rPr>
                <w:rFonts w:hint="eastAsia" w:ascii="仿宋" w:hAnsi="仿宋" w:eastAsia="仿宋" w:cs="仿宋"/>
                <w:b/>
                <w:color w:val="auto"/>
                <w:sz w:val="21"/>
              </w:rPr>
            </w:pPr>
            <w:r>
              <w:rPr>
                <w:rFonts w:hint="eastAsia" w:ascii="仿宋" w:hAnsi="仿宋" w:eastAsia="仿宋" w:cs="仿宋"/>
                <w:b/>
                <w:color w:val="auto"/>
                <w:sz w:val="21"/>
              </w:rPr>
              <w:t>该文件总页数</w:t>
            </w:r>
          </w:p>
        </w:tc>
      </w:tr>
      <w:tr w14:paraId="41FC4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7279EB8A">
            <w:pPr>
              <w:pStyle w:val="41"/>
              <w:rPr>
                <w:rFonts w:hint="eastAsia" w:ascii="仿宋" w:hAnsi="仿宋" w:eastAsia="仿宋" w:cs="仿宋"/>
                <w:color w:val="auto"/>
                <w:sz w:val="20"/>
              </w:rPr>
            </w:pPr>
          </w:p>
        </w:tc>
        <w:tc>
          <w:tcPr>
            <w:tcW w:w="5389" w:type="dxa"/>
          </w:tcPr>
          <w:p w14:paraId="528D2EBC">
            <w:pPr>
              <w:pStyle w:val="41"/>
              <w:rPr>
                <w:rFonts w:hint="eastAsia" w:ascii="仿宋" w:hAnsi="仿宋" w:eastAsia="仿宋" w:cs="仿宋"/>
                <w:color w:val="auto"/>
                <w:sz w:val="20"/>
              </w:rPr>
            </w:pPr>
          </w:p>
        </w:tc>
        <w:tc>
          <w:tcPr>
            <w:tcW w:w="850" w:type="dxa"/>
          </w:tcPr>
          <w:p w14:paraId="4106A753">
            <w:pPr>
              <w:pStyle w:val="41"/>
              <w:rPr>
                <w:rFonts w:hint="eastAsia" w:ascii="仿宋" w:hAnsi="仿宋" w:eastAsia="仿宋" w:cs="仿宋"/>
                <w:color w:val="auto"/>
                <w:sz w:val="20"/>
              </w:rPr>
            </w:pPr>
          </w:p>
        </w:tc>
        <w:tc>
          <w:tcPr>
            <w:tcW w:w="2127" w:type="dxa"/>
          </w:tcPr>
          <w:p w14:paraId="7FFD84D3">
            <w:pPr>
              <w:pStyle w:val="41"/>
              <w:rPr>
                <w:rFonts w:hint="eastAsia" w:ascii="仿宋" w:hAnsi="仿宋" w:eastAsia="仿宋" w:cs="仿宋"/>
                <w:color w:val="auto"/>
                <w:sz w:val="20"/>
              </w:rPr>
            </w:pPr>
          </w:p>
        </w:tc>
      </w:tr>
      <w:tr w14:paraId="1640E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3D2B76CF">
            <w:pPr>
              <w:pStyle w:val="41"/>
              <w:rPr>
                <w:rFonts w:hint="eastAsia" w:ascii="仿宋" w:hAnsi="仿宋" w:eastAsia="仿宋" w:cs="仿宋"/>
                <w:color w:val="auto"/>
                <w:sz w:val="20"/>
              </w:rPr>
            </w:pPr>
          </w:p>
        </w:tc>
        <w:tc>
          <w:tcPr>
            <w:tcW w:w="5389" w:type="dxa"/>
          </w:tcPr>
          <w:p w14:paraId="4886BDFD">
            <w:pPr>
              <w:pStyle w:val="41"/>
              <w:rPr>
                <w:rFonts w:hint="eastAsia" w:ascii="仿宋" w:hAnsi="仿宋" w:eastAsia="仿宋" w:cs="仿宋"/>
                <w:color w:val="auto"/>
                <w:sz w:val="20"/>
              </w:rPr>
            </w:pPr>
          </w:p>
        </w:tc>
        <w:tc>
          <w:tcPr>
            <w:tcW w:w="850" w:type="dxa"/>
          </w:tcPr>
          <w:p w14:paraId="587C3B22">
            <w:pPr>
              <w:pStyle w:val="41"/>
              <w:rPr>
                <w:rFonts w:hint="eastAsia" w:ascii="仿宋" w:hAnsi="仿宋" w:eastAsia="仿宋" w:cs="仿宋"/>
                <w:color w:val="auto"/>
                <w:sz w:val="20"/>
              </w:rPr>
            </w:pPr>
          </w:p>
        </w:tc>
        <w:tc>
          <w:tcPr>
            <w:tcW w:w="2127" w:type="dxa"/>
          </w:tcPr>
          <w:p w14:paraId="3507EBDC">
            <w:pPr>
              <w:pStyle w:val="41"/>
              <w:rPr>
                <w:rFonts w:hint="eastAsia" w:ascii="仿宋" w:hAnsi="仿宋" w:eastAsia="仿宋" w:cs="仿宋"/>
                <w:color w:val="auto"/>
                <w:sz w:val="20"/>
              </w:rPr>
            </w:pPr>
          </w:p>
        </w:tc>
      </w:tr>
      <w:tr w14:paraId="53A8B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21799A31">
            <w:pPr>
              <w:pStyle w:val="41"/>
              <w:rPr>
                <w:rFonts w:hint="eastAsia" w:ascii="仿宋" w:hAnsi="仿宋" w:eastAsia="仿宋" w:cs="仿宋"/>
                <w:color w:val="auto"/>
                <w:sz w:val="20"/>
              </w:rPr>
            </w:pPr>
          </w:p>
        </w:tc>
        <w:tc>
          <w:tcPr>
            <w:tcW w:w="5389" w:type="dxa"/>
          </w:tcPr>
          <w:p w14:paraId="48EFDBA7">
            <w:pPr>
              <w:pStyle w:val="41"/>
              <w:rPr>
                <w:rFonts w:hint="eastAsia" w:ascii="仿宋" w:hAnsi="仿宋" w:eastAsia="仿宋" w:cs="仿宋"/>
                <w:color w:val="auto"/>
                <w:sz w:val="20"/>
              </w:rPr>
            </w:pPr>
          </w:p>
        </w:tc>
        <w:tc>
          <w:tcPr>
            <w:tcW w:w="850" w:type="dxa"/>
          </w:tcPr>
          <w:p w14:paraId="08A11BCB">
            <w:pPr>
              <w:pStyle w:val="41"/>
              <w:rPr>
                <w:rFonts w:hint="eastAsia" w:ascii="仿宋" w:hAnsi="仿宋" w:eastAsia="仿宋" w:cs="仿宋"/>
                <w:color w:val="auto"/>
                <w:sz w:val="20"/>
              </w:rPr>
            </w:pPr>
          </w:p>
        </w:tc>
        <w:tc>
          <w:tcPr>
            <w:tcW w:w="2127" w:type="dxa"/>
          </w:tcPr>
          <w:p w14:paraId="6AA9479F">
            <w:pPr>
              <w:pStyle w:val="41"/>
              <w:rPr>
                <w:rFonts w:hint="eastAsia" w:ascii="仿宋" w:hAnsi="仿宋" w:eastAsia="仿宋" w:cs="仿宋"/>
                <w:color w:val="auto"/>
                <w:sz w:val="20"/>
              </w:rPr>
            </w:pPr>
          </w:p>
        </w:tc>
      </w:tr>
      <w:tr w14:paraId="68E0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427CAD3">
            <w:pPr>
              <w:pStyle w:val="41"/>
              <w:rPr>
                <w:rFonts w:hint="eastAsia" w:ascii="仿宋" w:hAnsi="仿宋" w:eastAsia="仿宋" w:cs="仿宋"/>
                <w:color w:val="auto"/>
                <w:sz w:val="20"/>
              </w:rPr>
            </w:pPr>
          </w:p>
        </w:tc>
        <w:tc>
          <w:tcPr>
            <w:tcW w:w="5389" w:type="dxa"/>
          </w:tcPr>
          <w:p w14:paraId="73C380A5">
            <w:pPr>
              <w:pStyle w:val="41"/>
              <w:rPr>
                <w:rFonts w:hint="eastAsia" w:ascii="仿宋" w:hAnsi="仿宋" w:eastAsia="仿宋" w:cs="仿宋"/>
                <w:color w:val="auto"/>
                <w:sz w:val="20"/>
              </w:rPr>
            </w:pPr>
          </w:p>
        </w:tc>
        <w:tc>
          <w:tcPr>
            <w:tcW w:w="850" w:type="dxa"/>
          </w:tcPr>
          <w:p w14:paraId="674BA83B">
            <w:pPr>
              <w:pStyle w:val="41"/>
              <w:rPr>
                <w:rFonts w:hint="eastAsia" w:ascii="仿宋" w:hAnsi="仿宋" w:eastAsia="仿宋" w:cs="仿宋"/>
                <w:color w:val="auto"/>
                <w:sz w:val="20"/>
              </w:rPr>
            </w:pPr>
          </w:p>
        </w:tc>
        <w:tc>
          <w:tcPr>
            <w:tcW w:w="2127" w:type="dxa"/>
          </w:tcPr>
          <w:p w14:paraId="48B5F0BC">
            <w:pPr>
              <w:pStyle w:val="41"/>
              <w:rPr>
                <w:rFonts w:hint="eastAsia" w:ascii="仿宋" w:hAnsi="仿宋" w:eastAsia="仿宋" w:cs="仿宋"/>
                <w:color w:val="auto"/>
                <w:sz w:val="20"/>
              </w:rPr>
            </w:pPr>
          </w:p>
        </w:tc>
      </w:tr>
      <w:tr w14:paraId="1654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230ECD7">
            <w:pPr>
              <w:pStyle w:val="41"/>
              <w:rPr>
                <w:rFonts w:hint="eastAsia" w:ascii="仿宋" w:hAnsi="仿宋" w:eastAsia="仿宋" w:cs="仿宋"/>
                <w:color w:val="auto"/>
                <w:sz w:val="20"/>
              </w:rPr>
            </w:pPr>
          </w:p>
        </w:tc>
        <w:tc>
          <w:tcPr>
            <w:tcW w:w="5389" w:type="dxa"/>
          </w:tcPr>
          <w:p w14:paraId="20F131C9">
            <w:pPr>
              <w:pStyle w:val="41"/>
              <w:rPr>
                <w:rFonts w:hint="eastAsia" w:ascii="仿宋" w:hAnsi="仿宋" w:eastAsia="仿宋" w:cs="仿宋"/>
                <w:color w:val="auto"/>
                <w:sz w:val="20"/>
              </w:rPr>
            </w:pPr>
          </w:p>
        </w:tc>
        <w:tc>
          <w:tcPr>
            <w:tcW w:w="850" w:type="dxa"/>
          </w:tcPr>
          <w:p w14:paraId="4CEA49F5">
            <w:pPr>
              <w:pStyle w:val="41"/>
              <w:rPr>
                <w:rFonts w:hint="eastAsia" w:ascii="仿宋" w:hAnsi="仿宋" w:eastAsia="仿宋" w:cs="仿宋"/>
                <w:color w:val="auto"/>
                <w:sz w:val="20"/>
              </w:rPr>
            </w:pPr>
          </w:p>
        </w:tc>
        <w:tc>
          <w:tcPr>
            <w:tcW w:w="2127" w:type="dxa"/>
          </w:tcPr>
          <w:p w14:paraId="21925471">
            <w:pPr>
              <w:pStyle w:val="41"/>
              <w:rPr>
                <w:rFonts w:hint="eastAsia" w:ascii="仿宋" w:hAnsi="仿宋" w:eastAsia="仿宋" w:cs="仿宋"/>
                <w:color w:val="auto"/>
                <w:sz w:val="20"/>
              </w:rPr>
            </w:pPr>
          </w:p>
        </w:tc>
      </w:tr>
      <w:tr w14:paraId="63E16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08F678F4">
            <w:pPr>
              <w:pStyle w:val="41"/>
              <w:rPr>
                <w:rFonts w:hint="eastAsia" w:ascii="仿宋" w:hAnsi="仿宋" w:eastAsia="仿宋" w:cs="仿宋"/>
                <w:color w:val="auto"/>
                <w:sz w:val="20"/>
              </w:rPr>
            </w:pPr>
          </w:p>
        </w:tc>
        <w:tc>
          <w:tcPr>
            <w:tcW w:w="5389" w:type="dxa"/>
          </w:tcPr>
          <w:p w14:paraId="385A04F7">
            <w:pPr>
              <w:pStyle w:val="41"/>
              <w:rPr>
                <w:rFonts w:hint="eastAsia" w:ascii="仿宋" w:hAnsi="仿宋" w:eastAsia="仿宋" w:cs="仿宋"/>
                <w:color w:val="auto"/>
                <w:sz w:val="20"/>
              </w:rPr>
            </w:pPr>
          </w:p>
        </w:tc>
        <w:tc>
          <w:tcPr>
            <w:tcW w:w="850" w:type="dxa"/>
          </w:tcPr>
          <w:p w14:paraId="653E5CA9">
            <w:pPr>
              <w:pStyle w:val="41"/>
              <w:rPr>
                <w:rFonts w:hint="eastAsia" w:ascii="仿宋" w:hAnsi="仿宋" w:eastAsia="仿宋" w:cs="仿宋"/>
                <w:color w:val="auto"/>
                <w:sz w:val="20"/>
              </w:rPr>
            </w:pPr>
          </w:p>
        </w:tc>
        <w:tc>
          <w:tcPr>
            <w:tcW w:w="2127" w:type="dxa"/>
          </w:tcPr>
          <w:p w14:paraId="6D51A645">
            <w:pPr>
              <w:pStyle w:val="41"/>
              <w:rPr>
                <w:rFonts w:hint="eastAsia" w:ascii="仿宋" w:hAnsi="仿宋" w:eastAsia="仿宋" w:cs="仿宋"/>
                <w:color w:val="auto"/>
                <w:sz w:val="20"/>
              </w:rPr>
            </w:pPr>
          </w:p>
        </w:tc>
      </w:tr>
      <w:tr w14:paraId="46F7A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1982AF19">
            <w:pPr>
              <w:pStyle w:val="41"/>
              <w:rPr>
                <w:rFonts w:hint="eastAsia" w:ascii="仿宋" w:hAnsi="仿宋" w:eastAsia="仿宋" w:cs="仿宋"/>
                <w:color w:val="auto"/>
                <w:sz w:val="20"/>
              </w:rPr>
            </w:pPr>
          </w:p>
        </w:tc>
        <w:tc>
          <w:tcPr>
            <w:tcW w:w="5389" w:type="dxa"/>
          </w:tcPr>
          <w:p w14:paraId="2724FD0F">
            <w:pPr>
              <w:pStyle w:val="41"/>
              <w:rPr>
                <w:rFonts w:hint="eastAsia" w:ascii="仿宋" w:hAnsi="仿宋" w:eastAsia="仿宋" w:cs="仿宋"/>
                <w:color w:val="auto"/>
                <w:sz w:val="20"/>
              </w:rPr>
            </w:pPr>
          </w:p>
        </w:tc>
        <w:tc>
          <w:tcPr>
            <w:tcW w:w="850" w:type="dxa"/>
          </w:tcPr>
          <w:p w14:paraId="3384CE88">
            <w:pPr>
              <w:pStyle w:val="41"/>
              <w:rPr>
                <w:rFonts w:hint="eastAsia" w:ascii="仿宋" w:hAnsi="仿宋" w:eastAsia="仿宋" w:cs="仿宋"/>
                <w:color w:val="auto"/>
                <w:sz w:val="20"/>
              </w:rPr>
            </w:pPr>
          </w:p>
        </w:tc>
        <w:tc>
          <w:tcPr>
            <w:tcW w:w="2127" w:type="dxa"/>
          </w:tcPr>
          <w:p w14:paraId="75EC13B1">
            <w:pPr>
              <w:pStyle w:val="41"/>
              <w:rPr>
                <w:rFonts w:hint="eastAsia" w:ascii="仿宋" w:hAnsi="仿宋" w:eastAsia="仿宋" w:cs="仿宋"/>
                <w:color w:val="auto"/>
                <w:sz w:val="20"/>
              </w:rPr>
            </w:pPr>
          </w:p>
        </w:tc>
      </w:tr>
      <w:tr w14:paraId="4DD65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821265F">
            <w:pPr>
              <w:pStyle w:val="41"/>
              <w:rPr>
                <w:rFonts w:hint="eastAsia" w:ascii="仿宋" w:hAnsi="仿宋" w:eastAsia="仿宋" w:cs="仿宋"/>
                <w:color w:val="auto"/>
                <w:sz w:val="20"/>
              </w:rPr>
            </w:pPr>
          </w:p>
        </w:tc>
        <w:tc>
          <w:tcPr>
            <w:tcW w:w="5389" w:type="dxa"/>
          </w:tcPr>
          <w:p w14:paraId="25864976">
            <w:pPr>
              <w:pStyle w:val="41"/>
              <w:rPr>
                <w:rFonts w:hint="eastAsia" w:ascii="仿宋" w:hAnsi="仿宋" w:eastAsia="仿宋" w:cs="仿宋"/>
                <w:color w:val="auto"/>
                <w:sz w:val="20"/>
              </w:rPr>
            </w:pPr>
          </w:p>
        </w:tc>
        <w:tc>
          <w:tcPr>
            <w:tcW w:w="850" w:type="dxa"/>
          </w:tcPr>
          <w:p w14:paraId="3D4E76E1">
            <w:pPr>
              <w:pStyle w:val="41"/>
              <w:rPr>
                <w:rFonts w:hint="eastAsia" w:ascii="仿宋" w:hAnsi="仿宋" w:eastAsia="仿宋" w:cs="仿宋"/>
                <w:color w:val="auto"/>
                <w:sz w:val="20"/>
              </w:rPr>
            </w:pPr>
          </w:p>
        </w:tc>
        <w:tc>
          <w:tcPr>
            <w:tcW w:w="2127" w:type="dxa"/>
          </w:tcPr>
          <w:p w14:paraId="0D1A34F1">
            <w:pPr>
              <w:pStyle w:val="41"/>
              <w:rPr>
                <w:rFonts w:hint="eastAsia" w:ascii="仿宋" w:hAnsi="仿宋" w:eastAsia="仿宋" w:cs="仿宋"/>
                <w:color w:val="auto"/>
                <w:sz w:val="20"/>
              </w:rPr>
            </w:pPr>
          </w:p>
        </w:tc>
      </w:tr>
      <w:tr w14:paraId="0C6BD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44C20E99">
            <w:pPr>
              <w:pStyle w:val="41"/>
              <w:rPr>
                <w:rFonts w:hint="eastAsia" w:ascii="仿宋" w:hAnsi="仿宋" w:eastAsia="仿宋" w:cs="仿宋"/>
                <w:color w:val="auto"/>
                <w:sz w:val="20"/>
              </w:rPr>
            </w:pPr>
          </w:p>
        </w:tc>
        <w:tc>
          <w:tcPr>
            <w:tcW w:w="5389" w:type="dxa"/>
          </w:tcPr>
          <w:p w14:paraId="04225EDA">
            <w:pPr>
              <w:pStyle w:val="41"/>
              <w:rPr>
                <w:rFonts w:hint="eastAsia" w:ascii="仿宋" w:hAnsi="仿宋" w:eastAsia="仿宋" w:cs="仿宋"/>
                <w:color w:val="auto"/>
                <w:sz w:val="20"/>
              </w:rPr>
            </w:pPr>
          </w:p>
        </w:tc>
        <w:tc>
          <w:tcPr>
            <w:tcW w:w="850" w:type="dxa"/>
          </w:tcPr>
          <w:p w14:paraId="49BE9752">
            <w:pPr>
              <w:pStyle w:val="41"/>
              <w:rPr>
                <w:rFonts w:hint="eastAsia" w:ascii="仿宋" w:hAnsi="仿宋" w:eastAsia="仿宋" w:cs="仿宋"/>
                <w:color w:val="auto"/>
                <w:sz w:val="20"/>
              </w:rPr>
            </w:pPr>
          </w:p>
        </w:tc>
        <w:tc>
          <w:tcPr>
            <w:tcW w:w="2127" w:type="dxa"/>
          </w:tcPr>
          <w:p w14:paraId="1672F3DF">
            <w:pPr>
              <w:pStyle w:val="41"/>
              <w:rPr>
                <w:rFonts w:hint="eastAsia" w:ascii="仿宋" w:hAnsi="仿宋" w:eastAsia="仿宋" w:cs="仿宋"/>
                <w:color w:val="auto"/>
                <w:sz w:val="20"/>
              </w:rPr>
            </w:pPr>
          </w:p>
        </w:tc>
      </w:tr>
      <w:tr w14:paraId="232C6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393CFC3B">
            <w:pPr>
              <w:pStyle w:val="41"/>
              <w:rPr>
                <w:rFonts w:hint="eastAsia" w:ascii="仿宋" w:hAnsi="仿宋" w:eastAsia="仿宋" w:cs="仿宋"/>
                <w:color w:val="auto"/>
                <w:sz w:val="20"/>
              </w:rPr>
            </w:pPr>
          </w:p>
        </w:tc>
        <w:tc>
          <w:tcPr>
            <w:tcW w:w="5389" w:type="dxa"/>
          </w:tcPr>
          <w:p w14:paraId="11F69B8F">
            <w:pPr>
              <w:pStyle w:val="41"/>
              <w:rPr>
                <w:rFonts w:hint="eastAsia" w:ascii="仿宋" w:hAnsi="仿宋" w:eastAsia="仿宋" w:cs="仿宋"/>
                <w:color w:val="auto"/>
                <w:sz w:val="20"/>
              </w:rPr>
            </w:pPr>
          </w:p>
        </w:tc>
        <w:tc>
          <w:tcPr>
            <w:tcW w:w="850" w:type="dxa"/>
          </w:tcPr>
          <w:p w14:paraId="3D29393C">
            <w:pPr>
              <w:pStyle w:val="41"/>
              <w:rPr>
                <w:rFonts w:hint="eastAsia" w:ascii="仿宋" w:hAnsi="仿宋" w:eastAsia="仿宋" w:cs="仿宋"/>
                <w:color w:val="auto"/>
                <w:sz w:val="20"/>
              </w:rPr>
            </w:pPr>
          </w:p>
        </w:tc>
        <w:tc>
          <w:tcPr>
            <w:tcW w:w="2127" w:type="dxa"/>
          </w:tcPr>
          <w:p w14:paraId="427B83F8">
            <w:pPr>
              <w:pStyle w:val="41"/>
              <w:rPr>
                <w:rFonts w:hint="eastAsia" w:ascii="仿宋" w:hAnsi="仿宋" w:eastAsia="仿宋" w:cs="仿宋"/>
                <w:color w:val="auto"/>
                <w:sz w:val="20"/>
              </w:rPr>
            </w:pPr>
          </w:p>
        </w:tc>
      </w:tr>
      <w:tr w14:paraId="7C56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278E4648">
            <w:pPr>
              <w:pStyle w:val="41"/>
              <w:rPr>
                <w:rFonts w:hint="eastAsia" w:ascii="仿宋" w:hAnsi="仿宋" w:eastAsia="仿宋" w:cs="仿宋"/>
                <w:color w:val="auto"/>
                <w:sz w:val="20"/>
              </w:rPr>
            </w:pPr>
          </w:p>
        </w:tc>
        <w:tc>
          <w:tcPr>
            <w:tcW w:w="5389" w:type="dxa"/>
          </w:tcPr>
          <w:p w14:paraId="2C2FB096">
            <w:pPr>
              <w:pStyle w:val="41"/>
              <w:rPr>
                <w:rFonts w:hint="eastAsia" w:ascii="仿宋" w:hAnsi="仿宋" w:eastAsia="仿宋" w:cs="仿宋"/>
                <w:color w:val="auto"/>
                <w:sz w:val="20"/>
              </w:rPr>
            </w:pPr>
          </w:p>
        </w:tc>
        <w:tc>
          <w:tcPr>
            <w:tcW w:w="850" w:type="dxa"/>
          </w:tcPr>
          <w:p w14:paraId="10A1F0BE">
            <w:pPr>
              <w:pStyle w:val="41"/>
              <w:rPr>
                <w:rFonts w:hint="eastAsia" w:ascii="仿宋" w:hAnsi="仿宋" w:eastAsia="仿宋" w:cs="仿宋"/>
                <w:color w:val="auto"/>
                <w:sz w:val="20"/>
              </w:rPr>
            </w:pPr>
          </w:p>
        </w:tc>
        <w:tc>
          <w:tcPr>
            <w:tcW w:w="2127" w:type="dxa"/>
          </w:tcPr>
          <w:p w14:paraId="7DBB3246">
            <w:pPr>
              <w:pStyle w:val="41"/>
              <w:rPr>
                <w:rFonts w:hint="eastAsia" w:ascii="仿宋" w:hAnsi="仿宋" w:eastAsia="仿宋" w:cs="仿宋"/>
                <w:color w:val="auto"/>
                <w:sz w:val="20"/>
              </w:rPr>
            </w:pPr>
          </w:p>
        </w:tc>
      </w:tr>
      <w:tr w14:paraId="2950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AB06758">
            <w:pPr>
              <w:pStyle w:val="41"/>
              <w:rPr>
                <w:rFonts w:hint="eastAsia" w:ascii="仿宋" w:hAnsi="仿宋" w:eastAsia="仿宋" w:cs="仿宋"/>
                <w:color w:val="auto"/>
                <w:sz w:val="20"/>
              </w:rPr>
            </w:pPr>
          </w:p>
        </w:tc>
        <w:tc>
          <w:tcPr>
            <w:tcW w:w="5389" w:type="dxa"/>
          </w:tcPr>
          <w:p w14:paraId="783F4189">
            <w:pPr>
              <w:pStyle w:val="41"/>
              <w:rPr>
                <w:rFonts w:hint="eastAsia" w:ascii="仿宋" w:hAnsi="仿宋" w:eastAsia="仿宋" w:cs="仿宋"/>
                <w:color w:val="auto"/>
                <w:sz w:val="20"/>
              </w:rPr>
            </w:pPr>
          </w:p>
        </w:tc>
        <w:tc>
          <w:tcPr>
            <w:tcW w:w="850" w:type="dxa"/>
          </w:tcPr>
          <w:p w14:paraId="3C8CD01A">
            <w:pPr>
              <w:pStyle w:val="41"/>
              <w:rPr>
                <w:rFonts w:hint="eastAsia" w:ascii="仿宋" w:hAnsi="仿宋" w:eastAsia="仿宋" w:cs="仿宋"/>
                <w:color w:val="auto"/>
                <w:sz w:val="20"/>
              </w:rPr>
            </w:pPr>
          </w:p>
        </w:tc>
        <w:tc>
          <w:tcPr>
            <w:tcW w:w="2127" w:type="dxa"/>
          </w:tcPr>
          <w:p w14:paraId="0A8EA4E8">
            <w:pPr>
              <w:pStyle w:val="41"/>
              <w:rPr>
                <w:rFonts w:hint="eastAsia" w:ascii="仿宋" w:hAnsi="仿宋" w:eastAsia="仿宋" w:cs="仿宋"/>
                <w:color w:val="auto"/>
                <w:sz w:val="20"/>
              </w:rPr>
            </w:pPr>
          </w:p>
        </w:tc>
      </w:tr>
      <w:tr w14:paraId="691C3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894B7AC">
            <w:pPr>
              <w:pStyle w:val="41"/>
              <w:rPr>
                <w:rFonts w:hint="eastAsia" w:ascii="仿宋" w:hAnsi="仿宋" w:eastAsia="仿宋" w:cs="仿宋"/>
                <w:color w:val="auto"/>
                <w:sz w:val="20"/>
              </w:rPr>
            </w:pPr>
          </w:p>
        </w:tc>
        <w:tc>
          <w:tcPr>
            <w:tcW w:w="5389" w:type="dxa"/>
          </w:tcPr>
          <w:p w14:paraId="18F7E6C1">
            <w:pPr>
              <w:pStyle w:val="41"/>
              <w:rPr>
                <w:rFonts w:hint="eastAsia" w:ascii="仿宋" w:hAnsi="仿宋" w:eastAsia="仿宋" w:cs="仿宋"/>
                <w:color w:val="auto"/>
                <w:sz w:val="20"/>
              </w:rPr>
            </w:pPr>
          </w:p>
        </w:tc>
        <w:tc>
          <w:tcPr>
            <w:tcW w:w="850" w:type="dxa"/>
          </w:tcPr>
          <w:p w14:paraId="15033CA5">
            <w:pPr>
              <w:pStyle w:val="41"/>
              <w:rPr>
                <w:rFonts w:hint="eastAsia" w:ascii="仿宋" w:hAnsi="仿宋" w:eastAsia="仿宋" w:cs="仿宋"/>
                <w:color w:val="auto"/>
                <w:sz w:val="20"/>
              </w:rPr>
            </w:pPr>
          </w:p>
        </w:tc>
        <w:tc>
          <w:tcPr>
            <w:tcW w:w="2127" w:type="dxa"/>
          </w:tcPr>
          <w:p w14:paraId="45A1514B">
            <w:pPr>
              <w:pStyle w:val="41"/>
              <w:rPr>
                <w:rFonts w:hint="eastAsia" w:ascii="仿宋" w:hAnsi="仿宋" w:eastAsia="仿宋" w:cs="仿宋"/>
                <w:color w:val="auto"/>
                <w:sz w:val="20"/>
              </w:rPr>
            </w:pPr>
          </w:p>
        </w:tc>
      </w:tr>
      <w:tr w14:paraId="254B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69904CF">
            <w:pPr>
              <w:pStyle w:val="41"/>
              <w:rPr>
                <w:rFonts w:hint="eastAsia" w:ascii="仿宋" w:hAnsi="仿宋" w:eastAsia="仿宋" w:cs="仿宋"/>
                <w:color w:val="auto"/>
                <w:sz w:val="20"/>
              </w:rPr>
            </w:pPr>
          </w:p>
        </w:tc>
        <w:tc>
          <w:tcPr>
            <w:tcW w:w="5389" w:type="dxa"/>
          </w:tcPr>
          <w:p w14:paraId="43084253">
            <w:pPr>
              <w:pStyle w:val="41"/>
              <w:rPr>
                <w:rFonts w:hint="eastAsia" w:ascii="仿宋" w:hAnsi="仿宋" w:eastAsia="仿宋" w:cs="仿宋"/>
                <w:color w:val="auto"/>
                <w:sz w:val="20"/>
              </w:rPr>
            </w:pPr>
          </w:p>
        </w:tc>
        <w:tc>
          <w:tcPr>
            <w:tcW w:w="850" w:type="dxa"/>
          </w:tcPr>
          <w:p w14:paraId="499B8B7E">
            <w:pPr>
              <w:pStyle w:val="41"/>
              <w:rPr>
                <w:rFonts w:hint="eastAsia" w:ascii="仿宋" w:hAnsi="仿宋" w:eastAsia="仿宋" w:cs="仿宋"/>
                <w:color w:val="auto"/>
                <w:sz w:val="20"/>
              </w:rPr>
            </w:pPr>
          </w:p>
        </w:tc>
        <w:tc>
          <w:tcPr>
            <w:tcW w:w="2127" w:type="dxa"/>
          </w:tcPr>
          <w:p w14:paraId="440FA8C9">
            <w:pPr>
              <w:pStyle w:val="41"/>
              <w:rPr>
                <w:rFonts w:hint="eastAsia" w:ascii="仿宋" w:hAnsi="仿宋" w:eastAsia="仿宋" w:cs="仿宋"/>
                <w:color w:val="auto"/>
                <w:sz w:val="20"/>
              </w:rPr>
            </w:pPr>
          </w:p>
        </w:tc>
      </w:tr>
      <w:tr w14:paraId="2A2EC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332F19E0">
            <w:pPr>
              <w:pStyle w:val="41"/>
              <w:rPr>
                <w:rFonts w:hint="eastAsia" w:ascii="仿宋" w:hAnsi="仿宋" w:eastAsia="仿宋" w:cs="仿宋"/>
                <w:color w:val="auto"/>
                <w:sz w:val="20"/>
              </w:rPr>
            </w:pPr>
          </w:p>
        </w:tc>
        <w:tc>
          <w:tcPr>
            <w:tcW w:w="5389" w:type="dxa"/>
          </w:tcPr>
          <w:p w14:paraId="0BCFB7A0">
            <w:pPr>
              <w:pStyle w:val="41"/>
              <w:rPr>
                <w:rFonts w:hint="eastAsia" w:ascii="仿宋" w:hAnsi="仿宋" w:eastAsia="仿宋" w:cs="仿宋"/>
                <w:color w:val="auto"/>
                <w:sz w:val="20"/>
              </w:rPr>
            </w:pPr>
          </w:p>
        </w:tc>
        <w:tc>
          <w:tcPr>
            <w:tcW w:w="850" w:type="dxa"/>
          </w:tcPr>
          <w:p w14:paraId="05FDB0AB">
            <w:pPr>
              <w:pStyle w:val="41"/>
              <w:rPr>
                <w:rFonts w:hint="eastAsia" w:ascii="仿宋" w:hAnsi="仿宋" w:eastAsia="仿宋" w:cs="仿宋"/>
                <w:color w:val="auto"/>
                <w:sz w:val="20"/>
              </w:rPr>
            </w:pPr>
          </w:p>
        </w:tc>
        <w:tc>
          <w:tcPr>
            <w:tcW w:w="2127" w:type="dxa"/>
          </w:tcPr>
          <w:p w14:paraId="5C6FFF44">
            <w:pPr>
              <w:pStyle w:val="41"/>
              <w:rPr>
                <w:rFonts w:hint="eastAsia" w:ascii="仿宋" w:hAnsi="仿宋" w:eastAsia="仿宋" w:cs="仿宋"/>
                <w:color w:val="auto"/>
                <w:sz w:val="20"/>
              </w:rPr>
            </w:pPr>
          </w:p>
        </w:tc>
      </w:tr>
      <w:tr w14:paraId="52FD9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3AC4EBC">
            <w:pPr>
              <w:pStyle w:val="41"/>
              <w:rPr>
                <w:rFonts w:hint="eastAsia" w:ascii="仿宋" w:hAnsi="仿宋" w:eastAsia="仿宋" w:cs="仿宋"/>
                <w:color w:val="auto"/>
                <w:sz w:val="20"/>
              </w:rPr>
            </w:pPr>
          </w:p>
        </w:tc>
        <w:tc>
          <w:tcPr>
            <w:tcW w:w="5389" w:type="dxa"/>
          </w:tcPr>
          <w:p w14:paraId="68B3151A">
            <w:pPr>
              <w:pStyle w:val="41"/>
              <w:rPr>
                <w:rFonts w:hint="eastAsia" w:ascii="仿宋" w:hAnsi="仿宋" w:eastAsia="仿宋" w:cs="仿宋"/>
                <w:color w:val="auto"/>
                <w:sz w:val="20"/>
              </w:rPr>
            </w:pPr>
          </w:p>
        </w:tc>
        <w:tc>
          <w:tcPr>
            <w:tcW w:w="850" w:type="dxa"/>
          </w:tcPr>
          <w:p w14:paraId="6734F395">
            <w:pPr>
              <w:pStyle w:val="41"/>
              <w:rPr>
                <w:rFonts w:hint="eastAsia" w:ascii="仿宋" w:hAnsi="仿宋" w:eastAsia="仿宋" w:cs="仿宋"/>
                <w:color w:val="auto"/>
                <w:sz w:val="20"/>
              </w:rPr>
            </w:pPr>
          </w:p>
        </w:tc>
        <w:tc>
          <w:tcPr>
            <w:tcW w:w="2127" w:type="dxa"/>
          </w:tcPr>
          <w:p w14:paraId="6F90AFE1">
            <w:pPr>
              <w:pStyle w:val="41"/>
              <w:rPr>
                <w:rFonts w:hint="eastAsia" w:ascii="仿宋" w:hAnsi="仿宋" w:eastAsia="仿宋" w:cs="仿宋"/>
                <w:color w:val="auto"/>
                <w:sz w:val="20"/>
              </w:rPr>
            </w:pPr>
          </w:p>
        </w:tc>
      </w:tr>
      <w:tr w14:paraId="22697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134F864F">
            <w:pPr>
              <w:pStyle w:val="41"/>
              <w:rPr>
                <w:rFonts w:hint="eastAsia" w:ascii="仿宋" w:hAnsi="仿宋" w:eastAsia="仿宋" w:cs="仿宋"/>
                <w:color w:val="auto"/>
                <w:sz w:val="20"/>
              </w:rPr>
            </w:pPr>
          </w:p>
        </w:tc>
        <w:tc>
          <w:tcPr>
            <w:tcW w:w="5389" w:type="dxa"/>
          </w:tcPr>
          <w:p w14:paraId="2E4AF5E0">
            <w:pPr>
              <w:pStyle w:val="41"/>
              <w:rPr>
                <w:rFonts w:hint="eastAsia" w:ascii="仿宋" w:hAnsi="仿宋" w:eastAsia="仿宋" w:cs="仿宋"/>
                <w:color w:val="auto"/>
                <w:sz w:val="20"/>
              </w:rPr>
            </w:pPr>
          </w:p>
        </w:tc>
        <w:tc>
          <w:tcPr>
            <w:tcW w:w="850" w:type="dxa"/>
          </w:tcPr>
          <w:p w14:paraId="0D57FA6A">
            <w:pPr>
              <w:pStyle w:val="41"/>
              <w:rPr>
                <w:rFonts w:hint="eastAsia" w:ascii="仿宋" w:hAnsi="仿宋" w:eastAsia="仿宋" w:cs="仿宋"/>
                <w:color w:val="auto"/>
                <w:sz w:val="20"/>
              </w:rPr>
            </w:pPr>
          </w:p>
        </w:tc>
        <w:tc>
          <w:tcPr>
            <w:tcW w:w="2127" w:type="dxa"/>
          </w:tcPr>
          <w:p w14:paraId="5CE3869A">
            <w:pPr>
              <w:pStyle w:val="41"/>
              <w:rPr>
                <w:rFonts w:hint="eastAsia" w:ascii="仿宋" w:hAnsi="仿宋" w:eastAsia="仿宋" w:cs="仿宋"/>
                <w:color w:val="auto"/>
                <w:sz w:val="20"/>
              </w:rPr>
            </w:pPr>
          </w:p>
        </w:tc>
      </w:tr>
      <w:tr w14:paraId="21D1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02B3ACA5">
            <w:pPr>
              <w:pStyle w:val="41"/>
              <w:rPr>
                <w:rFonts w:hint="eastAsia" w:ascii="仿宋" w:hAnsi="仿宋" w:eastAsia="仿宋" w:cs="仿宋"/>
                <w:color w:val="auto"/>
                <w:sz w:val="20"/>
              </w:rPr>
            </w:pPr>
          </w:p>
        </w:tc>
        <w:tc>
          <w:tcPr>
            <w:tcW w:w="5389" w:type="dxa"/>
          </w:tcPr>
          <w:p w14:paraId="24BA002C">
            <w:pPr>
              <w:pStyle w:val="41"/>
              <w:rPr>
                <w:rFonts w:hint="eastAsia" w:ascii="仿宋" w:hAnsi="仿宋" w:eastAsia="仿宋" w:cs="仿宋"/>
                <w:color w:val="auto"/>
                <w:sz w:val="20"/>
              </w:rPr>
            </w:pPr>
          </w:p>
        </w:tc>
        <w:tc>
          <w:tcPr>
            <w:tcW w:w="850" w:type="dxa"/>
          </w:tcPr>
          <w:p w14:paraId="364788D7">
            <w:pPr>
              <w:pStyle w:val="41"/>
              <w:rPr>
                <w:rFonts w:hint="eastAsia" w:ascii="仿宋" w:hAnsi="仿宋" w:eastAsia="仿宋" w:cs="仿宋"/>
                <w:color w:val="auto"/>
                <w:sz w:val="20"/>
              </w:rPr>
            </w:pPr>
          </w:p>
        </w:tc>
        <w:tc>
          <w:tcPr>
            <w:tcW w:w="2127" w:type="dxa"/>
          </w:tcPr>
          <w:p w14:paraId="0B8863C3">
            <w:pPr>
              <w:pStyle w:val="41"/>
              <w:rPr>
                <w:rFonts w:hint="eastAsia" w:ascii="仿宋" w:hAnsi="仿宋" w:eastAsia="仿宋" w:cs="仿宋"/>
                <w:color w:val="auto"/>
                <w:sz w:val="20"/>
              </w:rPr>
            </w:pPr>
          </w:p>
        </w:tc>
      </w:tr>
      <w:tr w14:paraId="145F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31A7D919">
            <w:pPr>
              <w:pStyle w:val="41"/>
              <w:rPr>
                <w:rFonts w:hint="eastAsia" w:ascii="仿宋" w:hAnsi="仿宋" w:eastAsia="仿宋" w:cs="仿宋"/>
                <w:color w:val="auto"/>
                <w:sz w:val="20"/>
              </w:rPr>
            </w:pPr>
          </w:p>
        </w:tc>
        <w:tc>
          <w:tcPr>
            <w:tcW w:w="5389" w:type="dxa"/>
          </w:tcPr>
          <w:p w14:paraId="3FC11A05">
            <w:pPr>
              <w:pStyle w:val="41"/>
              <w:rPr>
                <w:rFonts w:hint="eastAsia" w:ascii="仿宋" w:hAnsi="仿宋" w:eastAsia="仿宋" w:cs="仿宋"/>
                <w:color w:val="auto"/>
                <w:sz w:val="20"/>
              </w:rPr>
            </w:pPr>
          </w:p>
        </w:tc>
        <w:tc>
          <w:tcPr>
            <w:tcW w:w="850" w:type="dxa"/>
          </w:tcPr>
          <w:p w14:paraId="03055C1F">
            <w:pPr>
              <w:pStyle w:val="41"/>
              <w:rPr>
                <w:rFonts w:hint="eastAsia" w:ascii="仿宋" w:hAnsi="仿宋" w:eastAsia="仿宋" w:cs="仿宋"/>
                <w:color w:val="auto"/>
                <w:sz w:val="20"/>
              </w:rPr>
            </w:pPr>
          </w:p>
        </w:tc>
        <w:tc>
          <w:tcPr>
            <w:tcW w:w="2127" w:type="dxa"/>
          </w:tcPr>
          <w:p w14:paraId="28AAF42E">
            <w:pPr>
              <w:pStyle w:val="41"/>
              <w:rPr>
                <w:rFonts w:hint="eastAsia" w:ascii="仿宋" w:hAnsi="仿宋" w:eastAsia="仿宋" w:cs="仿宋"/>
                <w:color w:val="auto"/>
                <w:sz w:val="20"/>
              </w:rPr>
            </w:pPr>
          </w:p>
        </w:tc>
      </w:tr>
      <w:tr w14:paraId="1EA1E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04634E49">
            <w:pPr>
              <w:pStyle w:val="41"/>
              <w:rPr>
                <w:rFonts w:hint="eastAsia" w:ascii="仿宋" w:hAnsi="仿宋" w:eastAsia="仿宋" w:cs="仿宋"/>
                <w:color w:val="auto"/>
                <w:sz w:val="20"/>
              </w:rPr>
            </w:pPr>
          </w:p>
        </w:tc>
        <w:tc>
          <w:tcPr>
            <w:tcW w:w="5389" w:type="dxa"/>
          </w:tcPr>
          <w:p w14:paraId="35CC0678">
            <w:pPr>
              <w:pStyle w:val="41"/>
              <w:rPr>
                <w:rFonts w:hint="eastAsia" w:ascii="仿宋" w:hAnsi="仿宋" w:eastAsia="仿宋" w:cs="仿宋"/>
                <w:color w:val="auto"/>
                <w:sz w:val="20"/>
              </w:rPr>
            </w:pPr>
          </w:p>
        </w:tc>
        <w:tc>
          <w:tcPr>
            <w:tcW w:w="850" w:type="dxa"/>
          </w:tcPr>
          <w:p w14:paraId="11E12723">
            <w:pPr>
              <w:pStyle w:val="41"/>
              <w:rPr>
                <w:rFonts w:hint="eastAsia" w:ascii="仿宋" w:hAnsi="仿宋" w:eastAsia="仿宋" w:cs="仿宋"/>
                <w:color w:val="auto"/>
                <w:sz w:val="20"/>
              </w:rPr>
            </w:pPr>
          </w:p>
        </w:tc>
        <w:tc>
          <w:tcPr>
            <w:tcW w:w="2127" w:type="dxa"/>
          </w:tcPr>
          <w:p w14:paraId="6EF53543">
            <w:pPr>
              <w:pStyle w:val="41"/>
              <w:rPr>
                <w:rFonts w:hint="eastAsia" w:ascii="仿宋" w:hAnsi="仿宋" w:eastAsia="仿宋" w:cs="仿宋"/>
                <w:color w:val="auto"/>
                <w:sz w:val="20"/>
              </w:rPr>
            </w:pPr>
          </w:p>
        </w:tc>
      </w:tr>
      <w:tr w14:paraId="59FB0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DBCCF64">
            <w:pPr>
              <w:pStyle w:val="41"/>
              <w:rPr>
                <w:rFonts w:hint="eastAsia" w:ascii="仿宋" w:hAnsi="仿宋" w:eastAsia="仿宋" w:cs="仿宋"/>
                <w:color w:val="auto"/>
                <w:sz w:val="20"/>
              </w:rPr>
            </w:pPr>
          </w:p>
        </w:tc>
        <w:tc>
          <w:tcPr>
            <w:tcW w:w="5389" w:type="dxa"/>
          </w:tcPr>
          <w:p w14:paraId="696E0D95">
            <w:pPr>
              <w:pStyle w:val="41"/>
              <w:rPr>
                <w:rFonts w:hint="eastAsia" w:ascii="仿宋" w:hAnsi="仿宋" w:eastAsia="仿宋" w:cs="仿宋"/>
                <w:color w:val="auto"/>
                <w:sz w:val="20"/>
              </w:rPr>
            </w:pPr>
          </w:p>
        </w:tc>
        <w:tc>
          <w:tcPr>
            <w:tcW w:w="850" w:type="dxa"/>
          </w:tcPr>
          <w:p w14:paraId="5D1505A7">
            <w:pPr>
              <w:pStyle w:val="41"/>
              <w:rPr>
                <w:rFonts w:hint="eastAsia" w:ascii="仿宋" w:hAnsi="仿宋" w:eastAsia="仿宋" w:cs="仿宋"/>
                <w:color w:val="auto"/>
                <w:sz w:val="20"/>
              </w:rPr>
            </w:pPr>
          </w:p>
        </w:tc>
        <w:tc>
          <w:tcPr>
            <w:tcW w:w="2127" w:type="dxa"/>
          </w:tcPr>
          <w:p w14:paraId="1A73C51C">
            <w:pPr>
              <w:pStyle w:val="41"/>
              <w:rPr>
                <w:rFonts w:hint="eastAsia" w:ascii="仿宋" w:hAnsi="仿宋" w:eastAsia="仿宋" w:cs="仿宋"/>
                <w:color w:val="auto"/>
                <w:sz w:val="20"/>
              </w:rPr>
            </w:pPr>
          </w:p>
        </w:tc>
      </w:tr>
    </w:tbl>
    <w:p w14:paraId="0C10C8A9">
      <w:pPr>
        <w:spacing w:before="1"/>
        <w:ind w:left="360" w:right="449" w:rightChars="214" w:firstLine="0"/>
        <w:jc w:val="left"/>
        <w:rPr>
          <w:rFonts w:hint="eastAsia" w:ascii="仿宋" w:hAnsi="仿宋" w:eastAsia="仿宋" w:cs="仿宋"/>
          <w:b/>
          <w:color w:val="auto"/>
          <w:sz w:val="21"/>
        </w:rPr>
      </w:pPr>
    </w:p>
    <w:p w14:paraId="2CA0D54B">
      <w:pPr>
        <w:spacing w:before="1"/>
        <w:ind w:left="360" w:right="449" w:rightChars="214" w:firstLine="0"/>
        <w:jc w:val="left"/>
        <w:rPr>
          <w:rFonts w:hint="eastAsia" w:ascii="仿宋" w:hAnsi="仿宋" w:eastAsia="仿宋" w:cs="仿宋"/>
          <w:color w:val="auto"/>
          <w:sz w:val="28"/>
          <w:szCs w:val="28"/>
        </w:rPr>
      </w:pPr>
      <w:r>
        <w:rPr>
          <w:rFonts w:hint="eastAsia" w:ascii="仿宋" w:hAnsi="仿宋" w:eastAsia="仿宋" w:cs="仿宋"/>
          <w:b/>
          <w:color w:val="auto"/>
          <w:sz w:val="21"/>
        </w:rPr>
        <w:t>注：</w:t>
      </w:r>
      <w:r>
        <w:rPr>
          <w:rFonts w:hint="eastAsia" w:ascii="仿宋" w:hAnsi="仿宋" w:eastAsia="仿宋" w:cs="仿宋"/>
          <w:color w:val="auto"/>
          <w:spacing w:val="-1"/>
          <w:sz w:val="21"/>
        </w:rPr>
        <w:t>该目录为方便</w:t>
      </w:r>
      <w:r>
        <w:rPr>
          <w:rFonts w:hint="eastAsia" w:ascii="仿宋" w:hAnsi="仿宋" w:eastAsia="仿宋" w:cs="仿宋"/>
          <w:color w:val="auto"/>
          <w:spacing w:val="-1"/>
          <w:sz w:val="21"/>
          <w:lang w:val="en-US" w:eastAsia="zh-CN"/>
        </w:rPr>
        <w:t>评标委员会</w:t>
      </w:r>
      <w:r>
        <w:rPr>
          <w:rFonts w:hint="eastAsia" w:ascii="仿宋" w:hAnsi="仿宋" w:eastAsia="仿宋" w:cs="仿宋"/>
          <w:color w:val="auto"/>
          <w:spacing w:val="-1"/>
          <w:sz w:val="21"/>
        </w:rPr>
        <w:t>查找相关证明文件及评审条件，应尽可能的详细、清晰，</w:t>
      </w:r>
      <w:r>
        <w:rPr>
          <w:rFonts w:hint="eastAsia" w:ascii="仿宋" w:hAnsi="仿宋" w:eastAsia="仿宋" w:cs="仿宋"/>
          <w:color w:val="auto"/>
          <w:spacing w:val="-1"/>
          <w:sz w:val="21"/>
          <w:lang w:val="en-US" w:eastAsia="zh-CN"/>
        </w:rPr>
        <w:t>投标人</w:t>
      </w:r>
      <w:r>
        <w:rPr>
          <w:rFonts w:hint="eastAsia" w:ascii="仿宋" w:hAnsi="仿宋" w:eastAsia="仿宋" w:cs="仿宋"/>
          <w:color w:val="auto"/>
          <w:spacing w:val="-1"/>
          <w:sz w:val="21"/>
        </w:rPr>
        <w:t>可根据</w:t>
      </w:r>
      <w:r>
        <w:rPr>
          <w:rFonts w:hint="eastAsia" w:ascii="仿宋" w:hAnsi="仿宋" w:eastAsia="仿宋" w:cs="仿宋"/>
          <w:color w:val="auto"/>
          <w:spacing w:val="-3"/>
          <w:sz w:val="21"/>
        </w:rPr>
        <w:t>自身情况补充完善；</w:t>
      </w:r>
      <w:r>
        <w:rPr>
          <w:rFonts w:hint="eastAsia" w:ascii="仿宋" w:hAnsi="仿宋" w:eastAsia="仿宋" w:cs="仿宋"/>
          <w:color w:val="auto"/>
          <w:spacing w:val="-7"/>
          <w:sz w:val="21"/>
          <w:lang w:val="en-US" w:eastAsia="zh-CN"/>
        </w:rPr>
        <w:t>投标</w:t>
      </w:r>
      <w:r>
        <w:rPr>
          <w:rFonts w:hint="eastAsia" w:ascii="仿宋" w:hAnsi="仿宋" w:eastAsia="仿宋" w:cs="仿宋"/>
          <w:color w:val="auto"/>
          <w:spacing w:val="-7"/>
          <w:sz w:val="21"/>
        </w:rPr>
        <w:t>文件的编制顺序应按此表顺序，并连续编排页码。</w:t>
      </w:r>
    </w:p>
    <w:p w14:paraId="52657E08">
      <w:pPr>
        <w:pStyle w:val="32"/>
        <w:widowControl w:val="0"/>
        <w:numPr>
          <w:ilvl w:val="0"/>
          <w:numId w:val="0"/>
        </w:numPr>
        <w:tabs>
          <w:tab w:val="left" w:pos="682"/>
        </w:tabs>
        <w:autoSpaceDE w:val="0"/>
        <w:autoSpaceDN w:val="0"/>
        <w:spacing w:before="2" w:after="0" w:line="244" w:lineRule="auto"/>
        <w:ind w:right="519" w:rightChars="0"/>
        <w:jc w:val="left"/>
        <w:rPr>
          <w:rFonts w:hint="eastAsia" w:ascii="仿宋" w:hAnsi="仿宋" w:eastAsia="仿宋" w:cs="仿宋"/>
          <w:color w:val="auto"/>
          <w:spacing w:val="-7"/>
          <w:sz w:val="21"/>
        </w:rPr>
      </w:pPr>
    </w:p>
    <w:p w14:paraId="6EE0D2AD">
      <w:pPr>
        <w:pStyle w:val="30"/>
        <w:numPr>
          <w:ilvl w:val="0"/>
          <w:numId w:val="0"/>
        </w:numPr>
        <w:spacing w:before="25" w:after="25" w:line="360" w:lineRule="auto"/>
        <w:jc w:val="center"/>
        <w:rPr>
          <w:rFonts w:hint="eastAsia" w:ascii="仿宋" w:hAnsi="仿宋" w:eastAsia="仿宋" w:cs="仿宋"/>
          <w:b/>
          <w:bCs/>
          <w:i w:val="0"/>
          <w:iCs w:val="0"/>
          <w:color w:val="auto"/>
          <w:sz w:val="24"/>
          <w:szCs w:val="24"/>
          <w:lang w:val="en-US" w:eastAsia="zh-CN"/>
        </w:rPr>
        <w:sectPr>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p>
    <w:p w14:paraId="1B3B0396">
      <w:pPr>
        <w:keepNext w:val="0"/>
        <w:keepLines w:val="0"/>
        <w:pageBreakBefore w:val="0"/>
        <w:numPr>
          <w:ilvl w:val="0"/>
          <w:numId w:val="17"/>
        </w:numPr>
        <w:kinsoku/>
        <w:wordWrap/>
        <w:overflowPunct/>
        <w:topLinePunct w:val="0"/>
        <w:bidi w:val="0"/>
        <w:snapToGrid/>
        <w:spacing w:line="360" w:lineRule="auto"/>
        <w:textAlignment w:val="auto"/>
        <w:outlineLvl w:val="1"/>
        <w:rPr>
          <w:rFonts w:hint="eastAsia" w:ascii="仿宋" w:hAnsi="仿宋" w:eastAsia="仿宋" w:cs="仿宋"/>
          <w:b/>
          <w:color w:val="auto"/>
          <w:sz w:val="24"/>
          <w:szCs w:val="24"/>
          <w:highlight w:val="none"/>
          <w:lang w:val="en-US" w:eastAsia="zh-CN"/>
        </w:rPr>
      </w:pPr>
      <w:bookmarkStart w:id="100" w:name="_Toc27101"/>
      <w:bookmarkStart w:id="101" w:name="_Toc25765"/>
      <w:r>
        <w:rPr>
          <w:rFonts w:hint="eastAsia" w:ascii="仿宋" w:hAnsi="仿宋" w:eastAsia="仿宋" w:cs="仿宋"/>
          <w:b/>
          <w:color w:val="auto"/>
          <w:sz w:val="24"/>
          <w:szCs w:val="24"/>
          <w:highlight w:val="none"/>
          <w:lang w:val="en-US" w:eastAsia="zh-CN"/>
        </w:rPr>
        <w:t>投标文件组成</w:t>
      </w:r>
      <w:bookmarkEnd w:id="100"/>
      <w:bookmarkEnd w:id="101"/>
    </w:p>
    <w:p w14:paraId="724226DE">
      <w:pPr>
        <w:pStyle w:val="9"/>
        <w:keepNext w:val="0"/>
        <w:keepLines w:val="0"/>
        <w:pageBreakBefore w:val="0"/>
        <w:numPr>
          <w:ilvl w:val="0"/>
          <w:numId w:val="0"/>
        </w:numPr>
        <w:kinsoku/>
        <w:wordWrap/>
        <w:overflowPunct/>
        <w:topLinePunct w:val="0"/>
        <w:bidi w:val="0"/>
        <w:snapToGrid/>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投标文件包含开标一览表、资格证明文件、商务技术文件三部分组成，各部分组成文件如下文：</w:t>
      </w:r>
    </w:p>
    <w:p w14:paraId="4265EE86">
      <w:pPr>
        <w:pStyle w:val="9"/>
        <w:keepNext w:val="0"/>
        <w:keepLines w:val="0"/>
        <w:pageBreakBefore w:val="0"/>
        <w:numPr>
          <w:ilvl w:val="0"/>
          <w:numId w:val="0"/>
        </w:numPr>
        <w:kinsoku/>
        <w:wordWrap/>
        <w:overflowPunct/>
        <w:topLinePunct w:val="0"/>
        <w:bidi w:val="0"/>
        <w:snapToGrid/>
        <w:spacing w:line="360" w:lineRule="auto"/>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一）、开标一览表</w:t>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-1）</w:t>
      </w:r>
    </w:p>
    <w:p w14:paraId="43AC9F5B">
      <w:pPr>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szCs w:val="24"/>
          <w:highlight w:val="none"/>
          <w:lang w:eastAsia="zh-CN"/>
        </w:rPr>
      </w:pPr>
      <w:bookmarkStart w:id="102" w:name="_Toc456"/>
      <w:bookmarkStart w:id="103" w:name="_Toc8670"/>
      <w:bookmarkStart w:id="104" w:name="_Toc15731"/>
      <w:bookmarkStart w:id="105" w:name="_Toc19503"/>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资格证明</w:t>
      </w:r>
      <w:r>
        <w:rPr>
          <w:rFonts w:hint="eastAsia" w:ascii="仿宋" w:hAnsi="仿宋" w:eastAsia="仿宋" w:cs="仿宋"/>
          <w:b/>
          <w:bCs/>
          <w:color w:val="auto"/>
          <w:sz w:val="24"/>
          <w:szCs w:val="24"/>
          <w:highlight w:val="none"/>
          <w:lang w:val="en-US" w:eastAsia="zh-CN"/>
        </w:rPr>
        <w:t>文件</w:t>
      </w:r>
    </w:p>
    <w:p w14:paraId="22B9EFF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中资格证明文件的</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须</w:t>
      </w:r>
      <w:r>
        <w:rPr>
          <w:rFonts w:hint="eastAsia" w:ascii="仿宋" w:hAnsi="仿宋" w:eastAsia="仿宋" w:cs="仿宋"/>
          <w:color w:val="auto"/>
          <w:sz w:val="24"/>
          <w:szCs w:val="24"/>
          <w:highlight w:val="none"/>
          <w:lang w:val="en-US" w:eastAsia="zh-CN"/>
        </w:rPr>
        <w:t>由投标单位电子签章</w:t>
      </w:r>
      <w:r>
        <w:rPr>
          <w:rFonts w:hint="eastAsia" w:ascii="仿宋" w:hAnsi="仿宋" w:eastAsia="仿宋" w:cs="仿宋"/>
          <w:color w:val="auto"/>
          <w:sz w:val="24"/>
          <w:szCs w:val="24"/>
          <w:highlight w:val="none"/>
        </w:rPr>
        <w:t>。</w:t>
      </w:r>
    </w:p>
    <w:p w14:paraId="1AB94D6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投标人代表身份证明</w:t>
      </w:r>
    </w:p>
    <w:p w14:paraId="137257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法定代表人身份证明（附件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p w14:paraId="1EDED1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法定代表人授权委托书（附件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p>
    <w:p w14:paraId="5EE965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  授权委托书 (适用于自然人委托投标) （附件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p>
    <w:p w14:paraId="59CF308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《政府采购法》第二十二条第一款规定的条件</w:t>
      </w:r>
    </w:p>
    <w:p w14:paraId="59EB581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参加政府采购活动的供应商应当具备《政府采购法》第二十二条第一款规定的条件，提供下列材料：</w:t>
      </w:r>
    </w:p>
    <w:p w14:paraId="07C824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.法人或者非法人组织的营业执照等证明文件或自然人的身份证明</w:t>
      </w:r>
    </w:p>
    <w:p w14:paraId="7849E4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具有良好的商业信誉和健全的财务会计制度的证明文件</w:t>
      </w:r>
    </w:p>
    <w:p w14:paraId="0FA5CB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.投标人缴纳税收的证明</w:t>
      </w:r>
    </w:p>
    <w:p w14:paraId="33908FB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为职工缴纳社会保险的证明</w:t>
      </w:r>
    </w:p>
    <w:p w14:paraId="611A2EE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履行合同所必需的设备和专业技术能力的证明材料或声明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参加政府采购活动前三年内在经营活动中没有重大违法记录的书面声明(附件</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w:t>
      </w:r>
    </w:p>
    <w:p w14:paraId="0C757C9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3.本项目的特定资格</w:t>
      </w:r>
      <w:r>
        <w:rPr>
          <w:rFonts w:hint="eastAsia" w:ascii="仿宋" w:hAnsi="仿宋" w:eastAsia="仿宋" w:cs="仿宋"/>
          <w:color w:val="auto"/>
          <w:kern w:val="0"/>
          <w:sz w:val="24"/>
          <w:szCs w:val="24"/>
          <w:highlight w:val="none"/>
        </w:rPr>
        <w:t> </w:t>
      </w:r>
    </w:p>
    <w:p w14:paraId="5783A4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医疗器械经营备案凭证、医疗器械生产许可证或医疗器械经营许可证或其他医疗器械生产经营许可证明文件</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（根据所投内容提供）</w:t>
      </w:r>
    </w:p>
    <w:p w14:paraId="3F973D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中小企业声明函</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监狱企业声明函</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残疾人福利性单位声明函</w:t>
      </w:r>
    </w:p>
    <w:p w14:paraId="13556F0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其他资料</w:t>
      </w:r>
    </w:p>
    <w:p w14:paraId="77F622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投标保证金缴纳凭证（电汇凭证或收据等）</w:t>
      </w:r>
      <w:r>
        <w:rPr>
          <w:rFonts w:hint="eastAsia" w:ascii="仿宋" w:hAnsi="仿宋" w:eastAsia="仿宋" w:cs="仿宋"/>
          <w:color w:val="auto"/>
          <w:sz w:val="24"/>
          <w:szCs w:val="24"/>
          <w:highlight w:val="none"/>
          <w:lang w:eastAsia="zh-CN"/>
        </w:rPr>
        <w:t>扫描件</w:t>
      </w:r>
    </w:p>
    <w:p w14:paraId="1EF1BDE9">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虚假应标承担责任声明（</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2-10</w:t>
      </w:r>
      <w:r>
        <w:rPr>
          <w:rFonts w:hint="eastAsia" w:ascii="仿宋" w:hAnsi="仿宋" w:eastAsia="仿宋" w:cs="仿宋"/>
          <w:color w:val="auto"/>
          <w:sz w:val="24"/>
          <w:szCs w:val="24"/>
        </w:rPr>
        <w:t>）</w:t>
      </w:r>
    </w:p>
    <w:p w14:paraId="04B74C40">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关联单位的说明（格式自拟）</w:t>
      </w:r>
    </w:p>
    <w:p w14:paraId="526415A8">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4.3.投标人须知前附表要求的其他资格证明文件</w:t>
      </w:r>
    </w:p>
    <w:p w14:paraId="066F76E5">
      <w:pPr>
        <w:keepNext w:val="0"/>
        <w:keepLines w:val="0"/>
        <w:pageBreakBefore w:val="0"/>
        <w:kinsoku/>
        <w:wordWrap/>
        <w:overflowPunct/>
        <w:topLinePunct w:val="0"/>
        <w:bidi w:val="0"/>
        <w:snapToGrid/>
        <w:spacing w:line="360" w:lineRule="auto"/>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三）、商务、技术文件</w:t>
      </w:r>
      <w:bookmarkEnd w:id="102"/>
      <w:bookmarkEnd w:id="103"/>
    </w:p>
    <w:p w14:paraId="41AB5C07">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lang w:val="en-US" w:eastAsia="zh-CN"/>
        </w:rPr>
      </w:pPr>
      <w:bookmarkStart w:id="106" w:name="_Toc1766"/>
      <w:bookmarkStart w:id="107" w:name="_Toc27972"/>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投标人综合情况</w:t>
      </w:r>
      <w:bookmarkEnd w:id="106"/>
      <w:bookmarkEnd w:id="107"/>
    </w:p>
    <w:p w14:paraId="2C6C8E53">
      <w:pPr>
        <w:pStyle w:val="9"/>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1.1、投标人综合情况一览表</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rPr>
        <w:t>）</w:t>
      </w:r>
    </w:p>
    <w:p w14:paraId="2F7FEDA8">
      <w:pPr>
        <w:pStyle w:val="9"/>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1.2、投标人单位简介</w:t>
      </w:r>
    </w:p>
    <w:p w14:paraId="503C1ABB">
      <w:pPr>
        <w:pStyle w:val="9"/>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bidi="ar-SA"/>
        </w:rPr>
        <w:t>1.3、投标人同类型项目案例（业绩）情况介绍【如有】</w:t>
      </w:r>
    </w:p>
    <w:p w14:paraId="4183D4C2">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108" w:name="_Toc4677"/>
      <w:bookmarkStart w:id="109" w:name="_Toc23208"/>
      <w:r>
        <w:rPr>
          <w:rFonts w:hint="eastAsia" w:ascii="仿宋" w:hAnsi="仿宋" w:eastAsia="仿宋" w:cs="仿宋"/>
          <w:color w:val="auto"/>
          <w:sz w:val="24"/>
          <w:szCs w:val="24"/>
          <w:highlight w:val="none"/>
          <w:lang w:val="en-US" w:eastAsia="zh-CN"/>
        </w:rPr>
        <w:t>2、</w:t>
      </w:r>
      <w:bookmarkEnd w:id="108"/>
      <w:bookmarkEnd w:id="109"/>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书</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w:t>
      </w:r>
    </w:p>
    <w:p w14:paraId="3052A8F0">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110" w:name="_Toc3068"/>
      <w:bookmarkStart w:id="111" w:name="_Toc1058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bookmarkEnd w:id="110"/>
      <w:bookmarkEnd w:id="111"/>
      <w:r>
        <w:rPr>
          <w:rFonts w:hint="eastAsia" w:ascii="仿宋" w:hAnsi="仿宋" w:eastAsia="仿宋" w:cs="仿宋"/>
          <w:color w:val="auto"/>
          <w:sz w:val="24"/>
          <w:szCs w:val="24"/>
          <w:highlight w:val="none"/>
        </w:rPr>
        <w:t>投标分项报价表（附件</w:t>
      </w: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w:t>
      </w:r>
    </w:p>
    <w:p w14:paraId="3309D133">
      <w:pPr>
        <w:pStyle w:val="9"/>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4、货物说明一览表 </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w:t>
      </w:r>
    </w:p>
    <w:p w14:paraId="1EBD98AE">
      <w:pPr>
        <w:keepNext w:val="0"/>
        <w:keepLines w:val="0"/>
        <w:pageBreakBefore w:val="0"/>
        <w:numPr>
          <w:ilvl w:val="0"/>
          <w:numId w:val="0"/>
        </w:numPr>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112" w:name="_Toc12387"/>
      <w:bookmarkStart w:id="113" w:name="_Toc16076"/>
      <w:r>
        <w:rPr>
          <w:rFonts w:hint="eastAsia" w:ascii="仿宋" w:hAnsi="仿宋" w:eastAsia="仿宋" w:cs="仿宋"/>
          <w:color w:val="auto"/>
          <w:sz w:val="24"/>
          <w:szCs w:val="24"/>
          <w:highlight w:val="none"/>
          <w:lang w:val="en-US" w:eastAsia="zh-CN"/>
        </w:rPr>
        <w:t>5、技术规格</w:t>
      </w:r>
      <w:r>
        <w:rPr>
          <w:rFonts w:hint="eastAsia" w:ascii="仿宋" w:hAnsi="仿宋" w:eastAsia="仿宋" w:cs="仿宋"/>
          <w:color w:val="auto"/>
          <w:sz w:val="24"/>
          <w:szCs w:val="24"/>
          <w:highlight w:val="none"/>
        </w:rPr>
        <w:t>偏离表（附件</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w:t>
      </w:r>
    </w:p>
    <w:p w14:paraId="45E1A7A0">
      <w:pPr>
        <w:keepNext w:val="0"/>
        <w:keepLines w:val="0"/>
        <w:pageBreakBefore w:val="0"/>
        <w:numPr>
          <w:ilvl w:val="0"/>
          <w:numId w:val="0"/>
        </w:numPr>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商务条款偏离表</w:t>
      </w:r>
      <w:bookmarkEnd w:id="112"/>
      <w:bookmarkEnd w:id="113"/>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w:t>
      </w:r>
    </w:p>
    <w:p w14:paraId="4C569D16">
      <w:pPr>
        <w:keepNext w:val="0"/>
        <w:keepLines w:val="0"/>
        <w:pageBreakBefore w:val="0"/>
        <w:numPr>
          <w:ilvl w:val="0"/>
          <w:numId w:val="0"/>
        </w:numPr>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、中标服务费承诺书</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w:t>
      </w:r>
    </w:p>
    <w:p w14:paraId="0CDFA3A7">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rPr>
      </w:pPr>
      <w:bookmarkStart w:id="114" w:name="_Toc26522"/>
      <w:bookmarkStart w:id="115" w:name="_Toc8056"/>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、提供符合政府采购政策的证明材料</w:t>
      </w:r>
      <w:bookmarkEnd w:id="114"/>
      <w:bookmarkEnd w:id="115"/>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属于资格条件在资格证明文件中提供。不属于资格条件，</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符合要求在此</w:t>
      </w:r>
      <w:r>
        <w:rPr>
          <w:rFonts w:hint="eastAsia" w:ascii="仿宋" w:hAnsi="仿宋" w:eastAsia="仿宋" w:cs="仿宋"/>
          <w:color w:val="auto"/>
          <w:sz w:val="24"/>
          <w:szCs w:val="24"/>
          <w:highlight w:val="none"/>
        </w:rPr>
        <w:t>提供享受相关政策，不享受相关政策的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无需提供）。</w:t>
      </w:r>
    </w:p>
    <w:p w14:paraId="6584AA3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中小企业声明函（附件</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p w14:paraId="0BE5189B">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监狱企业声明函（附件</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562B8D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w:t>
      </w:r>
      <w:r>
        <w:rPr>
          <w:rFonts w:hint="eastAsia" w:ascii="仿宋" w:hAnsi="仿宋" w:eastAsia="仿宋" w:cs="仿宋"/>
          <w:color w:val="auto"/>
          <w:sz w:val="24"/>
          <w:szCs w:val="24"/>
          <w:highlight w:val="none"/>
        </w:rPr>
        <w:t>残疾人福利性单位声明函（附件</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3463E18E">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评审所需的其他商务文件</w:t>
      </w:r>
    </w:p>
    <w:bookmarkEnd w:id="104"/>
    <w:bookmarkEnd w:id="105"/>
    <w:p w14:paraId="7F2E404F">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技术文件</w:t>
      </w:r>
    </w:p>
    <w:p w14:paraId="5BBCEC0B">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11、保证金信息表（</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3-13）</w:t>
      </w:r>
    </w:p>
    <w:p w14:paraId="64D0C846">
      <w:pPr>
        <w:keepNext w:val="0"/>
        <w:keepLines w:val="0"/>
        <w:pageBreakBefore w:val="0"/>
        <w:kinsoku/>
        <w:wordWrap/>
        <w:overflowPunct/>
        <w:topLinePunct w:val="0"/>
        <w:bidi w:val="0"/>
        <w:snapToGrid/>
        <w:spacing w:line="360" w:lineRule="auto"/>
        <w:ind w:firstLine="480" w:firstLineChars="200"/>
        <w:textAlignment w:val="auto"/>
        <w:outlineLvl w:val="3"/>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12、开票信息（</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3-14）</w:t>
      </w:r>
    </w:p>
    <w:p w14:paraId="10765DA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招标文件中要求提交的和投标人认为需要提供的其它说明和资料。</w:t>
      </w:r>
    </w:p>
    <w:p w14:paraId="4E0B06BF">
      <w:pPr>
        <w:keepNext w:val="0"/>
        <w:keepLines w:val="0"/>
        <w:pageBreakBefore w:val="0"/>
        <w:kinsoku/>
        <w:wordWrap/>
        <w:overflowPunct/>
        <w:topLinePunct w:val="0"/>
        <w:bidi w:val="0"/>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注：1.投标人制作投标文件，应按照投标文件组成顺序制作，编好始末页码且在投标文件目录中一一列明并对应。</w:t>
      </w:r>
    </w:p>
    <w:p w14:paraId="11677A4D">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2.招标文件没有提供</w:t>
      </w:r>
      <w:r>
        <w:rPr>
          <w:rFonts w:hint="eastAsia" w:ascii="仿宋" w:hAnsi="仿宋" w:eastAsia="仿宋" w:cs="仿宋"/>
          <w:b/>
          <w:color w:val="auto"/>
          <w:sz w:val="24"/>
          <w:szCs w:val="24"/>
          <w:highlight w:val="none"/>
          <w:lang w:val="en-US" w:eastAsia="zh-CN"/>
        </w:rPr>
        <w:t>统一</w:t>
      </w:r>
      <w:r>
        <w:rPr>
          <w:rFonts w:hint="eastAsia" w:ascii="仿宋" w:hAnsi="仿宋" w:eastAsia="仿宋" w:cs="仿宋"/>
          <w:b/>
          <w:color w:val="auto"/>
          <w:sz w:val="24"/>
          <w:szCs w:val="24"/>
          <w:highlight w:val="none"/>
        </w:rPr>
        <w:t>格式的，投标人可自行设置。</w:t>
      </w:r>
    </w:p>
    <w:p w14:paraId="579E6EFE">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p w14:paraId="70FBDBEB">
      <w:pPr>
        <w:pStyle w:val="30"/>
        <w:numPr>
          <w:ilvl w:val="0"/>
          <w:numId w:val="0"/>
        </w:numPr>
        <w:spacing w:before="25" w:after="25" w:line="360" w:lineRule="auto"/>
        <w:jc w:val="left"/>
        <w:outlineLvl w:val="1"/>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三、附件</w:t>
      </w:r>
    </w:p>
    <w:p w14:paraId="6775BCC9">
      <w:pPr>
        <w:pStyle w:val="30"/>
        <w:numPr>
          <w:ilvl w:val="0"/>
          <w:numId w:val="0"/>
        </w:numPr>
        <w:spacing w:before="25" w:after="25" w:line="360" w:lineRule="auto"/>
        <w:jc w:val="center"/>
        <w:outlineLvl w:val="3"/>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附件1-1 开标一览表</w:t>
      </w:r>
      <w:bookmarkEnd w:id="93"/>
      <w:r>
        <w:rPr>
          <w:rFonts w:hint="eastAsia" w:ascii="仿宋" w:hAnsi="仿宋" w:eastAsia="仿宋" w:cs="仿宋"/>
          <w:b/>
          <w:bCs/>
          <w:i w:val="0"/>
          <w:iCs w:val="0"/>
          <w:color w:val="auto"/>
          <w:sz w:val="24"/>
          <w:szCs w:val="24"/>
          <w:lang w:val="en-US" w:eastAsia="zh-CN"/>
        </w:rPr>
        <w:t>（统一格式）</w:t>
      </w:r>
    </w:p>
    <w:p w14:paraId="1F7AC439">
      <w:pPr>
        <w:tabs>
          <w:tab w:val="left" w:pos="2986"/>
          <w:tab w:val="left" w:pos="5974"/>
        </w:tabs>
        <w:spacing w:before="0" w:after="18"/>
        <w:ind w:left="360" w:right="0" w:firstLine="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招</w:t>
      </w:r>
      <w:r>
        <w:rPr>
          <w:rFonts w:hint="eastAsia" w:ascii="仿宋" w:hAnsi="仿宋" w:eastAsia="仿宋" w:cs="仿宋"/>
          <w:color w:val="auto"/>
          <w:spacing w:val="-3"/>
          <w:sz w:val="21"/>
          <w:szCs w:val="21"/>
        </w:rPr>
        <w:t>标</w:t>
      </w:r>
      <w:r>
        <w:rPr>
          <w:rFonts w:hint="eastAsia" w:ascii="仿宋" w:hAnsi="仿宋" w:eastAsia="仿宋" w:cs="仿宋"/>
          <w:color w:val="auto"/>
          <w:sz w:val="21"/>
          <w:szCs w:val="21"/>
        </w:rPr>
        <w:t>编</w:t>
      </w:r>
      <w:r>
        <w:rPr>
          <w:rFonts w:hint="eastAsia" w:ascii="仿宋" w:hAnsi="仿宋" w:eastAsia="仿宋" w:cs="仿宋"/>
          <w:color w:val="auto"/>
          <w:spacing w:val="-3"/>
          <w:sz w:val="21"/>
          <w:szCs w:val="21"/>
        </w:rPr>
        <w:t>号</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pacing w:val="-3"/>
          <w:sz w:val="21"/>
          <w:szCs w:val="21"/>
          <w:lang w:val="en-US" w:eastAsia="zh-CN"/>
        </w:rPr>
        <w:t>报价单位</w:t>
      </w:r>
      <w:r>
        <w:rPr>
          <w:rFonts w:hint="eastAsia" w:ascii="仿宋" w:hAnsi="仿宋" w:eastAsia="仿宋" w:cs="仿宋"/>
          <w:color w:val="auto"/>
          <w:spacing w:val="-3"/>
          <w:sz w:val="21"/>
          <w:szCs w:val="21"/>
        </w:rPr>
        <w:t>：</w:t>
      </w:r>
      <w:r>
        <w:rPr>
          <w:rFonts w:hint="eastAsia" w:ascii="仿宋" w:hAnsi="仿宋" w:eastAsia="仿宋" w:cs="仿宋"/>
          <w:color w:val="auto"/>
          <w:sz w:val="21"/>
          <w:szCs w:val="21"/>
        </w:rPr>
        <w:t>人</w:t>
      </w:r>
      <w:r>
        <w:rPr>
          <w:rFonts w:hint="eastAsia" w:ascii="仿宋" w:hAnsi="仿宋" w:eastAsia="仿宋" w:cs="仿宋"/>
          <w:color w:val="auto"/>
          <w:spacing w:val="-3"/>
          <w:sz w:val="21"/>
          <w:szCs w:val="21"/>
        </w:rPr>
        <w:t>民</w:t>
      </w:r>
      <w:r>
        <w:rPr>
          <w:rFonts w:hint="eastAsia" w:ascii="仿宋" w:hAnsi="仿宋" w:eastAsia="仿宋" w:cs="仿宋"/>
          <w:color w:val="auto"/>
          <w:sz w:val="21"/>
          <w:szCs w:val="21"/>
        </w:rPr>
        <w:t>币</w:t>
      </w:r>
      <w:r>
        <w:rPr>
          <w:rFonts w:hint="eastAsia" w:ascii="仿宋" w:hAnsi="仿宋" w:eastAsia="仿宋" w:cs="仿宋"/>
          <w:color w:val="auto"/>
          <w:sz w:val="21"/>
          <w:szCs w:val="21"/>
          <w:lang w:val="en-US" w:eastAsia="zh-CN"/>
        </w:rPr>
        <w:t>元</w:t>
      </w:r>
    </w:p>
    <w:tbl>
      <w:tblPr>
        <w:tblStyle w:val="22"/>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850"/>
        <w:gridCol w:w="2980"/>
        <w:gridCol w:w="1883"/>
        <w:gridCol w:w="1213"/>
      </w:tblGrid>
      <w:tr w14:paraId="6F837B2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62" w:hRule="atLeast"/>
        </w:trPr>
        <w:tc>
          <w:tcPr>
            <w:tcW w:w="2999" w:type="dxa"/>
            <w:gridSpan w:val="2"/>
            <w:tcBorders>
              <w:bottom w:val="single" w:color="000000" w:sz="6" w:space="0"/>
              <w:right w:val="single" w:color="000000" w:sz="6" w:space="0"/>
            </w:tcBorders>
            <w:vAlign w:val="center"/>
          </w:tcPr>
          <w:p w14:paraId="657F772F">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2980" w:type="dxa"/>
            <w:tcBorders>
              <w:left w:val="single" w:color="000000" w:sz="6" w:space="0"/>
              <w:bottom w:val="single" w:color="000000" w:sz="6" w:space="0"/>
              <w:right w:val="single" w:color="000000" w:sz="6" w:space="0"/>
            </w:tcBorders>
            <w:vAlign w:val="center"/>
          </w:tcPr>
          <w:p w14:paraId="1E25E4EB">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免费质保年限</w:t>
            </w:r>
          </w:p>
        </w:tc>
        <w:tc>
          <w:tcPr>
            <w:tcW w:w="1883" w:type="dxa"/>
            <w:tcBorders>
              <w:left w:val="single" w:color="000000" w:sz="6" w:space="0"/>
              <w:bottom w:val="single" w:color="000000" w:sz="6" w:space="0"/>
              <w:right w:val="single" w:color="000000" w:sz="6" w:space="0"/>
            </w:tcBorders>
            <w:vAlign w:val="center"/>
          </w:tcPr>
          <w:p w14:paraId="0BA4B3C4">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交货期</w:t>
            </w:r>
          </w:p>
        </w:tc>
        <w:tc>
          <w:tcPr>
            <w:tcW w:w="1213" w:type="dxa"/>
            <w:tcBorders>
              <w:left w:val="single" w:color="000000" w:sz="6" w:space="0"/>
              <w:bottom w:val="single" w:color="000000" w:sz="6" w:space="0"/>
            </w:tcBorders>
            <w:vAlign w:val="center"/>
          </w:tcPr>
          <w:p w14:paraId="32F58C0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交货地点</w:t>
            </w:r>
          </w:p>
        </w:tc>
      </w:tr>
      <w:tr w14:paraId="3FA607B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610" w:hRule="atLeast"/>
        </w:trPr>
        <w:tc>
          <w:tcPr>
            <w:tcW w:w="2999" w:type="dxa"/>
            <w:gridSpan w:val="2"/>
            <w:tcBorders>
              <w:top w:val="single" w:color="000000" w:sz="6" w:space="0"/>
              <w:bottom w:val="single" w:color="000000" w:sz="6" w:space="0"/>
              <w:right w:val="single" w:color="000000" w:sz="6" w:space="0"/>
            </w:tcBorders>
          </w:tcPr>
          <w:p w14:paraId="7F5D89EA">
            <w:pPr>
              <w:pStyle w:val="41"/>
              <w:rPr>
                <w:rFonts w:hint="eastAsia" w:ascii="仿宋" w:hAnsi="仿宋" w:eastAsia="仿宋" w:cs="仿宋"/>
                <w:color w:val="auto"/>
                <w:sz w:val="21"/>
                <w:szCs w:val="21"/>
              </w:rPr>
            </w:pPr>
          </w:p>
        </w:tc>
        <w:tc>
          <w:tcPr>
            <w:tcW w:w="2980" w:type="dxa"/>
            <w:tcBorders>
              <w:top w:val="single" w:color="000000" w:sz="6" w:space="0"/>
              <w:left w:val="single" w:color="000000" w:sz="6" w:space="0"/>
              <w:bottom w:val="single" w:color="000000" w:sz="6" w:space="0"/>
              <w:right w:val="single" w:color="000000" w:sz="6" w:space="0"/>
            </w:tcBorders>
          </w:tcPr>
          <w:p w14:paraId="6860B0F9">
            <w:pPr>
              <w:pStyle w:val="41"/>
              <w:spacing w:before="5"/>
              <w:ind w:left="8"/>
              <w:jc w:val="left"/>
              <w:rPr>
                <w:rFonts w:hint="eastAsia" w:ascii="仿宋" w:hAnsi="仿宋" w:eastAsia="仿宋" w:cs="仿宋"/>
                <w:color w:val="auto"/>
                <w:sz w:val="21"/>
                <w:szCs w:val="21"/>
              </w:rPr>
            </w:pPr>
            <w:r>
              <w:rPr>
                <w:rFonts w:hint="eastAsia" w:ascii="仿宋" w:hAnsi="仿宋" w:eastAsia="仿宋" w:cs="仿宋"/>
                <w:color w:val="auto"/>
                <w:sz w:val="21"/>
                <w:szCs w:val="21"/>
              </w:rPr>
              <w:t>自货物验收合格之日起</w:t>
            </w:r>
            <w:r>
              <w:rPr>
                <w:rFonts w:hint="eastAsia" w:ascii="仿宋" w:hAnsi="仿宋" w:eastAsia="仿宋" w:cs="仿宋"/>
                <w:color w:val="auto"/>
                <w:sz w:val="21"/>
                <w:szCs w:val="21"/>
                <w:lang w:val="en-US" w:eastAsia="zh-CN"/>
              </w:rPr>
              <w:t>设备整机免费保修</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年</w:t>
            </w:r>
          </w:p>
        </w:tc>
        <w:tc>
          <w:tcPr>
            <w:tcW w:w="1883" w:type="dxa"/>
            <w:tcBorders>
              <w:top w:val="single" w:color="000000" w:sz="6" w:space="0"/>
              <w:left w:val="single" w:color="000000" w:sz="6" w:space="0"/>
              <w:bottom w:val="single" w:color="000000" w:sz="6" w:space="0"/>
              <w:right w:val="single" w:color="000000" w:sz="6" w:space="0"/>
            </w:tcBorders>
          </w:tcPr>
          <w:p w14:paraId="1F58E915">
            <w:pPr>
              <w:pStyle w:val="41"/>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合同签订后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个日历日到货。</w:t>
            </w:r>
          </w:p>
        </w:tc>
        <w:tc>
          <w:tcPr>
            <w:tcW w:w="1213" w:type="dxa"/>
            <w:tcBorders>
              <w:top w:val="single" w:color="000000" w:sz="6" w:space="0"/>
              <w:left w:val="single" w:color="000000" w:sz="6" w:space="0"/>
              <w:bottom w:val="single" w:color="000000" w:sz="6" w:space="0"/>
            </w:tcBorders>
          </w:tcPr>
          <w:p w14:paraId="20B9C344">
            <w:pPr>
              <w:pStyle w:val="41"/>
              <w:rPr>
                <w:rFonts w:hint="eastAsia" w:ascii="仿宋" w:hAnsi="仿宋" w:eastAsia="仿宋" w:cs="仿宋"/>
                <w:color w:val="auto"/>
                <w:sz w:val="21"/>
                <w:szCs w:val="21"/>
              </w:rPr>
            </w:pPr>
          </w:p>
        </w:tc>
      </w:tr>
      <w:tr w14:paraId="0322A49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2" w:hRule="atLeast"/>
        </w:trPr>
        <w:tc>
          <w:tcPr>
            <w:tcW w:w="2149" w:type="dxa"/>
            <w:tcBorders>
              <w:top w:val="single" w:color="000000" w:sz="6" w:space="0"/>
              <w:bottom w:val="single" w:color="000000" w:sz="6" w:space="0"/>
              <w:right w:val="single" w:color="000000" w:sz="6" w:space="0"/>
            </w:tcBorders>
          </w:tcPr>
          <w:p w14:paraId="7A919ED3">
            <w:pPr>
              <w:pStyle w:val="41"/>
              <w:spacing w:before="142"/>
              <w:ind w:left="92"/>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总价：</w:t>
            </w:r>
          </w:p>
        </w:tc>
        <w:tc>
          <w:tcPr>
            <w:tcW w:w="6926" w:type="dxa"/>
            <w:gridSpan w:val="4"/>
            <w:tcBorders>
              <w:top w:val="single" w:color="000000" w:sz="6" w:space="0"/>
              <w:left w:val="single" w:color="000000" w:sz="6" w:space="0"/>
              <w:bottom w:val="single" w:color="000000" w:sz="6" w:space="0"/>
            </w:tcBorders>
          </w:tcPr>
          <w:p w14:paraId="6A46ECC7">
            <w:pPr>
              <w:pStyle w:val="41"/>
              <w:tabs>
                <w:tab w:val="left" w:pos="1837"/>
                <w:tab w:val="left" w:pos="2313"/>
                <w:tab w:val="left" w:pos="4040"/>
              </w:tabs>
              <w:spacing w:before="142"/>
              <w:ind w:left="107"/>
              <w:rPr>
                <w:rFonts w:hint="eastAsia" w:ascii="仿宋" w:hAnsi="仿宋" w:eastAsia="仿宋" w:cs="仿宋"/>
                <w:color w:val="auto"/>
                <w:sz w:val="21"/>
                <w:szCs w:val="21"/>
              </w:rPr>
            </w:pPr>
            <w:r>
              <w:rPr>
                <w:rFonts w:hint="eastAsia" w:ascii="仿宋" w:hAnsi="仿宋" w:eastAsia="仿宋" w:cs="仿宋"/>
                <w:color w:val="auto"/>
                <w:sz w:val="21"/>
                <w:szCs w:val="21"/>
              </w:rPr>
              <w:t>大写</w:t>
            </w:r>
            <w:r>
              <w:rPr>
                <w:rFonts w:hint="eastAsia" w:ascii="仿宋" w:hAnsi="仿宋" w:eastAsia="仿宋" w:cs="仿宋"/>
                <w:color w:val="auto"/>
                <w:spacing w:val="-3"/>
                <w:sz w:val="21"/>
                <w:szCs w:val="21"/>
              </w:rPr>
              <w:t>：</w:t>
            </w:r>
            <w:r>
              <w:rPr>
                <w:rFonts w:hint="eastAsia" w:ascii="仿宋" w:hAnsi="仿宋" w:eastAsia="仿宋" w:cs="仿宋"/>
                <w:color w:val="auto"/>
                <w:spacing w:val="-3"/>
                <w:sz w:val="21"/>
                <w:szCs w:val="21"/>
                <w:u w:val="single"/>
              </w:rPr>
              <w:t xml:space="preserve"> </w:t>
            </w:r>
            <w:r>
              <w:rPr>
                <w:rFonts w:hint="eastAsia" w:ascii="仿宋" w:hAnsi="仿宋" w:eastAsia="仿宋" w:cs="仿宋"/>
                <w:color w:val="auto"/>
                <w:spacing w:val="-3"/>
                <w:sz w:val="21"/>
                <w:szCs w:val="21"/>
                <w:u w:val="single"/>
              </w:rPr>
              <w:tab/>
            </w:r>
            <w:r>
              <w:rPr>
                <w:rFonts w:hint="eastAsia" w:ascii="仿宋" w:hAnsi="仿宋" w:eastAsia="仿宋" w:cs="仿宋"/>
                <w:color w:val="auto"/>
                <w:spacing w:val="-3"/>
                <w:sz w:val="21"/>
                <w:szCs w:val="21"/>
              </w:rPr>
              <w:tab/>
            </w:r>
            <w:r>
              <w:rPr>
                <w:rFonts w:hint="eastAsia" w:ascii="仿宋" w:hAnsi="仿宋" w:eastAsia="仿宋" w:cs="仿宋"/>
                <w:color w:val="auto"/>
                <w:spacing w:val="-3"/>
                <w:sz w:val="21"/>
                <w:szCs w:val="21"/>
              </w:rPr>
              <w:t>小</w:t>
            </w:r>
            <w:r>
              <w:rPr>
                <w:rFonts w:hint="eastAsia" w:ascii="仿宋" w:hAnsi="仿宋" w:eastAsia="仿宋" w:cs="仿宋"/>
                <w:color w:val="auto"/>
                <w:spacing w:val="-1"/>
                <w:sz w:val="21"/>
                <w:szCs w:val="21"/>
              </w:rPr>
              <w:t>写</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p>
        </w:tc>
      </w:tr>
      <w:tr w14:paraId="5565EDF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84" w:hRule="atLeast"/>
        </w:trPr>
        <w:tc>
          <w:tcPr>
            <w:tcW w:w="2149" w:type="dxa"/>
            <w:tcBorders>
              <w:top w:val="single" w:color="000000" w:sz="6" w:space="0"/>
              <w:right w:val="single" w:color="000000" w:sz="6" w:space="0"/>
            </w:tcBorders>
          </w:tcPr>
          <w:p w14:paraId="0ADB1ABA">
            <w:pPr>
              <w:pStyle w:val="41"/>
              <w:spacing w:before="142"/>
              <w:ind w:left="92"/>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备注：</w:t>
            </w:r>
          </w:p>
        </w:tc>
        <w:tc>
          <w:tcPr>
            <w:tcW w:w="6926" w:type="dxa"/>
            <w:gridSpan w:val="4"/>
            <w:tcBorders>
              <w:top w:val="single" w:color="000000" w:sz="6" w:space="0"/>
              <w:left w:val="single" w:color="000000" w:sz="6" w:space="0"/>
            </w:tcBorders>
          </w:tcPr>
          <w:p w14:paraId="26949076">
            <w:pPr>
              <w:pStyle w:val="41"/>
              <w:tabs>
                <w:tab w:val="left" w:pos="1837"/>
                <w:tab w:val="left" w:pos="2313"/>
                <w:tab w:val="left" w:pos="4040"/>
              </w:tabs>
              <w:spacing w:before="142"/>
              <w:ind w:left="107"/>
              <w:rPr>
                <w:rFonts w:hint="eastAsia" w:ascii="仿宋" w:hAnsi="仿宋" w:eastAsia="仿宋" w:cs="仿宋"/>
                <w:color w:val="auto"/>
                <w:sz w:val="21"/>
                <w:szCs w:val="21"/>
              </w:rPr>
            </w:pPr>
          </w:p>
        </w:tc>
      </w:tr>
    </w:tbl>
    <w:p w14:paraId="5058E1E8">
      <w:pPr>
        <w:spacing w:before="15"/>
        <w:ind w:left="360" w:right="0" w:firstLine="0"/>
        <w:jc w:val="left"/>
        <w:rPr>
          <w:rFonts w:hint="eastAsia" w:ascii="仿宋" w:hAnsi="仿宋" w:eastAsia="仿宋" w:cs="仿宋"/>
          <w:color w:val="auto"/>
          <w:sz w:val="21"/>
          <w:szCs w:val="21"/>
        </w:rPr>
      </w:pPr>
    </w:p>
    <w:p w14:paraId="7A46B94C">
      <w:pPr>
        <w:pStyle w:val="12"/>
        <w:tabs>
          <w:tab w:val="left" w:pos="1920"/>
          <w:tab w:val="left" w:pos="3840"/>
        </w:tabs>
        <w:ind w:left="36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电子签章</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rPr>
        <w:tab/>
      </w:r>
    </w:p>
    <w:p w14:paraId="30E7A67A">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电子</w:t>
      </w:r>
      <w:r>
        <w:rPr>
          <w:rFonts w:hint="eastAsia" w:ascii="仿宋" w:hAnsi="仿宋" w:eastAsia="仿宋" w:cs="仿宋"/>
          <w:color w:val="auto"/>
          <w:sz w:val="24"/>
          <w:szCs w:val="24"/>
          <w:u w:val="single"/>
        </w:rPr>
        <w:t>签章）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4A9F39ED">
      <w:pPr>
        <w:spacing w:before="15"/>
        <w:ind w:left="360" w:right="0" w:firstLine="0"/>
        <w:jc w:val="left"/>
        <w:rPr>
          <w:rFonts w:hint="eastAsia" w:ascii="仿宋" w:hAnsi="仿宋" w:eastAsia="仿宋" w:cs="仿宋"/>
          <w:color w:val="auto"/>
          <w:sz w:val="21"/>
          <w:szCs w:val="21"/>
        </w:rPr>
      </w:pPr>
    </w:p>
    <w:p w14:paraId="68E89F0C">
      <w:pPr>
        <w:spacing w:before="15"/>
        <w:ind w:left="360" w:right="0" w:firstLine="0"/>
        <w:jc w:val="left"/>
        <w:rPr>
          <w:rFonts w:hint="eastAsia" w:ascii="仿宋" w:hAnsi="仿宋" w:eastAsia="仿宋" w:cs="仿宋"/>
          <w:color w:val="auto"/>
          <w:sz w:val="21"/>
          <w:szCs w:val="21"/>
        </w:rPr>
      </w:pPr>
    </w:p>
    <w:p w14:paraId="4499A7F3">
      <w:pPr>
        <w:spacing w:before="15"/>
        <w:ind w:left="360" w:right="0" w:firstLine="0"/>
        <w:jc w:val="left"/>
        <w:rPr>
          <w:rFonts w:hint="eastAsia" w:ascii="仿宋" w:hAnsi="仿宋" w:eastAsia="仿宋" w:cs="仿宋"/>
          <w:color w:val="auto"/>
          <w:sz w:val="21"/>
          <w:szCs w:val="21"/>
        </w:rPr>
      </w:pPr>
    </w:p>
    <w:p w14:paraId="63849616">
      <w:pPr>
        <w:spacing w:before="15"/>
        <w:ind w:left="360" w:right="0" w:firstLine="0"/>
        <w:jc w:val="left"/>
        <w:rPr>
          <w:rFonts w:hint="eastAsia" w:ascii="仿宋" w:hAnsi="仿宋" w:eastAsia="仿宋" w:cs="仿宋"/>
          <w:color w:val="auto"/>
          <w:sz w:val="21"/>
          <w:szCs w:val="21"/>
        </w:rPr>
      </w:pPr>
    </w:p>
    <w:p w14:paraId="3D9CCBBF">
      <w:pPr>
        <w:spacing w:before="15"/>
        <w:ind w:left="360" w:right="0" w:firstLine="0"/>
        <w:jc w:val="left"/>
        <w:rPr>
          <w:rFonts w:hint="eastAsia" w:ascii="仿宋" w:hAnsi="仿宋" w:eastAsia="仿宋" w:cs="仿宋"/>
          <w:color w:val="auto"/>
          <w:sz w:val="21"/>
          <w:szCs w:val="21"/>
        </w:rPr>
      </w:pPr>
    </w:p>
    <w:p w14:paraId="4784FAAF">
      <w:pPr>
        <w:spacing w:before="15"/>
        <w:ind w:left="360" w:right="0" w:firstLine="0"/>
        <w:jc w:val="left"/>
        <w:rPr>
          <w:rFonts w:hint="eastAsia" w:ascii="仿宋" w:hAnsi="仿宋" w:eastAsia="仿宋" w:cs="仿宋"/>
          <w:color w:val="auto"/>
          <w:sz w:val="21"/>
          <w:szCs w:val="21"/>
        </w:rPr>
      </w:pPr>
    </w:p>
    <w:p w14:paraId="002CE631">
      <w:pPr>
        <w:spacing w:before="15"/>
        <w:ind w:left="360" w:right="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注 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本表中的</w:t>
      </w:r>
      <w:r>
        <w:rPr>
          <w:rFonts w:hint="eastAsia" w:ascii="仿宋" w:hAnsi="仿宋" w:eastAsia="仿宋" w:cs="仿宋"/>
          <w:color w:val="auto"/>
          <w:sz w:val="21"/>
          <w:szCs w:val="21"/>
          <w:lang w:val="en-US" w:eastAsia="zh-CN"/>
        </w:rPr>
        <w:t>总价</w:t>
      </w:r>
      <w:r>
        <w:rPr>
          <w:rFonts w:hint="eastAsia" w:ascii="仿宋" w:hAnsi="仿宋" w:eastAsia="仿宋" w:cs="仿宋"/>
          <w:color w:val="auto"/>
          <w:sz w:val="21"/>
          <w:szCs w:val="21"/>
        </w:rPr>
        <w:t>应与分项报价表中的相应报价完全一致。</w:t>
      </w:r>
    </w:p>
    <w:p w14:paraId="07558EBD">
      <w:pPr>
        <w:spacing w:before="2" w:line="244" w:lineRule="auto"/>
        <w:ind w:left="640" w:leftChars="0" w:right="554" w:firstLine="0" w:firstLineChars="0"/>
        <w:jc w:val="left"/>
        <w:rPr>
          <w:rFonts w:hint="eastAsia" w:ascii="仿宋" w:hAnsi="仿宋" w:eastAsia="仿宋" w:cs="仿宋"/>
          <w:color w:val="auto"/>
          <w:sz w:val="21"/>
          <w:szCs w:val="21"/>
        </w:rPr>
      </w:pPr>
      <w:r>
        <w:rPr>
          <w:rFonts w:hint="eastAsia" w:ascii="仿宋" w:hAnsi="仿宋" w:eastAsia="仿宋" w:cs="仿宋"/>
          <w:color w:val="auto"/>
          <w:spacing w:val="-22"/>
          <w:sz w:val="21"/>
          <w:szCs w:val="21"/>
        </w:rPr>
        <w:t>2</w:t>
      </w:r>
      <w:r>
        <w:rPr>
          <w:rFonts w:hint="eastAsia" w:ascii="仿宋" w:hAnsi="仿宋" w:eastAsia="仿宋" w:cs="仿宋"/>
          <w:color w:val="auto"/>
          <w:spacing w:val="-14"/>
          <w:sz w:val="21"/>
          <w:szCs w:val="21"/>
          <w:lang w:eastAsia="zh-CN"/>
        </w:rPr>
        <w:t>、</w:t>
      </w:r>
      <w:r>
        <w:rPr>
          <w:rFonts w:hint="eastAsia" w:ascii="仿宋" w:hAnsi="仿宋" w:eastAsia="仿宋" w:cs="仿宋"/>
          <w:color w:val="auto"/>
          <w:spacing w:val="-14"/>
          <w:sz w:val="21"/>
          <w:szCs w:val="21"/>
        </w:rPr>
        <w:t>此表中，总价应是所投</w:t>
      </w:r>
      <w:r>
        <w:rPr>
          <w:rFonts w:hint="eastAsia" w:ascii="仿宋" w:hAnsi="仿宋" w:eastAsia="仿宋" w:cs="仿宋"/>
          <w:color w:val="auto"/>
          <w:spacing w:val="-14"/>
          <w:sz w:val="21"/>
          <w:szCs w:val="21"/>
          <w:lang w:val="en-US" w:eastAsia="zh-CN"/>
        </w:rPr>
        <w:t>货物和</w:t>
      </w:r>
      <w:r>
        <w:rPr>
          <w:rFonts w:hint="eastAsia" w:ascii="仿宋" w:hAnsi="仿宋" w:eastAsia="仿宋" w:cs="仿宋"/>
          <w:color w:val="auto"/>
          <w:spacing w:val="-14"/>
          <w:sz w:val="21"/>
          <w:szCs w:val="21"/>
        </w:rPr>
        <w:t>服务的费用总和，包括</w:t>
      </w:r>
      <w:r>
        <w:rPr>
          <w:rFonts w:hint="eastAsia" w:ascii="仿宋" w:hAnsi="仿宋" w:eastAsia="仿宋" w:cs="仿宋"/>
          <w:color w:val="auto"/>
          <w:spacing w:val="-14"/>
          <w:sz w:val="21"/>
          <w:szCs w:val="21"/>
          <w:lang w:val="en-US" w:eastAsia="zh-CN"/>
        </w:rPr>
        <w:t>本项目采购需求和采购合同中要求的全部内容</w:t>
      </w:r>
      <w:r>
        <w:rPr>
          <w:rFonts w:hint="eastAsia" w:ascii="仿宋" w:hAnsi="仿宋" w:eastAsia="仿宋" w:cs="仿宋"/>
          <w:color w:val="auto"/>
          <w:spacing w:val="-7"/>
          <w:sz w:val="21"/>
          <w:szCs w:val="21"/>
        </w:rPr>
        <w:t>。</w:t>
      </w:r>
    </w:p>
    <w:p w14:paraId="3365A70D">
      <w:pPr>
        <w:spacing w:before="0" w:line="244" w:lineRule="auto"/>
        <w:ind w:left="640" w:leftChars="0" w:right="497"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如有优惠折扣申明，请在此表中列出。</w:t>
      </w:r>
    </w:p>
    <w:p w14:paraId="0CA51EAE">
      <w:pPr>
        <w:spacing w:before="2" w:line="244" w:lineRule="auto"/>
        <w:ind w:left="640" w:leftChars="0" w:right="554" w:firstLine="0" w:firstLineChars="0"/>
        <w:jc w:val="left"/>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val="en-US" w:eastAsia="zh-CN"/>
        </w:rPr>
        <w:t>4</w:t>
      </w:r>
      <w:r>
        <w:rPr>
          <w:rFonts w:hint="eastAsia" w:ascii="仿宋" w:hAnsi="仿宋" w:eastAsia="仿宋" w:cs="仿宋"/>
          <w:color w:val="auto"/>
          <w:spacing w:val="-14"/>
          <w:sz w:val="21"/>
          <w:szCs w:val="21"/>
        </w:rPr>
        <w:t>、除</w:t>
      </w:r>
      <w:r>
        <w:rPr>
          <w:rFonts w:hint="eastAsia" w:ascii="仿宋" w:hAnsi="仿宋" w:eastAsia="仿宋" w:cs="仿宋"/>
          <w:color w:val="auto"/>
          <w:spacing w:val="-14"/>
          <w:sz w:val="21"/>
          <w:szCs w:val="21"/>
          <w:lang w:val="en-US" w:eastAsia="zh-CN"/>
        </w:rPr>
        <w:t>投标</w:t>
      </w:r>
      <w:r>
        <w:rPr>
          <w:rFonts w:hint="eastAsia" w:ascii="仿宋" w:hAnsi="仿宋" w:eastAsia="仿宋" w:cs="仿宋"/>
          <w:color w:val="auto"/>
          <w:spacing w:val="-14"/>
          <w:sz w:val="21"/>
          <w:szCs w:val="21"/>
        </w:rPr>
        <w:t>文件内包含外，需另单独密封提交一份。</w:t>
      </w:r>
    </w:p>
    <w:p w14:paraId="089E58A5">
      <w:pPr>
        <w:spacing w:before="2" w:line="244" w:lineRule="auto"/>
        <w:ind w:left="640" w:leftChars="0" w:right="554" w:firstLine="0" w:firstLineChars="0"/>
        <w:jc w:val="left"/>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lang w:val="en-US" w:eastAsia="zh-CN"/>
        </w:rPr>
        <w:t>5</w:t>
      </w:r>
      <w:r>
        <w:rPr>
          <w:rFonts w:hint="eastAsia" w:ascii="仿宋" w:hAnsi="仿宋" w:eastAsia="仿宋" w:cs="仿宋"/>
          <w:color w:val="auto"/>
          <w:spacing w:val="-14"/>
          <w:sz w:val="21"/>
          <w:szCs w:val="21"/>
        </w:rPr>
        <w:t>、本表格式不得更改，投标人只能按要求填报。</w:t>
      </w:r>
    </w:p>
    <w:p w14:paraId="1DE00904">
      <w:pPr>
        <w:pStyle w:val="9"/>
        <w:rPr>
          <w:rFonts w:hint="eastAsia" w:ascii="仿宋" w:hAnsi="仿宋" w:eastAsia="仿宋" w:cs="仿宋"/>
          <w:color w:val="auto"/>
        </w:rPr>
      </w:pPr>
    </w:p>
    <w:p w14:paraId="3BFEDDD3">
      <w:pPr>
        <w:pStyle w:val="12"/>
        <w:rPr>
          <w:rFonts w:hint="eastAsia" w:ascii="仿宋" w:hAnsi="仿宋" w:eastAsia="仿宋" w:cs="仿宋"/>
          <w:color w:val="auto"/>
          <w:sz w:val="21"/>
          <w:szCs w:val="21"/>
        </w:rPr>
      </w:pPr>
    </w:p>
    <w:p w14:paraId="5D92EFAA">
      <w:pPr>
        <w:pStyle w:val="12"/>
        <w:rPr>
          <w:rFonts w:hint="eastAsia" w:ascii="仿宋" w:hAnsi="仿宋" w:eastAsia="仿宋" w:cs="仿宋"/>
          <w:color w:val="auto"/>
          <w:sz w:val="21"/>
          <w:szCs w:val="21"/>
        </w:rPr>
      </w:pPr>
    </w:p>
    <w:p w14:paraId="4A21109E">
      <w:pPr>
        <w:pStyle w:val="12"/>
        <w:spacing w:before="11"/>
        <w:rPr>
          <w:rFonts w:hint="eastAsia" w:ascii="仿宋" w:hAnsi="仿宋" w:eastAsia="仿宋" w:cs="仿宋"/>
          <w:color w:val="auto"/>
          <w:sz w:val="21"/>
          <w:szCs w:val="21"/>
        </w:rPr>
      </w:pPr>
    </w:p>
    <w:p w14:paraId="2A2D908D">
      <w:pPr>
        <w:spacing w:after="0" w:line="362" w:lineRule="auto"/>
        <w:rPr>
          <w:rFonts w:hint="eastAsia" w:ascii="仿宋" w:hAnsi="仿宋" w:eastAsia="仿宋" w:cs="仿宋"/>
          <w:color w:val="auto"/>
          <w:sz w:val="21"/>
          <w:szCs w:val="21"/>
        </w:rPr>
      </w:pPr>
    </w:p>
    <w:p w14:paraId="0EE23D31">
      <w:pPr>
        <w:pStyle w:val="30"/>
        <w:rPr>
          <w:rFonts w:hint="eastAsia" w:ascii="仿宋" w:hAnsi="仿宋" w:eastAsia="仿宋" w:cs="仿宋"/>
          <w:color w:val="auto"/>
          <w:sz w:val="21"/>
          <w:szCs w:val="21"/>
        </w:rPr>
      </w:pPr>
    </w:p>
    <w:p w14:paraId="10DE9B1D">
      <w:pPr>
        <w:pStyle w:val="30"/>
        <w:rPr>
          <w:rFonts w:hint="eastAsia" w:ascii="仿宋" w:hAnsi="仿宋" w:eastAsia="仿宋" w:cs="仿宋"/>
          <w:color w:val="auto"/>
          <w:sz w:val="21"/>
          <w:szCs w:val="21"/>
        </w:rPr>
      </w:pPr>
    </w:p>
    <w:p w14:paraId="1046651F">
      <w:pPr>
        <w:pStyle w:val="30"/>
        <w:rPr>
          <w:rFonts w:hint="eastAsia" w:ascii="仿宋" w:hAnsi="仿宋" w:eastAsia="仿宋" w:cs="仿宋"/>
          <w:color w:val="auto"/>
          <w:sz w:val="21"/>
          <w:szCs w:val="21"/>
        </w:rPr>
        <w:sectPr>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p>
    <w:p w14:paraId="68BFB43C">
      <w:pPr>
        <w:pStyle w:val="5"/>
        <w:spacing w:before="66"/>
        <w:outlineLvl w:val="3"/>
        <w:rPr>
          <w:rFonts w:hint="eastAsia" w:ascii="仿宋" w:hAnsi="仿宋" w:eastAsia="仿宋" w:cs="仿宋"/>
          <w:color w:val="auto"/>
          <w:sz w:val="28"/>
          <w:szCs w:val="28"/>
        </w:rPr>
      </w:pPr>
      <w:bookmarkStart w:id="116" w:name="_Toc507399520"/>
      <w:r>
        <w:rPr>
          <w:rFonts w:hint="eastAsia" w:ascii="仿宋" w:hAnsi="仿宋" w:eastAsia="仿宋" w:cs="仿宋"/>
          <w:color w:val="auto"/>
          <w:sz w:val="28"/>
          <w:szCs w:val="28"/>
        </w:rPr>
        <w:t xml:space="preserve">附件 </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 法定代表人（单位负责人）身份证明(统一格式)</w:t>
      </w:r>
    </w:p>
    <w:p w14:paraId="3D75A9D1">
      <w:pPr>
        <w:spacing w:before="0" w:line="360" w:lineRule="auto"/>
        <w:ind w:left="360" w:right="513" w:firstLine="480"/>
        <w:jc w:val="both"/>
        <w:rPr>
          <w:rFonts w:hint="eastAsia" w:ascii="仿宋" w:hAnsi="仿宋" w:eastAsia="仿宋" w:cs="仿宋"/>
          <w:color w:val="auto"/>
          <w:spacing w:val="-5"/>
          <w:w w:val="95"/>
          <w:sz w:val="21"/>
          <w:szCs w:val="21"/>
        </w:rPr>
      </w:pPr>
    </w:p>
    <w:p w14:paraId="283537DA">
      <w:pPr>
        <w:pStyle w:val="16"/>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法定代表人（单位负责人）身份证明</w:t>
      </w:r>
    </w:p>
    <w:p w14:paraId="13788178">
      <w:pPr>
        <w:pStyle w:val="16"/>
        <w:spacing w:line="360" w:lineRule="auto"/>
        <w:rPr>
          <w:rFonts w:hint="eastAsia" w:ascii="仿宋" w:hAnsi="仿宋" w:eastAsia="仿宋" w:cs="仿宋"/>
          <w:color w:val="auto"/>
          <w:sz w:val="24"/>
          <w:szCs w:val="24"/>
        </w:rPr>
      </w:pPr>
    </w:p>
    <w:p w14:paraId="16C6ECC4">
      <w:pPr>
        <w:pStyle w:val="16"/>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w:t>
      </w:r>
    </w:p>
    <w:p w14:paraId="5EB4D1EF">
      <w:pPr>
        <w:pStyle w:val="16"/>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lang w:val="en-US" w:eastAsia="zh-CN"/>
        </w:rPr>
        <w:t>身份证号码：</w:t>
      </w:r>
      <w:r>
        <w:rPr>
          <w:rFonts w:hint="eastAsia" w:ascii="仿宋" w:hAnsi="仿宋" w:eastAsia="仿宋" w:cs="仿宋"/>
          <w:color w:val="auto"/>
          <w:sz w:val="24"/>
          <w:szCs w:val="24"/>
          <w:u w:val="single"/>
        </w:rPr>
        <w:t xml:space="preserve">               </w:t>
      </w:r>
    </w:p>
    <w:p w14:paraId="59FEF9FF">
      <w:pPr>
        <w:pStyle w:val="16"/>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电话</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single"/>
        </w:rPr>
        <w:t xml:space="preserve">          </w:t>
      </w:r>
    </w:p>
    <w:p w14:paraId="3B04347D">
      <w:pPr>
        <w:pStyle w:val="16"/>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w:t>
      </w:r>
      <w:r>
        <w:rPr>
          <w:rFonts w:hint="eastAsia" w:ascii="仿宋" w:hAnsi="仿宋" w:eastAsia="仿宋" w:cs="仿宋"/>
          <w:color w:val="auto"/>
          <w:sz w:val="24"/>
          <w:szCs w:val="24"/>
        </w:rPr>
        <w:t>的法定代表人（单位负责人）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代表我公司办理</w:t>
      </w:r>
      <w:r>
        <w:rPr>
          <w:rFonts w:hint="eastAsia" w:ascii="仿宋" w:hAnsi="仿宋" w:eastAsia="仿宋" w:cs="仿宋"/>
          <w:color w:val="auto"/>
          <w:sz w:val="24"/>
          <w:szCs w:val="24"/>
          <w:u w:val="single"/>
          <w:lang w:val="en-US" w:eastAsia="zh-CN"/>
        </w:rPr>
        <w:t>项目名称及编号</w:t>
      </w:r>
      <w:r>
        <w:rPr>
          <w:rFonts w:hint="eastAsia" w:ascii="仿宋" w:hAnsi="仿宋" w:eastAsia="仿宋" w:cs="仿宋"/>
          <w:color w:val="auto"/>
          <w:sz w:val="24"/>
          <w:szCs w:val="24"/>
        </w:rPr>
        <w:t>招标投标活动的一切事</w:t>
      </w:r>
      <w:r>
        <w:rPr>
          <w:rFonts w:hint="eastAsia" w:ascii="仿宋" w:hAnsi="仿宋" w:eastAsia="仿宋" w:cs="仿宋"/>
          <w:color w:val="auto"/>
          <w:sz w:val="24"/>
          <w:szCs w:val="24"/>
          <w:lang w:val="en-US" w:eastAsia="zh-CN"/>
        </w:rPr>
        <w:t>务</w:t>
      </w:r>
      <w:r>
        <w:rPr>
          <w:rFonts w:hint="eastAsia" w:ascii="仿宋" w:hAnsi="仿宋" w:eastAsia="仿宋" w:cs="仿宋"/>
          <w:color w:val="auto"/>
          <w:sz w:val="24"/>
          <w:szCs w:val="24"/>
        </w:rPr>
        <w:t xml:space="preserve">，具有法律效力。 </w:t>
      </w:r>
    </w:p>
    <w:p w14:paraId="21C781EB">
      <w:pPr>
        <w:pStyle w:val="1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533C826F">
      <w:pPr>
        <w:pStyle w:val="16"/>
        <w:spacing w:line="360" w:lineRule="auto"/>
        <w:rPr>
          <w:rFonts w:hint="eastAsia" w:ascii="仿宋" w:hAnsi="仿宋" w:eastAsia="仿宋" w:cs="仿宋"/>
          <w:color w:val="auto"/>
          <w:sz w:val="24"/>
          <w:szCs w:val="24"/>
        </w:rPr>
      </w:pPr>
    </w:p>
    <w:p w14:paraId="733F2862">
      <w:pPr>
        <w:pStyle w:val="1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附：法定代表人（单位负责人）身份证</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p>
    <w:tbl>
      <w:tblPr>
        <w:tblStyle w:val="2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15BE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4BFAF955">
            <w:pPr>
              <w:spacing w:line="360" w:lineRule="auto"/>
              <w:jc w:val="center"/>
              <w:rPr>
                <w:rFonts w:hint="eastAsia" w:ascii="仿宋" w:hAnsi="仿宋" w:eastAsia="仿宋" w:cs="仿宋"/>
                <w:color w:val="auto"/>
                <w:sz w:val="20"/>
                <w:lang w:val="en-US" w:eastAsia="zh-CN"/>
              </w:rPr>
            </w:pPr>
            <w:r>
              <w:rPr>
                <w:rFonts w:hint="eastAsia" w:ascii="仿宋" w:hAnsi="仿宋" w:eastAsia="仿宋" w:cs="仿宋"/>
                <w:color w:val="auto"/>
                <w:spacing w:val="-3"/>
                <w:sz w:val="28"/>
                <w:szCs w:val="28"/>
              </w:rPr>
              <w:t>法</w:t>
            </w:r>
            <w:r>
              <w:rPr>
                <w:rFonts w:hint="eastAsia" w:ascii="仿宋" w:hAnsi="仿宋" w:eastAsia="仿宋" w:cs="仿宋"/>
                <w:color w:val="auto"/>
                <w:sz w:val="28"/>
                <w:szCs w:val="28"/>
              </w:rPr>
              <w:t>定</w:t>
            </w:r>
            <w:r>
              <w:rPr>
                <w:rFonts w:hint="eastAsia" w:ascii="仿宋" w:hAnsi="仿宋" w:eastAsia="仿宋" w:cs="仿宋"/>
                <w:color w:val="auto"/>
                <w:spacing w:val="-3"/>
                <w:sz w:val="28"/>
                <w:szCs w:val="28"/>
              </w:rPr>
              <w:t>代</w:t>
            </w:r>
            <w:r>
              <w:rPr>
                <w:rFonts w:hint="eastAsia" w:ascii="仿宋" w:hAnsi="仿宋" w:eastAsia="仿宋" w:cs="仿宋"/>
                <w:color w:val="auto"/>
                <w:sz w:val="28"/>
                <w:szCs w:val="28"/>
              </w:rPr>
              <w:t>表</w:t>
            </w:r>
            <w:r>
              <w:rPr>
                <w:rFonts w:hint="eastAsia" w:ascii="仿宋" w:hAnsi="仿宋" w:eastAsia="仿宋" w:cs="仿宋"/>
                <w:color w:val="auto"/>
                <w:spacing w:val="-3"/>
                <w:sz w:val="28"/>
                <w:szCs w:val="28"/>
              </w:rPr>
              <w:t>人</w:t>
            </w:r>
            <w:r>
              <w:rPr>
                <w:rFonts w:hint="eastAsia" w:ascii="仿宋" w:hAnsi="仿宋" w:eastAsia="仿宋" w:cs="仿宋"/>
                <w:color w:val="auto"/>
                <w:sz w:val="28"/>
                <w:szCs w:val="28"/>
              </w:rPr>
              <w:t>（</w:t>
            </w:r>
            <w:r>
              <w:rPr>
                <w:rFonts w:hint="eastAsia" w:ascii="仿宋" w:hAnsi="仿宋" w:eastAsia="仿宋" w:cs="仿宋"/>
                <w:color w:val="auto"/>
                <w:spacing w:val="-3"/>
                <w:sz w:val="28"/>
                <w:szCs w:val="28"/>
              </w:rPr>
              <w:t>单</w:t>
            </w:r>
            <w:r>
              <w:rPr>
                <w:rFonts w:hint="eastAsia" w:ascii="仿宋" w:hAnsi="仿宋" w:eastAsia="仿宋" w:cs="仿宋"/>
                <w:color w:val="auto"/>
                <w:sz w:val="28"/>
                <w:szCs w:val="28"/>
              </w:rPr>
              <w:t>位</w:t>
            </w:r>
            <w:r>
              <w:rPr>
                <w:rFonts w:hint="eastAsia" w:ascii="仿宋" w:hAnsi="仿宋" w:eastAsia="仿宋" w:cs="仿宋"/>
                <w:color w:val="auto"/>
                <w:spacing w:val="-3"/>
                <w:sz w:val="28"/>
                <w:szCs w:val="28"/>
              </w:rPr>
              <w:t>负</w:t>
            </w:r>
            <w:r>
              <w:rPr>
                <w:rFonts w:hint="eastAsia" w:ascii="仿宋" w:hAnsi="仿宋" w:eastAsia="仿宋" w:cs="仿宋"/>
                <w:color w:val="auto"/>
                <w:sz w:val="28"/>
                <w:szCs w:val="28"/>
              </w:rPr>
              <w:t>责人</w:t>
            </w:r>
            <w:r>
              <w:rPr>
                <w:rFonts w:hint="eastAsia" w:ascii="仿宋" w:hAnsi="仿宋" w:eastAsia="仿宋" w:cs="仿宋"/>
                <w:color w:val="auto"/>
                <w:spacing w:val="-3"/>
                <w:sz w:val="28"/>
                <w:szCs w:val="28"/>
              </w:rPr>
              <w:t>）</w:t>
            </w:r>
            <w:r>
              <w:rPr>
                <w:rFonts w:hint="eastAsia" w:ascii="仿宋" w:hAnsi="仿宋" w:eastAsia="仿宋" w:cs="仿宋"/>
                <w:color w:val="auto"/>
                <w:sz w:val="28"/>
                <w:szCs w:val="28"/>
              </w:rPr>
              <w:t>身</w:t>
            </w:r>
            <w:r>
              <w:rPr>
                <w:rFonts w:hint="eastAsia" w:ascii="仿宋" w:hAnsi="仿宋" w:eastAsia="仿宋" w:cs="仿宋"/>
                <w:color w:val="auto"/>
                <w:spacing w:val="-3"/>
                <w:sz w:val="28"/>
                <w:szCs w:val="28"/>
              </w:rPr>
              <w:t>份</w:t>
            </w:r>
            <w:r>
              <w:rPr>
                <w:rFonts w:hint="eastAsia" w:ascii="仿宋" w:hAnsi="仿宋" w:eastAsia="仿宋" w:cs="仿宋"/>
                <w:color w:val="auto"/>
                <w:sz w:val="28"/>
                <w:szCs w:val="28"/>
              </w:rPr>
              <w:t>证</w:t>
            </w:r>
            <w:r>
              <w:rPr>
                <w:rFonts w:hint="eastAsia" w:ascii="仿宋" w:hAnsi="仿宋" w:eastAsia="仿宋" w:cs="仿宋"/>
                <w:color w:val="auto"/>
                <w:spacing w:val="-3"/>
                <w:sz w:val="28"/>
                <w:szCs w:val="28"/>
                <w:lang w:val="en-US" w:eastAsia="zh-CN"/>
              </w:rPr>
              <w:t>双</w:t>
            </w:r>
            <w:r>
              <w:rPr>
                <w:rFonts w:hint="eastAsia" w:ascii="仿宋" w:hAnsi="仿宋" w:eastAsia="仿宋" w:cs="仿宋"/>
                <w:color w:val="auto"/>
                <w:spacing w:val="-3"/>
                <w:sz w:val="28"/>
                <w:szCs w:val="28"/>
              </w:rPr>
              <w:t>面</w:t>
            </w:r>
            <w:r>
              <w:rPr>
                <w:rFonts w:hint="eastAsia" w:ascii="仿宋" w:hAnsi="仿宋" w:eastAsia="仿宋" w:cs="仿宋"/>
                <w:color w:val="auto"/>
                <w:spacing w:val="-3"/>
                <w:sz w:val="28"/>
                <w:szCs w:val="28"/>
                <w:lang w:val="en-US" w:eastAsia="zh-CN"/>
              </w:rPr>
              <w:t>扫描件</w:t>
            </w:r>
          </w:p>
        </w:tc>
      </w:tr>
    </w:tbl>
    <w:p w14:paraId="0597DFAD">
      <w:pPr>
        <w:pStyle w:val="16"/>
        <w:spacing w:line="360" w:lineRule="auto"/>
        <w:rPr>
          <w:rFonts w:hint="eastAsia" w:ascii="仿宋" w:hAnsi="仿宋" w:eastAsia="仿宋" w:cs="仿宋"/>
          <w:color w:val="auto"/>
          <w:sz w:val="24"/>
          <w:szCs w:val="24"/>
          <w:u w:val="single"/>
        </w:rPr>
      </w:pPr>
    </w:p>
    <w:p w14:paraId="22EE2E72">
      <w:pPr>
        <w:pStyle w:val="16"/>
        <w:spacing w:line="360" w:lineRule="auto"/>
        <w:rPr>
          <w:rFonts w:hint="eastAsia" w:ascii="仿宋" w:hAnsi="仿宋" w:eastAsia="仿宋" w:cs="仿宋"/>
          <w:color w:val="auto"/>
          <w:sz w:val="24"/>
          <w:szCs w:val="24"/>
          <w:u w:val="single"/>
        </w:rPr>
      </w:pPr>
    </w:p>
    <w:p w14:paraId="534C87ED">
      <w:pPr>
        <w:pStyle w:val="16"/>
        <w:spacing w:line="360" w:lineRule="auto"/>
        <w:rPr>
          <w:rFonts w:hint="eastAsia" w:ascii="仿宋" w:hAnsi="仿宋" w:eastAsia="仿宋" w:cs="仿宋"/>
          <w:color w:val="auto"/>
          <w:sz w:val="24"/>
          <w:szCs w:val="24"/>
          <w:u w:val="single"/>
        </w:rPr>
      </w:pPr>
    </w:p>
    <w:p w14:paraId="3CD4D0D3">
      <w:pPr>
        <w:pStyle w:val="16"/>
        <w:spacing w:line="360" w:lineRule="auto"/>
        <w:rPr>
          <w:rFonts w:hint="eastAsia" w:ascii="仿宋" w:hAnsi="仿宋" w:eastAsia="仿宋" w:cs="仿宋"/>
          <w:color w:val="auto"/>
          <w:sz w:val="24"/>
          <w:szCs w:val="24"/>
          <w:u w:val="single"/>
        </w:rPr>
      </w:pPr>
    </w:p>
    <w:p w14:paraId="7D839069">
      <w:pPr>
        <w:widowControl/>
        <w:spacing w:line="360" w:lineRule="auto"/>
        <w:jc w:val="right"/>
        <w:rPr>
          <w:rFonts w:hint="eastAsia" w:ascii="仿宋" w:hAnsi="仿宋" w:eastAsia="仿宋" w:cs="仿宋"/>
          <w:color w:val="auto"/>
          <w:sz w:val="24"/>
        </w:rPr>
      </w:pPr>
      <w:r>
        <w:rPr>
          <w:rFonts w:hint="eastAsia" w:ascii="仿宋" w:hAnsi="仿宋" w:eastAsia="仿宋" w:cs="仿宋"/>
          <w:color w:val="auto"/>
          <w:kern w:val="0"/>
          <w:sz w:val="24"/>
          <w:lang w:bidi="ar"/>
        </w:rPr>
        <w:t>投标人：</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 xml:space="preserve"> （</w:t>
      </w:r>
      <w:r>
        <w:rPr>
          <w:rFonts w:hint="eastAsia" w:ascii="仿宋" w:hAnsi="仿宋" w:eastAsia="仿宋" w:cs="仿宋"/>
          <w:color w:val="auto"/>
          <w:kern w:val="0"/>
          <w:sz w:val="24"/>
          <w:lang w:val="en-US" w:eastAsia="zh-CN" w:bidi="ar"/>
        </w:rPr>
        <w:t>电子签</w:t>
      </w:r>
      <w:r>
        <w:rPr>
          <w:rFonts w:hint="eastAsia" w:ascii="仿宋" w:hAnsi="仿宋" w:eastAsia="仿宋" w:cs="仿宋"/>
          <w:color w:val="auto"/>
          <w:kern w:val="0"/>
          <w:sz w:val="24"/>
          <w:lang w:bidi="ar"/>
        </w:rPr>
        <w:t>章）</w:t>
      </w:r>
    </w:p>
    <w:p w14:paraId="79389CA2">
      <w:pPr>
        <w:widowControl/>
        <w:spacing w:line="360" w:lineRule="auto"/>
        <w:ind w:firstLine="4560" w:firstLineChars="1900"/>
        <w:jc w:val="left"/>
        <w:rPr>
          <w:rFonts w:hint="eastAsia" w:ascii="仿宋" w:hAnsi="仿宋" w:eastAsia="仿宋" w:cs="仿宋"/>
          <w:color w:val="auto"/>
          <w:sz w:val="24"/>
          <w:u w:val="single"/>
        </w:rPr>
      </w:pPr>
      <w:r>
        <w:rPr>
          <w:rFonts w:hint="eastAsia" w:ascii="仿宋" w:hAnsi="仿宋" w:eastAsia="仿宋" w:cs="仿宋"/>
          <w:color w:val="auto"/>
          <w:kern w:val="0"/>
          <w:sz w:val="24"/>
          <w:u w:val="single"/>
          <w:lang w:bidi="ar"/>
        </w:rPr>
        <w:t xml:space="preserve">      年     月     日</w:t>
      </w:r>
    </w:p>
    <w:p w14:paraId="2EB7FAE2">
      <w:pPr>
        <w:rPr>
          <w:rFonts w:hint="eastAsia" w:ascii="仿宋" w:hAnsi="仿宋" w:eastAsia="仿宋" w:cs="仿宋"/>
          <w:color w:val="auto"/>
          <w:spacing w:val="-5"/>
          <w:w w:val="95"/>
          <w:sz w:val="21"/>
          <w:szCs w:val="21"/>
        </w:rPr>
      </w:pPr>
      <w:r>
        <w:rPr>
          <w:rFonts w:hint="eastAsia" w:ascii="仿宋" w:hAnsi="仿宋" w:eastAsia="仿宋" w:cs="仿宋"/>
          <w:color w:val="auto"/>
          <w:spacing w:val="-5"/>
          <w:w w:val="95"/>
          <w:sz w:val="21"/>
          <w:szCs w:val="21"/>
        </w:rPr>
        <w:br w:type="page"/>
      </w:r>
    </w:p>
    <w:p w14:paraId="4CAE5B9F">
      <w:pPr>
        <w:pStyle w:val="5"/>
        <w:spacing w:before="66"/>
        <w:outlineLvl w:val="3"/>
        <w:rPr>
          <w:rFonts w:hint="eastAsia" w:ascii="仿宋" w:hAnsi="仿宋" w:eastAsia="仿宋" w:cs="仿宋"/>
          <w:color w:val="auto"/>
          <w:sz w:val="21"/>
          <w:szCs w:val="21"/>
        </w:rPr>
      </w:pPr>
      <w:r>
        <w:rPr>
          <w:rFonts w:hint="eastAsia" w:ascii="仿宋" w:hAnsi="仿宋" w:eastAsia="仿宋" w:cs="仿宋"/>
          <w:color w:val="auto"/>
          <w:sz w:val="21"/>
          <w:szCs w:val="21"/>
        </w:rPr>
        <w:t xml:space="preserve">附件 </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法定代表人授权书(统一格式)</w:t>
      </w:r>
    </w:p>
    <w:p w14:paraId="7F679D53">
      <w:pPr>
        <w:spacing w:before="0" w:line="360" w:lineRule="auto"/>
        <w:ind w:left="0" w:leftChars="0" w:right="106" w:rightChars="0" w:firstLine="480" w:firstLineChars="0"/>
        <w:jc w:val="center"/>
        <w:rPr>
          <w:rFonts w:hint="eastAsia" w:ascii="仿宋" w:hAnsi="仿宋" w:eastAsia="仿宋" w:cs="仿宋"/>
          <w:b/>
          <w:bCs/>
          <w:color w:val="auto"/>
          <w:spacing w:val="-5"/>
          <w:w w:val="95"/>
          <w:sz w:val="32"/>
          <w:szCs w:val="32"/>
        </w:rPr>
      </w:pPr>
      <w:r>
        <w:rPr>
          <w:rFonts w:hint="eastAsia" w:ascii="仿宋" w:hAnsi="仿宋" w:eastAsia="仿宋" w:cs="仿宋"/>
          <w:b/>
          <w:bCs/>
          <w:color w:val="auto"/>
          <w:sz w:val="32"/>
          <w:szCs w:val="32"/>
        </w:rPr>
        <w:t>法定代表人授权书</w:t>
      </w:r>
    </w:p>
    <w:p w14:paraId="7ED20DFD">
      <w:pPr>
        <w:spacing w:before="0" w:line="360" w:lineRule="auto"/>
        <w:ind w:left="0" w:leftChars="0" w:right="106" w:rightChars="0" w:firstLine="480" w:firstLineChars="0"/>
        <w:jc w:val="both"/>
        <w:rPr>
          <w:rFonts w:hint="eastAsia" w:ascii="仿宋" w:hAnsi="仿宋" w:eastAsia="仿宋" w:cs="仿宋"/>
          <w:color w:val="auto"/>
          <w:sz w:val="24"/>
          <w:szCs w:val="24"/>
        </w:rPr>
      </w:pPr>
      <w:r>
        <w:rPr>
          <w:rFonts w:hint="eastAsia" w:ascii="仿宋" w:hAnsi="仿宋" w:eastAsia="仿宋" w:cs="仿宋"/>
          <w:color w:val="auto"/>
          <w:spacing w:val="-5"/>
          <w:w w:val="95"/>
          <w:sz w:val="24"/>
          <w:szCs w:val="24"/>
        </w:rPr>
        <w:t>本授权书声明：注册于</w:t>
      </w:r>
      <w:r>
        <w:rPr>
          <w:rFonts w:hint="eastAsia" w:ascii="仿宋" w:hAnsi="仿宋" w:eastAsia="仿宋" w:cs="仿宋"/>
          <w:color w:val="auto"/>
          <w:w w:val="95"/>
          <w:sz w:val="24"/>
          <w:szCs w:val="24"/>
          <w:u w:val="single"/>
        </w:rPr>
        <w:t>（国家或地区的名称</w:t>
      </w:r>
      <w:r>
        <w:rPr>
          <w:rFonts w:hint="eastAsia" w:ascii="仿宋" w:hAnsi="仿宋" w:eastAsia="仿宋" w:cs="仿宋"/>
          <w:color w:val="auto"/>
          <w:spacing w:val="-17"/>
          <w:w w:val="95"/>
          <w:sz w:val="24"/>
          <w:szCs w:val="24"/>
          <w:u w:val="single"/>
        </w:rPr>
        <w:t>）</w:t>
      </w:r>
      <w:r>
        <w:rPr>
          <w:rFonts w:hint="eastAsia" w:ascii="仿宋" w:hAnsi="仿宋" w:eastAsia="仿宋" w:cs="仿宋"/>
          <w:color w:val="auto"/>
          <w:spacing w:val="-15"/>
          <w:w w:val="95"/>
          <w:sz w:val="24"/>
          <w:szCs w:val="24"/>
        </w:rPr>
        <w:t>的</w:t>
      </w:r>
      <w:r>
        <w:rPr>
          <w:rFonts w:hint="eastAsia" w:ascii="仿宋" w:hAnsi="仿宋" w:eastAsia="仿宋" w:cs="仿宋"/>
          <w:color w:val="auto"/>
          <w:w w:val="95"/>
          <w:sz w:val="24"/>
          <w:szCs w:val="24"/>
          <w:u w:val="single"/>
        </w:rPr>
        <w:t>（</w:t>
      </w:r>
      <w:r>
        <w:rPr>
          <w:rFonts w:hint="eastAsia" w:ascii="仿宋" w:hAnsi="仿宋" w:eastAsia="仿宋" w:cs="仿宋"/>
          <w:color w:val="auto"/>
          <w:spacing w:val="-4"/>
          <w:w w:val="95"/>
          <w:sz w:val="24"/>
          <w:szCs w:val="24"/>
          <w:u w:val="single"/>
          <w:lang w:val="en-US" w:eastAsia="zh-CN"/>
        </w:rPr>
        <w:t>投标人名称</w:t>
      </w:r>
      <w:r>
        <w:rPr>
          <w:rFonts w:hint="eastAsia" w:ascii="仿宋" w:hAnsi="仿宋" w:eastAsia="仿宋" w:cs="仿宋"/>
          <w:color w:val="auto"/>
          <w:spacing w:val="-15"/>
          <w:w w:val="95"/>
          <w:sz w:val="24"/>
          <w:szCs w:val="24"/>
          <w:u w:val="single"/>
        </w:rPr>
        <w:t>）</w:t>
      </w:r>
      <w:r>
        <w:rPr>
          <w:rFonts w:hint="eastAsia" w:ascii="仿宋" w:hAnsi="仿宋" w:eastAsia="仿宋" w:cs="仿宋"/>
          <w:color w:val="auto"/>
          <w:spacing w:val="-3"/>
          <w:w w:val="95"/>
          <w:sz w:val="24"/>
          <w:szCs w:val="24"/>
        </w:rPr>
        <w:t>的在下面签字的</w:t>
      </w:r>
      <w:r>
        <w:rPr>
          <w:rFonts w:hint="eastAsia" w:ascii="仿宋" w:hAnsi="仿宋" w:eastAsia="仿宋" w:cs="仿宋"/>
          <w:color w:val="auto"/>
          <w:w w:val="95"/>
          <w:sz w:val="24"/>
          <w:szCs w:val="24"/>
          <w:u w:val="single"/>
        </w:rPr>
        <w:t>（</w:t>
      </w:r>
      <w:r>
        <w:rPr>
          <w:rFonts w:hint="eastAsia" w:ascii="仿宋" w:hAnsi="仿宋" w:eastAsia="仿宋" w:cs="仿宋"/>
          <w:color w:val="auto"/>
          <w:spacing w:val="-4"/>
          <w:w w:val="95"/>
          <w:sz w:val="24"/>
          <w:szCs w:val="24"/>
          <w:u w:val="single"/>
          <w:lang w:val="en-US" w:eastAsia="zh-CN"/>
        </w:rPr>
        <w:t>法人代表姓名</w:t>
      </w:r>
      <w:r>
        <w:rPr>
          <w:rFonts w:hint="eastAsia" w:ascii="仿宋" w:hAnsi="仿宋" w:eastAsia="仿宋" w:cs="仿宋"/>
          <w:color w:val="auto"/>
          <w:spacing w:val="-4"/>
          <w:w w:val="95"/>
          <w:sz w:val="24"/>
          <w:szCs w:val="24"/>
          <w:u w:val="single"/>
        </w:rPr>
        <w:t>、职务</w:t>
      </w:r>
      <w:r>
        <w:rPr>
          <w:rFonts w:hint="eastAsia" w:ascii="仿宋" w:hAnsi="仿宋" w:eastAsia="仿宋" w:cs="仿宋"/>
          <w:color w:val="auto"/>
          <w:spacing w:val="-15"/>
          <w:w w:val="95"/>
          <w:sz w:val="24"/>
          <w:szCs w:val="24"/>
          <w:u w:val="single"/>
        </w:rPr>
        <w:t>）</w:t>
      </w:r>
      <w:r>
        <w:rPr>
          <w:rFonts w:hint="eastAsia" w:ascii="仿宋" w:hAnsi="仿宋" w:eastAsia="仿宋" w:cs="仿宋"/>
          <w:color w:val="auto"/>
          <w:spacing w:val="-4"/>
          <w:w w:val="95"/>
          <w:sz w:val="24"/>
          <w:szCs w:val="24"/>
        </w:rPr>
        <w:t>代表本公司授权</w:t>
      </w:r>
      <w:r>
        <w:rPr>
          <w:rFonts w:hint="eastAsia" w:ascii="仿宋" w:hAnsi="仿宋" w:eastAsia="仿宋" w:cs="仿宋"/>
          <w:color w:val="auto"/>
          <w:w w:val="95"/>
          <w:sz w:val="24"/>
          <w:szCs w:val="24"/>
          <w:u w:val="single"/>
        </w:rPr>
        <w:t>（</w:t>
      </w:r>
      <w:r>
        <w:rPr>
          <w:rFonts w:hint="eastAsia" w:ascii="仿宋" w:hAnsi="仿宋" w:eastAsia="仿宋" w:cs="仿宋"/>
          <w:color w:val="auto"/>
          <w:spacing w:val="-4"/>
          <w:w w:val="95"/>
          <w:sz w:val="24"/>
          <w:szCs w:val="24"/>
          <w:u w:val="single"/>
          <w:lang w:val="en-US" w:eastAsia="zh-CN"/>
        </w:rPr>
        <w:t>投标人名称</w:t>
      </w:r>
      <w:r>
        <w:rPr>
          <w:rFonts w:hint="eastAsia" w:ascii="仿宋" w:hAnsi="仿宋" w:eastAsia="仿宋" w:cs="仿宋"/>
          <w:color w:val="auto"/>
          <w:spacing w:val="-15"/>
          <w:w w:val="95"/>
          <w:sz w:val="24"/>
          <w:szCs w:val="24"/>
          <w:u w:val="single"/>
        </w:rPr>
        <w:t>）</w:t>
      </w:r>
      <w:r>
        <w:rPr>
          <w:rFonts w:hint="eastAsia" w:ascii="仿宋" w:hAnsi="仿宋" w:eastAsia="仿宋" w:cs="仿宋"/>
          <w:color w:val="auto"/>
          <w:spacing w:val="-3"/>
          <w:w w:val="95"/>
          <w:sz w:val="24"/>
          <w:szCs w:val="24"/>
        </w:rPr>
        <w:t>的在下面签字的</w:t>
      </w:r>
      <w:r>
        <w:rPr>
          <w:rFonts w:hint="eastAsia" w:ascii="仿宋" w:hAnsi="仿宋" w:eastAsia="仿宋" w:cs="仿宋"/>
          <w:color w:val="auto"/>
          <w:w w:val="95"/>
          <w:sz w:val="24"/>
          <w:szCs w:val="24"/>
          <w:u w:val="single"/>
        </w:rPr>
        <w:t>（</w:t>
      </w:r>
      <w:r>
        <w:rPr>
          <w:rFonts w:hint="eastAsia" w:ascii="仿宋" w:hAnsi="仿宋" w:eastAsia="仿宋" w:cs="仿宋"/>
          <w:color w:val="auto"/>
          <w:spacing w:val="-3"/>
          <w:w w:val="95"/>
          <w:sz w:val="24"/>
          <w:szCs w:val="24"/>
          <w:u w:val="single"/>
        </w:rPr>
        <w:t xml:space="preserve">被授权人的姓名、职务 </w:t>
      </w:r>
      <w:r>
        <w:rPr>
          <w:rFonts w:hint="eastAsia" w:ascii="仿宋" w:hAnsi="仿宋" w:eastAsia="仿宋" w:cs="仿宋"/>
          <w:color w:val="auto"/>
          <w:spacing w:val="-20"/>
          <w:w w:val="95"/>
          <w:sz w:val="24"/>
          <w:szCs w:val="24"/>
          <w:u w:val="single"/>
        </w:rPr>
        <w:t>）</w:t>
      </w:r>
      <w:r>
        <w:rPr>
          <w:rFonts w:hint="eastAsia" w:ascii="仿宋" w:hAnsi="仿宋" w:eastAsia="仿宋" w:cs="仿宋"/>
          <w:color w:val="auto"/>
          <w:spacing w:val="-4"/>
          <w:w w:val="95"/>
          <w:sz w:val="24"/>
          <w:szCs w:val="24"/>
        </w:rPr>
        <w:t>为本公司的合法代理人，就</w:t>
      </w:r>
      <w:r>
        <w:rPr>
          <w:rFonts w:hint="eastAsia" w:ascii="仿宋" w:hAnsi="仿宋" w:eastAsia="仿宋" w:cs="仿宋"/>
          <w:color w:val="auto"/>
          <w:w w:val="95"/>
          <w:sz w:val="24"/>
          <w:szCs w:val="24"/>
          <w:u w:val="single"/>
        </w:rPr>
        <w:t>（</w:t>
      </w:r>
      <w:r>
        <w:rPr>
          <w:rFonts w:hint="eastAsia" w:ascii="仿宋" w:hAnsi="仿宋" w:eastAsia="仿宋" w:cs="仿宋"/>
          <w:color w:val="auto"/>
          <w:spacing w:val="-3"/>
          <w:w w:val="95"/>
          <w:sz w:val="24"/>
          <w:szCs w:val="24"/>
          <w:u w:val="single"/>
        </w:rPr>
        <w:t>项目名称</w:t>
      </w:r>
      <w:r>
        <w:rPr>
          <w:rFonts w:hint="eastAsia" w:ascii="仿宋" w:hAnsi="仿宋" w:eastAsia="仿宋" w:cs="仿宋"/>
          <w:color w:val="auto"/>
          <w:spacing w:val="-3"/>
          <w:w w:val="95"/>
          <w:sz w:val="24"/>
          <w:szCs w:val="24"/>
          <w:u w:val="single"/>
          <w:lang w:val="en-US" w:eastAsia="zh-CN"/>
        </w:rPr>
        <w:t>及编号</w:t>
      </w:r>
      <w:r>
        <w:rPr>
          <w:rFonts w:hint="eastAsia" w:ascii="仿宋" w:hAnsi="仿宋" w:eastAsia="仿宋" w:cs="仿宋"/>
          <w:color w:val="auto"/>
          <w:spacing w:val="-17"/>
          <w:w w:val="95"/>
          <w:sz w:val="24"/>
          <w:szCs w:val="24"/>
          <w:u w:val="single"/>
        </w:rPr>
        <w:t>）</w:t>
      </w:r>
      <w:r>
        <w:rPr>
          <w:rFonts w:hint="eastAsia" w:ascii="仿宋" w:hAnsi="仿宋" w:eastAsia="仿宋" w:cs="仿宋"/>
          <w:color w:val="auto"/>
          <w:spacing w:val="-4"/>
          <w:w w:val="95"/>
          <w:sz w:val="24"/>
          <w:szCs w:val="24"/>
        </w:rPr>
        <w:t>的投标，以本公司名义处理一切与之有关的</w:t>
      </w:r>
      <w:r>
        <w:rPr>
          <w:rFonts w:hint="eastAsia" w:ascii="仿宋" w:hAnsi="仿宋" w:eastAsia="仿宋" w:cs="仿宋"/>
          <w:color w:val="auto"/>
          <w:sz w:val="24"/>
          <w:szCs w:val="24"/>
        </w:rPr>
        <w:t>事务。</w:t>
      </w:r>
    </w:p>
    <w:p w14:paraId="4F33E7BA">
      <w:pPr>
        <w:pStyle w:val="12"/>
        <w:tabs>
          <w:tab w:val="left" w:pos="3360"/>
          <w:tab w:val="left" w:pos="4200"/>
          <w:tab w:val="left" w:pos="5041"/>
        </w:tabs>
        <w:spacing w:before="6"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日签字生效,特此声明。</w:t>
      </w:r>
    </w:p>
    <w:p w14:paraId="17A1B28C">
      <w:pPr>
        <w:pStyle w:val="12"/>
        <w:spacing w:before="11"/>
        <w:rPr>
          <w:rFonts w:hint="eastAsia" w:ascii="仿宋" w:hAnsi="仿宋" w:eastAsia="仿宋" w:cs="仿宋"/>
          <w:color w:val="auto"/>
          <w:sz w:val="24"/>
          <w:szCs w:val="24"/>
        </w:rPr>
      </w:pPr>
    </w:p>
    <w:p w14:paraId="75D67D7A">
      <w:pPr>
        <w:pStyle w:val="12"/>
        <w:keepNext w:val="0"/>
        <w:keepLines w:val="0"/>
        <w:pageBreakBefore w:val="0"/>
        <w:widowControl w:val="0"/>
        <w:tabs>
          <w:tab w:val="left" w:pos="6296"/>
          <w:tab w:val="left" w:pos="641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盖章</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52DC36E3">
      <w:pPr>
        <w:pStyle w:val="12"/>
        <w:keepNext w:val="0"/>
        <w:keepLines w:val="0"/>
        <w:pageBreakBefore w:val="0"/>
        <w:widowControl w:val="0"/>
        <w:tabs>
          <w:tab w:val="left" w:pos="6296"/>
          <w:tab w:val="left" w:pos="641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0D200F05">
      <w:pPr>
        <w:pStyle w:val="12"/>
        <w:keepNext w:val="0"/>
        <w:keepLines w:val="0"/>
        <w:pageBreakBefore w:val="0"/>
        <w:widowControl w:val="0"/>
        <w:tabs>
          <w:tab w:val="left" w:pos="6296"/>
          <w:tab w:val="left" w:pos="641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79C5A463">
      <w:pPr>
        <w:pStyle w:val="12"/>
        <w:keepNext w:val="0"/>
        <w:keepLines w:val="0"/>
        <w:pageBreakBefore w:val="0"/>
        <w:widowControl w:val="0"/>
        <w:kinsoku/>
        <w:wordWrap/>
        <w:overflowPunct/>
        <w:topLinePunct w:val="0"/>
        <w:autoSpaceDE/>
        <w:autoSpaceDN/>
        <w:bidi w:val="0"/>
        <w:adjustRightInd/>
        <w:snapToGrid/>
        <w:spacing w:line="360" w:lineRule="auto"/>
        <w:ind w:left="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w:t>
      </w:r>
    </w:p>
    <w:p w14:paraId="7916CD06">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3AE628E4">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6B337DC8">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详细通讯地址：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1CB4CB21">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邮 政 编</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码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617EA37A">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电  子 邮 箱</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14:paraId="42BD8CC5">
      <w:pPr>
        <w:pStyle w:val="12"/>
        <w:keepNext w:val="0"/>
        <w:keepLines w:val="0"/>
        <w:pageBreakBefore w:val="0"/>
        <w:widowControl w:val="0"/>
        <w:tabs>
          <w:tab w:val="left" w:pos="6476"/>
        </w:tabs>
        <w:kinsoku/>
        <w:wordWrap/>
        <w:overflowPunct/>
        <w:topLinePunct w:val="0"/>
        <w:autoSpaceDE/>
        <w:autoSpaceDN/>
        <w:bidi w:val="0"/>
        <w:adjustRightInd/>
        <w:snapToGrid/>
        <w:spacing w:line="360" w:lineRule="auto"/>
        <w:ind w:left="0" w:right="0" w:righ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06D13A03">
      <w:pPr>
        <w:pStyle w:val="12"/>
        <w:spacing w:before="6"/>
        <w:rPr>
          <w:rFonts w:hint="eastAsia" w:ascii="仿宋" w:hAnsi="仿宋" w:eastAsia="仿宋" w:cs="仿宋"/>
          <w:color w:val="auto"/>
          <w:sz w:val="21"/>
          <w:szCs w:val="21"/>
        </w:rPr>
      </w:pPr>
    </w:p>
    <w:p w14:paraId="39C2C578">
      <w:pPr>
        <w:pStyle w:val="12"/>
        <w:rPr>
          <w:rFonts w:hint="eastAsia" w:ascii="仿宋" w:hAnsi="仿宋" w:eastAsia="仿宋" w:cs="仿宋"/>
          <w:color w:val="auto"/>
          <w:sz w:val="21"/>
          <w:szCs w:val="21"/>
        </w:rPr>
      </w:pPr>
      <w:r>
        <w:rPr>
          <w:rFonts w:hint="eastAsia" w:ascii="仿宋" w:hAnsi="仿宋" w:eastAsia="仿宋" w:cs="仿宋"/>
          <w:color w:val="auto"/>
          <w:sz w:val="21"/>
          <w:szCs w:val="21"/>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7B7A817">
                            <w:pPr>
                              <w:pStyle w:val="12"/>
                              <w:keepNext w:val="0"/>
                              <w:keepLines w:val="0"/>
                              <w:pageBreakBefore w:val="0"/>
                              <w:widowControl w:val="0"/>
                              <w:kinsoku/>
                              <w:wordWrap/>
                              <w:overflowPunct/>
                              <w:topLinePunct w:val="0"/>
                              <w:autoSpaceDE w:val="0"/>
                              <w:autoSpaceDN w:val="0"/>
                              <w:bidi w:val="0"/>
                              <w:adjustRightInd/>
                              <w:snapToGrid/>
                              <w:ind w:right="0" w:firstLine="480" w:firstLineChars="200"/>
                              <w:jc w:val="both"/>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lang w:eastAsia="zh-CN"/>
                              </w:rPr>
                              <w:t>件</w:t>
                            </w:r>
                          </w:p>
                          <w:p w14:paraId="289DDEC4">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5168;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07B7A817">
                      <w:pPr>
                        <w:pStyle w:val="12"/>
                        <w:keepNext w:val="0"/>
                        <w:keepLines w:val="0"/>
                        <w:pageBreakBefore w:val="0"/>
                        <w:widowControl w:val="0"/>
                        <w:kinsoku/>
                        <w:wordWrap/>
                        <w:overflowPunct/>
                        <w:topLinePunct w:val="0"/>
                        <w:autoSpaceDE w:val="0"/>
                        <w:autoSpaceDN w:val="0"/>
                        <w:bidi w:val="0"/>
                        <w:adjustRightInd/>
                        <w:snapToGrid/>
                        <w:ind w:right="0" w:firstLine="480" w:firstLineChars="200"/>
                        <w:jc w:val="both"/>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lang w:eastAsia="zh-CN"/>
                        </w:rPr>
                        <w:t>件</w:t>
                      </w:r>
                    </w:p>
                    <w:p w14:paraId="289DDEC4">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2411091">
                            <w:pPr>
                              <w:pStyle w:val="12"/>
                              <w:ind w:left="417" w:right="416"/>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eastAsia="zh-CN"/>
                              </w:rPr>
                              <w:t>扫描件</w:t>
                            </w:r>
                          </w:p>
                          <w:p w14:paraId="2D57EB5C">
                            <w:pPr>
                              <w:pStyle w:val="12"/>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4144;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62411091">
                      <w:pPr>
                        <w:pStyle w:val="12"/>
                        <w:ind w:left="417" w:right="416"/>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eastAsia="zh-CN"/>
                        </w:rPr>
                        <w:t>扫描件</w:t>
                      </w:r>
                    </w:p>
                    <w:p w14:paraId="2D57EB5C">
                      <w:pPr>
                        <w:pStyle w:val="12"/>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3360"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58ED2F40">
                            <w:pPr>
                              <w:pStyle w:val="12"/>
                            </w:pPr>
                          </w:p>
                          <w:p w14:paraId="34B69B22">
                            <w:pPr>
                              <w:pStyle w:val="12"/>
                              <w:ind w:left="417" w:right="417"/>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eastAsia="zh-CN"/>
                              </w:rPr>
                              <w:t>扫描件</w:t>
                            </w:r>
                          </w:p>
                          <w:p w14:paraId="55F6D5DD">
                            <w:pPr>
                              <w:pStyle w:val="12"/>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3120;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58ED2F40">
                      <w:pPr>
                        <w:pStyle w:val="12"/>
                      </w:pPr>
                    </w:p>
                    <w:p w14:paraId="34B69B22">
                      <w:pPr>
                        <w:pStyle w:val="12"/>
                        <w:ind w:left="417" w:right="417"/>
                        <w:jc w:val="cente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eastAsia="zh-CN"/>
                        </w:rPr>
                        <w:t>扫描件</w:t>
                      </w:r>
                    </w:p>
                    <w:p w14:paraId="55F6D5DD">
                      <w:pPr>
                        <w:pStyle w:val="12"/>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仿宋" w:hAnsi="仿宋" w:eastAsia="仿宋" w:cs="仿宋"/>
          <w:color w:val="auto"/>
          <w:sz w:val="21"/>
          <w:szCs w:val="21"/>
        </w:rPr>
        <mc:AlternateContent>
          <mc:Choice Requires="wps">
            <w:drawing>
              <wp:anchor distT="0" distB="0" distL="114300" distR="114300" simplePos="0" relativeHeight="251664384"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C66BC14">
                            <w:pPr>
                              <w:pStyle w:val="12"/>
                            </w:pPr>
                          </w:p>
                          <w:p w14:paraId="59754090">
                            <w:pPr>
                              <w:pStyle w:val="1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rPr>
                              <w:t>件</w:t>
                            </w:r>
                          </w:p>
                          <w:p w14:paraId="450A6D81">
                            <w:pPr>
                              <w:pStyle w:val="12"/>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2096;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0C66BC14">
                      <w:pPr>
                        <w:pStyle w:val="12"/>
                      </w:pPr>
                    </w:p>
                    <w:p w14:paraId="59754090">
                      <w:pPr>
                        <w:pStyle w:val="1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eastAsia="zh-CN"/>
                        </w:rPr>
                        <w:t>扫描</w:t>
                      </w:r>
                      <w:r>
                        <w:rPr>
                          <w:rFonts w:hint="eastAsia" w:ascii="方正仿宋_GB2312" w:hAnsi="方正仿宋_GB2312" w:eastAsia="方正仿宋_GB2312" w:cs="方正仿宋_GB2312"/>
                        </w:rPr>
                        <w:t>件</w:t>
                      </w:r>
                    </w:p>
                    <w:p w14:paraId="450A6D81">
                      <w:pPr>
                        <w:pStyle w:val="12"/>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33759C7D">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bookmarkStart w:id="117" w:name="_Toc507399521"/>
    </w:p>
    <w:p w14:paraId="1FCB49B1">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bookmarkEnd w:id="117"/>
    <w:p w14:paraId="1130B39D">
      <w:pPr>
        <w:pStyle w:val="5"/>
        <w:spacing w:before="66"/>
        <w:outlineLvl w:val="3"/>
        <w:rPr>
          <w:rFonts w:hint="eastAsia" w:ascii="仿宋" w:hAnsi="仿宋" w:eastAsia="仿宋" w:cs="仿宋"/>
          <w:bCs/>
          <w:color w:val="auto"/>
          <w:sz w:val="30"/>
          <w:szCs w:val="30"/>
          <w:highlight w:val="none"/>
        </w:rPr>
      </w:pPr>
      <w:r>
        <w:rPr>
          <w:rFonts w:hint="eastAsia" w:ascii="仿宋" w:hAnsi="仿宋" w:eastAsia="仿宋" w:cs="仿宋"/>
          <w:color w:val="auto"/>
          <w:sz w:val="21"/>
          <w:szCs w:val="21"/>
        </w:rPr>
        <w:t xml:space="preserve">附件 </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3授权委托书 (适用于自然人委托投标)</w:t>
      </w:r>
      <w:r>
        <w:rPr>
          <w:rFonts w:hint="eastAsia" w:ascii="仿宋" w:hAnsi="仿宋" w:eastAsia="仿宋" w:cs="仿宋"/>
          <w:color w:val="auto"/>
          <w:sz w:val="21"/>
          <w:szCs w:val="21"/>
        </w:rPr>
        <w:t>(统一格式)</w:t>
      </w:r>
    </w:p>
    <w:p w14:paraId="6CAF16DC">
      <w:pPr>
        <w:spacing w:line="44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授权委托书 (适用于自然人</w:t>
      </w:r>
      <w:r>
        <w:rPr>
          <w:rFonts w:hint="eastAsia" w:ascii="仿宋" w:hAnsi="仿宋" w:eastAsia="仿宋" w:cs="仿宋"/>
          <w:bCs/>
          <w:color w:val="auto"/>
          <w:sz w:val="24"/>
          <w:szCs w:val="24"/>
          <w:highlight w:val="none"/>
          <w:lang w:val="en-US" w:eastAsia="zh-CN"/>
        </w:rPr>
        <w:t>委托</w:t>
      </w:r>
      <w:r>
        <w:rPr>
          <w:rFonts w:hint="eastAsia" w:ascii="仿宋" w:hAnsi="仿宋" w:eastAsia="仿宋" w:cs="仿宋"/>
          <w:bCs/>
          <w:color w:val="auto"/>
          <w:sz w:val="24"/>
          <w:szCs w:val="24"/>
          <w:highlight w:val="none"/>
        </w:rPr>
        <w:t>投标)</w:t>
      </w:r>
    </w:p>
    <w:p w14:paraId="43621BC6">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致：____________(采购人或采购代理机构)</w:t>
      </w:r>
    </w:p>
    <w:p w14:paraId="54C64F1D">
      <w:pPr>
        <w:spacing w:beforeLines="50"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我________(姓名)系自然人，现授权委托____________(姓名)以本人名义参加____________(项目名称) ，项目编号为（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）的投标活动，并代表本人全权办理针对上述项目的投标、签约等具体事务和签署相关文件。</w:t>
      </w:r>
    </w:p>
    <w:p w14:paraId="1A04C272">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本人对授权代表的签字事项负全部责任。</w:t>
      </w:r>
    </w:p>
    <w:p w14:paraId="0603545D">
      <w:pPr>
        <w:autoSpaceDE w:val="0"/>
        <w:autoSpaceDN w:val="0"/>
        <w:adjustRightInd w:val="0"/>
        <w:spacing w:line="44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授权委托代理期限：从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日止。</w:t>
      </w:r>
    </w:p>
    <w:p w14:paraId="0F73FB1B">
      <w:pPr>
        <w:spacing w:beforeLines="50" w:afterLines="50" w:line="360" w:lineRule="auto"/>
        <w:ind w:left="546" w:leftChars="260"/>
        <w:rPr>
          <w:rFonts w:hint="eastAsia" w:ascii="仿宋" w:hAnsi="仿宋" w:eastAsia="仿宋" w:cs="仿宋"/>
          <w:color w:val="auto"/>
          <w:sz w:val="24"/>
          <w:szCs w:val="24"/>
          <w:highlight w:val="none"/>
        </w:rPr>
      </w:pPr>
    </w:p>
    <w:p w14:paraId="7C96186D">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代理人无转委托权，特此委托。</w:t>
      </w:r>
    </w:p>
    <w:p w14:paraId="4FC2C88A">
      <w:pPr>
        <w:spacing w:beforeLines="50" w:afterLines="50" w:line="360" w:lineRule="auto"/>
        <w:ind w:left="546" w:leftChars="260"/>
        <w:rPr>
          <w:rFonts w:hint="eastAsia" w:ascii="仿宋" w:hAnsi="仿宋" w:eastAsia="仿宋" w:cs="仿宋"/>
          <w:color w:val="auto"/>
          <w:sz w:val="24"/>
          <w:szCs w:val="24"/>
          <w:highlight w:val="none"/>
        </w:rPr>
      </w:pPr>
    </w:p>
    <w:p w14:paraId="67F7084C">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我已在下面签字，以资证明。</w:t>
      </w:r>
    </w:p>
    <w:p w14:paraId="326133B4">
      <w:pPr>
        <w:spacing w:beforeLines="50" w:afterLines="50" w:line="360" w:lineRule="auto"/>
        <w:ind w:left="546" w:leftChars="260"/>
        <w:rPr>
          <w:rFonts w:hint="eastAsia" w:ascii="仿宋" w:hAnsi="仿宋" w:eastAsia="仿宋" w:cs="仿宋"/>
          <w:color w:val="auto"/>
          <w:sz w:val="24"/>
          <w:szCs w:val="24"/>
          <w:highlight w:val="none"/>
        </w:rPr>
      </w:pPr>
    </w:p>
    <w:p w14:paraId="741D2BD2">
      <w:pPr>
        <w:spacing w:beforeLines="50" w:afterLines="50" w:line="360" w:lineRule="auto"/>
        <w:ind w:left="546" w:leftChars="2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自然人签字并在签名处加盖食指指印：</w:t>
      </w:r>
      <w:r>
        <w:rPr>
          <w:rFonts w:hint="eastAsia" w:ascii="仿宋" w:hAnsi="仿宋" w:eastAsia="仿宋" w:cs="仿宋"/>
          <w:color w:val="auto"/>
          <w:sz w:val="24"/>
          <w:szCs w:val="24"/>
          <w:highlight w:val="none"/>
          <w:lang w:val="en-US" w:eastAsia="zh-CN"/>
        </w:rPr>
        <w:t xml:space="preserve">  </w:t>
      </w:r>
    </w:p>
    <w:p w14:paraId="6BCE2ADB">
      <w:pPr>
        <w:spacing w:beforeLines="50" w:afterLines="50" w:line="360" w:lineRule="auto"/>
        <w:ind w:left="546" w:leftChars="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w:t>
      </w:r>
    </w:p>
    <w:p w14:paraId="6FE85165">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p w14:paraId="6DF1EF16">
      <w:pPr>
        <w:pStyle w:val="5"/>
        <w:ind w:left="0" w:leftChars="0" w:firstLine="0" w:firstLineChars="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法人或者非法人组织的营业执照等证明文件或自然人的身份证明</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p>
    <w:p w14:paraId="08A66DF2">
      <w:pPr>
        <w:pStyle w:val="12"/>
        <w:spacing w:before="12"/>
        <w:rPr>
          <w:rFonts w:hint="eastAsia" w:ascii="仿宋" w:hAnsi="仿宋" w:eastAsia="仿宋" w:cs="仿宋"/>
          <w:b/>
          <w:color w:val="auto"/>
          <w:sz w:val="24"/>
          <w:szCs w:val="24"/>
        </w:rPr>
      </w:pPr>
    </w:p>
    <w:p w14:paraId="4B23701B">
      <w:pPr>
        <w:pStyle w:val="12"/>
        <w:spacing w:line="374" w:lineRule="auto"/>
        <w:ind w:right="1145"/>
        <w:outlineLvl w:val="9"/>
        <w:rPr>
          <w:rFonts w:hint="eastAsia" w:ascii="仿宋" w:hAnsi="仿宋" w:eastAsia="仿宋" w:cs="仿宋"/>
          <w:color w:val="auto"/>
          <w:sz w:val="24"/>
          <w:szCs w:val="24"/>
        </w:rPr>
      </w:pPr>
      <w:r>
        <w:rPr>
          <w:rFonts w:hint="eastAsia" w:ascii="仿宋" w:hAnsi="仿宋" w:eastAsia="仿宋" w:cs="仿宋"/>
          <w:color w:val="auto"/>
          <w:sz w:val="24"/>
          <w:szCs w:val="24"/>
        </w:rPr>
        <w:t>说明：1.提供有效的营业执照等证明文件</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上应</w:t>
      </w:r>
      <w:r>
        <w:rPr>
          <w:rFonts w:hint="eastAsia" w:ascii="仿宋" w:hAnsi="仿宋" w:eastAsia="仿宋" w:cs="仿宋"/>
          <w:color w:val="auto"/>
          <w:sz w:val="24"/>
          <w:szCs w:val="24"/>
          <w:lang w:eastAsia="zh-CN"/>
        </w:rPr>
        <w:t>电子签章（单位）</w:t>
      </w:r>
      <w:r>
        <w:rPr>
          <w:rFonts w:hint="eastAsia" w:ascii="仿宋" w:hAnsi="仿宋" w:eastAsia="仿宋" w:cs="仿宋"/>
          <w:color w:val="auto"/>
          <w:sz w:val="24"/>
          <w:szCs w:val="24"/>
        </w:rPr>
        <w:t>。</w:t>
      </w:r>
    </w:p>
    <w:p w14:paraId="39533E78">
      <w:pPr>
        <w:pStyle w:val="12"/>
        <w:spacing w:line="374" w:lineRule="auto"/>
        <w:ind w:right="1145" w:firstLine="720" w:firstLineChars="300"/>
        <w:outlineLvl w:val="9"/>
        <w:rPr>
          <w:rFonts w:hint="eastAsia" w:ascii="仿宋" w:hAnsi="仿宋" w:eastAsia="仿宋" w:cs="仿宋"/>
          <w:color w:val="auto"/>
          <w:sz w:val="24"/>
          <w:szCs w:val="24"/>
        </w:rPr>
      </w:pPr>
      <w:bookmarkStart w:id="118" w:name="_Toc27013"/>
      <w:bookmarkStart w:id="119" w:name="_Toc1278"/>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为自然人的，应提供身份证明的</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w:t>
      </w:r>
      <w:bookmarkEnd w:id="118"/>
      <w:bookmarkEnd w:id="119"/>
    </w:p>
    <w:p w14:paraId="0C049F00">
      <w:pPr>
        <w:pStyle w:val="12"/>
        <w:tabs>
          <w:tab w:val="left" w:pos="1560"/>
          <w:tab w:val="left" w:pos="2040"/>
        </w:tabs>
        <w:spacing w:before="66"/>
        <w:ind w:firstLine="720" w:firstLineChars="300"/>
        <w:outlineLvl w:val="9"/>
        <w:rPr>
          <w:rFonts w:hint="eastAsia" w:ascii="仿宋" w:hAnsi="仿宋" w:eastAsia="仿宋" w:cs="仿宋"/>
          <w:color w:val="auto"/>
          <w:sz w:val="24"/>
          <w:szCs w:val="24"/>
        </w:rPr>
      </w:pPr>
      <w:bookmarkStart w:id="120" w:name="_Toc3454"/>
      <w:bookmarkStart w:id="121" w:name="_Toc18314"/>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联合体投标应提供联合体各方满足以上要求的证明文件。</w:t>
      </w:r>
      <w:bookmarkEnd w:id="120"/>
      <w:bookmarkEnd w:id="121"/>
    </w:p>
    <w:p w14:paraId="551DBE7C">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p>
    <w:p w14:paraId="69D99286">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16"/>
    <w:p w14:paraId="30FAED92">
      <w:pPr>
        <w:rPr>
          <w:rFonts w:hint="eastAsia" w:ascii="仿宋" w:hAnsi="仿宋" w:eastAsia="仿宋" w:cs="仿宋"/>
          <w:color w:val="auto"/>
          <w:sz w:val="24"/>
          <w:szCs w:val="24"/>
        </w:rPr>
      </w:pPr>
      <w:bookmarkStart w:id="122" w:name="_Toc211"/>
      <w:bookmarkStart w:id="123" w:name="_Toc7147"/>
      <w:r>
        <w:rPr>
          <w:rFonts w:hint="eastAsia" w:ascii="仿宋" w:hAnsi="仿宋" w:eastAsia="仿宋" w:cs="仿宋"/>
          <w:color w:val="auto"/>
          <w:sz w:val="24"/>
          <w:szCs w:val="24"/>
        </w:rPr>
        <w:br w:type="page"/>
      </w:r>
    </w:p>
    <w:p w14:paraId="4F7C3DFB">
      <w:pPr>
        <w:pStyle w:val="5"/>
        <w:spacing w:before="66"/>
        <w:ind w:left="0" w:leftChars="0" w:firstLine="0" w:firstLineChars="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具有良好的商业信誉和健全的财务会计制度的证明文件</w:t>
      </w:r>
    </w:p>
    <w:p w14:paraId="74DA7F75">
      <w:pPr>
        <w:pStyle w:val="12"/>
        <w:rPr>
          <w:rFonts w:hint="eastAsia" w:ascii="仿宋" w:hAnsi="仿宋" w:eastAsia="仿宋" w:cs="仿宋"/>
          <w:b/>
          <w:color w:val="auto"/>
          <w:sz w:val="24"/>
          <w:szCs w:val="24"/>
        </w:rPr>
      </w:pPr>
    </w:p>
    <w:p w14:paraId="3268F117">
      <w:pPr>
        <w:pStyle w:val="12"/>
        <w:spacing w:line="360" w:lineRule="auto"/>
        <w:ind w:right="56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会计师事务所出具的</w:t>
      </w:r>
      <w:r>
        <w:rPr>
          <w:rFonts w:hint="eastAsia" w:ascii="仿宋" w:hAnsi="仿宋" w:eastAsia="仿宋" w:cs="仿宋"/>
          <w:color w:val="auto"/>
          <w:sz w:val="24"/>
          <w:szCs w:val="24"/>
          <w:lang w:val="en-US" w:eastAsia="zh-CN"/>
        </w:rPr>
        <w:t>2023年或2024年</w:t>
      </w:r>
      <w:r>
        <w:rPr>
          <w:rFonts w:hint="eastAsia" w:ascii="仿宋" w:hAnsi="仿宋" w:eastAsia="仿宋" w:cs="仿宋"/>
          <w:color w:val="auto"/>
          <w:sz w:val="24"/>
          <w:szCs w:val="24"/>
        </w:rPr>
        <w:t>财务审计报告或银行出具的</w:t>
      </w:r>
      <w:r>
        <w:rPr>
          <w:rFonts w:hint="eastAsia" w:ascii="仿宋" w:hAnsi="仿宋" w:eastAsia="仿宋" w:cs="仿宋"/>
          <w:color w:val="auto"/>
          <w:sz w:val="24"/>
          <w:szCs w:val="24"/>
          <w:lang w:val="en-US" w:eastAsia="zh-CN"/>
        </w:rPr>
        <w:t>资信证明，</w:t>
      </w:r>
      <w:r>
        <w:rPr>
          <w:rFonts w:hint="eastAsia" w:ascii="仿宋" w:hAnsi="仿宋" w:eastAsia="仿宋" w:cs="仿宋"/>
          <w:color w:val="auto"/>
          <w:sz w:val="24"/>
          <w:szCs w:val="24"/>
        </w:rPr>
        <w:t>说明</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商业信誉或结算情况等</w:t>
      </w:r>
      <w:r>
        <w:rPr>
          <w:rFonts w:hint="eastAsia" w:ascii="仿宋" w:hAnsi="仿宋" w:eastAsia="仿宋" w:cs="仿宋"/>
          <w:color w:val="auto"/>
          <w:sz w:val="24"/>
          <w:szCs w:val="24"/>
          <w:lang w:val="en-US" w:eastAsia="zh-CN"/>
        </w:rPr>
        <w:t>具体要求详见本招标文件第六章</w:t>
      </w:r>
    </w:p>
    <w:p w14:paraId="025AB9EF">
      <w:pPr>
        <w:pStyle w:val="12"/>
        <w:rPr>
          <w:rFonts w:hint="eastAsia" w:ascii="仿宋" w:hAnsi="仿宋" w:eastAsia="仿宋" w:cs="仿宋"/>
          <w:color w:val="auto"/>
          <w:sz w:val="24"/>
          <w:szCs w:val="24"/>
        </w:rPr>
      </w:pPr>
    </w:p>
    <w:p w14:paraId="0C8E2403">
      <w:pPr>
        <w:pStyle w:val="12"/>
        <w:spacing w:line="360" w:lineRule="auto"/>
        <w:ind w:right="560"/>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716E0D0C">
      <w:pPr>
        <w:pStyle w:val="12"/>
        <w:spacing w:line="360" w:lineRule="auto"/>
        <w:ind w:right="56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并</w:t>
      </w:r>
      <w:r>
        <w:rPr>
          <w:rFonts w:hint="eastAsia" w:ascii="仿宋" w:hAnsi="仿宋" w:eastAsia="仿宋" w:cs="仿宋"/>
          <w:color w:val="auto"/>
          <w:sz w:val="24"/>
          <w:szCs w:val="24"/>
          <w:lang w:eastAsia="zh-CN"/>
        </w:rPr>
        <w:t>电子签章（</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单位）</w:t>
      </w:r>
    </w:p>
    <w:p w14:paraId="2991C6C9">
      <w:pPr>
        <w:pStyle w:val="12"/>
        <w:spacing w:line="360" w:lineRule="auto"/>
        <w:ind w:right="56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、若提供的是</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，采购人、采购代理机构保留审核原件的权利。</w:t>
      </w:r>
    </w:p>
    <w:p w14:paraId="53CF100E">
      <w:pPr>
        <w:pStyle w:val="12"/>
        <w:spacing w:line="360" w:lineRule="auto"/>
        <w:ind w:right="56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如果是联合体投标，联合体各方均需提供上述证明</w:t>
      </w:r>
      <w:r>
        <w:rPr>
          <w:rFonts w:hint="eastAsia" w:ascii="仿宋" w:hAnsi="仿宋" w:eastAsia="仿宋" w:cs="仿宋"/>
          <w:color w:val="auto"/>
          <w:sz w:val="24"/>
          <w:szCs w:val="24"/>
        </w:rPr>
        <w:t>。</w:t>
      </w:r>
    </w:p>
    <w:p w14:paraId="037328E8">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p>
    <w:p w14:paraId="6C574832">
      <w:pPr>
        <w:pStyle w:val="30"/>
        <w:numPr>
          <w:ilvl w:val="0"/>
          <w:numId w:val="0"/>
        </w:numPr>
        <w:spacing w:before="25" w:after="25" w:line="360" w:lineRule="auto"/>
        <w:jc w:val="left"/>
        <w:rPr>
          <w:rFonts w:hint="eastAsia" w:ascii="仿宋" w:hAnsi="仿宋" w:eastAsia="仿宋" w:cs="仿宋"/>
          <w:b/>
          <w:bCs/>
          <w:i w:val="0"/>
          <w:iCs w:val="0"/>
          <w:color w:val="auto"/>
          <w:sz w:val="24"/>
          <w:szCs w:val="24"/>
          <w:lang w:val="en-US" w:eastAsia="zh-CN"/>
        </w:rPr>
      </w:pPr>
    </w:p>
    <w:p w14:paraId="4C56B7C3">
      <w:pPr>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br w:type="page"/>
      </w:r>
    </w:p>
    <w:p w14:paraId="3E08664D">
      <w:pPr>
        <w:pStyle w:val="12"/>
        <w:spacing w:line="360" w:lineRule="auto"/>
        <w:ind w:right="516"/>
        <w:outlineLvl w:val="3"/>
        <w:rPr>
          <w:rFonts w:hint="eastAsia" w:ascii="仿宋" w:hAnsi="仿宋" w:eastAsia="仿宋" w:cs="仿宋"/>
          <w:color w:val="auto"/>
          <w:spacing w:val="-17"/>
          <w:sz w:val="24"/>
          <w:szCs w:val="24"/>
        </w:rPr>
      </w:pPr>
      <w:bookmarkStart w:id="124" w:name="_Toc19010"/>
      <w:r>
        <w:rPr>
          <w:rFonts w:hint="eastAsia" w:ascii="仿宋" w:hAnsi="仿宋" w:eastAsia="仿宋" w:cs="仿宋"/>
          <w:b/>
          <w:color w:val="auto"/>
          <w:sz w:val="24"/>
          <w:szCs w:val="24"/>
        </w:rPr>
        <w:t>附件</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 xml:space="preserve"> </w:t>
      </w:r>
      <w:r>
        <w:rPr>
          <w:rFonts w:hint="eastAsia" w:ascii="仿宋" w:hAnsi="仿宋" w:eastAsia="仿宋" w:cs="仿宋"/>
          <w:b/>
          <w:bCs/>
          <w:color w:val="auto"/>
          <w:spacing w:val="-1"/>
          <w:sz w:val="24"/>
          <w:szCs w:val="24"/>
          <w:lang w:eastAsia="zh-CN"/>
        </w:rPr>
        <w:t>投标人</w:t>
      </w:r>
      <w:r>
        <w:rPr>
          <w:rFonts w:hint="eastAsia" w:ascii="仿宋" w:hAnsi="仿宋" w:eastAsia="仿宋" w:cs="仿宋"/>
          <w:b/>
          <w:bCs/>
          <w:color w:val="auto"/>
          <w:spacing w:val="-1"/>
          <w:sz w:val="24"/>
          <w:szCs w:val="24"/>
        </w:rPr>
        <w:t>缴纳</w:t>
      </w:r>
      <w:r>
        <w:rPr>
          <w:rFonts w:hint="eastAsia" w:ascii="仿宋" w:hAnsi="仿宋" w:eastAsia="仿宋" w:cs="仿宋"/>
          <w:b/>
          <w:bCs/>
          <w:color w:val="auto"/>
          <w:sz w:val="24"/>
          <w:szCs w:val="24"/>
        </w:rPr>
        <w:t>税收</w:t>
      </w:r>
      <w:r>
        <w:rPr>
          <w:rFonts w:hint="eastAsia" w:ascii="仿宋" w:hAnsi="仿宋" w:eastAsia="仿宋" w:cs="仿宋"/>
          <w:b/>
          <w:bCs/>
          <w:color w:val="auto"/>
          <w:spacing w:val="-17"/>
          <w:sz w:val="24"/>
          <w:szCs w:val="24"/>
        </w:rPr>
        <w:t>的证明</w:t>
      </w:r>
      <w:bookmarkEnd w:id="124"/>
    </w:p>
    <w:p w14:paraId="0EB1D9F6">
      <w:pPr>
        <w:pStyle w:val="12"/>
        <w:spacing w:line="360" w:lineRule="auto"/>
        <w:ind w:right="51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缴纳税收的证明（</w:t>
      </w:r>
      <w:r>
        <w:rPr>
          <w:rFonts w:hint="eastAsia" w:ascii="仿宋" w:hAnsi="仿宋" w:eastAsia="仿宋" w:cs="仿宋"/>
          <w:color w:val="auto"/>
          <w:sz w:val="24"/>
          <w:szCs w:val="24"/>
          <w:lang w:val="en-US" w:eastAsia="zh-CN"/>
        </w:rPr>
        <w:t>单位电子签章</w:t>
      </w:r>
      <w:r>
        <w:rPr>
          <w:rFonts w:hint="eastAsia" w:ascii="仿宋" w:hAnsi="仿宋" w:eastAsia="仿宋" w:cs="仿宋"/>
          <w:color w:val="auto"/>
          <w:spacing w:val="-51"/>
          <w:sz w:val="24"/>
          <w:szCs w:val="24"/>
        </w:rPr>
        <w:t>）</w:t>
      </w:r>
      <w:r>
        <w:rPr>
          <w:rFonts w:hint="eastAsia" w:ascii="仿宋" w:hAnsi="仿宋" w:eastAsia="仿宋" w:cs="仿宋"/>
          <w:color w:val="auto"/>
          <w:spacing w:val="-2"/>
          <w:sz w:val="24"/>
          <w:szCs w:val="24"/>
        </w:rPr>
        <w:t>或事业单位近期纳</w:t>
      </w:r>
      <w:r>
        <w:rPr>
          <w:rFonts w:hint="eastAsia" w:ascii="仿宋" w:hAnsi="仿宋" w:eastAsia="仿宋" w:cs="仿宋"/>
          <w:color w:val="auto"/>
          <w:sz w:val="24"/>
          <w:szCs w:val="24"/>
        </w:rPr>
        <w:t>税证明（</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）或自然人缴纳个人所得税证明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具体要求详见本招标文件第六章</w:t>
      </w:r>
      <w:r>
        <w:rPr>
          <w:rFonts w:hint="eastAsia" w:ascii="仿宋" w:hAnsi="仿宋" w:eastAsia="仿宋" w:cs="仿宋"/>
          <w:color w:val="auto"/>
          <w:sz w:val="24"/>
          <w:szCs w:val="24"/>
          <w:lang w:eastAsia="zh-CN"/>
        </w:rPr>
        <w:t>。</w:t>
      </w:r>
    </w:p>
    <w:p w14:paraId="1A9AA61F">
      <w:pPr>
        <w:pStyle w:val="12"/>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【依法免税的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应提供相应文件证明其依法免税</w:t>
      </w:r>
      <w:r>
        <w:rPr>
          <w:rFonts w:hint="eastAsia" w:ascii="仿宋" w:hAnsi="仿宋" w:eastAsia="仿宋" w:cs="仿宋"/>
          <w:color w:val="auto"/>
          <w:sz w:val="24"/>
          <w:szCs w:val="24"/>
          <w:lang w:val="en-US" w:eastAsia="zh-CN"/>
        </w:rPr>
        <w:t>（提供无欠税证明）</w:t>
      </w:r>
      <w:r>
        <w:rPr>
          <w:rFonts w:hint="eastAsia" w:ascii="仿宋" w:hAnsi="仿宋" w:eastAsia="仿宋" w:cs="仿宋"/>
          <w:color w:val="auto"/>
          <w:sz w:val="24"/>
          <w:szCs w:val="24"/>
        </w:rPr>
        <w:t>。】</w:t>
      </w:r>
    </w:p>
    <w:p w14:paraId="44549274">
      <w:pPr>
        <w:pStyle w:val="12"/>
        <w:spacing w:before="229" w:line="314" w:lineRule="auto"/>
        <w:ind w:right="396"/>
        <w:rPr>
          <w:rFonts w:hint="eastAsia" w:ascii="仿宋" w:hAnsi="仿宋" w:eastAsia="仿宋" w:cs="仿宋"/>
          <w:b/>
          <w:color w:val="auto"/>
          <w:sz w:val="21"/>
          <w:szCs w:val="21"/>
        </w:rPr>
      </w:pPr>
    </w:p>
    <w:p w14:paraId="3BD938E8">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3D1C8AEE">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3"/>
        <w:rPr>
          <w:rFonts w:hint="eastAsia" w:ascii="仿宋" w:hAnsi="仿宋" w:eastAsia="仿宋" w:cs="仿宋"/>
          <w:b/>
          <w:bCs w:val="0"/>
          <w:color w:val="auto"/>
          <w:sz w:val="24"/>
          <w:szCs w:val="24"/>
        </w:rPr>
      </w:pPr>
      <w:bookmarkStart w:id="125" w:name="_Toc13470"/>
      <w:r>
        <w:rPr>
          <w:rFonts w:hint="eastAsia" w:ascii="仿宋" w:hAnsi="仿宋" w:eastAsia="仿宋" w:cs="仿宋"/>
          <w:b/>
          <w:bCs w:val="0"/>
          <w:color w:val="auto"/>
          <w:sz w:val="24"/>
          <w:szCs w:val="24"/>
        </w:rPr>
        <w:t>附件</w:t>
      </w: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7</w:t>
      </w:r>
      <w:r>
        <w:rPr>
          <w:rFonts w:hint="eastAsia" w:ascii="仿宋" w:hAnsi="仿宋" w:eastAsia="仿宋" w:cs="仿宋"/>
          <w:b/>
          <w:bCs w:val="0"/>
          <w:color w:val="auto"/>
          <w:sz w:val="24"/>
          <w:szCs w:val="24"/>
        </w:rPr>
        <w:t xml:space="preserve"> </w:t>
      </w:r>
      <w:r>
        <w:rPr>
          <w:rFonts w:hint="eastAsia" w:ascii="仿宋" w:hAnsi="仿宋" w:eastAsia="仿宋" w:cs="仿宋"/>
          <w:b/>
          <w:bCs w:val="0"/>
          <w:color w:val="auto"/>
          <w:sz w:val="24"/>
          <w:szCs w:val="24"/>
          <w:lang w:eastAsia="zh-CN"/>
        </w:rPr>
        <w:t>投标人</w:t>
      </w:r>
      <w:r>
        <w:rPr>
          <w:rFonts w:hint="eastAsia" w:ascii="仿宋" w:hAnsi="仿宋" w:eastAsia="仿宋" w:cs="仿宋"/>
          <w:b/>
          <w:bCs w:val="0"/>
          <w:color w:val="auto"/>
          <w:sz w:val="24"/>
          <w:szCs w:val="24"/>
        </w:rPr>
        <w:t>为职工缴纳社会保险的证明</w:t>
      </w:r>
      <w:bookmarkEnd w:id="125"/>
    </w:p>
    <w:p w14:paraId="6AF6477F">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sz w:val="24"/>
          <w:szCs w:val="24"/>
        </w:rPr>
      </w:pPr>
    </w:p>
    <w:p w14:paraId="6E67367B">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为职工缴纳社会保险的证明（缴纳凭证</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，电子签章）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具体要求详见本招标文件第六章</w:t>
      </w:r>
      <w:r>
        <w:rPr>
          <w:rFonts w:hint="eastAsia" w:ascii="仿宋" w:hAnsi="仿宋" w:eastAsia="仿宋" w:cs="仿宋"/>
          <w:color w:val="auto"/>
          <w:sz w:val="24"/>
          <w:szCs w:val="24"/>
          <w:lang w:eastAsia="zh-CN"/>
        </w:rPr>
        <w:t>。</w:t>
      </w:r>
    </w:p>
    <w:p w14:paraId="5CF315F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【依法</w:t>
      </w:r>
      <w:r>
        <w:rPr>
          <w:rFonts w:hint="eastAsia" w:ascii="仿宋" w:hAnsi="仿宋" w:eastAsia="仿宋" w:cs="仿宋"/>
          <w:color w:val="auto"/>
          <w:sz w:val="24"/>
          <w:szCs w:val="24"/>
          <w:lang w:val="en-US" w:eastAsia="zh-CN"/>
        </w:rPr>
        <w:t>免缴</w:t>
      </w:r>
      <w:r>
        <w:rPr>
          <w:rFonts w:hint="eastAsia" w:ascii="仿宋" w:hAnsi="仿宋" w:eastAsia="仿宋" w:cs="仿宋"/>
          <w:color w:val="auto"/>
          <w:sz w:val="24"/>
          <w:szCs w:val="24"/>
        </w:rPr>
        <w:t>社</w:t>
      </w:r>
      <w:r>
        <w:rPr>
          <w:rFonts w:hint="eastAsia" w:ascii="仿宋" w:hAnsi="仿宋" w:eastAsia="仿宋" w:cs="仿宋"/>
          <w:color w:val="auto"/>
          <w:sz w:val="24"/>
          <w:szCs w:val="24"/>
          <w:lang w:val="en-US" w:eastAsia="zh-CN"/>
        </w:rPr>
        <w:t>会</w:t>
      </w:r>
      <w:r>
        <w:rPr>
          <w:rFonts w:hint="eastAsia" w:ascii="仿宋" w:hAnsi="仿宋" w:eastAsia="仿宋" w:cs="仿宋"/>
          <w:color w:val="auto"/>
          <w:sz w:val="24"/>
          <w:szCs w:val="24"/>
        </w:rPr>
        <w:t>保</w:t>
      </w:r>
      <w:r>
        <w:rPr>
          <w:rFonts w:hint="eastAsia" w:ascii="仿宋" w:hAnsi="仿宋" w:eastAsia="仿宋" w:cs="仿宋"/>
          <w:color w:val="auto"/>
          <w:sz w:val="24"/>
          <w:szCs w:val="24"/>
          <w:lang w:val="en-US" w:eastAsia="zh-CN"/>
        </w:rPr>
        <w:t>险</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应做书面说明和</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证明文件】。</w:t>
      </w:r>
    </w:p>
    <w:p w14:paraId="2E5988AE">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p>
    <w:p w14:paraId="163E179B">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A6FB1F">
      <w:pPr>
        <w:pStyle w:val="30"/>
        <w:numPr>
          <w:ilvl w:val="0"/>
          <w:numId w:val="0"/>
        </w:numPr>
        <w:spacing w:before="25" w:after="25" w:line="360" w:lineRule="auto"/>
        <w:ind w:left="638" w:leftChars="304" w:right="869" w:rightChars="414" w:firstLine="0" w:firstLineChars="0"/>
        <w:jc w:val="left"/>
        <w:outlineLvl w:val="3"/>
        <w:rPr>
          <w:rFonts w:hint="eastAsia" w:ascii="仿宋" w:hAnsi="仿宋" w:eastAsia="仿宋" w:cs="仿宋"/>
          <w:b/>
          <w:bCs/>
          <w:i w:val="0"/>
          <w:iCs w:val="0"/>
          <w:color w:val="auto"/>
          <w:sz w:val="24"/>
          <w:szCs w:val="24"/>
          <w:lang w:val="en-US" w:eastAsia="zh-CN"/>
        </w:rPr>
      </w:pPr>
      <w:bookmarkStart w:id="126" w:name="_Toc99"/>
      <w:bookmarkStart w:id="127" w:name="_Toc11968"/>
      <w:r>
        <w:rPr>
          <w:rFonts w:hint="eastAsia" w:ascii="仿宋" w:hAnsi="仿宋" w:eastAsia="仿宋" w:cs="仿宋"/>
          <w:b/>
          <w:bCs/>
          <w:i w:val="0"/>
          <w:iCs w:val="0"/>
          <w:color w:val="auto"/>
          <w:sz w:val="24"/>
          <w:szCs w:val="24"/>
          <w:lang w:val="en-US" w:eastAsia="zh-CN"/>
        </w:rPr>
        <w:t>附件 2-8 投标人声明函（统一格式）</w:t>
      </w:r>
      <w:bookmarkEnd w:id="126"/>
      <w:bookmarkEnd w:id="127"/>
    </w:p>
    <w:p w14:paraId="50BD3344">
      <w:pPr>
        <w:pStyle w:val="12"/>
        <w:ind w:left="638" w:leftChars="304" w:right="869" w:rightChars="414" w:firstLine="0" w:firstLineChars="0"/>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 xml:space="preserve">    </w:t>
      </w:r>
    </w:p>
    <w:p w14:paraId="3D1247D2">
      <w:pPr>
        <w:pStyle w:val="12"/>
        <w:ind w:left="638" w:leftChars="304" w:right="869" w:rightChars="414"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致：</w:t>
      </w:r>
      <w:r>
        <w:rPr>
          <w:rFonts w:hint="eastAsia" w:ascii="仿宋" w:hAnsi="仿宋" w:eastAsia="仿宋" w:cs="仿宋"/>
          <w:b w:val="0"/>
          <w:bCs/>
          <w:color w:val="auto"/>
          <w:sz w:val="24"/>
          <w:szCs w:val="24"/>
          <w:u w:val="single"/>
          <w:lang w:val="en-US" w:eastAsia="zh-CN"/>
        </w:rPr>
        <w:t>采购人/采购代理机构</w:t>
      </w:r>
    </w:p>
    <w:p w14:paraId="17B06B29">
      <w:pPr>
        <w:pStyle w:val="12"/>
        <w:spacing w:before="9"/>
        <w:ind w:left="638" w:leftChars="304" w:right="869" w:rightChars="414" w:firstLine="0" w:firstLineChars="0"/>
        <w:rPr>
          <w:rFonts w:hint="eastAsia" w:ascii="仿宋" w:hAnsi="仿宋" w:eastAsia="仿宋" w:cs="仿宋"/>
          <w:b/>
          <w:color w:val="auto"/>
          <w:sz w:val="24"/>
          <w:szCs w:val="24"/>
        </w:rPr>
      </w:pPr>
    </w:p>
    <w:p w14:paraId="16A83EF7">
      <w:pPr>
        <w:spacing w:before="66"/>
        <w:ind w:left="638" w:leftChars="304" w:right="869" w:rightChars="414"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在参与本次项目投标中，我单位</w:t>
      </w:r>
      <w:r>
        <w:rPr>
          <w:rFonts w:hint="eastAsia" w:ascii="仿宋" w:hAnsi="仿宋" w:eastAsia="仿宋" w:cs="仿宋"/>
          <w:b/>
          <w:color w:val="auto"/>
          <w:sz w:val="24"/>
          <w:szCs w:val="24"/>
        </w:rPr>
        <w:t>郑重承诺</w:t>
      </w:r>
      <w:r>
        <w:rPr>
          <w:rFonts w:hint="eastAsia" w:ascii="仿宋" w:hAnsi="仿宋" w:eastAsia="仿宋" w:cs="仿宋"/>
          <w:color w:val="auto"/>
          <w:sz w:val="24"/>
          <w:szCs w:val="24"/>
        </w:rPr>
        <w:t>：</w:t>
      </w:r>
    </w:p>
    <w:p w14:paraId="4CD32DED">
      <w:pPr>
        <w:pStyle w:val="12"/>
        <w:numPr>
          <w:ilvl w:val="0"/>
          <w:numId w:val="18"/>
        </w:numPr>
        <w:spacing w:before="158" w:line="364" w:lineRule="auto"/>
        <w:ind w:left="638" w:leftChars="304" w:right="869" w:rightChars="414" w:firstLine="0"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rPr>
        <w:t>我单位参与采购活动前三年内在经营活动中没有因违法经营受到刑事处罚或者</w:t>
      </w:r>
      <w:r>
        <w:rPr>
          <w:rFonts w:hint="eastAsia" w:ascii="仿宋" w:hAnsi="仿宋" w:eastAsia="仿宋" w:cs="仿宋"/>
          <w:color w:val="auto"/>
          <w:spacing w:val="-8"/>
          <w:sz w:val="24"/>
          <w:szCs w:val="24"/>
        </w:rPr>
        <w:t>责令停产停业、吊销许可证或者执照、较大数额罚款等行政处罚</w:t>
      </w:r>
      <w:r>
        <w:rPr>
          <w:rFonts w:hint="eastAsia" w:ascii="仿宋" w:hAnsi="仿宋" w:eastAsia="仿宋" w:cs="仿宋"/>
          <w:color w:val="auto"/>
          <w:sz w:val="24"/>
          <w:szCs w:val="24"/>
        </w:rPr>
        <w:t>（</w:t>
      </w:r>
      <w:r>
        <w:rPr>
          <w:rFonts w:hint="eastAsia" w:ascii="仿宋" w:hAnsi="仿宋" w:eastAsia="仿宋" w:cs="仿宋"/>
          <w:color w:val="auto"/>
          <w:spacing w:val="-2"/>
          <w:sz w:val="24"/>
          <w:szCs w:val="24"/>
        </w:rPr>
        <w:t>如果</w:t>
      </w:r>
      <w:r>
        <w:rPr>
          <w:rFonts w:hint="eastAsia" w:ascii="仿宋" w:hAnsi="仿宋" w:eastAsia="仿宋" w:cs="仿宋"/>
          <w:color w:val="auto"/>
          <w:sz w:val="24"/>
          <w:szCs w:val="24"/>
        </w:rPr>
        <w:t>因违法经营被禁止在一定期限内参加政府采购活动，期限已经届满</w:t>
      </w:r>
      <w:r>
        <w:rPr>
          <w:rFonts w:hint="eastAsia" w:ascii="仿宋" w:hAnsi="仿宋" w:eastAsia="仿宋" w:cs="仿宋"/>
          <w:color w:val="auto"/>
          <w:sz w:val="24"/>
          <w:szCs w:val="24"/>
          <w:lang w:eastAsia="zh-CN"/>
        </w:rPr>
        <w:t>）。</w:t>
      </w:r>
    </w:p>
    <w:p w14:paraId="0DF9005A">
      <w:pPr>
        <w:pStyle w:val="12"/>
        <w:numPr>
          <w:ilvl w:val="0"/>
          <w:numId w:val="0"/>
        </w:numPr>
        <w:spacing w:before="158" w:line="364" w:lineRule="auto"/>
        <w:ind w:leftChars="304" w:right="869" w:rightChars="414"/>
        <w:jc w:val="both"/>
        <w:rPr>
          <w:rFonts w:hint="eastAsia" w:ascii="仿宋" w:hAnsi="仿宋" w:eastAsia="仿宋" w:cs="仿宋"/>
          <w:color w:val="auto"/>
          <w:sz w:val="24"/>
          <w:szCs w:val="24"/>
        </w:rPr>
      </w:pPr>
      <w:r>
        <w:rPr>
          <w:rFonts w:hint="eastAsia" w:ascii="仿宋" w:hAnsi="仿宋" w:eastAsia="仿宋" w:cs="仿宋"/>
          <w:color w:val="auto"/>
          <w:sz w:val="24"/>
          <w:szCs w:val="24"/>
        </w:rPr>
        <w:t>2、我单位具有履行合同所必需的专业技术能力，并在规定工作时间内有能力调配较强工作力量，按时保质完成相关工作任务。</w:t>
      </w:r>
    </w:p>
    <w:p w14:paraId="073D3C24">
      <w:pPr>
        <w:pStyle w:val="12"/>
        <w:spacing w:before="5"/>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3、我单位不存在单位负责人为同一人同时参加本项目投标的情况。</w:t>
      </w:r>
    </w:p>
    <w:p w14:paraId="1ECA25F3">
      <w:pPr>
        <w:pStyle w:val="12"/>
        <w:spacing w:before="158"/>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4、我单位不存在直接控股、管理关系的不同</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同时参与本项目投标的情况。</w:t>
      </w:r>
    </w:p>
    <w:p w14:paraId="223DB3C5">
      <w:pPr>
        <w:pStyle w:val="12"/>
        <w:spacing w:before="161" w:line="364" w:lineRule="auto"/>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5、我单位不存在为采购项目提供整体设计、规范编制或者项目管理、监理、检测等服务后，再参加该采购项目的其他采购活动的情形。</w:t>
      </w:r>
    </w:p>
    <w:p w14:paraId="506CBEDF">
      <w:pPr>
        <w:pStyle w:val="12"/>
        <w:spacing w:line="364" w:lineRule="auto"/>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、我单位在投标过程中，不存在向采购人提供、给予任何有价值的物品，试图影响其正常决策的行为。</w:t>
      </w:r>
    </w:p>
    <w:p w14:paraId="2602C186">
      <w:pPr>
        <w:pStyle w:val="12"/>
        <w:spacing w:line="364" w:lineRule="auto"/>
        <w:ind w:left="638" w:leftChars="304" w:right="869" w:rightChars="414" w:firstLine="0" w:firstLineChars="0"/>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lang w:val="en-US" w:eastAsia="zh-CN"/>
        </w:rPr>
        <w:t>7</w:t>
      </w:r>
      <w:r>
        <w:rPr>
          <w:rFonts w:hint="eastAsia" w:ascii="仿宋" w:hAnsi="仿宋" w:eastAsia="仿宋" w:cs="仿宋"/>
          <w:b w:val="0"/>
          <w:bCs w:val="0"/>
          <w:i w:val="0"/>
          <w:iCs w:val="0"/>
          <w:color w:val="auto"/>
          <w:sz w:val="24"/>
          <w:szCs w:val="24"/>
        </w:rPr>
        <w:t>、我单位严格遵守国家及行业相关用工标准，做到合理合法用工。</w:t>
      </w:r>
    </w:p>
    <w:p w14:paraId="0589B20A">
      <w:pPr>
        <w:pStyle w:val="12"/>
        <w:spacing w:line="364" w:lineRule="auto"/>
        <w:ind w:left="638" w:leftChars="304" w:right="869" w:rightChars="414" w:firstLine="0" w:firstLineChars="0"/>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lang w:val="en-US" w:eastAsia="zh-CN"/>
        </w:rPr>
        <w:t>8</w:t>
      </w:r>
      <w:r>
        <w:rPr>
          <w:rFonts w:hint="eastAsia" w:ascii="仿宋" w:hAnsi="仿宋" w:eastAsia="仿宋" w:cs="仿宋"/>
          <w:b w:val="0"/>
          <w:bCs w:val="0"/>
          <w:i w:val="0"/>
          <w:iCs w:val="0"/>
          <w:color w:val="auto"/>
          <w:sz w:val="24"/>
          <w:szCs w:val="24"/>
        </w:rPr>
        <w:t>、本项目所有岗位涉及</w:t>
      </w:r>
      <w:r>
        <w:rPr>
          <w:rFonts w:hint="eastAsia" w:ascii="仿宋" w:hAnsi="仿宋" w:eastAsia="仿宋" w:cs="仿宋"/>
          <w:color w:val="auto"/>
          <w:sz w:val="24"/>
          <w:szCs w:val="24"/>
        </w:rPr>
        <w:t>工作人员在提供服务过程中，经采购人评价不具备工作能力的，我单</w:t>
      </w:r>
      <w:r>
        <w:rPr>
          <w:rFonts w:hint="eastAsia" w:ascii="仿宋" w:hAnsi="仿宋" w:eastAsia="仿宋" w:cs="仿宋"/>
          <w:b w:val="0"/>
          <w:bCs w:val="0"/>
          <w:i w:val="0"/>
          <w:iCs w:val="0"/>
          <w:color w:val="auto"/>
          <w:sz w:val="24"/>
          <w:szCs w:val="24"/>
        </w:rPr>
        <w:t>位将无条件调换。</w:t>
      </w:r>
    </w:p>
    <w:p w14:paraId="556686AE">
      <w:pPr>
        <w:pStyle w:val="12"/>
        <w:spacing w:line="364" w:lineRule="auto"/>
        <w:ind w:left="638" w:leftChars="304" w:right="869" w:rightChars="414" w:firstLine="0" w:firstLineChars="0"/>
        <w:rPr>
          <w:rFonts w:hint="eastAsia" w:ascii="仿宋" w:hAnsi="仿宋" w:eastAsia="仿宋" w:cs="仿宋"/>
          <w:b w:val="0"/>
          <w:bCs w:val="0"/>
          <w:i w:val="0"/>
          <w:iCs w:val="0"/>
          <w:color w:val="auto"/>
          <w:sz w:val="24"/>
          <w:szCs w:val="24"/>
        </w:rPr>
      </w:pPr>
      <w:r>
        <w:rPr>
          <w:rFonts w:hint="eastAsia" w:ascii="仿宋" w:hAnsi="仿宋" w:eastAsia="仿宋" w:cs="仿宋"/>
          <w:b w:val="0"/>
          <w:bCs w:val="0"/>
          <w:i w:val="0"/>
          <w:iCs w:val="0"/>
          <w:color w:val="auto"/>
          <w:sz w:val="24"/>
          <w:szCs w:val="24"/>
        </w:rPr>
        <w:t>若采购人、采购代理机构在本项目采购过程中发现我单位存在违反上述承诺的事项， 我单位将自动失去在本项目的成交资格，并承担因此引起的一切后果及虚假投标责任。</w:t>
      </w:r>
    </w:p>
    <w:p w14:paraId="2A4881FA">
      <w:pPr>
        <w:pStyle w:val="12"/>
        <w:spacing w:before="1"/>
        <w:ind w:left="638" w:leftChars="304" w:right="869" w:rightChars="414" w:firstLine="0" w:firstLineChars="0"/>
        <w:rPr>
          <w:rFonts w:hint="eastAsia" w:ascii="仿宋" w:hAnsi="仿宋" w:eastAsia="仿宋" w:cs="仿宋"/>
          <w:color w:val="auto"/>
          <w:sz w:val="24"/>
          <w:szCs w:val="24"/>
        </w:rPr>
      </w:pPr>
    </w:p>
    <w:p w14:paraId="7690F98A">
      <w:pPr>
        <w:pStyle w:val="12"/>
        <w:tabs>
          <w:tab w:val="left" w:pos="3600"/>
        </w:tabs>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电子签章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p>
    <w:p w14:paraId="23899B05">
      <w:pPr>
        <w:pStyle w:val="12"/>
        <w:tabs>
          <w:tab w:val="left" w:pos="5216"/>
          <w:tab w:val="left" w:pos="5881"/>
          <w:tab w:val="left" w:pos="6791"/>
        </w:tabs>
        <w:spacing w:before="158"/>
        <w:ind w:left="638" w:leftChars="304" w:right="869" w:rightChars="41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投标人法定代表人或</w:t>
      </w:r>
      <w:r>
        <w:rPr>
          <w:rFonts w:hint="eastAsia" w:ascii="仿宋" w:hAnsi="仿宋" w:eastAsia="仿宋" w:cs="仿宋"/>
          <w:color w:val="auto"/>
          <w:sz w:val="24"/>
          <w:szCs w:val="24"/>
        </w:rPr>
        <w:t>授权代表(</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ab/>
      </w:r>
    </w:p>
    <w:p w14:paraId="6C6C7C0B">
      <w:pPr>
        <w:spacing w:beforeLines="50" w:afterLines="50" w:line="360" w:lineRule="auto"/>
        <w:ind w:left="546" w:leftChars="26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日</w:t>
      </w:r>
    </w:p>
    <w:p w14:paraId="33F22914">
      <w:pPr>
        <w:pStyle w:val="12"/>
        <w:spacing w:before="160"/>
        <w:ind w:left="638" w:leftChars="304" w:right="869" w:rightChars="414"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实际情况如与上述承诺内容不符的，请如实说明，不得虚假承诺</w:t>
      </w:r>
      <w:r>
        <w:rPr>
          <w:rFonts w:hint="eastAsia" w:ascii="仿宋" w:hAnsi="仿宋" w:eastAsia="仿宋" w:cs="仿宋"/>
          <w:color w:val="auto"/>
          <w:sz w:val="24"/>
          <w:szCs w:val="24"/>
          <w:lang w:eastAsia="zh-CN"/>
        </w:rPr>
        <w:t>。</w:t>
      </w:r>
    </w:p>
    <w:p w14:paraId="4B41DF23">
      <w:pPr>
        <w:spacing w:before="160" w:line="244" w:lineRule="auto"/>
        <w:ind w:left="638" w:leftChars="304" w:right="869" w:rightChars="414" w:firstLine="0" w:firstLineChars="0"/>
        <w:jc w:val="left"/>
        <w:rPr>
          <w:rFonts w:hint="eastAsia" w:ascii="仿宋" w:hAnsi="仿宋" w:eastAsia="仿宋" w:cs="仿宋"/>
          <w:color w:val="auto"/>
          <w:spacing w:val="-3"/>
          <w:sz w:val="24"/>
          <w:szCs w:val="24"/>
          <w:lang w:eastAsia="zh-CN"/>
        </w:rPr>
      </w:pPr>
      <w:r>
        <w:rPr>
          <w:rFonts w:hint="eastAsia" w:ascii="仿宋" w:hAnsi="仿宋" w:eastAsia="仿宋" w:cs="仿宋"/>
          <w:color w:val="auto"/>
          <w:sz w:val="24"/>
          <w:szCs w:val="24"/>
        </w:rPr>
        <w:t>说明：1.</w:t>
      </w:r>
      <w:r>
        <w:rPr>
          <w:rFonts w:hint="eastAsia" w:ascii="仿宋" w:hAnsi="仿宋" w:eastAsia="仿宋" w:cs="仿宋"/>
          <w:color w:val="auto"/>
          <w:spacing w:val="-3"/>
          <w:sz w:val="24"/>
          <w:szCs w:val="24"/>
        </w:rPr>
        <w:t>自然人投标的</w:t>
      </w:r>
      <w:r>
        <w:rPr>
          <w:rFonts w:hint="eastAsia" w:ascii="仿宋" w:hAnsi="仿宋" w:eastAsia="仿宋" w:cs="仿宋"/>
          <w:color w:val="auto"/>
          <w:spacing w:val="-3"/>
          <w:sz w:val="24"/>
          <w:szCs w:val="24"/>
          <w:lang w:val="en-US" w:eastAsia="zh-CN"/>
        </w:rPr>
        <w:t>电子签章或</w:t>
      </w:r>
      <w:r>
        <w:rPr>
          <w:rFonts w:hint="eastAsia" w:ascii="仿宋" w:hAnsi="仿宋" w:eastAsia="仿宋" w:cs="仿宋"/>
          <w:color w:val="auto"/>
          <w:spacing w:val="-3"/>
          <w:sz w:val="24"/>
          <w:szCs w:val="24"/>
        </w:rPr>
        <w:t>签字</w:t>
      </w:r>
      <w:r>
        <w:rPr>
          <w:rFonts w:hint="eastAsia" w:ascii="仿宋" w:hAnsi="仿宋" w:eastAsia="仿宋" w:cs="仿宋"/>
          <w:color w:val="auto"/>
          <w:spacing w:val="-3"/>
          <w:sz w:val="24"/>
          <w:szCs w:val="24"/>
          <w:lang w:val="en-US" w:eastAsia="zh-CN"/>
        </w:rPr>
        <w:t>后上传</w:t>
      </w:r>
      <w:r>
        <w:rPr>
          <w:rFonts w:hint="eastAsia" w:ascii="仿宋" w:hAnsi="仿宋" w:eastAsia="仿宋" w:cs="仿宋"/>
          <w:color w:val="auto"/>
          <w:spacing w:val="-3"/>
          <w:sz w:val="24"/>
          <w:szCs w:val="24"/>
          <w:lang w:eastAsia="zh-CN"/>
        </w:rPr>
        <w:t>。</w:t>
      </w:r>
    </w:p>
    <w:p w14:paraId="48D665E1">
      <w:pPr>
        <w:spacing w:before="160" w:line="244" w:lineRule="auto"/>
        <w:ind w:left="638" w:leftChars="304" w:right="869" w:rightChars="414"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pacing w:val="-3"/>
          <w:sz w:val="24"/>
          <w:szCs w:val="24"/>
        </w:rPr>
        <w:t>如果是联合体投标，联合体各方均需提供上述证明。</w:t>
      </w:r>
    </w:p>
    <w:bookmarkEnd w:id="122"/>
    <w:bookmarkEnd w:id="123"/>
    <w:p w14:paraId="3D6FDEF0">
      <w:pPr>
        <w:rPr>
          <w:rFonts w:hint="eastAsia" w:ascii="仿宋" w:hAnsi="仿宋" w:eastAsia="仿宋" w:cs="仿宋"/>
          <w:b/>
          <w:bCs/>
          <w:color w:val="auto"/>
          <w:highlight w:val="none"/>
          <w:lang w:val="en-US" w:eastAsia="zh-CN"/>
        </w:rPr>
      </w:pPr>
      <w:bookmarkStart w:id="128" w:name="_Toc22978"/>
      <w:bookmarkStart w:id="129" w:name="_Toc30497"/>
      <w:bookmarkStart w:id="130" w:name="_Toc507399522"/>
      <w:r>
        <w:rPr>
          <w:rFonts w:hint="eastAsia" w:ascii="仿宋" w:hAnsi="仿宋" w:eastAsia="仿宋" w:cs="仿宋"/>
          <w:b/>
          <w:bCs/>
          <w:color w:val="auto"/>
          <w:highlight w:val="none"/>
          <w:lang w:val="en-US" w:eastAsia="zh-CN"/>
        </w:rPr>
        <w:br w:type="page"/>
      </w:r>
    </w:p>
    <w:p w14:paraId="5DA16CBA">
      <w:pPr>
        <w:pStyle w:val="30"/>
        <w:numPr>
          <w:ilvl w:val="0"/>
          <w:numId w:val="0"/>
        </w:numPr>
        <w:spacing w:before="25" w:after="25" w:line="360" w:lineRule="auto"/>
        <w:jc w:val="left"/>
        <w:outlineLvl w:val="3"/>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附件 2-9 投标保证金缴纳凭证</w:t>
      </w:r>
      <w:bookmarkEnd w:id="128"/>
      <w:bookmarkEnd w:id="129"/>
      <w:r>
        <w:rPr>
          <w:rFonts w:hint="eastAsia" w:ascii="仿宋" w:hAnsi="仿宋" w:eastAsia="仿宋" w:cs="仿宋"/>
          <w:b/>
          <w:bCs/>
          <w:i w:val="0"/>
          <w:iCs w:val="0"/>
          <w:color w:val="auto"/>
          <w:sz w:val="24"/>
          <w:szCs w:val="24"/>
          <w:lang w:val="en-US" w:eastAsia="zh-CN"/>
        </w:rPr>
        <w:t>扫描件</w:t>
      </w:r>
    </w:p>
    <w:p w14:paraId="4775ED10">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说明：投标人可将本项目投标保证金支付的汇款凭证或投标保函的扫描件（如有）作为缴纳凭证放在投标文件中，扫描件上应电子签章（单位）。</w:t>
      </w:r>
    </w:p>
    <w:p w14:paraId="0A34655A">
      <w:pPr>
        <w:pStyle w:val="12"/>
        <w:spacing w:line="314" w:lineRule="auto"/>
        <w:ind w:right="516"/>
        <w:rPr>
          <w:rFonts w:hint="eastAsia" w:ascii="仿宋" w:hAnsi="仿宋" w:eastAsia="仿宋" w:cs="仿宋"/>
          <w:b/>
          <w:color w:val="auto"/>
          <w:sz w:val="24"/>
          <w:szCs w:val="24"/>
        </w:rPr>
      </w:pPr>
    </w:p>
    <w:p w14:paraId="35A9E4F6">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bookmarkEnd w:id="130"/>
    <w:p w14:paraId="23B1D22E">
      <w:pPr>
        <w:spacing w:after="0" w:line="244" w:lineRule="auto"/>
        <w:ind w:left="638" w:leftChars="304" w:right="869" w:rightChars="414" w:firstLine="0" w:firstLineChars="0"/>
        <w:jc w:val="left"/>
        <w:rPr>
          <w:rFonts w:hint="eastAsia" w:ascii="仿宋" w:hAnsi="仿宋" w:eastAsia="仿宋" w:cs="仿宋"/>
          <w:color w:val="auto"/>
          <w:sz w:val="24"/>
          <w:szCs w:val="24"/>
        </w:rPr>
        <w:sectPr>
          <w:type w:val="continuous"/>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sectPr>
      </w:pPr>
      <w:bookmarkStart w:id="131" w:name="_Toc507399526"/>
    </w:p>
    <w:p w14:paraId="2AF19140">
      <w:pPr>
        <w:pStyle w:val="5"/>
        <w:spacing w:before="67"/>
        <w:ind w:left="0" w:leftChars="0" w:right="-92" w:rightChars="-44" w:firstLine="0" w:firstLineChars="0"/>
        <w:outlineLvl w:val="3"/>
        <w:rPr>
          <w:rFonts w:hint="eastAsia" w:ascii="仿宋" w:hAnsi="仿宋" w:eastAsia="仿宋" w:cs="仿宋"/>
          <w:color w:val="auto"/>
          <w:sz w:val="24"/>
          <w:szCs w:val="24"/>
        </w:rPr>
      </w:pPr>
      <w:bookmarkStart w:id="132" w:name="_Toc23406"/>
      <w:bookmarkStart w:id="133" w:name="_Toc312"/>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10 </w:t>
      </w:r>
      <w:r>
        <w:rPr>
          <w:rFonts w:hint="eastAsia" w:ascii="仿宋" w:hAnsi="仿宋" w:eastAsia="仿宋" w:cs="仿宋"/>
          <w:color w:val="auto"/>
          <w:sz w:val="24"/>
          <w:szCs w:val="24"/>
        </w:rPr>
        <w:t>虚假应标承担责任声明（统一格式）</w:t>
      </w:r>
      <w:bookmarkEnd w:id="132"/>
      <w:bookmarkEnd w:id="133"/>
    </w:p>
    <w:p w14:paraId="747F0773">
      <w:pPr>
        <w:pStyle w:val="12"/>
        <w:ind w:left="0" w:leftChars="0" w:right="-92" w:rightChars="-44" w:firstLine="0" w:firstLineChars="0"/>
        <w:rPr>
          <w:rFonts w:hint="eastAsia" w:ascii="仿宋" w:hAnsi="仿宋" w:eastAsia="仿宋" w:cs="仿宋"/>
          <w:b/>
          <w:color w:val="auto"/>
          <w:sz w:val="21"/>
          <w:szCs w:val="21"/>
        </w:rPr>
      </w:pPr>
    </w:p>
    <w:p w14:paraId="669069F7">
      <w:pPr>
        <w:pStyle w:val="12"/>
        <w:ind w:left="0" w:leftChars="0" w:right="-92" w:rightChars="-44" w:firstLine="0" w:firstLineChars="0"/>
        <w:rPr>
          <w:rFonts w:hint="eastAsia" w:ascii="仿宋" w:hAnsi="仿宋" w:eastAsia="仿宋" w:cs="仿宋"/>
          <w:b/>
          <w:color w:val="auto"/>
          <w:sz w:val="21"/>
          <w:szCs w:val="21"/>
        </w:rPr>
      </w:pPr>
    </w:p>
    <w:p w14:paraId="6DEBD53F">
      <w:pPr>
        <w:pStyle w:val="12"/>
        <w:spacing w:before="2"/>
        <w:ind w:left="0" w:leftChars="0" w:right="-92" w:rightChars="-44" w:firstLine="0" w:firstLineChars="0"/>
        <w:rPr>
          <w:rFonts w:hint="eastAsia" w:ascii="仿宋" w:hAnsi="仿宋" w:eastAsia="仿宋" w:cs="仿宋"/>
          <w:b/>
          <w:color w:val="auto"/>
          <w:sz w:val="21"/>
          <w:szCs w:val="21"/>
        </w:rPr>
      </w:pPr>
    </w:p>
    <w:p w14:paraId="3A88D005">
      <w:pPr>
        <w:ind w:left="0" w:leftChars="0" w:right="-92" w:rightChars="-44" w:firstLine="0" w:firstLineChars="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/采购代理机构</w:t>
      </w:r>
    </w:p>
    <w:p w14:paraId="02961681">
      <w:pPr>
        <w:pStyle w:val="12"/>
        <w:spacing w:before="9"/>
        <w:ind w:left="0" w:leftChars="0" w:right="-92" w:rightChars="-44" w:firstLine="0" w:firstLineChars="0"/>
        <w:rPr>
          <w:rFonts w:hint="eastAsia" w:ascii="仿宋" w:hAnsi="仿宋" w:eastAsia="仿宋" w:cs="仿宋"/>
          <w:b/>
          <w:color w:val="auto"/>
          <w:sz w:val="24"/>
          <w:szCs w:val="24"/>
        </w:rPr>
      </w:pPr>
    </w:p>
    <w:p w14:paraId="3F792ADF">
      <w:pPr>
        <w:pStyle w:val="12"/>
        <w:spacing w:before="67" w:line="360" w:lineRule="auto"/>
        <w:ind w:left="0" w:leftChars="0" w:right="-92" w:rightChars="-4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w:t>
      </w:r>
      <w:r>
        <w:rPr>
          <w:rFonts w:hint="eastAsia" w:ascii="仿宋" w:hAnsi="仿宋" w:eastAsia="仿宋" w:cs="仿宋"/>
          <w:color w:val="auto"/>
          <w:spacing w:val="-7"/>
          <w:sz w:val="24"/>
          <w:szCs w:val="24"/>
        </w:rPr>
        <w:t>承诺：</w:t>
      </w:r>
      <w:r>
        <w:rPr>
          <w:rFonts w:hint="eastAsia" w:ascii="仿宋" w:hAnsi="仿宋" w:eastAsia="仿宋" w:cs="仿宋"/>
          <w:color w:val="auto"/>
          <w:spacing w:val="-3"/>
          <w:sz w:val="24"/>
          <w:szCs w:val="24"/>
        </w:rPr>
        <w:t>所提供的</w:t>
      </w:r>
      <w:r>
        <w:rPr>
          <w:rFonts w:hint="eastAsia" w:ascii="仿宋" w:hAnsi="仿宋" w:eastAsia="仿宋" w:cs="仿宋"/>
          <w:color w:val="auto"/>
          <w:spacing w:val="-3"/>
          <w:sz w:val="24"/>
          <w:szCs w:val="24"/>
          <w:lang w:val="en-US" w:eastAsia="zh-CN"/>
        </w:rPr>
        <w:t>投标</w:t>
      </w:r>
      <w:r>
        <w:rPr>
          <w:rFonts w:hint="eastAsia" w:ascii="仿宋" w:hAnsi="仿宋" w:eastAsia="仿宋" w:cs="仿宋"/>
          <w:color w:val="auto"/>
          <w:spacing w:val="-3"/>
          <w:sz w:val="24"/>
          <w:szCs w:val="24"/>
        </w:rPr>
        <w:t>文件</w:t>
      </w:r>
      <w:r>
        <w:rPr>
          <w:rFonts w:hint="eastAsia" w:ascii="仿宋" w:hAnsi="仿宋" w:eastAsia="仿宋" w:cs="仿宋"/>
          <w:color w:val="auto"/>
          <w:sz w:val="24"/>
          <w:szCs w:val="24"/>
        </w:rPr>
        <w:t>（</w:t>
      </w:r>
      <w:r>
        <w:rPr>
          <w:rFonts w:hint="eastAsia" w:ascii="仿宋" w:hAnsi="仿宋" w:eastAsia="仿宋" w:cs="仿宋"/>
          <w:color w:val="auto"/>
          <w:spacing w:val="-5"/>
          <w:sz w:val="24"/>
          <w:szCs w:val="24"/>
        </w:rPr>
        <w:t>包括一切技术资料、技术承诺、商务承诺等</w:t>
      </w:r>
      <w:r>
        <w:rPr>
          <w:rFonts w:hint="eastAsia" w:ascii="仿宋" w:hAnsi="仿宋" w:eastAsia="仿宋" w:cs="仿宋"/>
          <w:color w:val="auto"/>
          <w:spacing w:val="-20"/>
          <w:sz w:val="24"/>
          <w:szCs w:val="24"/>
        </w:rPr>
        <w:t>）</w:t>
      </w:r>
      <w:r>
        <w:rPr>
          <w:rFonts w:hint="eastAsia" w:ascii="仿宋" w:hAnsi="仿宋" w:eastAsia="仿宋" w:cs="仿宋"/>
          <w:color w:val="auto"/>
          <w:spacing w:val="-12"/>
          <w:sz w:val="24"/>
          <w:szCs w:val="24"/>
        </w:rPr>
        <w:t>均</w:t>
      </w:r>
      <w:r>
        <w:rPr>
          <w:rFonts w:hint="eastAsia" w:ascii="仿宋" w:hAnsi="仿宋" w:eastAsia="仿宋" w:cs="仿宋"/>
          <w:color w:val="auto"/>
          <w:spacing w:val="-6"/>
          <w:sz w:val="24"/>
          <w:szCs w:val="24"/>
        </w:rPr>
        <w:t>真实有效，若在项目招标过程中</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包括开评审、</w:t>
      </w:r>
      <w:r>
        <w:rPr>
          <w:rFonts w:hint="eastAsia" w:ascii="仿宋" w:hAnsi="仿宋" w:eastAsia="仿宋" w:cs="仿宋"/>
          <w:color w:val="auto"/>
          <w:spacing w:val="-6"/>
          <w:sz w:val="24"/>
          <w:szCs w:val="24"/>
          <w:lang w:val="en-US" w:eastAsia="zh-CN"/>
        </w:rPr>
        <w:t>中标</w:t>
      </w:r>
      <w:r>
        <w:rPr>
          <w:rFonts w:hint="eastAsia" w:ascii="仿宋" w:hAnsi="仿宋" w:eastAsia="仿宋" w:cs="仿宋"/>
          <w:color w:val="auto"/>
          <w:spacing w:val="-6"/>
          <w:sz w:val="24"/>
          <w:szCs w:val="24"/>
        </w:rPr>
        <w:t>公示过程</w:t>
      </w:r>
      <w:r>
        <w:rPr>
          <w:rFonts w:hint="eastAsia" w:ascii="仿宋" w:hAnsi="仿宋" w:eastAsia="仿宋" w:cs="仿宋"/>
          <w:color w:val="auto"/>
          <w:spacing w:val="-20"/>
          <w:sz w:val="24"/>
          <w:szCs w:val="24"/>
        </w:rPr>
        <w:t>）</w:t>
      </w:r>
      <w:r>
        <w:rPr>
          <w:rFonts w:hint="eastAsia" w:ascii="仿宋" w:hAnsi="仿宋" w:eastAsia="仿宋" w:cs="仿宋"/>
          <w:color w:val="auto"/>
          <w:spacing w:val="-2"/>
          <w:sz w:val="24"/>
          <w:szCs w:val="24"/>
        </w:rPr>
        <w:t>及履行合同期间</w:t>
      </w:r>
      <w:r>
        <w:rPr>
          <w:rFonts w:hint="eastAsia" w:ascii="仿宋" w:hAnsi="仿宋" w:eastAsia="仿宋" w:cs="仿宋"/>
          <w:color w:val="auto"/>
          <w:sz w:val="24"/>
          <w:szCs w:val="24"/>
        </w:rPr>
        <w:t>（包括验收过程</w:t>
      </w:r>
      <w:r>
        <w:rPr>
          <w:rFonts w:hint="eastAsia" w:ascii="仿宋" w:hAnsi="仿宋" w:eastAsia="仿宋" w:cs="仿宋"/>
          <w:color w:val="auto"/>
          <w:spacing w:val="-15"/>
          <w:sz w:val="24"/>
          <w:szCs w:val="24"/>
        </w:rPr>
        <w:t>）</w:t>
      </w:r>
      <w:r>
        <w:rPr>
          <w:rFonts w:hint="eastAsia" w:ascii="仿宋" w:hAnsi="仿宋" w:eastAsia="仿宋" w:cs="仿宋"/>
          <w:color w:val="auto"/>
          <w:spacing w:val="-2"/>
          <w:sz w:val="24"/>
          <w:szCs w:val="24"/>
        </w:rPr>
        <w:t>发现我公司提供的</w:t>
      </w:r>
      <w:r>
        <w:rPr>
          <w:rFonts w:hint="eastAsia" w:ascii="仿宋" w:hAnsi="仿宋" w:eastAsia="仿宋" w:cs="仿宋"/>
          <w:color w:val="auto"/>
          <w:spacing w:val="-2"/>
          <w:sz w:val="24"/>
          <w:szCs w:val="24"/>
          <w:lang w:val="en-US" w:eastAsia="zh-CN"/>
        </w:rPr>
        <w:t>货物</w:t>
      </w:r>
      <w:r>
        <w:rPr>
          <w:rFonts w:hint="eastAsia" w:ascii="仿宋" w:hAnsi="仿宋" w:eastAsia="仿宋" w:cs="仿宋"/>
          <w:color w:val="auto"/>
          <w:sz w:val="24"/>
          <w:szCs w:val="24"/>
        </w:rPr>
        <w:t>（或产品</w:t>
      </w:r>
      <w:r>
        <w:rPr>
          <w:rFonts w:hint="eastAsia" w:ascii="仿宋" w:hAnsi="仿宋" w:eastAsia="仿宋" w:cs="仿宋"/>
          <w:color w:val="auto"/>
          <w:spacing w:val="-15"/>
          <w:sz w:val="24"/>
          <w:szCs w:val="24"/>
        </w:rPr>
        <w:t>）</w:t>
      </w:r>
      <w:r>
        <w:rPr>
          <w:rFonts w:hint="eastAsia" w:ascii="仿宋" w:hAnsi="仿宋" w:eastAsia="仿宋" w:cs="仿宋"/>
          <w:color w:val="auto"/>
          <w:spacing w:val="-5"/>
          <w:sz w:val="24"/>
          <w:szCs w:val="24"/>
        </w:rPr>
        <w:t>与</w:t>
      </w:r>
      <w:r>
        <w:rPr>
          <w:rFonts w:hint="eastAsia" w:ascii="仿宋" w:hAnsi="仿宋" w:eastAsia="仿宋" w:cs="仿宋"/>
          <w:color w:val="auto"/>
          <w:spacing w:val="-5"/>
          <w:sz w:val="24"/>
          <w:szCs w:val="24"/>
          <w:lang w:val="en-US" w:eastAsia="zh-CN"/>
        </w:rPr>
        <w:t>投标</w:t>
      </w:r>
      <w:r>
        <w:rPr>
          <w:rFonts w:hint="eastAsia" w:ascii="仿宋" w:hAnsi="仿宋" w:eastAsia="仿宋" w:cs="仿宋"/>
          <w:color w:val="auto"/>
          <w:sz w:val="24"/>
          <w:szCs w:val="24"/>
        </w:rPr>
        <w:t>文件</w:t>
      </w:r>
      <w:r>
        <w:rPr>
          <w:rFonts w:hint="eastAsia" w:ascii="仿宋" w:hAnsi="仿宋" w:eastAsia="仿宋" w:cs="仿宋"/>
          <w:color w:val="auto"/>
          <w:spacing w:val="-6"/>
          <w:sz w:val="24"/>
          <w:szCs w:val="24"/>
        </w:rPr>
        <w:t>不一致，或发现我</w:t>
      </w:r>
      <w:r>
        <w:rPr>
          <w:rFonts w:hint="eastAsia" w:ascii="仿宋" w:hAnsi="仿宋" w:eastAsia="仿宋" w:cs="仿宋"/>
          <w:color w:val="auto"/>
          <w:sz w:val="24"/>
          <w:szCs w:val="24"/>
        </w:rPr>
        <w:t>公司提供了不真实的</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虚假材料</w:t>
      </w:r>
      <w:r>
        <w:rPr>
          <w:rFonts w:hint="eastAsia" w:ascii="仿宋" w:hAnsi="仿宋" w:eastAsia="仿宋" w:cs="仿宋"/>
          <w:color w:val="auto"/>
          <w:spacing w:val="-120"/>
          <w:sz w:val="24"/>
          <w:szCs w:val="24"/>
        </w:rPr>
        <w:t>）</w:t>
      </w:r>
      <w:r>
        <w:rPr>
          <w:rFonts w:hint="eastAsia" w:ascii="仿宋" w:hAnsi="仿宋" w:eastAsia="仿宋" w:cs="仿宋"/>
          <w:color w:val="auto"/>
          <w:spacing w:val="-120"/>
          <w:sz w:val="24"/>
          <w:szCs w:val="24"/>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我公司愿意承担一切法律责任并认可采购人或采购代理机构作出的取消</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资格、罚没保证金等决定。</w:t>
      </w:r>
    </w:p>
    <w:p w14:paraId="2C834599">
      <w:pPr>
        <w:pStyle w:val="12"/>
        <w:spacing w:line="360" w:lineRule="auto"/>
        <w:ind w:left="0" w:leftChars="0" w:right="-92" w:rightChars="-4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14:paraId="2990FD31">
      <w:pPr>
        <w:pStyle w:val="12"/>
        <w:spacing w:line="360" w:lineRule="auto"/>
        <w:ind w:left="0" w:leftChars="0" w:right="-92" w:rightChars="-44" w:firstLine="0" w:firstLineChars="0"/>
        <w:rPr>
          <w:rFonts w:hint="eastAsia" w:ascii="仿宋" w:hAnsi="仿宋" w:eastAsia="仿宋" w:cs="仿宋"/>
          <w:color w:val="auto"/>
          <w:sz w:val="21"/>
          <w:szCs w:val="21"/>
        </w:rPr>
      </w:pPr>
    </w:p>
    <w:p w14:paraId="325BCDA3">
      <w:pPr>
        <w:pStyle w:val="12"/>
        <w:ind w:left="0" w:leftChars="0" w:right="-92" w:rightChars="-44" w:firstLine="0" w:firstLineChars="0"/>
        <w:rPr>
          <w:rFonts w:hint="eastAsia" w:ascii="仿宋" w:hAnsi="仿宋" w:eastAsia="仿宋" w:cs="仿宋"/>
          <w:color w:val="auto"/>
          <w:sz w:val="21"/>
          <w:szCs w:val="21"/>
        </w:rPr>
      </w:pPr>
    </w:p>
    <w:p w14:paraId="680A2442">
      <w:pPr>
        <w:pStyle w:val="12"/>
        <w:ind w:left="0" w:leftChars="0" w:right="-92" w:rightChars="-44" w:firstLine="0" w:firstLineChars="0"/>
        <w:rPr>
          <w:rFonts w:hint="eastAsia" w:ascii="仿宋" w:hAnsi="仿宋" w:eastAsia="仿宋" w:cs="仿宋"/>
          <w:color w:val="auto"/>
          <w:sz w:val="21"/>
          <w:szCs w:val="21"/>
        </w:rPr>
      </w:pPr>
    </w:p>
    <w:p w14:paraId="59FA3D14">
      <w:pPr>
        <w:pStyle w:val="12"/>
        <w:tabs>
          <w:tab w:val="left" w:pos="3600"/>
        </w:tabs>
        <w:ind w:right="869" w:rightChars="414"/>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电子签章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p>
    <w:p w14:paraId="536CD5BF">
      <w:pPr>
        <w:pStyle w:val="12"/>
        <w:tabs>
          <w:tab w:val="left" w:pos="5216"/>
          <w:tab w:val="left" w:pos="5881"/>
          <w:tab w:val="left" w:pos="6791"/>
        </w:tabs>
        <w:spacing w:before="158"/>
        <w:ind w:right="869" w:rightChars="414"/>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投标人法定代表人或</w:t>
      </w:r>
      <w:r>
        <w:rPr>
          <w:rFonts w:hint="eastAsia" w:ascii="仿宋" w:hAnsi="仿宋" w:eastAsia="仿宋" w:cs="仿宋"/>
          <w:color w:val="auto"/>
          <w:sz w:val="24"/>
          <w:szCs w:val="24"/>
        </w:rPr>
        <w:t>授权代表(</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p>
    <w:p w14:paraId="557CAD62">
      <w:pPr>
        <w:spacing w:beforeLines="50" w:after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日</w:t>
      </w:r>
    </w:p>
    <w:p w14:paraId="49EA634E">
      <w:pPr>
        <w:pStyle w:val="12"/>
        <w:keepNext w:val="0"/>
        <w:keepLines w:val="0"/>
        <w:pageBreakBefore w:val="0"/>
        <w:widowControl w:val="0"/>
        <w:tabs>
          <w:tab w:val="left" w:pos="5521"/>
          <w:tab w:val="left" w:pos="6366"/>
          <w:tab w:val="left" w:pos="9062"/>
        </w:tabs>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z w:val="24"/>
          <w:szCs w:val="24"/>
        </w:rPr>
      </w:pPr>
    </w:p>
    <w:p w14:paraId="77EE901B">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z w:val="24"/>
          <w:szCs w:val="24"/>
        </w:rPr>
      </w:pPr>
    </w:p>
    <w:p w14:paraId="26DFC40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z w:val="24"/>
          <w:szCs w:val="24"/>
        </w:rPr>
      </w:pPr>
    </w:p>
    <w:p w14:paraId="22605A50">
      <w:pPr>
        <w:pStyle w:val="12"/>
        <w:tabs>
          <w:tab w:val="left" w:pos="1560"/>
          <w:tab w:val="left" w:pos="2040"/>
        </w:tabs>
        <w:spacing w:before="66"/>
        <w:ind w:left="0" w:leftChars="0" w:right="-92" w:rightChars="-44" w:firstLine="0" w:firstLineChars="0"/>
        <w:rPr>
          <w:rFonts w:hint="eastAsia" w:ascii="仿宋" w:hAnsi="仿宋" w:eastAsia="仿宋" w:cs="仿宋"/>
          <w:color w:val="auto"/>
          <w:sz w:val="21"/>
          <w:szCs w:val="21"/>
        </w:rPr>
      </w:pPr>
    </w:p>
    <w:p w14:paraId="1DB17878">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b/>
          <w:bCs/>
          <w:i w:val="0"/>
          <w:iCs w:val="0"/>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CC2E19">
      <w:pPr>
        <w:pStyle w:val="5"/>
        <w:tabs>
          <w:tab w:val="left" w:pos="1627"/>
        </w:tabs>
        <w:spacing w:before="67"/>
        <w:ind w:left="0" w:leftChars="0" w:firstLine="0" w:firstLineChars="0"/>
        <w:outlineLvl w:val="3"/>
        <w:rPr>
          <w:rFonts w:hint="eastAsia" w:ascii="仿宋" w:hAnsi="仿宋" w:eastAsia="仿宋" w:cs="仿宋"/>
          <w:b/>
          <w:color w:val="auto"/>
          <w:spacing w:val="2"/>
          <w:w w:val="99"/>
          <w:sz w:val="24"/>
          <w:szCs w:val="24"/>
        </w:rPr>
      </w:pPr>
      <w:bookmarkStart w:id="134" w:name="_Toc28847"/>
      <w:bookmarkStart w:id="135" w:name="_Toc1085"/>
      <w:r>
        <w:rPr>
          <w:rFonts w:hint="eastAsia" w:ascii="仿宋" w:hAnsi="仿宋" w:eastAsia="仿宋" w:cs="仿宋"/>
          <w:b/>
          <w:color w:val="auto"/>
          <w:spacing w:val="2"/>
          <w:w w:val="99"/>
          <w:sz w:val="24"/>
          <w:szCs w:val="24"/>
        </w:rPr>
        <w:t xml:space="preserve">附件 </w:t>
      </w:r>
      <w:r>
        <w:rPr>
          <w:rFonts w:hint="eastAsia" w:ascii="仿宋" w:hAnsi="仿宋" w:eastAsia="仿宋" w:cs="仿宋"/>
          <w:b/>
          <w:color w:val="auto"/>
          <w:spacing w:val="2"/>
          <w:w w:val="99"/>
          <w:sz w:val="24"/>
          <w:szCs w:val="24"/>
          <w:lang w:val="en-US" w:eastAsia="zh-CN"/>
        </w:rPr>
        <w:t>2</w:t>
      </w:r>
      <w:r>
        <w:rPr>
          <w:rFonts w:hint="eastAsia" w:ascii="仿宋" w:hAnsi="仿宋" w:eastAsia="仿宋" w:cs="仿宋"/>
          <w:b/>
          <w:color w:val="auto"/>
          <w:spacing w:val="2"/>
          <w:w w:val="99"/>
          <w:sz w:val="24"/>
          <w:szCs w:val="24"/>
        </w:rPr>
        <w:t>-</w:t>
      </w:r>
      <w:r>
        <w:rPr>
          <w:rFonts w:hint="eastAsia" w:ascii="仿宋" w:hAnsi="仿宋" w:eastAsia="仿宋" w:cs="仿宋"/>
          <w:b/>
          <w:color w:val="auto"/>
          <w:spacing w:val="2"/>
          <w:w w:val="99"/>
          <w:sz w:val="24"/>
          <w:szCs w:val="24"/>
          <w:lang w:val="en-US" w:eastAsia="zh-CN"/>
        </w:rPr>
        <w:t>11</w:t>
      </w:r>
      <w:r>
        <w:rPr>
          <w:rFonts w:hint="eastAsia" w:ascii="仿宋" w:hAnsi="仿宋" w:eastAsia="仿宋" w:cs="仿宋"/>
          <w:b/>
          <w:color w:val="auto"/>
          <w:spacing w:val="2"/>
          <w:w w:val="99"/>
          <w:sz w:val="24"/>
          <w:szCs w:val="24"/>
          <w:lang w:eastAsia="zh-CN"/>
        </w:rPr>
        <w:t>投标人</w:t>
      </w:r>
      <w:r>
        <w:rPr>
          <w:rFonts w:hint="eastAsia" w:ascii="仿宋" w:hAnsi="仿宋" w:eastAsia="仿宋" w:cs="仿宋"/>
          <w:b/>
          <w:color w:val="auto"/>
          <w:spacing w:val="2"/>
          <w:w w:val="99"/>
          <w:sz w:val="24"/>
          <w:szCs w:val="24"/>
        </w:rPr>
        <w:t>关联单位的说明（格式自拟）</w:t>
      </w:r>
      <w:bookmarkEnd w:id="134"/>
      <w:bookmarkEnd w:id="135"/>
    </w:p>
    <w:p w14:paraId="6667B39E">
      <w:pPr>
        <w:pStyle w:val="12"/>
        <w:spacing w:before="9" w:line="360" w:lineRule="auto"/>
        <w:rPr>
          <w:rFonts w:hint="eastAsia" w:ascii="仿宋" w:hAnsi="仿宋" w:eastAsia="仿宋" w:cs="仿宋"/>
          <w:b/>
          <w:color w:val="auto"/>
          <w:sz w:val="24"/>
          <w:szCs w:val="24"/>
        </w:rPr>
      </w:pPr>
    </w:p>
    <w:p w14:paraId="48BE1AFC">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关联单位的说明（格式自拟）</w:t>
      </w:r>
    </w:p>
    <w:p w14:paraId="0E9A33B4">
      <w:pPr>
        <w:spacing w:line="360" w:lineRule="auto"/>
        <w:rPr>
          <w:rFonts w:hint="eastAsia" w:ascii="仿宋" w:hAnsi="仿宋" w:eastAsia="仿宋" w:cs="仿宋"/>
          <w:color w:val="auto"/>
          <w:sz w:val="24"/>
          <w:szCs w:val="24"/>
        </w:rPr>
      </w:pPr>
    </w:p>
    <w:p w14:paraId="310C8691">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4D7056AD">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投标人应当如实披露与本单位存在下列关联关系的单位名称：</w:t>
      </w:r>
    </w:p>
    <w:p w14:paraId="33965053">
      <w:pPr>
        <w:pStyle w:val="3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与投标人单位负责人为同一人的其他单位；</w:t>
      </w:r>
    </w:p>
    <w:p w14:paraId="225AA6F0">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与投标人存在直接控股、管理关系的其他单位；</w:t>
      </w:r>
    </w:p>
    <w:p w14:paraId="353BBE45">
      <w:pPr>
        <w:pStyle w:val="3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如无关联单位可不提供此说明。</w:t>
      </w:r>
    </w:p>
    <w:p w14:paraId="79389267">
      <w:pPr>
        <w:pStyle w:val="30"/>
        <w:spacing w:line="360" w:lineRule="auto"/>
        <w:rPr>
          <w:rFonts w:hint="eastAsia" w:ascii="仿宋" w:hAnsi="仿宋" w:eastAsia="仿宋" w:cs="仿宋"/>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7271226">
      <w:pPr>
        <w:pStyle w:val="5"/>
        <w:tabs>
          <w:tab w:val="left" w:pos="1627"/>
        </w:tabs>
        <w:spacing w:before="67"/>
        <w:ind w:left="0" w:leftChars="0" w:firstLine="0" w:firstLineChars="0"/>
        <w:outlineLvl w:val="3"/>
        <w:rPr>
          <w:rFonts w:hint="eastAsia" w:ascii="仿宋" w:hAnsi="仿宋" w:eastAsia="仿宋" w:cs="仿宋"/>
          <w:color w:val="auto"/>
          <w:sz w:val="24"/>
          <w:szCs w:val="24"/>
        </w:rPr>
      </w:pPr>
      <w:bookmarkStart w:id="136" w:name="_Toc5327"/>
      <w:bookmarkStart w:id="137" w:name="_Toc23872"/>
      <w:r>
        <w:rPr>
          <w:rFonts w:hint="eastAsia" w:ascii="仿宋" w:hAnsi="仿宋" w:eastAsia="仿宋" w:cs="仿宋"/>
          <w:color w:val="auto"/>
          <w:spacing w:val="2"/>
          <w:w w:val="99"/>
          <w:sz w:val="24"/>
          <w:szCs w:val="24"/>
        </w:rPr>
        <w:t>附</w:t>
      </w:r>
      <w:r>
        <w:rPr>
          <w:rFonts w:hint="eastAsia" w:ascii="仿宋" w:hAnsi="仿宋" w:eastAsia="仿宋" w:cs="仿宋"/>
          <w:color w:val="auto"/>
          <w:w w:val="99"/>
          <w:sz w:val="24"/>
          <w:szCs w:val="24"/>
        </w:rPr>
        <w:t>件</w:t>
      </w:r>
      <w:r>
        <w:rPr>
          <w:rFonts w:hint="eastAsia" w:ascii="仿宋" w:hAnsi="仿宋" w:eastAsia="仿宋" w:cs="仿宋"/>
          <w:color w:val="auto"/>
          <w:spacing w:val="-61"/>
          <w:sz w:val="24"/>
          <w:szCs w:val="24"/>
        </w:rPr>
        <w:t xml:space="preserve"> </w:t>
      </w:r>
      <w:r>
        <w:rPr>
          <w:rFonts w:hint="eastAsia" w:ascii="仿宋" w:hAnsi="仿宋" w:eastAsia="仿宋" w:cs="仿宋"/>
          <w:color w:val="auto"/>
          <w:spacing w:val="2"/>
          <w:w w:val="99"/>
          <w:sz w:val="24"/>
          <w:szCs w:val="24"/>
          <w:lang w:val="en-US" w:eastAsia="zh-CN"/>
        </w:rPr>
        <w:t>2</w:t>
      </w:r>
      <w:r>
        <w:rPr>
          <w:rFonts w:hint="eastAsia" w:ascii="仿宋" w:hAnsi="仿宋" w:eastAsia="仿宋" w:cs="仿宋"/>
          <w:color w:val="auto"/>
          <w:w w:val="99"/>
          <w:sz w:val="24"/>
          <w:szCs w:val="24"/>
        </w:rPr>
        <w:t>-</w:t>
      </w:r>
      <w:r>
        <w:rPr>
          <w:rFonts w:hint="eastAsia" w:ascii="仿宋" w:hAnsi="仿宋" w:eastAsia="仿宋" w:cs="仿宋"/>
          <w:color w:val="auto"/>
          <w:w w:val="99"/>
          <w:sz w:val="24"/>
          <w:szCs w:val="24"/>
          <w:lang w:val="en-US" w:eastAsia="zh-CN"/>
        </w:rPr>
        <w:t>12</w:t>
      </w:r>
      <w:r>
        <w:rPr>
          <w:rFonts w:hint="eastAsia" w:ascii="仿宋" w:hAnsi="仿宋" w:eastAsia="仿宋" w:cs="仿宋"/>
          <w:color w:val="auto"/>
          <w:sz w:val="24"/>
          <w:szCs w:val="24"/>
        </w:rPr>
        <w:tab/>
      </w:r>
      <w:r>
        <w:rPr>
          <w:rFonts w:hint="eastAsia" w:ascii="仿宋" w:hAnsi="仿宋" w:eastAsia="仿宋" w:cs="仿宋"/>
          <w:color w:val="auto"/>
          <w:spacing w:val="2"/>
          <w:w w:val="99"/>
          <w:sz w:val="24"/>
          <w:szCs w:val="24"/>
          <w:lang w:val="en-US" w:eastAsia="zh-CN"/>
        </w:rPr>
        <w:t>投标人</w:t>
      </w:r>
      <w:r>
        <w:rPr>
          <w:rFonts w:hint="eastAsia" w:ascii="仿宋" w:hAnsi="仿宋" w:eastAsia="仿宋" w:cs="仿宋"/>
          <w:color w:val="auto"/>
          <w:w w:val="99"/>
          <w:sz w:val="24"/>
          <w:szCs w:val="24"/>
        </w:rPr>
        <w:t>须</w:t>
      </w:r>
      <w:r>
        <w:rPr>
          <w:rFonts w:hint="eastAsia" w:ascii="仿宋" w:hAnsi="仿宋" w:eastAsia="仿宋" w:cs="仿宋"/>
          <w:color w:val="auto"/>
          <w:spacing w:val="2"/>
          <w:w w:val="99"/>
          <w:sz w:val="24"/>
          <w:szCs w:val="24"/>
        </w:rPr>
        <w:t>知</w:t>
      </w:r>
      <w:r>
        <w:rPr>
          <w:rFonts w:hint="eastAsia" w:ascii="仿宋" w:hAnsi="仿宋" w:eastAsia="仿宋" w:cs="仿宋"/>
          <w:color w:val="auto"/>
          <w:spacing w:val="2"/>
          <w:w w:val="99"/>
          <w:sz w:val="24"/>
          <w:szCs w:val="24"/>
          <w:lang w:val="en-US" w:eastAsia="zh-CN"/>
        </w:rPr>
        <w:t>前附表</w:t>
      </w:r>
      <w:r>
        <w:rPr>
          <w:rFonts w:hint="eastAsia" w:ascii="仿宋" w:hAnsi="仿宋" w:eastAsia="仿宋" w:cs="仿宋"/>
          <w:color w:val="auto"/>
          <w:w w:val="99"/>
          <w:sz w:val="24"/>
          <w:szCs w:val="24"/>
        </w:rPr>
        <w:t>要</w:t>
      </w:r>
      <w:r>
        <w:rPr>
          <w:rFonts w:hint="eastAsia" w:ascii="仿宋" w:hAnsi="仿宋" w:eastAsia="仿宋" w:cs="仿宋"/>
          <w:color w:val="auto"/>
          <w:spacing w:val="2"/>
          <w:w w:val="99"/>
          <w:sz w:val="24"/>
          <w:szCs w:val="24"/>
        </w:rPr>
        <w:t>求</w:t>
      </w:r>
      <w:r>
        <w:rPr>
          <w:rFonts w:hint="eastAsia" w:ascii="仿宋" w:hAnsi="仿宋" w:eastAsia="仿宋" w:cs="仿宋"/>
          <w:color w:val="auto"/>
          <w:w w:val="99"/>
          <w:sz w:val="24"/>
          <w:szCs w:val="24"/>
        </w:rPr>
        <w:t>的</w:t>
      </w:r>
      <w:r>
        <w:rPr>
          <w:rFonts w:hint="eastAsia" w:ascii="仿宋" w:hAnsi="仿宋" w:eastAsia="仿宋" w:cs="仿宋"/>
          <w:color w:val="auto"/>
          <w:spacing w:val="2"/>
          <w:w w:val="99"/>
          <w:sz w:val="24"/>
          <w:szCs w:val="24"/>
        </w:rPr>
        <w:t>其</w:t>
      </w:r>
      <w:r>
        <w:rPr>
          <w:rFonts w:hint="eastAsia" w:ascii="仿宋" w:hAnsi="仿宋" w:eastAsia="仿宋" w:cs="仿宋"/>
          <w:color w:val="auto"/>
          <w:w w:val="99"/>
          <w:sz w:val="24"/>
          <w:szCs w:val="24"/>
        </w:rPr>
        <w:t>他资</w:t>
      </w:r>
      <w:r>
        <w:rPr>
          <w:rFonts w:hint="eastAsia" w:ascii="仿宋" w:hAnsi="仿宋" w:eastAsia="仿宋" w:cs="仿宋"/>
          <w:color w:val="auto"/>
          <w:spacing w:val="2"/>
          <w:w w:val="99"/>
          <w:sz w:val="24"/>
          <w:szCs w:val="24"/>
        </w:rPr>
        <w:t>格</w:t>
      </w:r>
      <w:r>
        <w:rPr>
          <w:rFonts w:hint="eastAsia" w:ascii="仿宋" w:hAnsi="仿宋" w:eastAsia="仿宋" w:cs="仿宋"/>
          <w:color w:val="auto"/>
          <w:w w:val="99"/>
          <w:sz w:val="24"/>
          <w:szCs w:val="24"/>
        </w:rPr>
        <w:t>证</w:t>
      </w:r>
      <w:r>
        <w:rPr>
          <w:rFonts w:hint="eastAsia" w:ascii="仿宋" w:hAnsi="仿宋" w:eastAsia="仿宋" w:cs="仿宋"/>
          <w:color w:val="auto"/>
          <w:spacing w:val="2"/>
          <w:w w:val="99"/>
          <w:sz w:val="24"/>
          <w:szCs w:val="24"/>
        </w:rPr>
        <w:t>明</w:t>
      </w:r>
      <w:r>
        <w:rPr>
          <w:rFonts w:hint="eastAsia" w:ascii="仿宋" w:hAnsi="仿宋" w:eastAsia="仿宋" w:cs="仿宋"/>
          <w:color w:val="auto"/>
          <w:w w:val="99"/>
          <w:sz w:val="24"/>
          <w:szCs w:val="24"/>
        </w:rPr>
        <w:t>文件</w:t>
      </w:r>
      <w:bookmarkEnd w:id="136"/>
      <w:bookmarkEnd w:id="137"/>
    </w:p>
    <w:p w14:paraId="3DDE1132">
      <w:pPr>
        <w:pStyle w:val="12"/>
        <w:spacing w:before="12"/>
        <w:rPr>
          <w:rFonts w:hint="eastAsia" w:ascii="仿宋" w:hAnsi="仿宋" w:eastAsia="仿宋" w:cs="仿宋"/>
          <w:b/>
          <w:color w:val="auto"/>
          <w:sz w:val="24"/>
          <w:szCs w:val="24"/>
        </w:rPr>
      </w:pPr>
    </w:p>
    <w:p w14:paraId="1A489DA2">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505DCF7B">
      <w:pPr>
        <w:pStyle w:val="12"/>
        <w:keepNext w:val="0"/>
        <w:keepLines w:val="0"/>
        <w:pageBreakBefore w:val="0"/>
        <w:widowControl w:val="0"/>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1.应提供</w:t>
      </w:r>
      <w:r>
        <w:rPr>
          <w:rFonts w:hint="eastAsia" w:ascii="仿宋" w:hAnsi="仿宋" w:eastAsia="仿宋" w:cs="仿宋"/>
          <w:color w:val="auto"/>
          <w:sz w:val="24"/>
          <w:szCs w:val="24"/>
          <w:u w:val="single"/>
          <w:lang w:val="en-US" w:eastAsia="zh-CN"/>
        </w:rPr>
        <w:t>投标人</w:t>
      </w:r>
      <w:r>
        <w:rPr>
          <w:rFonts w:hint="eastAsia" w:ascii="仿宋" w:hAnsi="仿宋" w:eastAsia="仿宋" w:cs="仿宋"/>
          <w:color w:val="auto"/>
          <w:sz w:val="24"/>
          <w:szCs w:val="24"/>
          <w:u w:val="single"/>
        </w:rPr>
        <w:t>须知</w:t>
      </w:r>
      <w:r>
        <w:rPr>
          <w:rFonts w:hint="eastAsia" w:ascii="仿宋" w:hAnsi="仿宋" w:eastAsia="仿宋" w:cs="仿宋"/>
          <w:color w:val="auto"/>
          <w:sz w:val="24"/>
          <w:szCs w:val="24"/>
          <w:u w:val="single"/>
          <w:lang w:val="en-US" w:eastAsia="zh-CN"/>
        </w:rPr>
        <w:t>前附表</w:t>
      </w:r>
      <w:r>
        <w:rPr>
          <w:rFonts w:hint="eastAsia" w:ascii="仿宋" w:hAnsi="仿宋" w:eastAsia="仿宋" w:cs="仿宋"/>
          <w:color w:val="auto"/>
          <w:sz w:val="24"/>
          <w:szCs w:val="24"/>
        </w:rPr>
        <w:t>要求的其他资格证明文件</w:t>
      </w:r>
      <w:r>
        <w:rPr>
          <w:rFonts w:hint="eastAsia" w:ascii="仿宋" w:hAnsi="仿宋" w:eastAsia="仿宋" w:cs="仿宋"/>
          <w:color w:val="auto"/>
          <w:sz w:val="24"/>
          <w:szCs w:val="24"/>
          <w:lang w:val="en-US" w:eastAsia="zh-CN"/>
        </w:rPr>
        <w:t>,具体要求详见本招标文件第六章</w:t>
      </w:r>
      <w:r>
        <w:rPr>
          <w:rFonts w:hint="eastAsia" w:ascii="仿宋" w:hAnsi="仿宋" w:eastAsia="仿宋" w:cs="仿宋"/>
          <w:color w:val="auto"/>
          <w:sz w:val="24"/>
          <w:szCs w:val="24"/>
        </w:rPr>
        <w:t>。</w:t>
      </w:r>
    </w:p>
    <w:p w14:paraId="7DCA051A">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right="0" w:right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原件、</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上均应</w:t>
      </w:r>
      <w:r>
        <w:rPr>
          <w:rFonts w:hint="eastAsia" w:ascii="仿宋" w:hAnsi="仿宋" w:eastAsia="仿宋" w:cs="仿宋"/>
          <w:color w:val="auto"/>
          <w:sz w:val="24"/>
          <w:szCs w:val="24"/>
          <w:lang w:eastAsia="zh-CN"/>
        </w:rPr>
        <w:t>电子签章（单位），</w:t>
      </w:r>
      <w:r>
        <w:rPr>
          <w:rFonts w:hint="eastAsia" w:ascii="仿宋" w:hAnsi="仿宋" w:eastAsia="仿宋" w:cs="仿宋"/>
          <w:color w:val="auto"/>
          <w:sz w:val="24"/>
          <w:szCs w:val="24"/>
        </w:rPr>
        <w:t>自然人投标的无需</w:t>
      </w:r>
      <w:r>
        <w:rPr>
          <w:rFonts w:hint="eastAsia" w:ascii="仿宋" w:hAnsi="仿宋" w:eastAsia="仿宋" w:cs="仿宋"/>
          <w:color w:val="auto"/>
          <w:sz w:val="24"/>
          <w:szCs w:val="24"/>
          <w:lang w:val="en-US" w:eastAsia="zh-CN"/>
        </w:rPr>
        <w:t>电子签章</w:t>
      </w:r>
      <w:r>
        <w:rPr>
          <w:rFonts w:hint="eastAsia" w:ascii="仿宋" w:hAnsi="仿宋" w:eastAsia="仿宋" w:cs="仿宋"/>
          <w:color w:val="auto"/>
          <w:sz w:val="24"/>
          <w:szCs w:val="24"/>
        </w:rPr>
        <w:t>，需要</w:t>
      </w:r>
      <w:r>
        <w:rPr>
          <w:rFonts w:hint="eastAsia" w:ascii="仿宋" w:hAnsi="仿宋" w:eastAsia="仿宋" w:cs="仿宋"/>
          <w:color w:val="auto"/>
          <w:sz w:val="24"/>
          <w:szCs w:val="24"/>
          <w:lang w:val="en-US" w:eastAsia="zh-CN"/>
        </w:rPr>
        <w:t>扫描</w:t>
      </w:r>
      <w:r>
        <w:rPr>
          <w:rFonts w:hint="eastAsia" w:ascii="仿宋" w:hAnsi="仿宋" w:eastAsia="仿宋" w:cs="仿宋"/>
          <w:color w:val="auto"/>
          <w:sz w:val="24"/>
          <w:szCs w:val="24"/>
        </w:rPr>
        <w:t>签字</w:t>
      </w:r>
      <w:r>
        <w:rPr>
          <w:rFonts w:hint="eastAsia" w:ascii="仿宋" w:hAnsi="仿宋" w:eastAsia="仿宋" w:cs="仿宋"/>
          <w:color w:val="auto"/>
          <w:sz w:val="24"/>
          <w:szCs w:val="24"/>
          <w:lang w:val="en-US" w:eastAsia="zh-CN"/>
        </w:rPr>
        <w:t>上传。</w:t>
      </w:r>
    </w:p>
    <w:p w14:paraId="4E1E0FAB">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3.</w:t>
      </w:r>
      <w:r>
        <w:rPr>
          <w:rFonts w:hint="eastAsia" w:ascii="仿宋" w:hAnsi="仿宋" w:eastAsia="仿宋" w:cs="仿宋"/>
          <w:color w:val="auto"/>
          <w:spacing w:val="-10"/>
          <w:sz w:val="24"/>
          <w:szCs w:val="24"/>
        </w:rPr>
        <w:t>如果是联合体投标，联合体各方需提供的满足</w:t>
      </w:r>
      <w:r>
        <w:rPr>
          <w:rFonts w:hint="eastAsia" w:ascii="仿宋" w:hAnsi="仿宋" w:eastAsia="仿宋" w:cs="仿宋"/>
          <w:color w:val="auto"/>
          <w:spacing w:val="-10"/>
          <w:sz w:val="24"/>
          <w:szCs w:val="24"/>
          <w:lang w:val="en-US" w:eastAsia="zh-CN"/>
        </w:rPr>
        <w:t>招标</w:t>
      </w:r>
      <w:r>
        <w:rPr>
          <w:rFonts w:hint="eastAsia" w:ascii="仿宋" w:hAnsi="仿宋" w:eastAsia="仿宋" w:cs="仿宋"/>
          <w:color w:val="auto"/>
          <w:spacing w:val="-10"/>
          <w:sz w:val="24"/>
          <w:szCs w:val="24"/>
        </w:rPr>
        <w:t>文件要求的其他资格证明文</w:t>
      </w:r>
      <w:r>
        <w:rPr>
          <w:rFonts w:hint="eastAsia" w:ascii="仿宋" w:hAnsi="仿宋" w:eastAsia="仿宋" w:cs="仿宋"/>
          <w:color w:val="auto"/>
          <w:sz w:val="24"/>
          <w:szCs w:val="24"/>
        </w:rPr>
        <w:t>件。</w:t>
      </w:r>
    </w:p>
    <w:p w14:paraId="6835AF54">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pPr>
    </w:p>
    <w:p w14:paraId="4071E7CF">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pPr>
    </w:p>
    <w:p w14:paraId="502F1CF9">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pPr>
    </w:p>
    <w:p w14:paraId="21959DA9">
      <w:pPr>
        <w:pStyle w:val="32"/>
        <w:keepNext w:val="0"/>
        <w:keepLines w:val="0"/>
        <w:pageBreakBefore w:val="0"/>
        <w:widowControl w:val="0"/>
        <w:numPr>
          <w:ilvl w:val="0"/>
          <w:numId w:val="0"/>
        </w:numPr>
        <w:tabs>
          <w:tab w:val="left" w:pos="1322"/>
        </w:tabs>
        <w:kinsoku/>
        <w:wordWrap/>
        <w:overflowPunct/>
        <w:topLinePunct w:val="0"/>
        <w:autoSpaceDE w:val="0"/>
        <w:autoSpaceDN w:val="0"/>
        <w:bidi w:val="0"/>
        <w:adjustRightInd w:val="0"/>
        <w:snapToGrid w:val="0"/>
        <w:spacing w:before="0" w:after="0" w:line="360" w:lineRule="auto"/>
        <w:ind w:left="0" w:leftChars="0" w:right="0" w:rightChars="0" w:firstLine="696" w:firstLineChars="290"/>
        <w:jc w:val="left"/>
        <w:textAlignment w:val="auto"/>
        <w:rPr>
          <w:rFonts w:hint="eastAsia" w:ascii="仿宋" w:hAnsi="仿宋" w:eastAsia="仿宋" w:cs="仿宋"/>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05492AA">
      <w:pPr>
        <w:pStyle w:val="5"/>
        <w:spacing w:line="306" w:lineRule="exact"/>
        <w:ind w:left="0" w:right="159"/>
        <w:jc w:val="both"/>
        <w:outlineLvl w:val="3"/>
        <w:rPr>
          <w:rFonts w:hint="eastAsia" w:ascii="仿宋" w:hAnsi="仿宋" w:eastAsia="仿宋" w:cs="仿宋"/>
          <w:color w:val="auto"/>
          <w:sz w:val="24"/>
          <w:szCs w:val="24"/>
          <w:lang w:eastAsia="zh-CN"/>
        </w:rPr>
      </w:pPr>
      <w:bookmarkStart w:id="138" w:name="_Toc5632"/>
      <w:bookmarkStart w:id="139" w:name="_Toc11568"/>
      <w:r>
        <w:rPr>
          <w:rFonts w:hint="eastAsia" w:ascii="仿宋" w:hAnsi="仿宋" w:eastAsia="仿宋" w:cs="仿宋"/>
          <w:b/>
          <w:bCs w:val="0"/>
          <w:color w:val="auto"/>
          <w:sz w:val="24"/>
          <w:szCs w:val="24"/>
        </w:rPr>
        <w:t xml:space="preserve">附件 </w:t>
      </w:r>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z w:val="24"/>
          <w:szCs w:val="24"/>
        </w:rPr>
        <w:t>-1</w:t>
      </w:r>
      <w:r>
        <w:rPr>
          <w:rFonts w:hint="eastAsia" w:ascii="仿宋" w:hAnsi="仿宋" w:eastAsia="仿宋" w:cs="仿宋"/>
          <w:b/>
          <w:bCs w:val="0"/>
          <w:color w:val="auto"/>
          <w:sz w:val="24"/>
          <w:szCs w:val="24"/>
          <w:lang w:val="en-US" w:eastAsia="zh-CN"/>
        </w:rPr>
        <w:t xml:space="preserve">-1 </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综合情况一览表</w:t>
      </w:r>
      <w:bookmarkEnd w:id="138"/>
      <w:bookmarkEnd w:id="139"/>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统一格式</w:t>
      </w:r>
      <w:r>
        <w:rPr>
          <w:rFonts w:hint="eastAsia" w:ascii="仿宋" w:hAnsi="仿宋" w:eastAsia="仿宋" w:cs="仿宋"/>
          <w:color w:val="auto"/>
          <w:sz w:val="24"/>
          <w:szCs w:val="24"/>
          <w:lang w:eastAsia="zh-CN"/>
        </w:rPr>
        <w:t>）</w:t>
      </w:r>
    </w:p>
    <w:p w14:paraId="100AED8B">
      <w:pPr>
        <w:pStyle w:val="12"/>
        <w:spacing w:before="6"/>
        <w:rPr>
          <w:rFonts w:hint="eastAsia" w:ascii="仿宋" w:hAnsi="仿宋" w:eastAsia="仿宋" w:cs="仿宋"/>
          <w:b/>
          <w:color w:val="auto"/>
          <w:sz w:val="24"/>
          <w:szCs w:val="24"/>
        </w:rPr>
      </w:pPr>
    </w:p>
    <w:tbl>
      <w:tblPr>
        <w:tblStyle w:val="22"/>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02D97A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1EBC7CD1">
            <w:pPr>
              <w:pStyle w:val="41"/>
              <w:spacing w:before="153"/>
              <w:ind w:left="107"/>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名称</w:t>
            </w:r>
          </w:p>
        </w:tc>
        <w:tc>
          <w:tcPr>
            <w:tcW w:w="6831" w:type="dxa"/>
            <w:gridSpan w:val="9"/>
            <w:tcBorders>
              <w:left w:val="single" w:color="000000" w:sz="6" w:space="0"/>
              <w:bottom w:val="single" w:color="000000" w:sz="6" w:space="0"/>
            </w:tcBorders>
          </w:tcPr>
          <w:p w14:paraId="6246B283">
            <w:pPr>
              <w:pStyle w:val="41"/>
              <w:spacing w:before="153"/>
              <w:ind w:left="115"/>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电子签章（单位）</w:t>
            </w:r>
            <w:r>
              <w:rPr>
                <w:rFonts w:hint="eastAsia" w:ascii="仿宋" w:hAnsi="仿宋" w:eastAsia="仿宋" w:cs="仿宋"/>
                <w:color w:val="auto"/>
                <w:sz w:val="21"/>
                <w:szCs w:val="21"/>
              </w:rPr>
              <w:t>）</w:t>
            </w:r>
          </w:p>
        </w:tc>
      </w:tr>
      <w:tr w14:paraId="3B289E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4DCBAFA">
            <w:pPr>
              <w:pStyle w:val="41"/>
              <w:spacing w:before="148"/>
              <w:ind w:left="107"/>
              <w:rPr>
                <w:rFonts w:hint="eastAsia" w:ascii="仿宋" w:hAnsi="仿宋" w:eastAsia="仿宋" w:cs="仿宋"/>
                <w:color w:val="auto"/>
                <w:sz w:val="21"/>
                <w:szCs w:val="21"/>
              </w:rPr>
            </w:pPr>
            <w:r>
              <w:rPr>
                <w:rFonts w:hint="eastAsia" w:ascii="仿宋" w:hAnsi="仿宋" w:eastAsia="仿宋" w:cs="仿宋"/>
                <w:color w:val="auto"/>
                <w:sz w:val="21"/>
                <w:szCs w:val="21"/>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2FD551CA">
            <w:pPr>
              <w:pStyle w:val="41"/>
              <w:rPr>
                <w:rFonts w:hint="eastAsia" w:ascii="仿宋" w:hAnsi="仿宋" w:eastAsia="仿宋" w:cs="仿宋"/>
                <w:color w:val="auto"/>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44EC4874">
            <w:pPr>
              <w:pStyle w:val="41"/>
              <w:spacing w:before="148"/>
              <w:ind w:left="119"/>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1785" w:type="dxa"/>
            <w:gridSpan w:val="3"/>
            <w:tcBorders>
              <w:top w:val="single" w:color="000000" w:sz="6" w:space="0"/>
              <w:left w:val="single" w:color="000000" w:sz="6" w:space="0"/>
              <w:bottom w:val="single" w:color="000000" w:sz="6" w:space="0"/>
            </w:tcBorders>
          </w:tcPr>
          <w:p w14:paraId="425D02CC">
            <w:pPr>
              <w:pStyle w:val="41"/>
              <w:rPr>
                <w:rFonts w:hint="eastAsia" w:ascii="仿宋" w:hAnsi="仿宋" w:eastAsia="仿宋" w:cs="仿宋"/>
                <w:color w:val="auto"/>
                <w:sz w:val="21"/>
                <w:szCs w:val="21"/>
              </w:rPr>
            </w:pPr>
          </w:p>
        </w:tc>
      </w:tr>
      <w:tr w14:paraId="0220B0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176AB9DC">
            <w:pPr>
              <w:pStyle w:val="41"/>
              <w:spacing w:before="10"/>
              <w:rPr>
                <w:rFonts w:hint="eastAsia" w:ascii="仿宋" w:hAnsi="仿宋" w:eastAsia="仿宋" w:cs="仿宋"/>
                <w:b/>
                <w:color w:val="auto"/>
                <w:sz w:val="21"/>
                <w:szCs w:val="21"/>
              </w:rPr>
            </w:pPr>
          </w:p>
          <w:p w14:paraId="7C44736C">
            <w:pPr>
              <w:pStyle w:val="41"/>
              <w:ind w:left="107"/>
              <w:rPr>
                <w:rFonts w:hint="eastAsia" w:ascii="仿宋" w:hAnsi="仿宋" w:eastAsia="仿宋" w:cs="仿宋"/>
                <w:color w:val="auto"/>
                <w:sz w:val="21"/>
                <w:szCs w:val="21"/>
              </w:rPr>
            </w:pPr>
            <w:r>
              <w:rPr>
                <w:rFonts w:hint="eastAsia" w:ascii="仿宋" w:hAnsi="仿宋" w:eastAsia="仿宋" w:cs="仿宋"/>
                <w:color w:val="auto"/>
                <w:sz w:val="21"/>
                <w:szCs w:val="21"/>
              </w:rPr>
              <w:t>联系方式</w:t>
            </w:r>
          </w:p>
        </w:tc>
        <w:tc>
          <w:tcPr>
            <w:tcW w:w="1072" w:type="dxa"/>
            <w:tcBorders>
              <w:top w:val="single" w:color="000000" w:sz="6" w:space="0"/>
              <w:left w:val="single" w:color="000000" w:sz="6" w:space="0"/>
              <w:bottom w:val="single" w:color="000000" w:sz="6" w:space="0"/>
              <w:right w:val="single" w:color="000000" w:sz="6" w:space="0"/>
            </w:tcBorders>
          </w:tcPr>
          <w:p w14:paraId="4287CEE3">
            <w:pPr>
              <w:pStyle w:val="41"/>
              <w:spacing w:before="143"/>
              <w:ind w:left="115"/>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AEEA1D7">
            <w:pPr>
              <w:pStyle w:val="41"/>
              <w:rPr>
                <w:rFonts w:hint="eastAsia" w:ascii="仿宋" w:hAnsi="仿宋" w:eastAsia="仿宋" w:cs="仿宋"/>
                <w:color w:val="auto"/>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38914259">
            <w:pPr>
              <w:pStyle w:val="41"/>
              <w:spacing w:before="143"/>
              <w:ind w:left="119"/>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1785" w:type="dxa"/>
            <w:gridSpan w:val="3"/>
            <w:tcBorders>
              <w:top w:val="single" w:color="000000" w:sz="6" w:space="0"/>
              <w:left w:val="single" w:color="000000" w:sz="6" w:space="0"/>
              <w:bottom w:val="single" w:color="000000" w:sz="6" w:space="0"/>
            </w:tcBorders>
          </w:tcPr>
          <w:p w14:paraId="6C5F58C2">
            <w:pPr>
              <w:pStyle w:val="41"/>
              <w:rPr>
                <w:rFonts w:hint="eastAsia" w:ascii="仿宋" w:hAnsi="仿宋" w:eastAsia="仿宋" w:cs="仿宋"/>
                <w:color w:val="auto"/>
                <w:sz w:val="21"/>
                <w:szCs w:val="21"/>
              </w:rPr>
            </w:pPr>
          </w:p>
        </w:tc>
      </w:tr>
      <w:tr w14:paraId="2B6253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128FC3F8">
            <w:pPr>
              <w:rPr>
                <w:rFonts w:hint="eastAsia" w:ascii="仿宋" w:hAnsi="仿宋" w:eastAsia="仿宋" w:cs="仿宋"/>
                <w:color w:val="auto"/>
                <w:sz w:val="21"/>
                <w:szCs w:val="21"/>
              </w:rPr>
            </w:pPr>
          </w:p>
        </w:tc>
        <w:tc>
          <w:tcPr>
            <w:tcW w:w="1072" w:type="dxa"/>
            <w:tcBorders>
              <w:top w:val="single" w:color="000000" w:sz="6" w:space="0"/>
              <w:left w:val="single" w:color="000000" w:sz="6" w:space="0"/>
              <w:bottom w:val="single" w:color="000000" w:sz="6" w:space="0"/>
              <w:right w:val="single" w:color="000000" w:sz="6" w:space="0"/>
            </w:tcBorders>
          </w:tcPr>
          <w:p w14:paraId="7CEBE737">
            <w:pPr>
              <w:pStyle w:val="41"/>
              <w:spacing w:before="151"/>
              <w:ind w:left="115"/>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5B47A1C1">
            <w:pPr>
              <w:pStyle w:val="41"/>
              <w:rPr>
                <w:rFonts w:hint="eastAsia" w:ascii="仿宋" w:hAnsi="仿宋" w:eastAsia="仿宋" w:cs="仿宋"/>
                <w:color w:val="auto"/>
                <w:sz w:val="21"/>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56A6CEDF">
            <w:pPr>
              <w:pStyle w:val="41"/>
              <w:spacing w:before="151"/>
              <w:ind w:left="119"/>
              <w:rPr>
                <w:rFonts w:hint="eastAsia" w:ascii="仿宋" w:hAnsi="仿宋" w:eastAsia="仿宋" w:cs="仿宋"/>
                <w:color w:val="auto"/>
                <w:sz w:val="21"/>
                <w:szCs w:val="21"/>
              </w:rPr>
            </w:pPr>
            <w:r>
              <w:rPr>
                <w:rFonts w:hint="eastAsia" w:ascii="仿宋" w:hAnsi="仿宋" w:eastAsia="仿宋" w:cs="仿宋"/>
                <w:color w:val="auto"/>
                <w:sz w:val="21"/>
                <w:szCs w:val="21"/>
              </w:rPr>
              <w:t>邮箱</w:t>
            </w:r>
          </w:p>
        </w:tc>
        <w:tc>
          <w:tcPr>
            <w:tcW w:w="1785" w:type="dxa"/>
            <w:gridSpan w:val="3"/>
            <w:tcBorders>
              <w:top w:val="single" w:color="000000" w:sz="6" w:space="0"/>
              <w:left w:val="single" w:color="000000" w:sz="6" w:space="0"/>
              <w:bottom w:val="single" w:color="000000" w:sz="6" w:space="0"/>
            </w:tcBorders>
          </w:tcPr>
          <w:p w14:paraId="37F2CC44">
            <w:pPr>
              <w:pStyle w:val="41"/>
              <w:rPr>
                <w:rFonts w:hint="eastAsia" w:ascii="仿宋" w:hAnsi="仿宋" w:eastAsia="仿宋" w:cs="仿宋"/>
                <w:color w:val="auto"/>
                <w:sz w:val="21"/>
                <w:szCs w:val="21"/>
              </w:rPr>
            </w:pPr>
          </w:p>
        </w:tc>
      </w:tr>
      <w:tr w14:paraId="62543F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540C3C15">
            <w:pPr>
              <w:pStyle w:val="41"/>
              <w:spacing w:before="151"/>
              <w:ind w:left="107" w:right="-44"/>
              <w:rPr>
                <w:rFonts w:hint="eastAsia" w:ascii="仿宋" w:hAnsi="仿宋" w:eastAsia="仿宋" w:cs="仿宋"/>
                <w:color w:val="auto"/>
                <w:sz w:val="21"/>
                <w:szCs w:val="21"/>
              </w:rPr>
            </w:pPr>
            <w:r>
              <w:rPr>
                <w:rFonts w:hint="eastAsia" w:ascii="仿宋" w:hAnsi="仿宋" w:eastAsia="仿宋" w:cs="仿宋"/>
                <w:color w:val="auto"/>
                <w:spacing w:val="-8"/>
                <w:sz w:val="21"/>
                <w:szCs w:val="21"/>
              </w:rPr>
              <w:t>隶属情况</w:t>
            </w:r>
            <w:r>
              <w:rPr>
                <w:rFonts w:hint="eastAsia" w:ascii="仿宋" w:hAnsi="仿宋" w:eastAsia="仿宋" w:cs="仿宋"/>
                <w:color w:val="auto"/>
                <w:sz w:val="21"/>
                <w:szCs w:val="21"/>
              </w:rPr>
              <w:t>（如有）</w:t>
            </w:r>
          </w:p>
        </w:tc>
        <w:tc>
          <w:tcPr>
            <w:tcW w:w="6831" w:type="dxa"/>
            <w:gridSpan w:val="9"/>
            <w:tcBorders>
              <w:top w:val="single" w:color="000000" w:sz="6" w:space="0"/>
              <w:left w:val="single" w:color="000000" w:sz="6" w:space="0"/>
              <w:bottom w:val="single" w:color="000000" w:sz="6" w:space="0"/>
            </w:tcBorders>
          </w:tcPr>
          <w:p w14:paraId="177BF096">
            <w:pPr>
              <w:pStyle w:val="41"/>
              <w:spacing w:before="151"/>
              <w:ind w:left="115"/>
              <w:rPr>
                <w:rFonts w:hint="eastAsia" w:ascii="仿宋" w:hAnsi="仿宋" w:eastAsia="仿宋" w:cs="仿宋"/>
                <w:color w:val="auto"/>
                <w:sz w:val="21"/>
                <w:szCs w:val="21"/>
              </w:rPr>
            </w:pPr>
            <w:r>
              <w:rPr>
                <w:rFonts w:hint="eastAsia" w:ascii="仿宋" w:hAnsi="仿宋" w:eastAsia="仿宋" w:cs="仿宋"/>
                <w:color w:val="auto"/>
                <w:sz w:val="21"/>
                <w:szCs w:val="21"/>
              </w:rPr>
              <w:t>阐明隶属及组织机构情况</w:t>
            </w:r>
          </w:p>
        </w:tc>
      </w:tr>
      <w:tr w14:paraId="02D45B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52E0C5BA">
            <w:pPr>
              <w:pStyle w:val="41"/>
              <w:spacing w:before="151"/>
              <w:ind w:left="107" w:right="-44"/>
              <w:rPr>
                <w:rFonts w:hint="eastAsia" w:ascii="仿宋" w:hAnsi="仿宋" w:eastAsia="仿宋" w:cs="仿宋"/>
                <w:color w:val="auto"/>
                <w:sz w:val="21"/>
                <w:szCs w:val="21"/>
              </w:rPr>
            </w:pPr>
            <w:r>
              <w:rPr>
                <w:rFonts w:hint="eastAsia" w:ascii="仿宋" w:hAnsi="仿宋" w:eastAsia="仿宋" w:cs="仿宋"/>
                <w:color w:val="auto"/>
                <w:spacing w:val="-8"/>
                <w:sz w:val="21"/>
                <w:szCs w:val="21"/>
              </w:rPr>
              <w:t>控股情况</w:t>
            </w:r>
            <w:r>
              <w:rPr>
                <w:rFonts w:hint="eastAsia" w:ascii="仿宋" w:hAnsi="仿宋" w:eastAsia="仿宋" w:cs="仿宋"/>
                <w:color w:val="auto"/>
                <w:sz w:val="21"/>
                <w:szCs w:val="21"/>
              </w:rPr>
              <w:t>（如有）</w:t>
            </w:r>
          </w:p>
        </w:tc>
        <w:tc>
          <w:tcPr>
            <w:tcW w:w="6831" w:type="dxa"/>
            <w:gridSpan w:val="9"/>
            <w:tcBorders>
              <w:top w:val="single" w:color="000000" w:sz="6" w:space="0"/>
              <w:left w:val="single" w:color="000000" w:sz="6" w:space="0"/>
              <w:bottom w:val="single" w:color="000000" w:sz="6" w:space="0"/>
            </w:tcBorders>
          </w:tcPr>
          <w:p w14:paraId="7BAF3B88">
            <w:pPr>
              <w:pStyle w:val="41"/>
              <w:spacing w:before="151"/>
              <w:ind w:left="115"/>
              <w:rPr>
                <w:rFonts w:hint="eastAsia" w:ascii="仿宋" w:hAnsi="仿宋" w:eastAsia="仿宋" w:cs="仿宋"/>
                <w:color w:val="auto"/>
                <w:sz w:val="21"/>
                <w:szCs w:val="21"/>
              </w:rPr>
            </w:pPr>
            <w:r>
              <w:rPr>
                <w:rFonts w:hint="eastAsia" w:ascii="仿宋" w:hAnsi="仿宋" w:eastAsia="仿宋" w:cs="仿宋"/>
                <w:color w:val="auto"/>
                <w:sz w:val="21"/>
                <w:szCs w:val="21"/>
              </w:rPr>
              <w:t>阐明控股和被控股情况</w:t>
            </w:r>
          </w:p>
        </w:tc>
      </w:tr>
      <w:tr w14:paraId="429867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5C6C99B0">
            <w:pPr>
              <w:pStyle w:val="41"/>
              <w:spacing w:before="141"/>
              <w:ind w:left="107"/>
              <w:rPr>
                <w:rFonts w:hint="eastAsia" w:ascii="仿宋" w:hAnsi="仿宋" w:eastAsia="仿宋" w:cs="仿宋"/>
                <w:color w:val="auto"/>
                <w:sz w:val="21"/>
                <w:szCs w:val="21"/>
              </w:rPr>
            </w:pPr>
            <w:r>
              <w:rPr>
                <w:rFonts w:hint="eastAsia" w:ascii="仿宋" w:hAnsi="仿宋" w:eastAsia="仿宋" w:cs="仿宋"/>
                <w:color w:val="auto"/>
                <w:sz w:val="21"/>
                <w:szCs w:val="21"/>
              </w:rPr>
              <w:t>组织结构</w:t>
            </w:r>
          </w:p>
        </w:tc>
        <w:tc>
          <w:tcPr>
            <w:tcW w:w="6831" w:type="dxa"/>
            <w:gridSpan w:val="9"/>
            <w:tcBorders>
              <w:top w:val="single" w:color="000000" w:sz="6" w:space="0"/>
              <w:left w:val="single" w:color="000000" w:sz="6" w:space="0"/>
              <w:bottom w:val="single" w:color="000000" w:sz="6" w:space="0"/>
            </w:tcBorders>
          </w:tcPr>
          <w:p w14:paraId="1D129BF2">
            <w:pPr>
              <w:pStyle w:val="41"/>
              <w:rPr>
                <w:rFonts w:hint="eastAsia" w:ascii="仿宋" w:hAnsi="仿宋" w:eastAsia="仿宋" w:cs="仿宋"/>
                <w:color w:val="auto"/>
                <w:sz w:val="21"/>
                <w:szCs w:val="21"/>
              </w:rPr>
            </w:pPr>
          </w:p>
        </w:tc>
      </w:tr>
      <w:tr w14:paraId="0CB5FE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576E4414">
            <w:pPr>
              <w:pStyle w:val="41"/>
              <w:spacing w:before="155"/>
              <w:ind w:left="107"/>
              <w:rPr>
                <w:rFonts w:hint="eastAsia" w:ascii="仿宋" w:hAnsi="仿宋" w:eastAsia="仿宋" w:cs="仿宋"/>
                <w:color w:val="auto"/>
                <w:sz w:val="21"/>
                <w:szCs w:val="21"/>
              </w:rPr>
            </w:pPr>
            <w:r>
              <w:rPr>
                <w:rFonts w:hint="eastAsia" w:ascii="仿宋" w:hAnsi="仿宋" w:eastAsia="仿宋" w:cs="仿宋"/>
                <w:color w:val="auto"/>
                <w:sz w:val="21"/>
                <w:szCs w:val="21"/>
              </w:rPr>
              <w:t>简介</w:t>
            </w:r>
          </w:p>
        </w:tc>
        <w:tc>
          <w:tcPr>
            <w:tcW w:w="6831" w:type="dxa"/>
            <w:gridSpan w:val="9"/>
            <w:tcBorders>
              <w:top w:val="single" w:color="000000" w:sz="6" w:space="0"/>
              <w:left w:val="single" w:color="000000" w:sz="6" w:space="0"/>
              <w:bottom w:val="single" w:color="000000" w:sz="6" w:space="0"/>
            </w:tcBorders>
          </w:tcPr>
          <w:p w14:paraId="4D4FC728">
            <w:pPr>
              <w:pStyle w:val="41"/>
              <w:spacing w:line="307" w:lineRule="exact"/>
              <w:ind w:left="115" w:right="-58"/>
              <w:rPr>
                <w:rFonts w:hint="eastAsia" w:ascii="仿宋" w:hAnsi="仿宋" w:eastAsia="仿宋" w:cs="仿宋"/>
                <w:color w:val="auto"/>
                <w:sz w:val="21"/>
                <w:szCs w:val="21"/>
              </w:rPr>
            </w:pPr>
            <w:r>
              <w:rPr>
                <w:rFonts w:hint="eastAsia" w:ascii="仿宋" w:hAnsi="仿宋" w:eastAsia="仿宋" w:cs="仿宋"/>
                <w:color w:val="auto"/>
                <w:sz w:val="21"/>
                <w:szCs w:val="21"/>
              </w:rPr>
              <w:t>包括但不限于：企业经营范围、发展历程、经营业绩、获奖情况、财务状况、人力资源等（可另附页）。</w:t>
            </w:r>
          </w:p>
        </w:tc>
      </w:tr>
      <w:tr w14:paraId="73D7E4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597CAC09">
            <w:pPr>
              <w:pStyle w:val="41"/>
              <w:spacing w:before="144"/>
              <w:ind w:left="107"/>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01C1AA7A">
            <w:pPr>
              <w:pStyle w:val="41"/>
              <w:spacing w:before="144"/>
              <w:ind w:left="115"/>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1802" w:type="dxa"/>
            <w:tcBorders>
              <w:top w:val="single" w:color="000000" w:sz="6" w:space="0"/>
              <w:left w:val="single" w:color="000000" w:sz="6" w:space="0"/>
              <w:bottom w:val="single" w:color="000000" w:sz="6" w:space="0"/>
              <w:right w:val="single" w:color="000000" w:sz="6" w:space="0"/>
            </w:tcBorders>
          </w:tcPr>
          <w:p w14:paraId="5E95A33C">
            <w:pPr>
              <w:pStyle w:val="41"/>
              <w:rPr>
                <w:rFonts w:hint="eastAsia" w:ascii="仿宋" w:hAnsi="仿宋" w:eastAsia="仿宋" w:cs="仿宋"/>
                <w:color w:val="auto"/>
                <w:sz w:val="21"/>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14:paraId="04DC2C77">
            <w:pPr>
              <w:pStyle w:val="41"/>
              <w:spacing w:before="144"/>
              <w:ind w:left="116"/>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658CCD12">
            <w:pPr>
              <w:pStyle w:val="41"/>
              <w:rPr>
                <w:rFonts w:hint="eastAsia" w:ascii="仿宋" w:hAnsi="仿宋" w:eastAsia="仿宋" w:cs="仿宋"/>
                <w:color w:val="auto"/>
                <w:sz w:val="21"/>
                <w:szCs w:val="21"/>
              </w:rPr>
            </w:pPr>
          </w:p>
        </w:tc>
        <w:tc>
          <w:tcPr>
            <w:tcW w:w="722" w:type="dxa"/>
            <w:tcBorders>
              <w:top w:val="single" w:color="000000" w:sz="6" w:space="0"/>
              <w:left w:val="single" w:color="000000" w:sz="6" w:space="0"/>
              <w:bottom w:val="single" w:color="000000" w:sz="6" w:space="0"/>
              <w:right w:val="single" w:color="000000" w:sz="6" w:space="0"/>
            </w:tcBorders>
          </w:tcPr>
          <w:p w14:paraId="05DF6019">
            <w:pPr>
              <w:pStyle w:val="41"/>
              <w:spacing w:before="144"/>
              <w:ind w:right="104"/>
              <w:jc w:val="right"/>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720" w:type="dxa"/>
            <w:tcBorders>
              <w:top w:val="single" w:color="000000" w:sz="6" w:space="0"/>
              <w:left w:val="single" w:color="000000" w:sz="6" w:space="0"/>
              <w:bottom w:val="single" w:color="000000" w:sz="6" w:space="0"/>
            </w:tcBorders>
          </w:tcPr>
          <w:p w14:paraId="1FC9AC5F">
            <w:pPr>
              <w:pStyle w:val="41"/>
              <w:rPr>
                <w:rFonts w:hint="eastAsia" w:ascii="仿宋" w:hAnsi="仿宋" w:eastAsia="仿宋" w:cs="仿宋"/>
                <w:color w:val="auto"/>
                <w:sz w:val="21"/>
                <w:szCs w:val="21"/>
              </w:rPr>
            </w:pPr>
          </w:p>
        </w:tc>
      </w:tr>
      <w:tr w14:paraId="5FC317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059E1365">
            <w:pPr>
              <w:pStyle w:val="41"/>
              <w:spacing w:before="158"/>
              <w:ind w:left="107"/>
              <w:rPr>
                <w:rFonts w:hint="eastAsia" w:ascii="仿宋" w:hAnsi="仿宋" w:eastAsia="仿宋" w:cs="仿宋"/>
                <w:color w:val="auto"/>
                <w:sz w:val="21"/>
                <w:szCs w:val="21"/>
              </w:rPr>
            </w:pPr>
            <w:r>
              <w:rPr>
                <w:rFonts w:hint="eastAsia" w:ascii="仿宋" w:hAnsi="仿宋" w:eastAsia="仿宋" w:cs="仿宋"/>
                <w:color w:val="auto"/>
                <w:sz w:val="21"/>
                <w:szCs w:val="21"/>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2DF4A1B0">
            <w:pPr>
              <w:pStyle w:val="41"/>
              <w:spacing w:before="158"/>
              <w:ind w:left="115"/>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1802" w:type="dxa"/>
            <w:tcBorders>
              <w:top w:val="single" w:color="000000" w:sz="6" w:space="0"/>
              <w:left w:val="single" w:color="000000" w:sz="6" w:space="0"/>
              <w:bottom w:val="single" w:color="000000" w:sz="6" w:space="0"/>
              <w:right w:val="single" w:color="000000" w:sz="6" w:space="0"/>
            </w:tcBorders>
          </w:tcPr>
          <w:p w14:paraId="1880CE97">
            <w:pPr>
              <w:pStyle w:val="41"/>
              <w:rPr>
                <w:rFonts w:hint="eastAsia" w:ascii="仿宋" w:hAnsi="仿宋" w:eastAsia="仿宋" w:cs="仿宋"/>
                <w:color w:val="auto"/>
                <w:sz w:val="21"/>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14:paraId="114B1CD0">
            <w:pPr>
              <w:pStyle w:val="41"/>
              <w:spacing w:before="158"/>
              <w:ind w:left="116"/>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62E5A371">
            <w:pPr>
              <w:pStyle w:val="41"/>
              <w:rPr>
                <w:rFonts w:hint="eastAsia" w:ascii="仿宋" w:hAnsi="仿宋" w:eastAsia="仿宋" w:cs="仿宋"/>
                <w:color w:val="auto"/>
                <w:sz w:val="21"/>
                <w:szCs w:val="21"/>
              </w:rPr>
            </w:pPr>
          </w:p>
        </w:tc>
        <w:tc>
          <w:tcPr>
            <w:tcW w:w="722" w:type="dxa"/>
            <w:tcBorders>
              <w:top w:val="single" w:color="000000" w:sz="6" w:space="0"/>
              <w:left w:val="single" w:color="000000" w:sz="6" w:space="0"/>
              <w:bottom w:val="single" w:color="000000" w:sz="6" w:space="0"/>
              <w:right w:val="single" w:color="000000" w:sz="6" w:space="0"/>
            </w:tcBorders>
          </w:tcPr>
          <w:p w14:paraId="4BAB6C5B">
            <w:pPr>
              <w:pStyle w:val="41"/>
              <w:spacing w:before="158"/>
              <w:ind w:right="104"/>
              <w:jc w:val="right"/>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720" w:type="dxa"/>
            <w:tcBorders>
              <w:top w:val="single" w:color="000000" w:sz="6" w:space="0"/>
              <w:left w:val="single" w:color="000000" w:sz="6" w:space="0"/>
              <w:bottom w:val="single" w:color="000000" w:sz="6" w:space="0"/>
            </w:tcBorders>
          </w:tcPr>
          <w:p w14:paraId="7ED96AC9">
            <w:pPr>
              <w:pStyle w:val="41"/>
              <w:rPr>
                <w:rFonts w:hint="eastAsia" w:ascii="仿宋" w:hAnsi="仿宋" w:eastAsia="仿宋" w:cs="仿宋"/>
                <w:color w:val="auto"/>
                <w:sz w:val="21"/>
                <w:szCs w:val="21"/>
              </w:rPr>
            </w:pPr>
          </w:p>
        </w:tc>
      </w:tr>
      <w:tr w14:paraId="0D5EC3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603E80E3">
            <w:pPr>
              <w:pStyle w:val="41"/>
              <w:spacing w:before="151"/>
              <w:ind w:left="107"/>
              <w:rPr>
                <w:rFonts w:hint="eastAsia" w:ascii="仿宋" w:hAnsi="仿宋" w:eastAsia="仿宋" w:cs="仿宋"/>
                <w:color w:val="auto"/>
                <w:sz w:val="21"/>
                <w:szCs w:val="21"/>
              </w:rPr>
            </w:pPr>
            <w:r>
              <w:rPr>
                <w:rFonts w:hint="eastAsia" w:ascii="仿宋" w:hAnsi="仿宋" w:eastAsia="仿宋" w:cs="仿宋"/>
                <w:color w:val="auto"/>
                <w:sz w:val="21"/>
                <w:szCs w:val="21"/>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0717FB7E">
            <w:pPr>
              <w:pStyle w:val="41"/>
              <w:rPr>
                <w:rFonts w:hint="eastAsia" w:ascii="仿宋" w:hAnsi="仿宋" w:eastAsia="仿宋" w:cs="仿宋"/>
                <w:color w:val="auto"/>
                <w:sz w:val="21"/>
                <w:szCs w:val="21"/>
              </w:rPr>
            </w:pPr>
          </w:p>
        </w:tc>
        <w:tc>
          <w:tcPr>
            <w:tcW w:w="3957" w:type="dxa"/>
            <w:gridSpan w:val="7"/>
            <w:tcBorders>
              <w:top w:val="single" w:color="000000" w:sz="6" w:space="0"/>
              <w:left w:val="single" w:color="000000" w:sz="6" w:space="0"/>
              <w:bottom w:val="single" w:color="000000" w:sz="6" w:space="0"/>
            </w:tcBorders>
          </w:tcPr>
          <w:p w14:paraId="0E234EC0">
            <w:pPr>
              <w:pStyle w:val="41"/>
              <w:spacing w:before="151"/>
              <w:ind w:left="116"/>
              <w:rPr>
                <w:rFonts w:hint="eastAsia" w:ascii="仿宋" w:hAnsi="仿宋" w:eastAsia="仿宋" w:cs="仿宋"/>
                <w:color w:val="auto"/>
                <w:sz w:val="21"/>
                <w:szCs w:val="21"/>
              </w:rPr>
            </w:pPr>
            <w:r>
              <w:rPr>
                <w:rFonts w:hint="eastAsia" w:ascii="仿宋" w:hAnsi="仿宋" w:eastAsia="仿宋" w:cs="仿宋"/>
                <w:color w:val="auto"/>
                <w:sz w:val="21"/>
                <w:szCs w:val="21"/>
              </w:rPr>
              <w:t>员工总人数：</w:t>
            </w:r>
          </w:p>
        </w:tc>
      </w:tr>
      <w:tr w14:paraId="19A1A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2877831">
            <w:pPr>
              <w:pStyle w:val="41"/>
              <w:spacing w:before="151"/>
              <w:ind w:left="107"/>
              <w:rPr>
                <w:rFonts w:hint="eastAsia" w:ascii="仿宋" w:hAnsi="仿宋" w:eastAsia="仿宋" w:cs="仿宋"/>
                <w:color w:val="auto"/>
                <w:sz w:val="21"/>
                <w:szCs w:val="21"/>
              </w:rPr>
            </w:pPr>
            <w:r>
              <w:rPr>
                <w:rFonts w:hint="eastAsia" w:ascii="仿宋" w:hAnsi="仿宋" w:eastAsia="仿宋" w:cs="仿宋"/>
                <w:color w:val="auto"/>
                <w:sz w:val="21"/>
                <w:szCs w:val="21"/>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7F74A2F1">
            <w:pPr>
              <w:pStyle w:val="41"/>
              <w:rPr>
                <w:rFonts w:hint="eastAsia" w:ascii="仿宋" w:hAnsi="仿宋" w:eastAsia="仿宋" w:cs="仿宋"/>
                <w:color w:val="auto"/>
                <w:sz w:val="21"/>
                <w:szCs w:val="21"/>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4424097">
            <w:pPr>
              <w:pStyle w:val="41"/>
              <w:rPr>
                <w:rFonts w:hint="eastAsia" w:ascii="仿宋" w:hAnsi="仿宋" w:eastAsia="仿宋" w:cs="仿宋"/>
                <w:b/>
                <w:color w:val="auto"/>
                <w:sz w:val="21"/>
                <w:szCs w:val="21"/>
              </w:rPr>
            </w:pPr>
          </w:p>
          <w:p w14:paraId="17D54CC4">
            <w:pPr>
              <w:pStyle w:val="41"/>
              <w:rPr>
                <w:rFonts w:hint="eastAsia" w:ascii="仿宋" w:hAnsi="仿宋" w:eastAsia="仿宋" w:cs="仿宋"/>
                <w:b/>
                <w:color w:val="auto"/>
                <w:sz w:val="21"/>
                <w:szCs w:val="21"/>
              </w:rPr>
            </w:pPr>
          </w:p>
          <w:p w14:paraId="06672B0E">
            <w:pPr>
              <w:pStyle w:val="41"/>
              <w:rPr>
                <w:rFonts w:hint="eastAsia" w:ascii="仿宋" w:hAnsi="仿宋" w:eastAsia="仿宋" w:cs="仿宋"/>
                <w:b/>
                <w:color w:val="auto"/>
                <w:sz w:val="21"/>
                <w:szCs w:val="21"/>
              </w:rPr>
            </w:pPr>
          </w:p>
          <w:p w14:paraId="2AF8A104">
            <w:pPr>
              <w:pStyle w:val="41"/>
              <w:rPr>
                <w:rFonts w:hint="eastAsia" w:ascii="仿宋" w:hAnsi="仿宋" w:eastAsia="仿宋" w:cs="仿宋"/>
                <w:b/>
                <w:color w:val="auto"/>
                <w:sz w:val="21"/>
                <w:szCs w:val="21"/>
              </w:rPr>
            </w:pPr>
          </w:p>
          <w:p w14:paraId="44A6FF5A">
            <w:pPr>
              <w:pStyle w:val="41"/>
              <w:spacing w:before="1"/>
              <w:ind w:left="116"/>
              <w:rPr>
                <w:rFonts w:hint="eastAsia" w:ascii="仿宋" w:hAnsi="仿宋" w:eastAsia="仿宋" w:cs="仿宋"/>
                <w:color w:val="auto"/>
                <w:sz w:val="21"/>
                <w:szCs w:val="21"/>
              </w:rPr>
            </w:pPr>
            <w:r>
              <w:rPr>
                <w:rFonts w:hint="eastAsia" w:ascii="仿宋" w:hAnsi="仿宋" w:eastAsia="仿宋" w:cs="仿宋"/>
                <w:color w:val="auto"/>
                <w:sz w:val="21"/>
                <w:szCs w:val="21"/>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591F46DF">
            <w:pPr>
              <w:pStyle w:val="41"/>
              <w:spacing w:before="151"/>
              <w:ind w:left="118"/>
              <w:rPr>
                <w:rFonts w:hint="eastAsia" w:ascii="仿宋" w:hAnsi="仿宋" w:eastAsia="仿宋" w:cs="仿宋"/>
                <w:color w:val="auto"/>
                <w:sz w:val="21"/>
                <w:szCs w:val="21"/>
              </w:rPr>
            </w:pPr>
            <w:r>
              <w:rPr>
                <w:rFonts w:hint="eastAsia" w:ascii="仿宋" w:hAnsi="仿宋" w:eastAsia="仿宋" w:cs="仿宋"/>
                <w:color w:val="auto"/>
                <w:sz w:val="21"/>
                <w:szCs w:val="21"/>
              </w:rPr>
              <w:t>高级职称人员</w:t>
            </w:r>
          </w:p>
        </w:tc>
        <w:tc>
          <w:tcPr>
            <w:tcW w:w="1442" w:type="dxa"/>
            <w:gridSpan w:val="2"/>
            <w:tcBorders>
              <w:top w:val="single" w:color="000000" w:sz="6" w:space="0"/>
              <w:left w:val="single" w:color="000000" w:sz="6" w:space="0"/>
              <w:bottom w:val="single" w:color="000000" w:sz="6" w:space="0"/>
            </w:tcBorders>
          </w:tcPr>
          <w:p w14:paraId="5851C208">
            <w:pPr>
              <w:pStyle w:val="41"/>
              <w:rPr>
                <w:rFonts w:hint="eastAsia" w:ascii="仿宋" w:hAnsi="仿宋" w:eastAsia="仿宋" w:cs="仿宋"/>
                <w:color w:val="auto"/>
                <w:sz w:val="21"/>
                <w:szCs w:val="21"/>
              </w:rPr>
            </w:pPr>
          </w:p>
        </w:tc>
      </w:tr>
      <w:tr w14:paraId="699812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34676FCB">
            <w:pPr>
              <w:pStyle w:val="41"/>
              <w:spacing w:before="110"/>
              <w:ind w:left="107"/>
              <w:rPr>
                <w:rFonts w:hint="eastAsia" w:ascii="仿宋" w:hAnsi="仿宋" w:eastAsia="仿宋" w:cs="仿宋"/>
                <w:color w:val="auto"/>
                <w:sz w:val="21"/>
                <w:szCs w:val="21"/>
              </w:rPr>
            </w:pPr>
            <w:r>
              <w:rPr>
                <w:rFonts w:hint="eastAsia" w:ascii="仿宋" w:hAnsi="仿宋" w:eastAsia="仿宋" w:cs="仿宋"/>
                <w:color w:val="auto"/>
                <w:sz w:val="21"/>
                <w:szCs w:val="21"/>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117E7D60">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49C20A32">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BF7AB2E">
            <w:pPr>
              <w:pStyle w:val="41"/>
              <w:spacing w:before="110"/>
              <w:ind w:left="118"/>
              <w:rPr>
                <w:rFonts w:hint="eastAsia" w:ascii="仿宋" w:hAnsi="仿宋" w:eastAsia="仿宋" w:cs="仿宋"/>
                <w:color w:val="auto"/>
                <w:sz w:val="21"/>
                <w:szCs w:val="21"/>
              </w:rPr>
            </w:pPr>
            <w:r>
              <w:rPr>
                <w:rFonts w:hint="eastAsia" w:ascii="仿宋" w:hAnsi="仿宋" w:eastAsia="仿宋" w:cs="仿宋"/>
                <w:color w:val="auto"/>
                <w:sz w:val="21"/>
                <w:szCs w:val="21"/>
              </w:rPr>
              <w:t>中级职称人员</w:t>
            </w:r>
          </w:p>
        </w:tc>
        <w:tc>
          <w:tcPr>
            <w:tcW w:w="1442" w:type="dxa"/>
            <w:gridSpan w:val="2"/>
            <w:tcBorders>
              <w:top w:val="single" w:color="000000" w:sz="6" w:space="0"/>
              <w:left w:val="single" w:color="000000" w:sz="6" w:space="0"/>
              <w:bottom w:val="single" w:color="000000" w:sz="6" w:space="0"/>
            </w:tcBorders>
          </w:tcPr>
          <w:p w14:paraId="0DA77626">
            <w:pPr>
              <w:pStyle w:val="41"/>
              <w:rPr>
                <w:rFonts w:hint="eastAsia" w:ascii="仿宋" w:hAnsi="仿宋" w:eastAsia="仿宋" w:cs="仿宋"/>
                <w:color w:val="auto"/>
                <w:sz w:val="21"/>
                <w:szCs w:val="21"/>
              </w:rPr>
            </w:pPr>
          </w:p>
        </w:tc>
      </w:tr>
      <w:tr w14:paraId="46B4D7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35C614BA">
            <w:pPr>
              <w:pStyle w:val="41"/>
              <w:spacing w:before="79"/>
              <w:ind w:left="107"/>
              <w:rPr>
                <w:rFonts w:hint="eastAsia" w:ascii="仿宋" w:hAnsi="仿宋" w:eastAsia="仿宋" w:cs="仿宋"/>
                <w:color w:val="auto"/>
                <w:sz w:val="21"/>
                <w:szCs w:val="21"/>
              </w:rPr>
            </w:pPr>
            <w:r>
              <w:rPr>
                <w:rFonts w:hint="eastAsia" w:ascii="仿宋" w:hAnsi="仿宋" w:eastAsia="仿宋" w:cs="仿宋"/>
                <w:color w:val="auto"/>
                <w:sz w:val="21"/>
                <w:szCs w:val="21"/>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1EDAA855">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30ADC604">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F32B617">
            <w:pPr>
              <w:pStyle w:val="41"/>
              <w:spacing w:before="79"/>
              <w:ind w:left="118"/>
              <w:rPr>
                <w:rFonts w:hint="eastAsia" w:ascii="仿宋" w:hAnsi="仿宋" w:eastAsia="仿宋" w:cs="仿宋"/>
                <w:color w:val="auto"/>
                <w:sz w:val="21"/>
                <w:szCs w:val="21"/>
              </w:rPr>
            </w:pPr>
            <w:r>
              <w:rPr>
                <w:rFonts w:hint="eastAsia" w:ascii="仿宋" w:hAnsi="仿宋" w:eastAsia="仿宋" w:cs="仿宋"/>
                <w:color w:val="auto"/>
                <w:sz w:val="21"/>
                <w:szCs w:val="21"/>
              </w:rPr>
              <w:t>初级职称人员</w:t>
            </w:r>
          </w:p>
        </w:tc>
        <w:tc>
          <w:tcPr>
            <w:tcW w:w="1442" w:type="dxa"/>
            <w:gridSpan w:val="2"/>
            <w:tcBorders>
              <w:top w:val="single" w:color="000000" w:sz="6" w:space="0"/>
              <w:left w:val="single" w:color="000000" w:sz="6" w:space="0"/>
              <w:bottom w:val="single" w:color="000000" w:sz="6" w:space="0"/>
            </w:tcBorders>
          </w:tcPr>
          <w:p w14:paraId="6676B4D6">
            <w:pPr>
              <w:pStyle w:val="41"/>
              <w:rPr>
                <w:rFonts w:hint="eastAsia" w:ascii="仿宋" w:hAnsi="仿宋" w:eastAsia="仿宋" w:cs="仿宋"/>
                <w:color w:val="auto"/>
                <w:sz w:val="21"/>
                <w:szCs w:val="21"/>
              </w:rPr>
            </w:pPr>
          </w:p>
        </w:tc>
      </w:tr>
      <w:tr w14:paraId="6CA962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2B57556C">
            <w:pPr>
              <w:pStyle w:val="41"/>
              <w:spacing w:before="108"/>
              <w:ind w:left="107"/>
              <w:rPr>
                <w:rFonts w:hint="eastAsia" w:ascii="仿宋" w:hAnsi="仿宋" w:eastAsia="仿宋" w:cs="仿宋"/>
                <w:color w:val="auto"/>
                <w:sz w:val="21"/>
                <w:szCs w:val="21"/>
              </w:rPr>
            </w:pPr>
            <w:r>
              <w:rPr>
                <w:rFonts w:hint="eastAsia" w:ascii="仿宋" w:hAnsi="仿宋" w:eastAsia="仿宋" w:cs="仿宋"/>
                <w:color w:val="auto"/>
                <w:sz w:val="21"/>
                <w:szCs w:val="21"/>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1D83C59F">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794BB9BD">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5A6371FD">
            <w:pPr>
              <w:pStyle w:val="41"/>
              <w:spacing w:before="108"/>
              <w:ind w:left="118"/>
              <w:rPr>
                <w:rFonts w:hint="eastAsia" w:ascii="仿宋" w:hAnsi="仿宋" w:eastAsia="仿宋" w:cs="仿宋"/>
                <w:color w:val="auto"/>
                <w:sz w:val="21"/>
                <w:szCs w:val="21"/>
              </w:rPr>
            </w:pPr>
            <w:r>
              <w:rPr>
                <w:rFonts w:hint="eastAsia" w:ascii="仿宋" w:hAnsi="仿宋" w:eastAsia="仿宋" w:cs="仿宋"/>
                <w:color w:val="auto"/>
                <w:sz w:val="21"/>
                <w:szCs w:val="21"/>
              </w:rPr>
              <w:t>其他……</w:t>
            </w:r>
          </w:p>
        </w:tc>
        <w:tc>
          <w:tcPr>
            <w:tcW w:w="1442" w:type="dxa"/>
            <w:gridSpan w:val="2"/>
            <w:tcBorders>
              <w:top w:val="single" w:color="000000" w:sz="6" w:space="0"/>
              <w:left w:val="single" w:color="000000" w:sz="6" w:space="0"/>
              <w:bottom w:val="single" w:color="000000" w:sz="6" w:space="0"/>
            </w:tcBorders>
          </w:tcPr>
          <w:p w14:paraId="5BF8C07F">
            <w:pPr>
              <w:pStyle w:val="41"/>
              <w:rPr>
                <w:rFonts w:hint="eastAsia" w:ascii="仿宋" w:hAnsi="仿宋" w:eastAsia="仿宋" w:cs="仿宋"/>
                <w:color w:val="auto"/>
                <w:sz w:val="21"/>
                <w:szCs w:val="21"/>
              </w:rPr>
            </w:pPr>
          </w:p>
        </w:tc>
      </w:tr>
      <w:tr w14:paraId="046E50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156BA5F7">
            <w:pPr>
              <w:pStyle w:val="41"/>
              <w:spacing w:before="52"/>
              <w:ind w:left="107"/>
              <w:rPr>
                <w:rFonts w:hint="eastAsia" w:ascii="仿宋" w:hAnsi="仿宋" w:eastAsia="仿宋" w:cs="仿宋"/>
                <w:color w:val="auto"/>
                <w:sz w:val="21"/>
                <w:szCs w:val="21"/>
              </w:rPr>
            </w:pPr>
            <w:r>
              <w:rPr>
                <w:rFonts w:hint="eastAsia" w:ascii="仿宋" w:hAnsi="仿宋" w:eastAsia="仿宋" w:cs="仿宋"/>
                <w:color w:val="auto"/>
                <w:sz w:val="21"/>
                <w:szCs w:val="21"/>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2ACD7342">
            <w:pPr>
              <w:pStyle w:val="41"/>
              <w:rPr>
                <w:rFonts w:hint="eastAsia" w:ascii="仿宋" w:hAnsi="仿宋" w:eastAsia="仿宋" w:cs="仿宋"/>
                <w:color w:val="auto"/>
                <w:sz w:val="21"/>
                <w:szCs w:val="21"/>
              </w:rPr>
            </w:pPr>
          </w:p>
        </w:tc>
        <w:tc>
          <w:tcPr>
            <w:tcW w:w="714" w:type="dxa"/>
            <w:vMerge w:val="continue"/>
            <w:tcBorders>
              <w:top w:val="nil"/>
              <w:left w:val="single" w:color="000000" w:sz="6" w:space="0"/>
              <w:bottom w:val="single" w:color="000000" w:sz="6" w:space="0"/>
              <w:right w:val="single" w:color="000000" w:sz="6" w:space="0"/>
            </w:tcBorders>
          </w:tcPr>
          <w:p w14:paraId="38BD7626">
            <w:pPr>
              <w:rPr>
                <w:rFonts w:hint="eastAsia" w:ascii="仿宋" w:hAnsi="仿宋" w:eastAsia="仿宋" w:cs="仿宋"/>
                <w:color w:val="auto"/>
                <w:sz w:val="21"/>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5BD386A8">
            <w:pPr>
              <w:pStyle w:val="41"/>
              <w:rPr>
                <w:rFonts w:hint="eastAsia" w:ascii="仿宋" w:hAnsi="仿宋" w:eastAsia="仿宋" w:cs="仿宋"/>
                <w:color w:val="auto"/>
                <w:sz w:val="21"/>
                <w:szCs w:val="21"/>
              </w:rPr>
            </w:pPr>
          </w:p>
        </w:tc>
        <w:tc>
          <w:tcPr>
            <w:tcW w:w="1442" w:type="dxa"/>
            <w:gridSpan w:val="2"/>
            <w:tcBorders>
              <w:top w:val="single" w:color="000000" w:sz="6" w:space="0"/>
              <w:left w:val="single" w:color="000000" w:sz="6" w:space="0"/>
              <w:bottom w:val="single" w:color="000000" w:sz="6" w:space="0"/>
            </w:tcBorders>
          </w:tcPr>
          <w:p w14:paraId="7AD6332E">
            <w:pPr>
              <w:pStyle w:val="41"/>
              <w:rPr>
                <w:rFonts w:hint="eastAsia" w:ascii="仿宋" w:hAnsi="仿宋" w:eastAsia="仿宋" w:cs="仿宋"/>
                <w:color w:val="auto"/>
                <w:sz w:val="21"/>
                <w:szCs w:val="21"/>
              </w:rPr>
            </w:pPr>
          </w:p>
        </w:tc>
      </w:tr>
      <w:tr w14:paraId="03FD67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48FCCC5B">
            <w:pPr>
              <w:pStyle w:val="41"/>
              <w:spacing w:before="93"/>
              <w:ind w:left="107"/>
              <w:rPr>
                <w:rFonts w:hint="eastAsia" w:ascii="仿宋" w:hAnsi="仿宋" w:eastAsia="仿宋" w:cs="仿宋"/>
                <w:color w:val="auto"/>
                <w:sz w:val="21"/>
                <w:szCs w:val="21"/>
              </w:rPr>
            </w:pPr>
            <w:r>
              <w:rPr>
                <w:rFonts w:hint="eastAsia" w:ascii="仿宋" w:hAnsi="仿宋" w:eastAsia="仿宋" w:cs="仿宋"/>
                <w:color w:val="auto"/>
                <w:sz w:val="21"/>
                <w:szCs w:val="21"/>
              </w:rPr>
              <w:t>经营范围备注</w:t>
            </w:r>
          </w:p>
        </w:tc>
        <w:tc>
          <w:tcPr>
            <w:tcW w:w="6831" w:type="dxa"/>
            <w:gridSpan w:val="9"/>
            <w:tcBorders>
              <w:top w:val="single" w:color="000000" w:sz="6" w:space="0"/>
              <w:left w:val="single" w:color="000000" w:sz="6" w:space="0"/>
            </w:tcBorders>
          </w:tcPr>
          <w:p w14:paraId="31E7989C">
            <w:pPr>
              <w:pStyle w:val="41"/>
              <w:rPr>
                <w:rFonts w:hint="eastAsia" w:ascii="仿宋" w:hAnsi="仿宋" w:eastAsia="仿宋" w:cs="仿宋"/>
                <w:color w:val="auto"/>
                <w:sz w:val="21"/>
                <w:szCs w:val="21"/>
              </w:rPr>
            </w:pPr>
          </w:p>
        </w:tc>
      </w:tr>
    </w:tbl>
    <w:p w14:paraId="4E4088A8">
      <w:pPr>
        <w:pStyle w:val="12"/>
        <w:spacing w:before="4"/>
        <w:rPr>
          <w:rFonts w:hint="eastAsia" w:ascii="仿宋" w:hAnsi="仿宋" w:eastAsia="仿宋" w:cs="仿宋"/>
          <w:b/>
          <w:color w:val="auto"/>
          <w:sz w:val="21"/>
          <w:szCs w:val="21"/>
        </w:rPr>
      </w:pPr>
    </w:p>
    <w:p w14:paraId="3CB17AF4">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F251071">
      <w:pPr>
        <w:pStyle w:val="30"/>
        <w:spacing w:line="360" w:lineRule="auto"/>
        <w:rPr>
          <w:rFonts w:hint="eastAsia" w:ascii="仿宋" w:hAnsi="仿宋" w:eastAsia="仿宋" w:cs="仿宋"/>
          <w:color w:val="auto"/>
          <w:sz w:val="24"/>
          <w:szCs w:val="24"/>
        </w:rPr>
      </w:pPr>
    </w:p>
    <w:p w14:paraId="0E085C14">
      <w:pPr>
        <w:pStyle w:val="5"/>
        <w:spacing w:before="67"/>
        <w:ind w:left="0" w:leftChars="0" w:firstLine="0" w:firstLineChars="0"/>
        <w:outlineLvl w:val="3"/>
        <w:rPr>
          <w:rFonts w:hint="eastAsia" w:ascii="仿宋" w:hAnsi="仿宋" w:eastAsia="仿宋" w:cs="仿宋"/>
          <w:color w:val="auto"/>
          <w:sz w:val="24"/>
          <w:szCs w:val="24"/>
          <w:lang w:val="en-US" w:eastAsia="zh-CN"/>
        </w:rPr>
      </w:pPr>
      <w:bookmarkStart w:id="140" w:name="_Toc8022"/>
      <w:bookmarkStart w:id="141" w:name="_Toc16932"/>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投标人</w:t>
      </w:r>
      <w:r>
        <w:rPr>
          <w:rFonts w:hint="eastAsia" w:ascii="仿宋" w:hAnsi="仿宋" w:eastAsia="仿宋" w:cs="仿宋"/>
          <w:color w:val="auto"/>
          <w:sz w:val="24"/>
          <w:szCs w:val="24"/>
        </w:rPr>
        <w:t>单位简介</w:t>
      </w:r>
      <w:bookmarkEnd w:id="140"/>
      <w:bookmarkEnd w:id="141"/>
    </w:p>
    <w:p w14:paraId="4722EA7B">
      <w:pPr>
        <w:pStyle w:val="12"/>
        <w:rPr>
          <w:rFonts w:hint="eastAsia" w:ascii="仿宋" w:hAnsi="仿宋" w:eastAsia="仿宋" w:cs="仿宋"/>
          <w:b/>
          <w:color w:val="auto"/>
          <w:sz w:val="21"/>
          <w:szCs w:val="21"/>
        </w:rPr>
      </w:pPr>
    </w:p>
    <w:p w14:paraId="2D5DD1EF">
      <w:pPr>
        <w:pStyle w:val="12"/>
        <w:spacing w:before="11"/>
        <w:rPr>
          <w:rFonts w:hint="eastAsia" w:ascii="仿宋" w:hAnsi="仿宋" w:eastAsia="仿宋" w:cs="仿宋"/>
          <w:b/>
          <w:color w:val="auto"/>
          <w:sz w:val="21"/>
          <w:szCs w:val="21"/>
        </w:rPr>
      </w:pPr>
    </w:p>
    <w:p w14:paraId="386ED284">
      <w:pPr>
        <w:pStyle w:val="8"/>
        <w:ind w:left="0" w:right="156"/>
        <w:jc w:val="center"/>
        <w:outlineLvl w:val="9"/>
        <w:rPr>
          <w:rFonts w:hint="eastAsia" w:ascii="仿宋" w:hAnsi="仿宋" w:eastAsia="仿宋" w:cs="仿宋"/>
          <w:color w:val="auto"/>
          <w:sz w:val="21"/>
          <w:szCs w:val="21"/>
        </w:rPr>
      </w:pPr>
    </w:p>
    <w:p w14:paraId="153BFCA0">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（包括但不限于业务范围、所有权状况、组织机构及职能、人员构成、单位的场地环境和软硬件设施等）</w:t>
      </w:r>
    </w:p>
    <w:p w14:paraId="20CBDB2B">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1"/>
          <w:szCs w:val="21"/>
        </w:rPr>
      </w:pPr>
    </w:p>
    <w:p w14:paraId="0D048600">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1"/>
          <w:szCs w:val="21"/>
        </w:rPr>
      </w:pPr>
    </w:p>
    <w:p w14:paraId="706F8A6A">
      <w:pPr>
        <w:pStyle w:val="30"/>
        <w:numPr>
          <w:ilvl w:val="0"/>
          <w:numId w:val="0"/>
        </w:numPr>
        <w:spacing w:before="25" w:after="25" w:line="360" w:lineRule="auto"/>
        <w:ind w:left="0" w:leftChars="0" w:right="-92" w:rightChars="-44" w:firstLine="0" w:firstLineChars="0"/>
        <w:jc w:val="both"/>
        <w:rPr>
          <w:rFonts w:hint="eastAsia" w:ascii="仿宋" w:hAnsi="仿宋" w:eastAsia="仿宋" w:cs="仿宋"/>
          <w:color w:val="auto"/>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31"/>
    <w:p w14:paraId="5F28C1C8">
      <w:pPr>
        <w:pStyle w:val="5"/>
        <w:spacing w:before="67"/>
        <w:outlineLvl w:val="3"/>
        <w:rPr>
          <w:rFonts w:hint="eastAsia" w:ascii="仿宋" w:hAnsi="仿宋" w:eastAsia="仿宋" w:cs="仿宋"/>
          <w:color w:val="auto"/>
          <w:sz w:val="24"/>
          <w:szCs w:val="24"/>
        </w:rPr>
      </w:pPr>
      <w:bookmarkStart w:id="142" w:name="_Toc30877"/>
      <w:bookmarkStart w:id="143" w:name="_Toc18885"/>
      <w:r>
        <w:rPr>
          <w:rFonts w:hint="eastAsia" w:ascii="仿宋" w:hAnsi="仿宋" w:eastAsia="仿宋" w:cs="仿宋"/>
          <w:color w:val="auto"/>
          <w:sz w:val="24"/>
          <w:szCs w:val="24"/>
        </w:rPr>
        <w:t xml:space="preserve">附件 </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同类型项目案例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业绩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情况介绍【如有】</w:t>
      </w:r>
      <w:bookmarkEnd w:id="142"/>
      <w:bookmarkEnd w:id="143"/>
    </w:p>
    <w:p w14:paraId="2389FED2">
      <w:pPr>
        <w:pStyle w:val="12"/>
        <w:rPr>
          <w:rFonts w:hint="eastAsia" w:ascii="仿宋" w:hAnsi="仿宋" w:eastAsia="仿宋" w:cs="仿宋"/>
          <w:b/>
          <w:color w:val="auto"/>
          <w:sz w:val="24"/>
          <w:szCs w:val="24"/>
        </w:rPr>
      </w:pPr>
    </w:p>
    <w:p w14:paraId="1E04C890">
      <w:pPr>
        <w:pStyle w:val="12"/>
        <w:rPr>
          <w:rFonts w:hint="eastAsia" w:ascii="仿宋" w:hAnsi="仿宋" w:eastAsia="仿宋" w:cs="仿宋"/>
          <w:b/>
          <w:color w:val="auto"/>
          <w:sz w:val="24"/>
          <w:szCs w:val="24"/>
        </w:rPr>
      </w:pPr>
    </w:p>
    <w:p w14:paraId="700AE36D">
      <w:pPr>
        <w:pStyle w:val="12"/>
        <w:ind w:left="532" w:right="453"/>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业绩统计一览表和合同履行情况</w:t>
      </w:r>
    </w:p>
    <w:p w14:paraId="42240E80">
      <w:pPr>
        <w:pStyle w:val="12"/>
        <w:spacing w:before="7"/>
        <w:rPr>
          <w:rFonts w:hint="eastAsia" w:ascii="仿宋" w:hAnsi="仿宋" w:eastAsia="仿宋" w:cs="仿宋"/>
          <w:color w:val="auto"/>
          <w:sz w:val="21"/>
          <w:szCs w:val="21"/>
        </w:rPr>
      </w:pPr>
    </w:p>
    <w:tbl>
      <w:tblPr>
        <w:tblStyle w:val="22"/>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1CAEC1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14:paraId="0FD043A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2400" w:type="dxa"/>
            <w:tcBorders>
              <w:left w:val="single" w:color="000000" w:sz="6" w:space="0"/>
              <w:bottom w:val="single" w:color="000000" w:sz="6" w:space="0"/>
              <w:right w:val="single" w:color="000000" w:sz="6" w:space="0"/>
            </w:tcBorders>
            <w:vAlign w:val="center"/>
          </w:tcPr>
          <w:p w14:paraId="75163641">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项目委托单位、联系人及电话</w:t>
            </w:r>
          </w:p>
        </w:tc>
        <w:tc>
          <w:tcPr>
            <w:tcW w:w="991" w:type="dxa"/>
            <w:tcBorders>
              <w:left w:val="single" w:color="000000" w:sz="6" w:space="0"/>
              <w:bottom w:val="single" w:color="000000" w:sz="6" w:space="0"/>
              <w:right w:val="single" w:color="000000" w:sz="6" w:space="0"/>
            </w:tcBorders>
            <w:vAlign w:val="center"/>
          </w:tcPr>
          <w:p w14:paraId="2E312ED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w:t>
            </w:r>
          </w:p>
          <w:p w14:paraId="51406E62">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名称</w:t>
            </w:r>
          </w:p>
        </w:tc>
        <w:tc>
          <w:tcPr>
            <w:tcW w:w="1077" w:type="dxa"/>
            <w:tcBorders>
              <w:left w:val="single" w:color="000000" w:sz="6" w:space="0"/>
              <w:bottom w:val="single" w:color="000000" w:sz="6" w:space="0"/>
              <w:right w:val="single" w:color="000000" w:sz="6" w:space="0"/>
            </w:tcBorders>
            <w:vAlign w:val="center"/>
          </w:tcPr>
          <w:p w14:paraId="608B1746">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w:t>
            </w:r>
          </w:p>
          <w:p w14:paraId="08324468">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内容</w:t>
            </w:r>
          </w:p>
        </w:tc>
        <w:tc>
          <w:tcPr>
            <w:tcW w:w="1090" w:type="dxa"/>
            <w:tcBorders>
              <w:left w:val="single" w:color="000000" w:sz="6" w:space="0"/>
              <w:bottom w:val="single" w:color="000000" w:sz="6" w:space="0"/>
              <w:right w:val="single" w:color="000000" w:sz="6" w:space="0"/>
            </w:tcBorders>
            <w:vAlign w:val="center"/>
          </w:tcPr>
          <w:p w14:paraId="72C668EA">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合同</w:t>
            </w:r>
          </w:p>
          <w:p w14:paraId="4078AB32">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金额</w:t>
            </w:r>
          </w:p>
        </w:tc>
        <w:tc>
          <w:tcPr>
            <w:tcW w:w="905" w:type="dxa"/>
            <w:tcBorders>
              <w:left w:val="single" w:color="000000" w:sz="6" w:space="0"/>
              <w:bottom w:val="single" w:color="000000" w:sz="6" w:space="0"/>
              <w:right w:val="single" w:color="000000" w:sz="6" w:space="0"/>
            </w:tcBorders>
            <w:vAlign w:val="center"/>
          </w:tcPr>
          <w:p w14:paraId="41A06761">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合同</w:t>
            </w:r>
            <w:r>
              <w:rPr>
                <w:rFonts w:hint="eastAsia" w:ascii="仿宋" w:hAnsi="仿宋" w:eastAsia="仿宋" w:cs="仿宋"/>
                <w:color w:val="auto"/>
                <w:spacing w:val="-9"/>
                <w:sz w:val="21"/>
                <w:szCs w:val="21"/>
              </w:rPr>
              <w:t>签订日期</w:t>
            </w:r>
          </w:p>
        </w:tc>
        <w:tc>
          <w:tcPr>
            <w:tcW w:w="894" w:type="dxa"/>
            <w:tcBorders>
              <w:left w:val="single" w:color="000000" w:sz="6" w:space="0"/>
              <w:bottom w:val="single" w:color="000000" w:sz="6" w:space="0"/>
              <w:right w:val="single" w:color="000000" w:sz="6" w:space="0"/>
            </w:tcBorders>
            <w:vAlign w:val="center"/>
          </w:tcPr>
          <w:p w14:paraId="6B9B7092">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完成</w:t>
            </w:r>
          </w:p>
          <w:p w14:paraId="25322086">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情况</w:t>
            </w:r>
          </w:p>
        </w:tc>
        <w:tc>
          <w:tcPr>
            <w:tcW w:w="605" w:type="dxa"/>
            <w:tcBorders>
              <w:left w:val="single" w:color="000000" w:sz="6" w:space="0"/>
              <w:bottom w:val="single" w:color="000000" w:sz="6" w:space="0"/>
            </w:tcBorders>
            <w:vAlign w:val="center"/>
          </w:tcPr>
          <w:p w14:paraId="47ACBA57">
            <w:pPr>
              <w:pStyle w:val="4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071E6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18DE462">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D98272F">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05729A6F">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6A29DB94">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5FC6953A">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47A2786C">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76A25922">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12C75205">
            <w:pPr>
              <w:pStyle w:val="41"/>
              <w:rPr>
                <w:rFonts w:hint="eastAsia" w:ascii="仿宋" w:hAnsi="仿宋" w:eastAsia="仿宋" w:cs="仿宋"/>
                <w:color w:val="auto"/>
                <w:sz w:val="21"/>
                <w:szCs w:val="21"/>
              </w:rPr>
            </w:pPr>
          </w:p>
        </w:tc>
      </w:tr>
      <w:tr w14:paraId="6B6AEE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17BF6A7F">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29F5E489">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200B8A1C">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6E2CF06B">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40FAFCF9">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20523583">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5FB70D5B">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0111C733">
            <w:pPr>
              <w:pStyle w:val="41"/>
              <w:rPr>
                <w:rFonts w:hint="eastAsia" w:ascii="仿宋" w:hAnsi="仿宋" w:eastAsia="仿宋" w:cs="仿宋"/>
                <w:color w:val="auto"/>
                <w:sz w:val="21"/>
                <w:szCs w:val="21"/>
              </w:rPr>
            </w:pPr>
          </w:p>
        </w:tc>
      </w:tr>
      <w:tr w14:paraId="2FEA0E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0F76199">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651F8652">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4DAC297B">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358458B9">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3868EC04">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41983BFD">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3863BF5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4E1E2694">
            <w:pPr>
              <w:pStyle w:val="41"/>
              <w:rPr>
                <w:rFonts w:hint="eastAsia" w:ascii="仿宋" w:hAnsi="仿宋" w:eastAsia="仿宋" w:cs="仿宋"/>
                <w:color w:val="auto"/>
                <w:sz w:val="21"/>
                <w:szCs w:val="21"/>
              </w:rPr>
            </w:pPr>
          </w:p>
        </w:tc>
      </w:tr>
      <w:tr w14:paraId="3B73DA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0F1E2B6E">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78199AB">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7F3F565E">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365E0B22">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0E65D6F6">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7E07CC4C">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3265D80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37FFA181">
            <w:pPr>
              <w:pStyle w:val="41"/>
              <w:rPr>
                <w:rFonts w:hint="eastAsia" w:ascii="仿宋" w:hAnsi="仿宋" w:eastAsia="仿宋" w:cs="仿宋"/>
                <w:color w:val="auto"/>
                <w:sz w:val="21"/>
                <w:szCs w:val="21"/>
              </w:rPr>
            </w:pPr>
          </w:p>
        </w:tc>
      </w:tr>
      <w:tr w14:paraId="74951F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0B6823A4">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28C616E">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61D801E2">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7D16E08E">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003AB334">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05EA65C3">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72D1EEFA">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20BE0E38">
            <w:pPr>
              <w:pStyle w:val="41"/>
              <w:rPr>
                <w:rFonts w:hint="eastAsia" w:ascii="仿宋" w:hAnsi="仿宋" w:eastAsia="仿宋" w:cs="仿宋"/>
                <w:color w:val="auto"/>
                <w:sz w:val="21"/>
                <w:szCs w:val="21"/>
              </w:rPr>
            </w:pPr>
          </w:p>
        </w:tc>
      </w:tr>
      <w:tr w14:paraId="746CC2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3D87351">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3FD3247D">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72DED738">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36B92F34">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016D4D1E">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65EC48BA">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2F15DE8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7CD8F138">
            <w:pPr>
              <w:pStyle w:val="41"/>
              <w:rPr>
                <w:rFonts w:hint="eastAsia" w:ascii="仿宋" w:hAnsi="仿宋" w:eastAsia="仿宋" w:cs="仿宋"/>
                <w:color w:val="auto"/>
                <w:sz w:val="21"/>
                <w:szCs w:val="21"/>
              </w:rPr>
            </w:pPr>
          </w:p>
        </w:tc>
      </w:tr>
      <w:tr w14:paraId="279799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4427C24">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29BD8CD2">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4025DFFF">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42854CF6">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27ABA2AC">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24B8583B">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405B019C">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05480E74">
            <w:pPr>
              <w:pStyle w:val="41"/>
              <w:rPr>
                <w:rFonts w:hint="eastAsia" w:ascii="仿宋" w:hAnsi="仿宋" w:eastAsia="仿宋" w:cs="仿宋"/>
                <w:color w:val="auto"/>
                <w:sz w:val="21"/>
                <w:szCs w:val="21"/>
              </w:rPr>
            </w:pPr>
          </w:p>
        </w:tc>
      </w:tr>
      <w:tr w14:paraId="31DC46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15B2E153">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1C34096B">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27F5C4AE">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4A210FE1">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6BB1DD44">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34EA98D4">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16250050">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3D37D646">
            <w:pPr>
              <w:pStyle w:val="41"/>
              <w:rPr>
                <w:rFonts w:hint="eastAsia" w:ascii="仿宋" w:hAnsi="仿宋" w:eastAsia="仿宋" w:cs="仿宋"/>
                <w:color w:val="auto"/>
                <w:sz w:val="21"/>
                <w:szCs w:val="21"/>
              </w:rPr>
            </w:pPr>
          </w:p>
        </w:tc>
      </w:tr>
      <w:tr w14:paraId="1A59D3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E045CA0">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bottom w:val="single" w:color="000000" w:sz="6" w:space="0"/>
              <w:right w:val="single" w:color="000000" w:sz="6" w:space="0"/>
            </w:tcBorders>
          </w:tcPr>
          <w:p w14:paraId="1B75C654">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bottom w:val="single" w:color="000000" w:sz="6" w:space="0"/>
              <w:right w:val="single" w:color="000000" w:sz="6" w:space="0"/>
            </w:tcBorders>
          </w:tcPr>
          <w:p w14:paraId="5C225DCB">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bottom w:val="single" w:color="000000" w:sz="6" w:space="0"/>
              <w:right w:val="single" w:color="000000" w:sz="6" w:space="0"/>
            </w:tcBorders>
          </w:tcPr>
          <w:p w14:paraId="1A898951">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bottom w:val="single" w:color="000000" w:sz="6" w:space="0"/>
              <w:right w:val="single" w:color="000000" w:sz="6" w:space="0"/>
            </w:tcBorders>
          </w:tcPr>
          <w:p w14:paraId="596B9F3C">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bottom w:val="single" w:color="000000" w:sz="6" w:space="0"/>
              <w:right w:val="single" w:color="000000" w:sz="6" w:space="0"/>
            </w:tcBorders>
          </w:tcPr>
          <w:p w14:paraId="4DDA1E7C">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bottom w:val="single" w:color="000000" w:sz="6" w:space="0"/>
              <w:right w:val="single" w:color="000000" w:sz="6" w:space="0"/>
            </w:tcBorders>
          </w:tcPr>
          <w:p w14:paraId="53507AF6">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bottom w:val="single" w:color="000000" w:sz="6" w:space="0"/>
            </w:tcBorders>
          </w:tcPr>
          <w:p w14:paraId="4EA544E6">
            <w:pPr>
              <w:pStyle w:val="41"/>
              <w:rPr>
                <w:rFonts w:hint="eastAsia" w:ascii="仿宋" w:hAnsi="仿宋" w:eastAsia="仿宋" w:cs="仿宋"/>
                <w:color w:val="auto"/>
                <w:sz w:val="21"/>
                <w:szCs w:val="21"/>
              </w:rPr>
            </w:pPr>
          </w:p>
        </w:tc>
      </w:tr>
      <w:tr w14:paraId="028D3C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14:paraId="353C7488">
            <w:pPr>
              <w:pStyle w:val="41"/>
              <w:rPr>
                <w:rFonts w:hint="eastAsia" w:ascii="仿宋" w:hAnsi="仿宋" w:eastAsia="仿宋" w:cs="仿宋"/>
                <w:color w:val="auto"/>
                <w:sz w:val="21"/>
                <w:szCs w:val="21"/>
              </w:rPr>
            </w:pPr>
          </w:p>
        </w:tc>
        <w:tc>
          <w:tcPr>
            <w:tcW w:w="2400" w:type="dxa"/>
            <w:tcBorders>
              <w:top w:val="single" w:color="000000" w:sz="6" w:space="0"/>
              <w:left w:val="single" w:color="000000" w:sz="6" w:space="0"/>
              <w:right w:val="single" w:color="000000" w:sz="6" w:space="0"/>
            </w:tcBorders>
          </w:tcPr>
          <w:p w14:paraId="087C4097">
            <w:pPr>
              <w:pStyle w:val="41"/>
              <w:rPr>
                <w:rFonts w:hint="eastAsia" w:ascii="仿宋" w:hAnsi="仿宋" w:eastAsia="仿宋" w:cs="仿宋"/>
                <w:color w:val="auto"/>
                <w:sz w:val="21"/>
                <w:szCs w:val="21"/>
              </w:rPr>
            </w:pPr>
          </w:p>
        </w:tc>
        <w:tc>
          <w:tcPr>
            <w:tcW w:w="991" w:type="dxa"/>
            <w:tcBorders>
              <w:top w:val="single" w:color="000000" w:sz="6" w:space="0"/>
              <w:left w:val="single" w:color="000000" w:sz="6" w:space="0"/>
              <w:right w:val="single" w:color="000000" w:sz="6" w:space="0"/>
            </w:tcBorders>
          </w:tcPr>
          <w:p w14:paraId="7F47979B">
            <w:pPr>
              <w:pStyle w:val="41"/>
              <w:rPr>
                <w:rFonts w:hint="eastAsia" w:ascii="仿宋" w:hAnsi="仿宋" w:eastAsia="仿宋" w:cs="仿宋"/>
                <w:color w:val="auto"/>
                <w:sz w:val="21"/>
                <w:szCs w:val="21"/>
              </w:rPr>
            </w:pPr>
          </w:p>
        </w:tc>
        <w:tc>
          <w:tcPr>
            <w:tcW w:w="1077" w:type="dxa"/>
            <w:tcBorders>
              <w:top w:val="single" w:color="000000" w:sz="6" w:space="0"/>
              <w:left w:val="single" w:color="000000" w:sz="6" w:space="0"/>
              <w:right w:val="single" w:color="000000" w:sz="6" w:space="0"/>
            </w:tcBorders>
          </w:tcPr>
          <w:p w14:paraId="7409AF38">
            <w:pPr>
              <w:pStyle w:val="41"/>
              <w:rPr>
                <w:rFonts w:hint="eastAsia" w:ascii="仿宋" w:hAnsi="仿宋" w:eastAsia="仿宋" w:cs="仿宋"/>
                <w:color w:val="auto"/>
                <w:sz w:val="21"/>
                <w:szCs w:val="21"/>
              </w:rPr>
            </w:pPr>
          </w:p>
        </w:tc>
        <w:tc>
          <w:tcPr>
            <w:tcW w:w="1090" w:type="dxa"/>
            <w:tcBorders>
              <w:top w:val="single" w:color="000000" w:sz="6" w:space="0"/>
              <w:left w:val="single" w:color="000000" w:sz="6" w:space="0"/>
              <w:right w:val="single" w:color="000000" w:sz="6" w:space="0"/>
            </w:tcBorders>
          </w:tcPr>
          <w:p w14:paraId="3A6D07AE">
            <w:pPr>
              <w:pStyle w:val="41"/>
              <w:rPr>
                <w:rFonts w:hint="eastAsia" w:ascii="仿宋" w:hAnsi="仿宋" w:eastAsia="仿宋" w:cs="仿宋"/>
                <w:color w:val="auto"/>
                <w:sz w:val="21"/>
                <w:szCs w:val="21"/>
              </w:rPr>
            </w:pPr>
          </w:p>
        </w:tc>
        <w:tc>
          <w:tcPr>
            <w:tcW w:w="905" w:type="dxa"/>
            <w:tcBorders>
              <w:top w:val="single" w:color="000000" w:sz="6" w:space="0"/>
              <w:left w:val="single" w:color="000000" w:sz="6" w:space="0"/>
              <w:right w:val="single" w:color="000000" w:sz="6" w:space="0"/>
            </w:tcBorders>
          </w:tcPr>
          <w:p w14:paraId="2C096CDD">
            <w:pPr>
              <w:pStyle w:val="41"/>
              <w:rPr>
                <w:rFonts w:hint="eastAsia" w:ascii="仿宋" w:hAnsi="仿宋" w:eastAsia="仿宋" w:cs="仿宋"/>
                <w:color w:val="auto"/>
                <w:sz w:val="21"/>
                <w:szCs w:val="21"/>
              </w:rPr>
            </w:pPr>
          </w:p>
        </w:tc>
        <w:tc>
          <w:tcPr>
            <w:tcW w:w="894" w:type="dxa"/>
            <w:tcBorders>
              <w:top w:val="single" w:color="000000" w:sz="6" w:space="0"/>
              <w:left w:val="single" w:color="000000" w:sz="6" w:space="0"/>
              <w:right w:val="single" w:color="000000" w:sz="6" w:space="0"/>
            </w:tcBorders>
          </w:tcPr>
          <w:p w14:paraId="35B80EB5">
            <w:pPr>
              <w:pStyle w:val="41"/>
              <w:rPr>
                <w:rFonts w:hint="eastAsia" w:ascii="仿宋" w:hAnsi="仿宋" w:eastAsia="仿宋" w:cs="仿宋"/>
                <w:color w:val="auto"/>
                <w:sz w:val="21"/>
                <w:szCs w:val="21"/>
              </w:rPr>
            </w:pPr>
          </w:p>
        </w:tc>
        <w:tc>
          <w:tcPr>
            <w:tcW w:w="605" w:type="dxa"/>
            <w:tcBorders>
              <w:top w:val="single" w:color="000000" w:sz="6" w:space="0"/>
              <w:left w:val="single" w:color="000000" w:sz="6" w:space="0"/>
            </w:tcBorders>
          </w:tcPr>
          <w:p w14:paraId="580BF0B1">
            <w:pPr>
              <w:pStyle w:val="41"/>
              <w:rPr>
                <w:rFonts w:hint="eastAsia" w:ascii="仿宋" w:hAnsi="仿宋" w:eastAsia="仿宋" w:cs="仿宋"/>
                <w:color w:val="auto"/>
                <w:sz w:val="21"/>
                <w:szCs w:val="21"/>
              </w:rPr>
            </w:pPr>
          </w:p>
        </w:tc>
      </w:tr>
    </w:tbl>
    <w:p w14:paraId="4D512E18">
      <w:pPr>
        <w:spacing w:before="3"/>
        <w:ind w:left="360" w:right="0" w:firstLine="0"/>
        <w:jc w:val="left"/>
        <w:rPr>
          <w:rFonts w:hint="eastAsia" w:ascii="仿宋" w:hAnsi="仿宋" w:eastAsia="仿宋" w:cs="仿宋"/>
          <w:color w:val="auto"/>
          <w:sz w:val="21"/>
          <w:szCs w:val="21"/>
        </w:rPr>
      </w:pPr>
    </w:p>
    <w:p w14:paraId="02899B14">
      <w:pPr>
        <w:pStyle w:val="12"/>
        <w:rPr>
          <w:rFonts w:hint="eastAsia" w:ascii="仿宋" w:hAnsi="仿宋" w:eastAsia="仿宋" w:cs="仿宋"/>
          <w:color w:val="auto"/>
          <w:sz w:val="21"/>
          <w:szCs w:val="21"/>
        </w:rPr>
      </w:pPr>
    </w:p>
    <w:p w14:paraId="4B486200">
      <w:pPr>
        <w:pStyle w:val="12"/>
        <w:tabs>
          <w:tab w:val="left" w:pos="1920"/>
          <w:tab w:val="left" w:pos="3840"/>
        </w:tabs>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0E87ABC1">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4CEB29C6">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3D551AF2">
      <w:pPr>
        <w:pStyle w:val="30"/>
        <w:numPr>
          <w:ilvl w:val="0"/>
          <w:numId w:val="0"/>
        </w:numPr>
        <w:spacing w:before="25" w:after="25" w:line="360" w:lineRule="auto"/>
        <w:jc w:val="left"/>
        <w:rPr>
          <w:rFonts w:hint="eastAsia" w:ascii="仿宋" w:hAnsi="仿宋" w:eastAsia="仿宋" w:cs="仿宋"/>
          <w:color w:val="auto"/>
          <w:sz w:val="21"/>
          <w:szCs w:val="21"/>
        </w:rPr>
      </w:pPr>
    </w:p>
    <w:p w14:paraId="54C5BB0F">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color w:val="auto"/>
          <w:sz w:val="21"/>
          <w:szCs w:val="21"/>
        </w:rPr>
        <w:t>注：请</w:t>
      </w:r>
      <w:r>
        <w:rPr>
          <w:rFonts w:hint="eastAsia" w:ascii="仿宋" w:hAnsi="仿宋" w:eastAsia="仿宋" w:cs="仿宋"/>
          <w:color w:val="auto"/>
          <w:spacing w:val="-2"/>
          <w:sz w:val="21"/>
          <w:szCs w:val="21"/>
          <w:lang w:val="en-US" w:eastAsia="zh-CN"/>
        </w:rPr>
        <w:t>投标人</w:t>
      </w:r>
      <w:r>
        <w:rPr>
          <w:rFonts w:hint="eastAsia" w:ascii="仿宋" w:hAnsi="仿宋" w:eastAsia="仿宋" w:cs="仿宋"/>
          <w:color w:val="auto"/>
          <w:sz w:val="21"/>
          <w:szCs w:val="21"/>
        </w:rPr>
        <w:t>按照合同签订时间先后顺序填写此表，并按照同一顺序附相关证明材料</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具体要求详见本招标文件第六章。</w:t>
      </w:r>
    </w:p>
    <w:p w14:paraId="11E19673">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p>
    <w:p w14:paraId="5C628A65">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5E377A">
      <w:pPr>
        <w:pStyle w:val="30"/>
        <w:numPr>
          <w:ilvl w:val="0"/>
          <w:numId w:val="0"/>
        </w:numPr>
        <w:spacing w:before="25" w:after="25" w:line="360" w:lineRule="auto"/>
        <w:jc w:val="both"/>
        <w:outlineLvl w:val="3"/>
        <w:rPr>
          <w:rFonts w:hint="eastAsia" w:ascii="仿宋" w:hAnsi="仿宋" w:eastAsia="仿宋" w:cs="仿宋"/>
          <w:b/>
          <w:bCs/>
          <w:i w:val="0"/>
          <w:iCs w:val="0"/>
          <w:color w:val="auto"/>
          <w:sz w:val="24"/>
          <w:szCs w:val="24"/>
          <w:lang w:val="en-US" w:eastAsia="zh-CN"/>
        </w:rPr>
      </w:pPr>
      <w:bookmarkStart w:id="144" w:name="_Toc507399530"/>
      <w:bookmarkStart w:id="145" w:name="_Toc7415"/>
      <w:bookmarkStart w:id="146" w:name="_Toc31811"/>
      <w:r>
        <w:rPr>
          <w:rFonts w:hint="eastAsia" w:ascii="仿宋" w:hAnsi="仿宋" w:eastAsia="仿宋" w:cs="仿宋"/>
          <w:b/>
          <w:bCs/>
          <w:i w:val="0"/>
          <w:iCs w:val="0"/>
          <w:color w:val="auto"/>
          <w:sz w:val="24"/>
          <w:szCs w:val="24"/>
          <w:lang w:val="en-US" w:eastAsia="zh-CN"/>
        </w:rPr>
        <w:t xml:space="preserve">附件3-2   </w:t>
      </w:r>
      <w:bookmarkStart w:id="147" w:name="_Hlt520355504"/>
      <w:bookmarkEnd w:id="147"/>
      <w:r>
        <w:rPr>
          <w:rFonts w:hint="eastAsia" w:ascii="仿宋" w:hAnsi="仿宋" w:eastAsia="仿宋" w:cs="仿宋"/>
          <w:b/>
          <w:bCs/>
          <w:i w:val="0"/>
          <w:iCs w:val="0"/>
          <w:color w:val="auto"/>
          <w:sz w:val="24"/>
          <w:szCs w:val="24"/>
          <w:lang w:val="en-US" w:eastAsia="zh-CN"/>
        </w:rPr>
        <w:t>投标书</w:t>
      </w:r>
      <w:bookmarkEnd w:id="144"/>
      <w:bookmarkEnd w:id="145"/>
      <w:bookmarkEnd w:id="146"/>
      <w:r>
        <w:rPr>
          <w:rFonts w:hint="eastAsia" w:ascii="仿宋" w:hAnsi="仿宋" w:eastAsia="仿宋" w:cs="仿宋"/>
          <w:b/>
          <w:bCs/>
          <w:i w:val="0"/>
          <w:iCs w:val="0"/>
          <w:color w:val="auto"/>
          <w:sz w:val="24"/>
          <w:szCs w:val="24"/>
          <w:lang w:val="en-US" w:eastAsia="zh-CN"/>
        </w:rPr>
        <w:t>（统一格式）</w:t>
      </w:r>
    </w:p>
    <w:p w14:paraId="013C5442">
      <w:pPr>
        <w:pStyle w:val="30"/>
        <w:numPr>
          <w:ilvl w:val="0"/>
          <w:numId w:val="0"/>
        </w:numPr>
        <w:spacing w:before="25" w:after="25" w:line="360" w:lineRule="auto"/>
        <w:jc w:val="center"/>
        <w:rPr>
          <w:rFonts w:hint="eastAsia" w:ascii="仿宋" w:hAnsi="仿宋" w:eastAsia="仿宋" w:cs="仿宋"/>
          <w:b w:val="0"/>
          <w:bCs w:val="0"/>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投标书</w:t>
      </w:r>
    </w:p>
    <w:p w14:paraId="1D078703">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致：中科建疆工程管理有限公司</w:t>
      </w:r>
    </w:p>
    <w:p w14:paraId="5A9ED673">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p>
    <w:p w14:paraId="120DF811">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ind w:firstLine="520" w:firstLineChars="200"/>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根据贵方为</w:t>
      </w:r>
      <w:r>
        <w:rPr>
          <w:rFonts w:hint="eastAsia" w:ascii="仿宋" w:hAnsi="仿宋" w:eastAsia="仿宋" w:cs="仿宋"/>
          <w:b w:val="0"/>
          <w:bCs w:val="0"/>
          <w:i w:val="0"/>
          <w:iCs w:val="0"/>
          <w:color w:val="auto"/>
          <w:sz w:val="24"/>
          <w:szCs w:val="24"/>
          <w:u w:val="single"/>
          <w:lang w:val="en-US" w:eastAsia="zh-CN"/>
        </w:rPr>
        <w:t xml:space="preserve">  (项目名称、招标编号)  </w:t>
      </w:r>
      <w:r>
        <w:rPr>
          <w:rFonts w:hint="eastAsia" w:ascii="仿宋" w:hAnsi="仿宋" w:eastAsia="仿宋" w:cs="仿宋"/>
          <w:b w:val="0"/>
          <w:bCs w:val="0"/>
          <w:i w:val="0"/>
          <w:iCs w:val="0"/>
          <w:color w:val="auto"/>
          <w:sz w:val="24"/>
          <w:szCs w:val="24"/>
          <w:lang w:val="en-US" w:eastAsia="zh-CN"/>
        </w:rPr>
        <w:t>项目的投标邀请,签字代表</w:t>
      </w:r>
      <w:r>
        <w:rPr>
          <w:rFonts w:hint="eastAsia" w:ascii="仿宋" w:hAnsi="仿宋" w:eastAsia="仿宋" w:cs="仿宋"/>
          <w:b w:val="0"/>
          <w:bCs w:val="0"/>
          <w:i w:val="0"/>
          <w:iCs w:val="0"/>
          <w:color w:val="auto"/>
          <w:sz w:val="24"/>
          <w:szCs w:val="24"/>
          <w:u w:val="single"/>
          <w:lang w:val="en-US" w:eastAsia="zh-CN"/>
        </w:rPr>
        <w:t>(姓名、职务)</w:t>
      </w:r>
      <w:r>
        <w:rPr>
          <w:rFonts w:hint="eastAsia" w:ascii="仿宋" w:hAnsi="仿宋" w:eastAsia="仿宋" w:cs="仿宋"/>
          <w:b w:val="0"/>
          <w:bCs w:val="0"/>
          <w:i w:val="0"/>
          <w:iCs w:val="0"/>
          <w:color w:val="auto"/>
          <w:sz w:val="24"/>
          <w:szCs w:val="24"/>
          <w:lang w:val="en-US" w:eastAsia="zh-CN"/>
        </w:rPr>
        <w:t>经正式授权并代表投标人</w:t>
      </w:r>
      <w:r>
        <w:rPr>
          <w:rFonts w:hint="eastAsia" w:ascii="仿宋" w:hAnsi="仿宋" w:eastAsia="仿宋" w:cs="仿宋"/>
          <w:b w:val="0"/>
          <w:bCs w:val="0"/>
          <w:i w:val="0"/>
          <w:iCs w:val="0"/>
          <w:color w:val="auto"/>
          <w:sz w:val="24"/>
          <w:szCs w:val="24"/>
          <w:u w:val="single"/>
          <w:lang w:val="en-US" w:eastAsia="zh-CN"/>
        </w:rPr>
        <w:t xml:space="preserve">  （投标人名称、地址）  </w:t>
      </w:r>
      <w:r>
        <w:rPr>
          <w:rFonts w:hint="eastAsia" w:ascii="仿宋" w:hAnsi="仿宋" w:eastAsia="仿宋" w:cs="仿宋"/>
          <w:b w:val="0"/>
          <w:bCs w:val="0"/>
          <w:i w:val="0"/>
          <w:iCs w:val="0"/>
          <w:color w:val="auto"/>
          <w:sz w:val="24"/>
          <w:szCs w:val="24"/>
          <w:lang w:val="en-US" w:eastAsia="zh-CN"/>
        </w:rPr>
        <w:t>提交下述文件，并作出如下承诺：</w:t>
      </w:r>
    </w:p>
    <w:p w14:paraId="6D6758DC">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1、如果我方被确定为中标人，我们将按照招标文件、我方投标文件及双方确认的合同条款的要求执行。</w:t>
      </w:r>
    </w:p>
    <w:p w14:paraId="03C64796">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2、我方保证忠实地执行双方所签的合同，并承担合同规定的责任和义务。</w:t>
      </w:r>
    </w:p>
    <w:p w14:paraId="191E6EBA">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3、我方愿意向贵方提供任何与此报价有关的数据、情况和技术资料。完全理解贵方不一定接受最低价的投标或收到的任何投标。</w:t>
      </w:r>
    </w:p>
    <w:p w14:paraId="2B8A4C09">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4、我方提交的投标文件及报价自提交日期起</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天有效，并对我方具有约束力。</w:t>
      </w:r>
    </w:p>
    <w:p w14:paraId="7ACE7115">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5、我方已详细审查全部招标文件，包括所有补充通知（如果有的话）。我们完全理解并同意放弃对这方面有不明、误解和质疑的权力。</w:t>
      </w:r>
    </w:p>
    <w:p w14:paraId="21F5CB96">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6、在规定的开标时间后，投标人保证遵守招标文件中有关保证金的规定。</w:t>
      </w:r>
    </w:p>
    <w:p w14:paraId="00220B43">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7、与本投标有关的一切正式往来信函请寄：</w:t>
      </w:r>
    </w:p>
    <w:p w14:paraId="54AE0D58">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地址：</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 xml:space="preserve">                                      </w:t>
      </w:r>
    </w:p>
    <w:p w14:paraId="52C30FF5">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电话：</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 xml:space="preserve">     电子函件：</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 xml:space="preserve">         </w:t>
      </w:r>
    </w:p>
    <w:p w14:paraId="4AA5C68D">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p>
    <w:p w14:paraId="3A7A7F87">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投标人</w:t>
      </w:r>
      <w:r>
        <w:rPr>
          <w:rFonts w:hint="eastAsia" w:ascii="仿宋" w:hAnsi="仿宋" w:eastAsia="仿宋" w:cs="仿宋"/>
          <w:b w:val="0"/>
          <w:bCs w:val="0"/>
          <w:i w:val="0"/>
          <w:iCs w:val="0"/>
          <w:color w:val="auto"/>
          <w:sz w:val="24"/>
          <w:szCs w:val="24"/>
          <w:u w:val="none"/>
          <w:lang w:val="en-US" w:eastAsia="zh-CN"/>
        </w:rPr>
        <w:t>（电子签章）</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u w:val="single"/>
          <w:lang w:val="en-US" w:eastAsia="zh-CN"/>
        </w:rPr>
        <w:tab/>
      </w:r>
      <w:r>
        <w:rPr>
          <w:rFonts w:hint="eastAsia" w:ascii="仿宋" w:hAnsi="仿宋" w:eastAsia="仿宋" w:cs="仿宋"/>
          <w:b w:val="0"/>
          <w:bCs w:val="0"/>
          <w:i w:val="0"/>
          <w:iCs w:val="0"/>
          <w:color w:val="auto"/>
          <w:sz w:val="24"/>
          <w:szCs w:val="24"/>
          <w:u w:val="single"/>
          <w:lang w:val="en-US" w:eastAsia="zh-CN"/>
        </w:rPr>
        <w:tab/>
      </w:r>
    </w:p>
    <w:p w14:paraId="76032739">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法定代表人或其授权代理人</w:t>
      </w:r>
      <w:r>
        <w:rPr>
          <w:rFonts w:hint="eastAsia" w:ascii="仿宋" w:hAnsi="仿宋" w:eastAsia="仿宋" w:cs="仿宋"/>
          <w:b w:val="0"/>
          <w:bCs w:val="0"/>
          <w:i w:val="0"/>
          <w:iCs w:val="0"/>
          <w:color w:val="auto"/>
          <w:sz w:val="24"/>
          <w:szCs w:val="24"/>
          <w:u w:val="none"/>
          <w:lang w:val="en-US" w:eastAsia="zh-CN"/>
        </w:rPr>
        <w:t>（电子签章）</w:t>
      </w:r>
      <w:r>
        <w:rPr>
          <w:rFonts w:hint="eastAsia" w:ascii="仿宋" w:hAnsi="仿宋" w:eastAsia="仿宋" w:cs="仿宋"/>
          <w:b w:val="0"/>
          <w:bCs w:val="0"/>
          <w:i w:val="0"/>
          <w:iCs w:val="0"/>
          <w:color w:val="auto"/>
          <w:sz w:val="24"/>
          <w:szCs w:val="24"/>
          <w:lang w:val="en-US" w:eastAsia="zh-CN"/>
        </w:rPr>
        <w:t>：</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ab/>
      </w:r>
    </w:p>
    <w:p w14:paraId="4E7EBF06">
      <w:pPr>
        <w:pStyle w:val="30"/>
        <w:keepNext w:val="0"/>
        <w:keepLines w:val="0"/>
        <w:pageBreakBefore w:val="0"/>
        <w:widowControl/>
        <w:numPr>
          <w:ilvl w:val="0"/>
          <w:numId w:val="0"/>
        </w:numPr>
        <w:kinsoku/>
        <w:wordWrap/>
        <w:overflowPunct/>
        <w:topLinePunct w:val="0"/>
        <w:autoSpaceDE/>
        <w:autoSpaceDN/>
        <w:bidi w:val="0"/>
        <w:adjustRightInd/>
        <w:snapToGrid/>
        <w:spacing w:before="25" w:after="25" w:line="440" w:lineRule="exact"/>
        <w:jc w:val="left"/>
        <w:textAlignment w:val="auto"/>
        <w:rPr>
          <w:rFonts w:hint="eastAsia" w:ascii="仿宋" w:hAnsi="仿宋" w:eastAsia="仿宋" w:cs="仿宋"/>
          <w:b w:val="0"/>
          <w:bCs w:val="0"/>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日期：</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u w:val="single"/>
          <w:lang w:val="en-US" w:eastAsia="zh-CN"/>
        </w:rPr>
        <w:tab/>
      </w:r>
      <w:r>
        <w:rPr>
          <w:rFonts w:hint="eastAsia" w:ascii="仿宋" w:hAnsi="仿宋" w:eastAsia="仿宋" w:cs="仿宋"/>
          <w:b w:val="0"/>
          <w:bCs w:val="0"/>
          <w:i w:val="0"/>
          <w:iCs w:val="0"/>
          <w:color w:val="auto"/>
          <w:sz w:val="24"/>
          <w:szCs w:val="24"/>
          <w:lang w:val="en-US" w:eastAsia="zh-CN"/>
        </w:rPr>
        <w:t>年</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月</w:t>
      </w:r>
      <w:r>
        <w:rPr>
          <w:rFonts w:hint="eastAsia" w:ascii="仿宋" w:hAnsi="仿宋" w:eastAsia="仿宋" w:cs="仿宋"/>
          <w:b w:val="0"/>
          <w:bCs w:val="0"/>
          <w:i w:val="0"/>
          <w:iCs w:val="0"/>
          <w:color w:val="auto"/>
          <w:sz w:val="24"/>
          <w:szCs w:val="24"/>
          <w:u w:val="single"/>
          <w:lang w:val="en-US" w:eastAsia="zh-CN"/>
        </w:rPr>
        <w:t xml:space="preserve">   </w:t>
      </w:r>
      <w:r>
        <w:rPr>
          <w:rFonts w:hint="eastAsia" w:ascii="仿宋" w:hAnsi="仿宋" w:eastAsia="仿宋" w:cs="仿宋"/>
          <w:b w:val="0"/>
          <w:bCs w:val="0"/>
          <w:i w:val="0"/>
          <w:iCs w:val="0"/>
          <w:color w:val="auto"/>
          <w:sz w:val="24"/>
          <w:szCs w:val="24"/>
          <w:lang w:val="en-US" w:eastAsia="zh-CN"/>
        </w:rPr>
        <w:t>日</w:t>
      </w:r>
    </w:p>
    <w:p w14:paraId="13ED0465">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pPr>
    </w:p>
    <w:p w14:paraId="040DCD19">
      <w:pPr>
        <w:pStyle w:val="30"/>
        <w:numPr>
          <w:ilvl w:val="0"/>
          <w:numId w:val="0"/>
        </w:numPr>
        <w:spacing w:before="25" w:after="25" w:line="360" w:lineRule="auto"/>
        <w:jc w:val="left"/>
        <w:rPr>
          <w:rFonts w:hint="eastAsia" w:ascii="仿宋" w:hAnsi="仿宋" w:eastAsia="仿宋" w:cs="仿宋"/>
          <w:b w:val="0"/>
          <w:bCs w:val="0"/>
          <w:i w:val="0"/>
          <w:iCs w:val="0"/>
          <w:color w:val="auto"/>
          <w:sz w:val="24"/>
          <w:szCs w:val="24"/>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7B365D3">
      <w:pPr>
        <w:pStyle w:val="5"/>
        <w:pageBreakBefore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3"/>
        <w:rPr>
          <w:rFonts w:hint="eastAsia" w:ascii="仿宋" w:hAnsi="仿宋" w:eastAsia="仿宋" w:cs="仿宋"/>
          <w:color w:val="auto"/>
          <w:sz w:val="24"/>
          <w:lang w:val="en-US" w:eastAsia="zh-CN"/>
        </w:rPr>
      </w:pPr>
      <w:bookmarkStart w:id="148" w:name="_Toc216582815"/>
      <w:bookmarkStart w:id="149" w:name="_Toc507399531"/>
      <w:bookmarkStart w:id="150" w:name="_Toc29213"/>
      <w:bookmarkStart w:id="151" w:name="_Toc12105"/>
      <w:r>
        <w:rPr>
          <w:rFonts w:hint="eastAsia" w:ascii="仿宋" w:hAnsi="仿宋" w:eastAsia="仿宋" w:cs="仿宋"/>
          <w:color w:val="auto"/>
          <w:sz w:val="24"/>
          <w:lang w:val="en-US" w:eastAsia="zh-CN"/>
        </w:rPr>
        <w:t>附件3-3</w:t>
      </w:r>
      <w:r>
        <w:rPr>
          <w:rFonts w:hint="eastAsia" w:ascii="仿宋" w:hAnsi="仿宋" w:eastAsia="仿宋" w:cs="仿宋"/>
          <w:color w:val="auto"/>
          <w:sz w:val="24"/>
        </w:rPr>
        <w:t xml:space="preserve">   投标分项报价表</w:t>
      </w:r>
      <w:bookmarkEnd w:id="148"/>
      <w:bookmarkEnd w:id="149"/>
      <w:bookmarkEnd w:id="150"/>
      <w:bookmarkEnd w:id="151"/>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7BFE31EF">
      <w:pPr>
        <w:pStyle w:val="9"/>
        <w:jc w:val="center"/>
        <w:rPr>
          <w:rFonts w:hint="eastAsia" w:ascii="仿宋" w:hAnsi="仿宋" w:eastAsia="仿宋" w:cs="仿宋"/>
          <w:b/>
          <w:bCs/>
          <w:color w:val="auto"/>
        </w:rPr>
      </w:pPr>
      <w:r>
        <w:rPr>
          <w:rFonts w:hint="eastAsia" w:ascii="仿宋" w:hAnsi="仿宋" w:eastAsia="仿宋" w:cs="仿宋"/>
          <w:b/>
          <w:bCs/>
          <w:color w:val="auto"/>
          <w:sz w:val="24"/>
        </w:rPr>
        <w:t>投标分项报价表</w:t>
      </w:r>
    </w:p>
    <w:p w14:paraId="2828396D">
      <w:pPr>
        <w:pStyle w:val="15"/>
        <w:pageBreakBefore w:val="0"/>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color w:val="auto"/>
          <w:sz w:val="24"/>
        </w:rPr>
      </w:pPr>
      <w:r>
        <w:rPr>
          <w:rFonts w:hint="eastAsia" w:ascii="仿宋" w:hAnsi="仿宋" w:eastAsia="仿宋" w:cs="仿宋"/>
          <w:color w:val="auto"/>
          <w:sz w:val="24"/>
        </w:rPr>
        <w:t>项目名称:                      招标编号:                         包号: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报价单位：人民币元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6"/>
        <w:gridCol w:w="2373"/>
        <w:gridCol w:w="1721"/>
        <w:gridCol w:w="1277"/>
        <w:gridCol w:w="1277"/>
        <w:gridCol w:w="2399"/>
        <w:gridCol w:w="1632"/>
        <w:gridCol w:w="1260"/>
        <w:gridCol w:w="893"/>
      </w:tblGrid>
      <w:tr w14:paraId="3870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8" w:type="dxa"/>
            <w:noWrap w:val="0"/>
            <w:vAlign w:val="center"/>
          </w:tcPr>
          <w:p w14:paraId="7D44594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序号</w:t>
            </w:r>
          </w:p>
        </w:tc>
        <w:tc>
          <w:tcPr>
            <w:tcW w:w="2879" w:type="dxa"/>
            <w:gridSpan w:val="2"/>
            <w:noWrap w:val="0"/>
            <w:vAlign w:val="center"/>
          </w:tcPr>
          <w:p w14:paraId="035B415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设备名称</w:t>
            </w:r>
          </w:p>
        </w:tc>
        <w:tc>
          <w:tcPr>
            <w:tcW w:w="1721" w:type="dxa"/>
            <w:noWrap w:val="0"/>
            <w:vAlign w:val="center"/>
          </w:tcPr>
          <w:p w14:paraId="3A3844E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型号和规格</w:t>
            </w:r>
          </w:p>
        </w:tc>
        <w:tc>
          <w:tcPr>
            <w:tcW w:w="1277" w:type="dxa"/>
            <w:noWrap w:val="0"/>
            <w:vAlign w:val="center"/>
          </w:tcPr>
          <w:p w14:paraId="0654106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单位</w:t>
            </w:r>
          </w:p>
        </w:tc>
        <w:tc>
          <w:tcPr>
            <w:tcW w:w="1277" w:type="dxa"/>
            <w:noWrap w:val="0"/>
            <w:vAlign w:val="center"/>
          </w:tcPr>
          <w:p w14:paraId="1003832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数量</w:t>
            </w:r>
          </w:p>
        </w:tc>
        <w:tc>
          <w:tcPr>
            <w:tcW w:w="2399" w:type="dxa"/>
            <w:noWrap w:val="0"/>
            <w:vAlign w:val="center"/>
          </w:tcPr>
          <w:p w14:paraId="650D7A5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品牌</w:t>
            </w:r>
          </w:p>
        </w:tc>
        <w:tc>
          <w:tcPr>
            <w:tcW w:w="1632" w:type="dxa"/>
            <w:noWrap w:val="0"/>
            <w:vAlign w:val="center"/>
          </w:tcPr>
          <w:p w14:paraId="7EF3DC1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单价</w:t>
            </w:r>
          </w:p>
        </w:tc>
        <w:tc>
          <w:tcPr>
            <w:tcW w:w="1260" w:type="dxa"/>
            <w:noWrap w:val="0"/>
            <w:vAlign w:val="center"/>
          </w:tcPr>
          <w:p w14:paraId="3798FF0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合</w:t>
            </w:r>
            <w:r>
              <w:rPr>
                <w:rFonts w:hint="eastAsia" w:ascii="仿宋" w:hAnsi="仿宋" w:eastAsia="仿宋" w:cs="仿宋"/>
                <w:color w:val="auto"/>
                <w:sz w:val="24"/>
              </w:rPr>
              <w:t>价</w:t>
            </w:r>
          </w:p>
        </w:tc>
        <w:tc>
          <w:tcPr>
            <w:tcW w:w="893" w:type="dxa"/>
            <w:noWrap w:val="0"/>
            <w:vAlign w:val="center"/>
          </w:tcPr>
          <w:p w14:paraId="67D768E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r>
              <w:rPr>
                <w:rFonts w:hint="eastAsia" w:ascii="仿宋" w:hAnsi="仿宋" w:eastAsia="仿宋" w:cs="仿宋"/>
                <w:color w:val="auto"/>
                <w:sz w:val="24"/>
              </w:rPr>
              <w:t>备注</w:t>
            </w:r>
          </w:p>
        </w:tc>
      </w:tr>
      <w:tr w14:paraId="660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noWrap w:val="0"/>
            <w:vAlign w:val="center"/>
          </w:tcPr>
          <w:p w14:paraId="669A453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1.</w:t>
            </w:r>
          </w:p>
        </w:tc>
        <w:tc>
          <w:tcPr>
            <w:tcW w:w="2879" w:type="dxa"/>
            <w:gridSpan w:val="2"/>
            <w:noWrap w:val="0"/>
            <w:vAlign w:val="center"/>
          </w:tcPr>
          <w:p w14:paraId="012E3E1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p>
        </w:tc>
        <w:tc>
          <w:tcPr>
            <w:tcW w:w="1721" w:type="dxa"/>
            <w:noWrap w:val="0"/>
            <w:vAlign w:val="center"/>
          </w:tcPr>
          <w:p w14:paraId="223E2BB0">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0C5E99A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5467AE54">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2399" w:type="dxa"/>
            <w:noWrap w:val="0"/>
            <w:vAlign w:val="center"/>
          </w:tcPr>
          <w:p w14:paraId="597D495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632" w:type="dxa"/>
            <w:noWrap w:val="0"/>
            <w:vAlign w:val="center"/>
          </w:tcPr>
          <w:p w14:paraId="21A5EAC8">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60" w:type="dxa"/>
            <w:noWrap w:val="0"/>
            <w:vAlign w:val="center"/>
          </w:tcPr>
          <w:p w14:paraId="661DAA2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893" w:type="dxa"/>
            <w:noWrap w:val="0"/>
            <w:vAlign w:val="center"/>
          </w:tcPr>
          <w:p w14:paraId="6522D73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r w14:paraId="101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noWrap w:val="0"/>
            <w:vAlign w:val="center"/>
          </w:tcPr>
          <w:p w14:paraId="356F64BB">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2.</w:t>
            </w:r>
          </w:p>
        </w:tc>
        <w:tc>
          <w:tcPr>
            <w:tcW w:w="2879" w:type="dxa"/>
            <w:gridSpan w:val="2"/>
            <w:noWrap w:val="0"/>
            <w:vAlign w:val="center"/>
          </w:tcPr>
          <w:p w14:paraId="3EF6916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p>
        </w:tc>
        <w:tc>
          <w:tcPr>
            <w:tcW w:w="1721" w:type="dxa"/>
            <w:noWrap w:val="0"/>
            <w:vAlign w:val="center"/>
          </w:tcPr>
          <w:p w14:paraId="4AD1276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5F06B79D">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669F4A3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2399" w:type="dxa"/>
            <w:noWrap w:val="0"/>
            <w:vAlign w:val="center"/>
          </w:tcPr>
          <w:p w14:paraId="2589A23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632" w:type="dxa"/>
            <w:noWrap w:val="0"/>
            <w:vAlign w:val="center"/>
          </w:tcPr>
          <w:p w14:paraId="7B897F83">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60" w:type="dxa"/>
            <w:noWrap w:val="0"/>
            <w:vAlign w:val="center"/>
          </w:tcPr>
          <w:p w14:paraId="56E3EE3E">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893" w:type="dxa"/>
            <w:noWrap w:val="0"/>
            <w:vAlign w:val="center"/>
          </w:tcPr>
          <w:p w14:paraId="6C72F6D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r w14:paraId="4EDB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noWrap w:val="0"/>
            <w:vAlign w:val="center"/>
          </w:tcPr>
          <w:p w14:paraId="2A4F120C">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3.</w:t>
            </w:r>
          </w:p>
        </w:tc>
        <w:tc>
          <w:tcPr>
            <w:tcW w:w="2879" w:type="dxa"/>
            <w:gridSpan w:val="2"/>
            <w:noWrap w:val="0"/>
            <w:vAlign w:val="center"/>
          </w:tcPr>
          <w:p w14:paraId="43B5A37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rPr>
            </w:pPr>
          </w:p>
        </w:tc>
        <w:tc>
          <w:tcPr>
            <w:tcW w:w="1721" w:type="dxa"/>
            <w:noWrap w:val="0"/>
            <w:vAlign w:val="center"/>
          </w:tcPr>
          <w:p w14:paraId="3D6BDB36">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7F7845AA">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77" w:type="dxa"/>
            <w:noWrap w:val="0"/>
            <w:vAlign w:val="center"/>
          </w:tcPr>
          <w:p w14:paraId="2826D1C9">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2399" w:type="dxa"/>
            <w:noWrap w:val="0"/>
            <w:vAlign w:val="center"/>
          </w:tcPr>
          <w:p w14:paraId="43A6957F">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632" w:type="dxa"/>
            <w:noWrap w:val="0"/>
            <w:vAlign w:val="center"/>
          </w:tcPr>
          <w:p w14:paraId="28B556E1">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1260" w:type="dxa"/>
            <w:noWrap w:val="0"/>
            <w:vAlign w:val="center"/>
          </w:tcPr>
          <w:p w14:paraId="38504313">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c>
          <w:tcPr>
            <w:tcW w:w="893" w:type="dxa"/>
            <w:noWrap w:val="0"/>
            <w:vAlign w:val="center"/>
          </w:tcPr>
          <w:p w14:paraId="5123FC52">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r w14:paraId="709E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334" w:type="dxa"/>
            <w:gridSpan w:val="2"/>
            <w:noWrap w:val="0"/>
            <w:vAlign w:val="center"/>
          </w:tcPr>
          <w:p w14:paraId="23C5734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219" w:firstLineChars="0"/>
              <w:jc w:val="left"/>
              <w:textAlignment w:val="auto"/>
              <w:rPr>
                <w:rFonts w:hint="eastAsia" w:ascii="仿宋" w:hAnsi="仿宋" w:eastAsia="仿宋" w:cs="仿宋"/>
                <w:color w:val="auto"/>
                <w:sz w:val="24"/>
              </w:rPr>
            </w:pPr>
          </w:p>
        </w:tc>
        <w:tc>
          <w:tcPr>
            <w:tcW w:w="10679" w:type="dxa"/>
            <w:gridSpan w:val="6"/>
            <w:noWrap w:val="0"/>
            <w:vAlign w:val="center"/>
          </w:tcPr>
          <w:p w14:paraId="3BB77867">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firstLine="219"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总价：</w:t>
            </w:r>
          </w:p>
        </w:tc>
        <w:tc>
          <w:tcPr>
            <w:tcW w:w="2153" w:type="dxa"/>
            <w:gridSpan w:val="2"/>
            <w:noWrap w:val="0"/>
            <w:vAlign w:val="center"/>
          </w:tcPr>
          <w:p w14:paraId="49B45145">
            <w:pPr>
              <w:pStyle w:val="15"/>
              <w:keepNext w:val="0"/>
              <w:keepLines w:val="0"/>
              <w:pageBreakBefore w:val="0"/>
              <w:widowControl w:val="0"/>
              <w:kinsoku/>
              <w:wordWrap/>
              <w:overflowPunct/>
              <w:topLinePunct w:val="0"/>
              <w:autoSpaceDE/>
              <w:autoSpaceDN/>
              <w:bidi w:val="0"/>
              <w:adjustRightInd w:val="0"/>
              <w:snapToGrid w:val="0"/>
              <w:spacing w:line="240" w:lineRule="auto"/>
              <w:ind w:left="0" w:leftChars="0" w:hanging="540"/>
              <w:jc w:val="center"/>
              <w:textAlignment w:val="auto"/>
              <w:rPr>
                <w:rFonts w:hint="eastAsia" w:ascii="仿宋" w:hAnsi="仿宋" w:eastAsia="仿宋" w:cs="仿宋"/>
                <w:color w:val="auto"/>
                <w:sz w:val="24"/>
              </w:rPr>
            </w:pPr>
          </w:p>
        </w:tc>
      </w:tr>
    </w:tbl>
    <w:p w14:paraId="65653265">
      <w:pPr>
        <w:pStyle w:val="15"/>
        <w:pageBreakBefore w:val="0"/>
        <w:kinsoku/>
        <w:wordWrap/>
        <w:overflowPunct/>
        <w:topLinePunct w:val="0"/>
        <w:autoSpaceDE/>
        <w:autoSpaceDN/>
        <w:bidi w:val="0"/>
        <w:adjustRightInd/>
        <w:snapToGrid/>
        <w:spacing w:line="240" w:lineRule="auto"/>
        <w:ind w:left="420" w:leftChars="200" w:firstLine="420" w:firstLineChars="0"/>
        <w:textAlignment w:val="auto"/>
        <w:rPr>
          <w:rFonts w:hint="eastAsia" w:ascii="仿宋" w:hAnsi="仿宋" w:eastAsia="仿宋" w:cs="仿宋"/>
          <w:color w:val="auto"/>
          <w:sz w:val="24"/>
        </w:rPr>
      </w:pPr>
    </w:p>
    <w:p w14:paraId="22AB321F">
      <w:pPr>
        <w:pStyle w:val="12"/>
        <w:tabs>
          <w:tab w:val="left" w:pos="1920"/>
          <w:tab w:val="left" w:pos="3840"/>
        </w:tabs>
        <w:ind w:left="360"/>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none"/>
          <w:lang w:val="en-US" w:eastAsia="zh-CN"/>
        </w:rPr>
        <w:t xml:space="preserve">                             </w:t>
      </w:r>
    </w:p>
    <w:p w14:paraId="61E3426E">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248AF36F">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61CEDD8D">
      <w:pPr>
        <w:pStyle w:val="15"/>
        <w:keepNext w:val="0"/>
        <w:keepLines w:val="0"/>
        <w:pageBreakBefore w:val="0"/>
        <w:kinsoku/>
        <w:wordWrap/>
        <w:overflowPunct/>
        <w:topLinePunct w:val="0"/>
        <w:autoSpaceDE/>
        <w:autoSpaceDN/>
        <w:bidi w:val="0"/>
        <w:adjustRightInd w:val="0"/>
        <w:snapToGrid w:val="0"/>
        <w:spacing w:line="240" w:lineRule="auto"/>
        <w:ind w:left="0" w:leftChars="0" w:firstLine="24" w:firstLineChars="10"/>
        <w:textAlignment w:val="auto"/>
        <w:rPr>
          <w:rFonts w:hint="eastAsia" w:ascii="仿宋" w:hAnsi="仿宋" w:eastAsia="仿宋" w:cs="仿宋"/>
          <w:color w:val="auto"/>
          <w:sz w:val="24"/>
        </w:rPr>
      </w:pPr>
    </w:p>
    <w:p w14:paraId="333D8108">
      <w:pPr>
        <w:pStyle w:val="15"/>
        <w:keepNext w:val="0"/>
        <w:keepLines w:val="0"/>
        <w:pageBreakBefore w:val="0"/>
        <w:kinsoku/>
        <w:wordWrap/>
        <w:overflowPunct/>
        <w:topLinePunct w:val="0"/>
        <w:autoSpaceDE/>
        <w:autoSpaceDN/>
        <w:bidi w:val="0"/>
        <w:adjustRightInd w:val="0"/>
        <w:snapToGrid w:val="0"/>
        <w:spacing w:line="240" w:lineRule="auto"/>
        <w:ind w:left="0" w:leftChars="0" w:firstLine="24" w:firstLineChars="1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190C9D88">
      <w:pPr>
        <w:pStyle w:val="15"/>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如果按单价计算的结果与总价不一致,以单价为准修正总价。</w:t>
      </w:r>
    </w:p>
    <w:p w14:paraId="2C7D34C0">
      <w:pPr>
        <w:pStyle w:val="15"/>
        <w:keepNext w:val="0"/>
        <w:keepLines w:val="0"/>
        <w:pageBreakBefore w:val="0"/>
        <w:kinsoku/>
        <w:wordWrap/>
        <w:overflowPunct/>
        <w:topLinePunct w:val="0"/>
        <w:autoSpaceDE/>
        <w:autoSpaceDN/>
        <w:bidi w:val="0"/>
        <w:adjustRightInd w:val="0"/>
        <w:snapToGrid w:val="0"/>
        <w:spacing w:line="240" w:lineRule="auto"/>
        <w:ind w:left="0" w:leftChars="0" w:firstLine="501" w:firstLineChars="209"/>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如果不提供详细分项报价将视为没有实质性响应招标文件。</w:t>
      </w:r>
    </w:p>
    <w:p w14:paraId="5A5A5B31">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0" w:leftChars="0" w:firstLine="26" w:firstLineChars="10"/>
        <w:jc w:val="left"/>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4、</w:t>
      </w:r>
      <w:r>
        <w:rPr>
          <w:rFonts w:hint="eastAsia" w:ascii="仿宋" w:hAnsi="仿宋" w:eastAsia="仿宋" w:cs="仿宋"/>
          <w:color w:val="auto"/>
          <w:sz w:val="24"/>
        </w:rPr>
        <w:t>如果开标一览表（报价表）内容与投标文件中</w:t>
      </w:r>
      <w:r>
        <w:rPr>
          <w:rFonts w:hint="eastAsia" w:ascii="仿宋" w:hAnsi="仿宋" w:eastAsia="仿宋" w:cs="仿宋"/>
          <w:color w:val="auto"/>
          <w:sz w:val="24"/>
          <w:lang w:val="en-US" w:eastAsia="zh-CN"/>
        </w:rPr>
        <w:t>分项报价</w:t>
      </w:r>
      <w:r>
        <w:rPr>
          <w:rFonts w:hint="eastAsia" w:ascii="仿宋" w:hAnsi="仿宋" w:eastAsia="仿宋" w:cs="仿宋"/>
          <w:color w:val="auto"/>
          <w:sz w:val="24"/>
        </w:rPr>
        <w:t>表内容不一致的，以开标一览表（报价表）内容为准。</w:t>
      </w:r>
    </w:p>
    <w:p w14:paraId="48695E8C">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0" w:leftChars="0" w:firstLine="26" w:firstLineChars="1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5、各单价报价不得超过单价最高限价。</w:t>
      </w:r>
    </w:p>
    <w:p w14:paraId="21491E33">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color w:val="auto"/>
          <w:sz w:val="24"/>
          <w:lang w:val="en-US" w:eastAsia="zh-CN"/>
        </w:rPr>
      </w:pPr>
    </w:p>
    <w:p w14:paraId="474733EE">
      <w:pPr>
        <w:pStyle w:val="30"/>
        <w:keepNext w:val="0"/>
        <w:keepLines w:val="0"/>
        <w:pageBreakBefore w:val="0"/>
        <w:numPr>
          <w:ilvl w:val="0"/>
          <w:numId w:val="0"/>
        </w:numPr>
        <w:kinsoku/>
        <w:wordWrap/>
        <w:overflowPunct/>
        <w:topLinePunct w:val="0"/>
        <w:autoSpaceDE/>
        <w:autoSpaceDN/>
        <w:bidi w:val="0"/>
        <w:adjustRightInd w:val="0"/>
        <w:snapToGrid w:val="0"/>
        <w:spacing w:before="0" w:after="0" w:line="240" w:lineRule="auto"/>
        <w:jc w:val="left"/>
        <w:textAlignment w:val="auto"/>
        <w:rPr>
          <w:rFonts w:hint="eastAsia" w:ascii="仿宋" w:hAnsi="仿宋" w:eastAsia="仿宋" w:cs="仿宋"/>
          <w:color w:val="auto"/>
          <w:sz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4D7B445">
      <w:pPr>
        <w:pStyle w:val="5"/>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3"/>
        <w:rPr>
          <w:rFonts w:hint="eastAsia" w:ascii="仿宋" w:hAnsi="仿宋" w:eastAsia="仿宋" w:cs="仿宋"/>
          <w:color w:val="auto"/>
          <w:sz w:val="24"/>
          <w:lang w:eastAsia="zh-CN"/>
        </w:rPr>
      </w:pPr>
      <w:bookmarkStart w:id="152" w:name="_Toc216582816"/>
      <w:bookmarkStart w:id="153" w:name="_Toc16512"/>
      <w:bookmarkStart w:id="154" w:name="_Toc13864"/>
      <w:bookmarkStart w:id="155" w:name="_Toc507399532"/>
      <w:r>
        <w:rPr>
          <w:rFonts w:hint="eastAsia" w:ascii="仿宋" w:hAnsi="仿宋" w:eastAsia="仿宋" w:cs="仿宋"/>
          <w:color w:val="auto"/>
          <w:sz w:val="24"/>
          <w:lang w:val="en-US" w:eastAsia="zh-CN"/>
        </w:rPr>
        <w:t>附件3-4</w:t>
      </w:r>
      <w:r>
        <w:rPr>
          <w:rFonts w:hint="eastAsia" w:ascii="仿宋" w:hAnsi="仿宋" w:eastAsia="仿宋" w:cs="仿宋"/>
          <w:color w:val="auto"/>
          <w:sz w:val="24"/>
        </w:rPr>
        <w:t xml:space="preserve">   货物说明一</w:t>
      </w:r>
      <w:r>
        <w:rPr>
          <w:rFonts w:hint="eastAsia" w:ascii="仿宋" w:hAnsi="仿宋" w:eastAsia="仿宋" w:cs="仿宋"/>
          <w:color w:val="auto"/>
          <w:sz w:val="24"/>
          <w:lang w:eastAsia="zh-CN"/>
        </w:rPr>
        <w:t>览</w:t>
      </w:r>
      <w:r>
        <w:rPr>
          <w:rFonts w:hint="eastAsia" w:ascii="仿宋" w:hAnsi="仿宋" w:eastAsia="仿宋" w:cs="仿宋"/>
          <w:color w:val="auto"/>
          <w:sz w:val="24"/>
        </w:rPr>
        <w:t>表</w:t>
      </w:r>
      <w:bookmarkEnd w:id="152"/>
      <w:bookmarkEnd w:id="153"/>
      <w:bookmarkEnd w:id="154"/>
      <w:bookmarkEnd w:id="155"/>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0E3E0256">
      <w:pPr>
        <w:pStyle w:val="15"/>
        <w:pageBreakBefore w:val="0"/>
        <w:widowControl w:val="0"/>
        <w:kinsoku/>
        <w:wordWrap/>
        <w:overflowPunct/>
        <w:topLinePunct w:val="0"/>
        <w:autoSpaceDE/>
        <w:autoSpaceDN/>
        <w:bidi w:val="0"/>
        <w:adjustRightInd/>
        <w:snapToGrid/>
        <w:spacing w:line="440" w:lineRule="exact"/>
        <w:ind w:left="0" w:leftChars="0" w:hanging="54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货物说明一览表</w:t>
      </w:r>
    </w:p>
    <w:p w14:paraId="61E56008">
      <w:pPr>
        <w:pStyle w:val="15"/>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项目</w:t>
      </w:r>
      <w:r>
        <w:rPr>
          <w:rFonts w:hint="eastAsia" w:ascii="仿宋" w:hAnsi="仿宋" w:eastAsia="仿宋" w:cs="仿宋"/>
          <w:color w:val="auto"/>
          <w:sz w:val="24"/>
        </w:rPr>
        <w:t xml:space="preserve">名称:                             招标编号:           包号:                      </w:t>
      </w:r>
    </w:p>
    <w:tbl>
      <w:tblPr>
        <w:tblStyle w:val="22"/>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46"/>
        <w:gridCol w:w="2943"/>
        <w:gridCol w:w="2954"/>
        <w:gridCol w:w="1800"/>
        <w:gridCol w:w="1673"/>
        <w:gridCol w:w="1043"/>
      </w:tblGrid>
      <w:tr w14:paraId="0883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center"/>
          </w:tcPr>
          <w:p w14:paraId="24D99D76">
            <w:pPr>
              <w:pStyle w:val="15"/>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46" w:type="dxa"/>
            <w:noWrap w:val="0"/>
            <w:vAlign w:val="center"/>
          </w:tcPr>
          <w:p w14:paraId="71A0DE65">
            <w:pPr>
              <w:pStyle w:val="15"/>
              <w:spacing w:line="44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设备</w:t>
            </w:r>
            <w:r>
              <w:rPr>
                <w:rFonts w:hint="eastAsia" w:ascii="仿宋" w:hAnsi="仿宋" w:eastAsia="仿宋" w:cs="仿宋"/>
                <w:color w:val="auto"/>
                <w:sz w:val="24"/>
              </w:rPr>
              <w:t>名称</w:t>
            </w:r>
          </w:p>
        </w:tc>
        <w:tc>
          <w:tcPr>
            <w:tcW w:w="2943" w:type="dxa"/>
            <w:noWrap w:val="0"/>
            <w:vAlign w:val="center"/>
          </w:tcPr>
          <w:p w14:paraId="3B5FFC2B">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主要规格</w:t>
            </w:r>
            <w:r>
              <w:rPr>
                <w:rFonts w:hint="eastAsia" w:ascii="仿宋" w:hAnsi="仿宋" w:eastAsia="仿宋" w:cs="仿宋"/>
                <w:color w:val="auto"/>
                <w:sz w:val="24"/>
                <w:lang w:val="en-US" w:eastAsia="zh-CN"/>
              </w:rPr>
              <w:t>及主要技术参数</w:t>
            </w:r>
          </w:p>
        </w:tc>
        <w:tc>
          <w:tcPr>
            <w:tcW w:w="2954" w:type="dxa"/>
            <w:noWrap w:val="0"/>
            <w:vAlign w:val="center"/>
          </w:tcPr>
          <w:p w14:paraId="0F77A78F">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性能说明</w:t>
            </w:r>
          </w:p>
        </w:tc>
        <w:tc>
          <w:tcPr>
            <w:tcW w:w="1800" w:type="dxa"/>
            <w:noWrap w:val="0"/>
            <w:vAlign w:val="center"/>
          </w:tcPr>
          <w:p w14:paraId="20DB0AC9">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供货厂（商）</w:t>
            </w:r>
          </w:p>
        </w:tc>
        <w:tc>
          <w:tcPr>
            <w:tcW w:w="1673" w:type="dxa"/>
            <w:noWrap w:val="0"/>
            <w:vAlign w:val="center"/>
          </w:tcPr>
          <w:p w14:paraId="7C8FDA33">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交货地点</w:t>
            </w:r>
          </w:p>
        </w:tc>
        <w:tc>
          <w:tcPr>
            <w:tcW w:w="1043" w:type="dxa"/>
            <w:noWrap w:val="0"/>
            <w:vAlign w:val="center"/>
          </w:tcPr>
          <w:p w14:paraId="62077101">
            <w:pPr>
              <w:pStyle w:val="15"/>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其它</w:t>
            </w:r>
          </w:p>
        </w:tc>
      </w:tr>
      <w:tr w14:paraId="1F2C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1E5DDED9">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13804AF2">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347FF73B">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1ECF37C">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4E071F8D">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2C3F0F2D">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338AA9EE">
            <w:pPr>
              <w:pStyle w:val="15"/>
              <w:spacing w:line="440" w:lineRule="exact"/>
              <w:ind w:left="1079" w:leftChars="257" w:hanging="539"/>
              <w:rPr>
                <w:rFonts w:hint="eastAsia" w:ascii="仿宋" w:hAnsi="仿宋" w:eastAsia="仿宋" w:cs="仿宋"/>
                <w:color w:val="auto"/>
                <w:sz w:val="24"/>
              </w:rPr>
            </w:pPr>
          </w:p>
        </w:tc>
      </w:tr>
      <w:tr w14:paraId="71BD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21A18D23">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1C0FD7E0">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5390B485">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9324BAF">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550A052F">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32060F90">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45D4CFA6">
            <w:pPr>
              <w:pStyle w:val="15"/>
              <w:spacing w:line="440" w:lineRule="exact"/>
              <w:ind w:left="1079" w:leftChars="257" w:hanging="539"/>
              <w:rPr>
                <w:rFonts w:hint="eastAsia" w:ascii="仿宋" w:hAnsi="仿宋" w:eastAsia="仿宋" w:cs="仿宋"/>
                <w:color w:val="auto"/>
                <w:sz w:val="24"/>
              </w:rPr>
            </w:pPr>
          </w:p>
        </w:tc>
      </w:tr>
      <w:tr w14:paraId="013C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1C20B21B">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04A56966">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633EED79">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69A8D61C">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6A6B7122">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7737E671">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06D7A959">
            <w:pPr>
              <w:pStyle w:val="15"/>
              <w:spacing w:line="440" w:lineRule="exact"/>
              <w:ind w:left="1079" w:leftChars="257" w:hanging="539"/>
              <w:rPr>
                <w:rFonts w:hint="eastAsia" w:ascii="仿宋" w:hAnsi="仿宋" w:eastAsia="仿宋" w:cs="仿宋"/>
                <w:color w:val="auto"/>
                <w:sz w:val="24"/>
              </w:rPr>
            </w:pPr>
          </w:p>
        </w:tc>
      </w:tr>
      <w:tr w14:paraId="713F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72ADF052">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3EC7276A">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643FD613">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A90684E">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76EE66E4">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58193B19">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2971BD25">
            <w:pPr>
              <w:pStyle w:val="15"/>
              <w:spacing w:line="440" w:lineRule="exact"/>
              <w:ind w:left="1079" w:leftChars="257" w:hanging="539"/>
              <w:rPr>
                <w:rFonts w:hint="eastAsia" w:ascii="仿宋" w:hAnsi="仿宋" w:eastAsia="仿宋" w:cs="仿宋"/>
                <w:color w:val="auto"/>
                <w:sz w:val="24"/>
              </w:rPr>
            </w:pPr>
          </w:p>
        </w:tc>
      </w:tr>
      <w:tr w14:paraId="3B38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2D1F0A61">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3C5E3D4C">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27E3881A">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1959FFC0">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39EEE2BC">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07CC05B7">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08279DE4">
            <w:pPr>
              <w:pStyle w:val="15"/>
              <w:spacing w:line="440" w:lineRule="exact"/>
              <w:ind w:left="1079" w:leftChars="257" w:hanging="539"/>
              <w:rPr>
                <w:rFonts w:hint="eastAsia" w:ascii="仿宋" w:hAnsi="仿宋" w:eastAsia="仿宋" w:cs="仿宋"/>
                <w:color w:val="auto"/>
                <w:sz w:val="24"/>
              </w:rPr>
            </w:pPr>
          </w:p>
        </w:tc>
      </w:tr>
      <w:tr w14:paraId="46F7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714610E5">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5AF8A20E">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41BECEF0">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72F43E33">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62CD45BC">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4420521B">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18B02486">
            <w:pPr>
              <w:pStyle w:val="15"/>
              <w:spacing w:line="440" w:lineRule="exact"/>
              <w:ind w:left="1079" w:leftChars="257" w:hanging="539"/>
              <w:rPr>
                <w:rFonts w:hint="eastAsia" w:ascii="仿宋" w:hAnsi="仿宋" w:eastAsia="仿宋" w:cs="仿宋"/>
                <w:color w:val="auto"/>
                <w:sz w:val="24"/>
              </w:rPr>
            </w:pPr>
          </w:p>
        </w:tc>
      </w:tr>
      <w:tr w14:paraId="37C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14:paraId="73341353">
            <w:pPr>
              <w:pStyle w:val="15"/>
              <w:spacing w:line="440" w:lineRule="exact"/>
              <w:ind w:left="1079" w:leftChars="257" w:hanging="539"/>
              <w:rPr>
                <w:rFonts w:hint="eastAsia" w:ascii="仿宋" w:hAnsi="仿宋" w:eastAsia="仿宋" w:cs="仿宋"/>
                <w:color w:val="auto"/>
                <w:sz w:val="24"/>
              </w:rPr>
            </w:pPr>
          </w:p>
        </w:tc>
        <w:tc>
          <w:tcPr>
            <w:tcW w:w="1846" w:type="dxa"/>
            <w:noWrap w:val="0"/>
            <w:vAlign w:val="top"/>
          </w:tcPr>
          <w:p w14:paraId="06A7A983">
            <w:pPr>
              <w:pStyle w:val="15"/>
              <w:spacing w:line="440" w:lineRule="exact"/>
              <w:ind w:left="1079" w:leftChars="257" w:hanging="539"/>
              <w:rPr>
                <w:rFonts w:hint="eastAsia" w:ascii="仿宋" w:hAnsi="仿宋" w:eastAsia="仿宋" w:cs="仿宋"/>
                <w:color w:val="auto"/>
                <w:sz w:val="24"/>
              </w:rPr>
            </w:pPr>
          </w:p>
        </w:tc>
        <w:tc>
          <w:tcPr>
            <w:tcW w:w="2943" w:type="dxa"/>
            <w:noWrap w:val="0"/>
            <w:vAlign w:val="top"/>
          </w:tcPr>
          <w:p w14:paraId="2C2DD0EE">
            <w:pPr>
              <w:pStyle w:val="15"/>
              <w:spacing w:line="440" w:lineRule="exact"/>
              <w:ind w:left="1079" w:leftChars="257" w:hanging="539"/>
              <w:rPr>
                <w:rFonts w:hint="eastAsia" w:ascii="仿宋" w:hAnsi="仿宋" w:eastAsia="仿宋" w:cs="仿宋"/>
                <w:color w:val="auto"/>
                <w:sz w:val="24"/>
              </w:rPr>
            </w:pPr>
          </w:p>
        </w:tc>
        <w:tc>
          <w:tcPr>
            <w:tcW w:w="2954" w:type="dxa"/>
            <w:noWrap w:val="0"/>
            <w:vAlign w:val="top"/>
          </w:tcPr>
          <w:p w14:paraId="37FF1263">
            <w:pPr>
              <w:pStyle w:val="15"/>
              <w:spacing w:line="440" w:lineRule="exact"/>
              <w:ind w:left="1079" w:leftChars="257" w:hanging="539"/>
              <w:rPr>
                <w:rFonts w:hint="eastAsia" w:ascii="仿宋" w:hAnsi="仿宋" w:eastAsia="仿宋" w:cs="仿宋"/>
                <w:color w:val="auto"/>
                <w:sz w:val="24"/>
              </w:rPr>
            </w:pPr>
          </w:p>
        </w:tc>
        <w:tc>
          <w:tcPr>
            <w:tcW w:w="1800" w:type="dxa"/>
            <w:noWrap w:val="0"/>
            <w:vAlign w:val="top"/>
          </w:tcPr>
          <w:p w14:paraId="4ECCF52C">
            <w:pPr>
              <w:pStyle w:val="15"/>
              <w:spacing w:line="440" w:lineRule="exact"/>
              <w:ind w:left="1079" w:leftChars="257" w:hanging="539"/>
              <w:rPr>
                <w:rFonts w:hint="eastAsia" w:ascii="仿宋" w:hAnsi="仿宋" w:eastAsia="仿宋" w:cs="仿宋"/>
                <w:color w:val="auto"/>
                <w:sz w:val="24"/>
              </w:rPr>
            </w:pPr>
          </w:p>
        </w:tc>
        <w:tc>
          <w:tcPr>
            <w:tcW w:w="1673" w:type="dxa"/>
            <w:noWrap w:val="0"/>
            <w:vAlign w:val="top"/>
          </w:tcPr>
          <w:p w14:paraId="64E80956">
            <w:pPr>
              <w:pStyle w:val="15"/>
              <w:spacing w:line="440" w:lineRule="exact"/>
              <w:ind w:left="1079" w:leftChars="257" w:hanging="539"/>
              <w:rPr>
                <w:rFonts w:hint="eastAsia" w:ascii="仿宋" w:hAnsi="仿宋" w:eastAsia="仿宋" w:cs="仿宋"/>
                <w:color w:val="auto"/>
                <w:sz w:val="24"/>
              </w:rPr>
            </w:pPr>
          </w:p>
        </w:tc>
        <w:tc>
          <w:tcPr>
            <w:tcW w:w="1043" w:type="dxa"/>
            <w:noWrap w:val="0"/>
            <w:vAlign w:val="top"/>
          </w:tcPr>
          <w:p w14:paraId="689D4EE8">
            <w:pPr>
              <w:pStyle w:val="15"/>
              <w:spacing w:line="440" w:lineRule="exact"/>
              <w:ind w:left="1079" w:leftChars="257" w:hanging="539"/>
              <w:rPr>
                <w:rFonts w:hint="eastAsia" w:ascii="仿宋" w:hAnsi="仿宋" w:eastAsia="仿宋" w:cs="仿宋"/>
                <w:color w:val="auto"/>
                <w:sz w:val="24"/>
              </w:rPr>
            </w:pPr>
          </w:p>
        </w:tc>
      </w:tr>
    </w:tbl>
    <w:p w14:paraId="6BE43F79">
      <w:pPr>
        <w:pStyle w:val="12"/>
        <w:tabs>
          <w:tab w:val="left" w:pos="1920"/>
          <w:tab w:val="left" w:pos="3840"/>
        </w:tabs>
        <w:jc w:val="both"/>
        <w:rPr>
          <w:rFonts w:hint="eastAsia" w:ascii="仿宋" w:hAnsi="仿宋" w:eastAsia="仿宋" w:cs="仿宋"/>
          <w:color w:val="auto"/>
          <w:sz w:val="24"/>
          <w:szCs w:val="24"/>
          <w:lang w:val="en-US" w:eastAsia="zh-CN"/>
        </w:rPr>
      </w:pPr>
    </w:p>
    <w:p w14:paraId="3BCCB856">
      <w:pPr>
        <w:pStyle w:val="12"/>
        <w:tabs>
          <w:tab w:val="left" w:pos="1920"/>
          <w:tab w:val="left" w:pos="3840"/>
        </w:tabs>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66E030F8">
      <w:pPr>
        <w:pStyle w:val="12"/>
        <w:tabs>
          <w:tab w:val="left" w:pos="1560"/>
          <w:tab w:val="left" w:pos="2160"/>
          <w:tab w:val="left" w:pos="4320"/>
          <w:tab w:val="left" w:pos="6841"/>
        </w:tabs>
        <w:spacing w:before="161" w:line="362" w:lineRule="auto"/>
        <w:ind w:right="3062"/>
        <w:jc w:val="both"/>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4C2E8AF9">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6F0F6603">
      <w:pPr>
        <w:pStyle w:val="30"/>
        <w:numPr>
          <w:ilvl w:val="0"/>
          <w:numId w:val="0"/>
        </w:numPr>
        <w:spacing w:before="25" w:after="25" w:line="360" w:lineRule="auto"/>
        <w:jc w:val="left"/>
        <w:rPr>
          <w:rFonts w:hint="eastAsia" w:ascii="仿宋" w:hAnsi="仿宋" w:eastAsia="仿宋" w:cs="仿宋"/>
          <w:color w:val="auto"/>
          <w:sz w:val="24"/>
        </w:rPr>
      </w:pPr>
      <w:r>
        <w:rPr>
          <w:rFonts w:hint="eastAsia" w:ascii="仿宋" w:hAnsi="仿宋" w:eastAsia="仿宋" w:cs="仿宋"/>
          <w:color w:val="auto"/>
          <w:sz w:val="24"/>
        </w:rPr>
        <w:t>注: 各项货物详细技术性能应另页描述。</w:t>
      </w:r>
    </w:p>
    <w:p w14:paraId="438D2930">
      <w:pPr>
        <w:pStyle w:val="30"/>
        <w:numPr>
          <w:ilvl w:val="0"/>
          <w:numId w:val="0"/>
        </w:numPr>
        <w:spacing w:before="25" w:after="25" w:line="360" w:lineRule="auto"/>
        <w:jc w:val="left"/>
        <w:rPr>
          <w:rFonts w:hint="eastAsia" w:ascii="仿宋" w:hAnsi="仿宋" w:eastAsia="仿宋" w:cs="仿宋"/>
          <w:color w:val="auto"/>
          <w:sz w:val="24"/>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6BC7DBD">
      <w:pPr>
        <w:pStyle w:val="5"/>
        <w:spacing w:before="0" w:line="360" w:lineRule="auto"/>
        <w:jc w:val="both"/>
        <w:outlineLvl w:val="3"/>
        <w:rPr>
          <w:rFonts w:hint="eastAsia" w:ascii="仿宋" w:hAnsi="仿宋" w:eastAsia="仿宋" w:cs="仿宋"/>
          <w:color w:val="auto"/>
          <w:sz w:val="24"/>
        </w:rPr>
      </w:pPr>
      <w:bookmarkStart w:id="156" w:name="_Toc29754"/>
      <w:bookmarkStart w:id="157" w:name="_Toc507399533"/>
      <w:bookmarkStart w:id="158" w:name="_Toc32182"/>
      <w:bookmarkStart w:id="159" w:name="_Toc216582817"/>
      <w:r>
        <w:rPr>
          <w:rFonts w:hint="eastAsia" w:ascii="仿宋" w:hAnsi="仿宋" w:eastAsia="仿宋" w:cs="仿宋"/>
          <w:color w:val="auto"/>
          <w:sz w:val="24"/>
          <w:lang w:val="en-US" w:eastAsia="zh-CN"/>
        </w:rPr>
        <w:t>附件3-5</w:t>
      </w:r>
      <w:r>
        <w:rPr>
          <w:rFonts w:hint="eastAsia" w:ascii="仿宋" w:hAnsi="仿宋" w:eastAsia="仿宋" w:cs="仿宋"/>
          <w:color w:val="auto"/>
          <w:sz w:val="24"/>
        </w:rPr>
        <w:t xml:space="preserve">   技术规格偏离表</w:t>
      </w:r>
      <w:bookmarkEnd w:id="156"/>
      <w:bookmarkEnd w:id="157"/>
      <w:bookmarkEnd w:id="158"/>
      <w:bookmarkEnd w:id="159"/>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p w14:paraId="6015F36D">
      <w:pPr>
        <w:pStyle w:val="15"/>
        <w:spacing w:line="360" w:lineRule="auto"/>
        <w:ind w:left="1080" w:leftChars="257" w:hanging="540"/>
        <w:jc w:val="center"/>
        <w:rPr>
          <w:rFonts w:hint="eastAsia" w:ascii="仿宋" w:hAnsi="仿宋" w:eastAsia="仿宋" w:cs="仿宋"/>
          <w:color w:val="auto"/>
          <w:sz w:val="24"/>
        </w:rPr>
      </w:pPr>
      <w:r>
        <w:rPr>
          <w:rFonts w:hint="eastAsia" w:ascii="仿宋" w:hAnsi="仿宋" w:eastAsia="仿宋" w:cs="仿宋"/>
          <w:b/>
          <w:bCs/>
          <w:color w:val="auto"/>
          <w:sz w:val="24"/>
        </w:rPr>
        <w:t>技术规格偏离表</w:t>
      </w:r>
    </w:p>
    <w:p w14:paraId="588ECDFF">
      <w:pPr>
        <w:pStyle w:val="15"/>
        <w:spacing w:line="360" w:lineRule="auto"/>
        <w:rPr>
          <w:rFonts w:hint="eastAsia" w:ascii="仿宋" w:hAnsi="仿宋" w:eastAsia="仿宋" w:cs="仿宋"/>
          <w:color w:val="auto"/>
          <w:sz w:val="24"/>
        </w:rPr>
      </w:pPr>
      <w:r>
        <w:rPr>
          <w:rFonts w:hint="eastAsia" w:ascii="仿宋" w:hAnsi="仿宋" w:eastAsia="仿宋" w:cs="仿宋"/>
          <w:color w:val="auto"/>
          <w:sz w:val="24"/>
        </w:rPr>
        <w:t>项目名称:                       招标编号:                 包号:</w:t>
      </w:r>
    </w:p>
    <w:tbl>
      <w:tblPr>
        <w:tblStyle w:val="22"/>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076C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noWrap w:val="0"/>
            <w:vAlign w:val="center"/>
          </w:tcPr>
          <w:p w14:paraId="50ADA750">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07" w:type="dxa"/>
            <w:noWrap w:val="0"/>
            <w:vAlign w:val="center"/>
          </w:tcPr>
          <w:p w14:paraId="1844D835">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货物名称</w:t>
            </w:r>
          </w:p>
        </w:tc>
        <w:tc>
          <w:tcPr>
            <w:tcW w:w="2044" w:type="dxa"/>
            <w:noWrap w:val="0"/>
            <w:vAlign w:val="center"/>
          </w:tcPr>
          <w:p w14:paraId="536F4675">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招标文件条款号</w:t>
            </w:r>
            <w:r>
              <w:rPr>
                <w:rFonts w:hint="eastAsia" w:ascii="仿宋" w:hAnsi="仿宋" w:eastAsia="仿宋" w:cs="仿宋"/>
                <w:color w:val="auto"/>
                <w:sz w:val="21"/>
                <w:szCs w:val="21"/>
                <w:lang w:eastAsia="zh-CN"/>
              </w:rPr>
              <w:t>及</w:t>
            </w:r>
            <w:r>
              <w:rPr>
                <w:rFonts w:hint="eastAsia" w:ascii="仿宋" w:hAnsi="仿宋" w:eastAsia="仿宋" w:cs="仿宋"/>
                <w:color w:val="auto"/>
                <w:sz w:val="21"/>
                <w:szCs w:val="21"/>
              </w:rPr>
              <w:t>招标规格</w:t>
            </w:r>
          </w:p>
        </w:tc>
        <w:tc>
          <w:tcPr>
            <w:tcW w:w="1791" w:type="dxa"/>
            <w:noWrap w:val="0"/>
            <w:vAlign w:val="center"/>
          </w:tcPr>
          <w:p w14:paraId="56AC71DB">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投标规格</w:t>
            </w:r>
          </w:p>
        </w:tc>
        <w:tc>
          <w:tcPr>
            <w:tcW w:w="2010" w:type="dxa"/>
            <w:noWrap w:val="0"/>
            <w:vAlign w:val="center"/>
          </w:tcPr>
          <w:p w14:paraId="5296D03F">
            <w:pPr>
              <w:pStyle w:val="15"/>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偏离说明</w:t>
            </w:r>
          </w:p>
        </w:tc>
      </w:tr>
      <w:tr w14:paraId="701D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C67D1AF">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6244EDFA">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4564649B">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D816DC6">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7E6B5BDA">
            <w:pPr>
              <w:pStyle w:val="15"/>
              <w:spacing w:line="240" w:lineRule="auto"/>
              <w:ind w:left="1080" w:leftChars="257" w:hanging="540"/>
              <w:rPr>
                <w:rFonts w:hint="eastAsia" w:ascii="仿宋" w:hAnsi="仿宋" w:eastAsia="仿宋" w:cs="仿宋"/>
                <w:color w:val="auto"/>
                <w:sz w:val="21"/>
                <w:szCs w:val="21"/>
              </w:rPr>
            </w:pPr>
          </w:p>
        </w:tc>
      </w:tr>
      <w:tr w14:paraId="73EF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C1702DC">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485D8EA0">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7E90479E">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5F49410F">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6355B06F">
            <w:pPr>
              <w:pStyle w:val="15"/>
              <w:spacing w:line="240" w:lineRule="auto"/>
              <w:ind w:left="1080" w:leftChars="257" w:hanging="540"/>
              <w:rPr>
                <w:rFonts w:hint="eastAsia" w:ascii="仿宋" w:hAnsi="仿宋" w:eastAsia="仿宋" w:cs="仿宋"/>
                <w:color w:val="auto"/>
                <w:sz w:val="21"/>
                <w:szCs w:val="21"/>
              </w:rPr>
            </w:pPr>
          </w:p>
        </w:tc>
      </w:tr>
      <w:tr w14:paraId="0AD9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14FA7B4">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793F8438">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36E44D6D">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10A8B91B">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5BE73342">
            <w:pPr>
              <w:pStyle w:val="15"/>
              <w:spacing w:line="240" w:lineRule="auto"/>
              <w:ind w:left="1080" w:leftChars="257" w:hanging="540"/>
              <w:rPr>
                <w:rFonts w:hint="eastAsia" w:ascii="仿宋" w:hAnsi="仿宋" w:eastAsia="仿宋" w:cs="仿宋"/>
                <w:color w:val="auto"/>
                <w:sz w:val="21"/>
                <w:szCs w:val="21"/>
              </w:rPr>
            </w:pPr>
          </w:p>
        </w:tc>
      </w:tr>
      <w:tr w14:paraId="2EC9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532C5268">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27AABB2F">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3568D0C9">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D191219">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2C2AC3A5">
            <w:pPr>
              <w:pStyle w:val="15"/>
              <w:spacing w:line="240" w:lineRule="auto"/>
              <w:ind w:left="1080" w:leftChars="257" w:hanging="540"/>
              <w:rPr>
                <w:rFonts w:hint="eastAsia" w:ascii="仿宋" w:hAnsi="仿宋" w:eastAsia="仿宋" w:cs="仿宋"/>
                <w:color w:val="auto"/>
                <w:sz w:val="21"/>
                <w:szCs w:val="21"/>
              </w:rPr>
            </w:pPr>
          </w:p>
        </w:tc>
      </w:tr>
      <w:tr w14:paraId="4980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D8B2DEC">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7FC6CBF1">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3396D88E">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624E4AC">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0C3CFB2E">
            <w:pPr>
              <w:pStyle w:val="15"/>
              <w:spacing w:line="240" w:lineRule="auto"/>
              <w:ind w:left="1080" w:leftChars="257" w:hanging="540"/>
              <w:rPr>
                <w:rFonts w:hint="eastAsia" w:ascii="仿宋" w:hAnsi="仿宋" w:eastAsia="仿宋" w:cs="仿宋"/>
                <w:color w:val="auto"/>
                <w:sz w:val="21"/>
                <w:szCs w:val="21"/>
              </w:rPr>
            </w:pPr>
          </w:p>
        </w:tc>
      </w:tr>
      <w:tr w14:paraId="3D8E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3AB96D54">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6F20798F">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14AEEF78">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7C1DC16">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727E1E88">
            <w:pPr>
              <w:pStyle w:val="15"/>
              <w:spacing w:line="240" w:lineRule="auto"/>
              <w:ind w:left="1080" w:leftChars="257" w:hanging="540"/>
              <w:rPr>
                <w:rFonts w:hint="eastAsia" w:ascii="仿宋" w:hAnsi="仿宋" w:eastAsia="仿宋" w:cs="仿宋"/>
                <w:color w:val="auto"/>
                <w:sz w:val="21"/>
                <w:szCs w:val="21"/>
              </w:rPr>
            </w:pPr>
          </w:p>
        </w:tc>
      </w:tr>
      <w:tr w14:paraId="3294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noWrap w:val="0"/>
            <w:vAlign w:val="top"/>
          </w:tcPr>
          <w:p w14:paraId="43983083">
            <w:pPr>
              <w:pStyle w:val="15"/>
              <w:spacing w:line="240" w:lineRule="auto"/>
              <w:ind w:left="1080" w:leftChars="257" w:hanging="540"/>
              <w:rPr>
                <w:rFonts w:hint="eastAsia" w:ascii="仿宋" w:hAnsi="仿宋" w:eastAsia="仿宋" w:cs="仿宋"/>
                <w:color w:val="auto"/>
                <w:sz w:val="21"/>
                <w:szCs w:val="21"/>
              </w:rPr>
            </w:pPr>
          </w:p>
        </w:tc>
        <w:tc>
          <w:tcPr>
            <w:tcW w:w="1407" w:type="dxa"/>
            <w:noWrap w:val="0"/>
            <w:vAlign w:val="top"/>
          </w:tcPr>
          <w:p w14:paraId="7318109D">
            <w:pPr>
              <w:pStyle w:val="15"/>
              <w:spacing w:line="240" w:lineRule="auto"/>
              <w:ind w:left="1080" w:leftChars="257" w:hanging="540"/>
              <w:rPr>
                <w:rFonts w:hint="eastAsia" w:ascii="仿宋" w:hAnsi="仿宋" w:eastAsia="仿宋" w:cs="仿宋"/>
                <w:color w:val="auto"/>
                <w:sz w:val="21"/>
                <w:szCs w:val="21"/>
              </w:rPr>
            </w:pPr>
          </w:p>
        </w:tc>
        <w:tc>
          <w:tcPr>
            <w:tcW w:w="2044" w:type="dxa"/>
            <w:noWrap w:val="0"/>
            <w:vAlign w:val="top"/>
          </w:tcPr>
          <w:p w14:paraId="0221FFF9">
            <w:pPr>
              <w:pStyle w:val="15"/>
              <w:spacing w:line="240" w:lineRule="auto"/>
              <w:ind w:left="1080" w:leftChars="257" w:hanging="540"/>
              <w:rPr>
                <w:rFonts w:hint="eastAsia" w:ascii="仿宋" w:hAnsi="仿宋" w:eastAsia="仿宋" w:cs="仿宋"/>
                <w:color w:val="auto"/>
                <w:sz w:val="21"/>
                <w:szCs w:val="21"/>
              </w:rPr>
            </w:pPr>
          </w:p>
        </w:tc>
        <w:tc>
          <w:tcPr>
            <w:tcW w:w="1791" w:type="dxa"/>
            <w:noWrap w:val="0"/>
            <w:vAlign w:val="top"/>
          </w:tcPr>
          <w:p w14:paraId="2F9E976B">
            <w:pPr>
              <w:pStyle w:val="15"/>
              <w:spacing w:line="240" w:lineRule="auto"/>
              <w:ind w:left="1080" w:leftChars="257" w:hanging="540"/>
              <w:rPr>
                <w:rFonts w:hint="eastAsia" w:ascii="仿宋" w:hAnsi="仿宋" w:eastAsia="仿宋" w:cs="仿宋"/>
                <w:color w:val="auto"/>
                <w:sz w:val="21"/>
                <w:szCs w:val="21"/>
              </w:rPr>
            </w:pPr>
          </w:p>
        </w:tc>
        <w:tc>
          <w:tcPr>
            <w:tcW w:w="2010" w:type="dxa"/>
            <w:noWrap w:val="0"/>
            <w:vAlign w:val="top"/>
          </w:tcPr>
          <w:p w14:paraId="04E52EA3">
            <w:pPr>
              <w:pStyle w:val="15"/>
              <w:spacing w:line="240" w:lineRule="auto"/>
              <w:ind w:left="1080" w:leftChars="257" w:hanging="540"/>
              <w:rPr>
                <w:rFonts w:hint="eastAsia" w:ascii="仿宋" w:hAnsi="仿宋" w:eastAsia="仿宋" w:cs="仿宋"/>
                <w:color w:val="auto"/>
                <w:sz w:val="21"/>
                <w:szCs w:val="21"/>
              </w:rPr>
            </w:pPr>
          </w:p>
        </w:tc>
      </w:tr>
    </w:tbl>
    <w:p w14:paraId="2EE74EE3">
      <w:pPr>
        <w:pStyle w:val="15"/>
        <w:spacing w:line="240" w:lineRule="atLeast"/>
        <w:ind w:left="1080" w:leftChars="257" w:hanging="540"/>
        <w:rPr>
          <w:rFonts w:hint="eastAsia" w:ascii="仿宋" w:hAnsi="仿宋" w:eastAsia="仿宋" w:cs="仿宋"/>
          <w:color w:val="auto"/>
          <w:sz w:val="24"/>
        </w:rPr>
      </w:pPr>
    </w:p>
    <w:p w14:paraId="2E8EB1C2">
      <w:pPr>
        <w:pStyle w:val="15"/>
        <w:spacing w:line="240" w:lineRule="atLeast"/>
        <w:ind w:left="1080" w:leftChars="257" w:hanging="540"/>
        <w:rPr>
          <w:rFonts w:hint="eastAsia" w:ascii="仿宋" w:hAnsi="仿宋" w:eastAsia="仿宋" w:cs="仿宋"/>
          <w:color w:val="auto"/>
          <w:sz w:val="24"/>
        </w:rPr>
      </w:pPr>
    </w:p>
    <w:p w14:paraId="5F5ED89F">
      <w:pPr>
        <w:pStyle w:val="12"/>
        <w:tabs>
          <w:tab w:val="left" w:pos="1920"/>
          <w:tab w:val="left" w:pos="3840"/>
        </w:tabs>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09AEDB45">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法定代表人或其授权代理人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w:t>
      </w:r>
      <w:r>
        <w:rPr>
          <w:rFonts w:hint="eastAsia" w:ascii="仿宋" w:hAnsi="仿宋" w:eastAsia="仿宋" w:cs="仿宋"/>
          <w:color w:val="auto"/>
          <w:sz w:val="24"/>
          <w:szCs w:val="24"/>
          <w:u w:val="none"/>
        </w:rPr>
        <w:t>签章）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p>
    <w:p w14:paraId="423895B2">
      <w:pPr>
        <w:pStyle w:val="12"/>
        <w:tabs>
          <w:tab w:val="left" w:pos="1560"/>
          <w:tab w:val="left" w:pos="2160"/>
          <w:tab w:val="left" w:pos="4320"/>
          <w:tab w:val="left" w:pos="6841"/>
        </w:tabs>
        <w:spacing w:before="161" w:line="362" w:lineRule="auto"/>
        <w:ind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1802D27D">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w:t>
      </w:r>
    </w:p>
    <w:p w14:paraId="4876CF41">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有偏离的技术条款须在该表中逐一列明，并在“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文件的技术条款”栏填写具体应答内容，在“偏离说明”中说明偏离具体情形。若无偏离请在“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文件的技术条款”中填写“无偏离”。</w:t>
      </w:r>
    </w:p>
    <w:p w14:paraId="7507EE04">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未声明部分将被视为已接受</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文件要求，签约时未经采购人同意不得改变。</w:t>
      </w:r>
    </w:p>
    <w:p w14:paraId="5AD2E487">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3.投标人</w:t>
      </w:r>
      <w:r>
        <w:rPr>
          <w:rFonts w:hint="eastAsia" w:ascii="仿宋" w:hAnsi="仿宋" w:eastAsia="仿宋" w:cs="仿宋"/>
          <w:color w:val="auto"/>
          <w:sz w:val="21"/>
          <w:szCs w:val="21"/>
        </w:rPr>
        <w:t>可根据其投标内容进一步细化上述表格，并可增添其它表格或说明以便进一步明确投标内容。</w:t>
      </w:r>
    </w:p>
    <w:p w14:paraId="27B3EDE4">
      <w:pPr>
        <w:pStyle w:val="30"/>
        <w:numPr>
          <w:ilvl w:val="0"/>
          <w:numId w:val="0"/>
        </w:numPr>
        <w:spacing w:before="25" w:after="25" w:line="360" w:lineRule="auto"/>
        <w:jc w:val="left"/>
        <w:rPr>
          <w:rFonts w:hint="eastAsia" w:ascii="仿宋" w:hAnsi="仿宋" w:eastAsia="仿宋" w:cs="仿宋"/>
          <w:color w:val="auto"/>
          <w:sz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EB9161">
      <w:pPr>
        <w:pStyle w:val="5"/>
        <w:spacing w:before="0" w:line="240" w:lineRule="atLeast"/>
        <w:jc w:val="both"/>
        <w:outlineLvl w:val="3"/>
        <w:rPr>
          <w:rFonts w:hint="eastAsia" w:ascii="仿宋" w:hAnsi="仿宋" w:eastAsia="仿宋" w:cs="仿宋"/>
          <w:color w:val="auto"/>
          <w:sz w:val="24"/>
          <w:lang w:eastAsia="zh-CN"/>
        </w:rPr>
      </w:pPr>
      <w:bookmarkStart w:id="160" w:name="_Toc507399534"/>
      <w:bookmarkStart w:id="161" w:name="_Toc25702"/>
      <w:bookmarkStart w:id="162" w:name="_Toc23907"/>
      <w:bookmarkStart w:id="163" w:name="_Toc216582818"/>
      <w:r>
        <w:rPr>
          <w:rFonts w:hint="eastAsia" w:ascii="仿宋" w:hAnsi="仿宋" w:eastAsia="仿宋" w:cs="仿宋"/>
          <w:color w:val="auto"/>
          <w:sz w:val="24"/>
          <w:lang w:val="en-US" w:eastAsia="zh-CN"/>
        </w:rPr>
        <w:t>附件3-6</w:t>
      </w:r>
      <w:r>
        <w:rPr>
          <w:rFonts w:hint="eastAsia" w:ascii="仿宋" w:hAnsi="仿宋" w:eastAsia="仿宋" w:cs="仿宋"/>
          <w:color w:val="auto"/>
          <w:sz w:val="24"/>
        </w:rPr>
        <w:t xml:space="preserve">   商务条款偏离表</w:t>
      </w:r>
      <w:bookmarkEnd w:id="160"/>
      <w:bookmarkEnd w:id="161"/>
      <w:bookmarkEnd w:id="162"/>
      <w:bookmarkEnd w:id="163"/>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35D143CF">
      <w:pPr>
        <w:pStyle w:val="15"/>
        <w:spacing w:line="240" w:lineRule="atLeast"/>
        <w:ind w:left="1080" w:leftChars="257" w:hanging="540"/>
        <w:jc w:val="center"/>
        <w:rPr>
          <w:rFonts w:hint="eastAsia" w:ascii="仿宋" w:hAnsi="仿宋" w:eastAsia="仿宋" w:cs="仿宋"/>
          <w:b/>
          <w:bCs/>
          <w:color w:val="auto"/>
          <w:sz w:val="24"/>
        </w:rPr>
      </w:pPr>
      <w:r>
        <w:rPr>
          <w:rFonts w:hint="eastAsia" w:ascii="仿宋" w:hAnsi="仿宋" w:eastAsia="仿宋" w:cs="仿宋"/>
          <w:b/>
          <w:bCs/>
          <w:color w:val="auto"/>
          <w:sz w:val="24"/>
        </w:rPr>
        <w:t>商务条款偏离表</w:t>
      </w:r>
    </w:p>
    <w:p w14:paraId="4BAB2A2B">
      <w:pPr>
        <w:pStyle w:val="15"/>
        <w:spacing w:line="240" w:lineRule="atLeast"/>
        <w:ind w:left="1080" w:leftChars="257" w:hanging="540"/>
        <w:rPr>
          <w:rFonts w:hint="eastAsia" w:ascii="仿宋" w:hAnsi="仿宋" w:eastAsia="仿宋" w:cs="仿宋"/>
          <w:color w:val="auto"/>
          <w:sz w:val="24"/>
        </w:rPr>
      </w:pPr>
    </w:p>
    <w:p w14:paraId="1212E7B8">
      <w:pPr>
        <w:pStyle w:val="15"/>
        <w:spacing w:line="240" w:lineRule="atLeast"/>
        <w:rPr>
          <w:rFonts w:hint="eastAsia" w:ascii="仿宋" w:hAnsi="仿宋" w:eastAsia="仿宋" w:cs="仿宋"/>
          <w:color w:val="auto"/>
          <w:sz w:val="24"/>
        </w:rPr>
      </w:pPr>
      <w:r>
        <w:rPr>
          <w:rFonts w:hint="eastAsia" w:ascii="仿宋" w:hAnsi="仿宋" w:eastAsia="仿宋" w:cs="仿宋"/>
          <w:color w:val="auto"/>
          <w:sz w:val="24"/>
        </w:rPr>
        <w:t>项目名称:                      招标编号:             包号:</w:t>
      </w:r>
    </w:p>
    <w:p w14:paraId="5D389B04">
      <w:pPr>
        <w:pStyle w:val="15"/>
        <w:spacing w:line="240" w:lineRule="atLeast"/>
        <w:ind w:left="1080" w:leftChars="257" w:hanging="540"/>
        <w:rPr>
          <w:rFonts w:hint="eastAsia" w:ascii="仿宋" w:hAnsi="仿宋" w:eastAsia="仿宋" w:cs="仿宋"/>
          <w:color w:val="auto"/>
          <w:sz w:val="24"/>
        </w:rPr>
      </w:pPr>
    </w:p>
    <w:tbl>
      <w:tblPr>
        <w:tblStyle w:val="22"/>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10BE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noWrap w:val="0"/>
            <w:vAlign w:val="center"/>
          </w:tcPr>
          <w:p w14:paraId="643E4900">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2870" w:type="dxa"/>
            <w:noWrap w:val="0"/>
            <w:vAlign w:val="center"/>
          </w:tcPr>
          <w:p w14:paraId="2F6CF9EC">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招标文件的商务条款</w:t>
            </w:r>
          </w:p>
        </w:tc>
        <w:tc>
          <w:tcPr>
            <w:tcW w:w="2853" w:type="dxa"/>
            <w:noWrap w:val="0"/>
            <w:vAlign w:val="center"/>
          </w:tcPr>
          <w:p w14:paraId="6534DAD7">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投标文件的商务条款</w:t>
            </w:r>
          </w:p>
        </w:tc>
        <w:tc>
          <w:tcPr>
            <w:tcW w:w="1365" w:type="dxa"/>
            <w:noWrap w:val="0"/>
            <w:vAlign w:val="center"/>
          </w:tcPr>
          <w:p w14:paraId="5B7B845A">
            <w:pPr>
              <w:pStyle w:val="15"/>
              <w:spacing w:line="240" w:lineRule="atLeast"/>
              <w:jc w:val="center"/>
              <w:rPr>
                <w:rFonts w:hint="eastAsia" w:ascii="仿宋" w:hAnsi="仿宋" w:eastAsia="仿宋" w:cs="仿宋"/>
                <w:color w:val="auto"/>
                <w:sz w:val="21"/>
                <w:szCs w:val="21"/>
              </w:rPr>
            </w:pPr>
            <w:r>
              <w:rPr>
                <w:rFonts w:hint="eastAsia" w:ascii="仿宋" w:hAnsi="仿宋" w:eastAsia="仿宋" w:cs="仿宋"/>
                <w:color w:val="auto"/>
                <w:sz w:val="21"/>
                <w:szCs w:val="21"/>
              </w:rPr>
              <w:t>偏离说明</w:t>
            </w:r>
          </w:p>
        </w:tc>
      </w:tr>
      <w:tr w14:paraId="2C11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6E4430E6">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5D3F534C">
            <w:pPr>
              <w:pStyle w:val="15"/>
              <w:spacing w:line="240" w:lineRule="atLeast"/>
              <w:ind w:left="1080" w:leftChars="257" w:hanging="540"/>
              <w:jc w:val="center"/>
              <w:rPr>
                <w:rFonts w:hint="eastAsia" w:ascii="仿宋" w:hAnsi="仿宋" w:eastAsia="仿宋" w:cs="仿宋"/>
                <w:color w:val="auto"/>
                <w:sz w:val="21"/>
                <w:szCs w:val="21"/>
              </w:rPr>
            </w:pPr>
          </w:p>
        </w:tc>
        <w:tc>
          <w:tcPr>
            <w:tcW w:w="2853" w:type="dxa"/>
            <w:noWrap w:val="0"/>
            <w:vAlign w:val="top"/>
          </w:tcPr>
          <w:p w14:paraId="402BA35E">
            <w:pPr>
              <w:pStyle w:val="15"/>
              <w:spacing w:line="240" w:lineRule="atLeast"/>
              <w:ind w:left="1080" w:leftChars="257" w:hanging="540"/>
              <w:jc w:val="center"/>
              <w:rPr>
                <w:rFonts w:hint="eastAsia" w:ascii="仿宋" w:hAnsi="仿宋" w:eastAsia="仿宋" w:cs="仿宋"/>
                <w:color w:val="auto"/>
                <w:sz w:val="21"/>
                <w:szCs w:val="21"/>
              </w:rPr>
            </w:pPr>
          </w:p>
        </w:tc>
        <w:tc>
          <w:tcPr>
            <w:tcW w:w="1365" w:type="dxa"/>
            <w:noWrap w:val="0"/>
            <w:vAlign w:val="top"/>
          </w:tcPr>
          <w:p w14:paraId="7C9818E1">
            <w:pPr>
              <w:pStyle w:val="15"/>
              <w:spacing w:line="240" w:lineRule="atLeast"/>
              <w:ind w:left="1080" w:leftChars="257" w:hanging="540"/>
              <w:rPr>
                <w:rFonts w:hint="eastAsia" w:ascii="仿宋" w:hAnsi="仿宋" w:eastAsia="仿宋" w:cs="仿宋"/>
                <w:color w:val="auto"/>
                <w:sz w:val="21"/>
                <w:szCs w:val="21"/>
              </w:rPr>
            </w:pPr>
          </w:p>
        </w:tc>
      </w:tr>
      <w:tr w14:paraId="3324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3916B8D0">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7BF457D5">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3A8521CC">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355CAD53">
            <w:pPr>
              <w:pStyle w:val="15"/>
              <w:spacing w:line="240" w:lineRule="atLeast"/>
              <w:ind w:left="1080" w:leftChars="257" w:hanging="540"/>
              <w:rPr>
                <w:rFonts w:hint="eastAsia" w:ascii="仿宋" w:hAnsi="仿宋" w:eastAsia="仿宋" w:cs="仿宋"/>
                <w:color w:val="auto"/>
                <w:sz w:val="21"/>
                <w:szCs w:val="21"/>
              </w:rPr>
            </w:pPr>
          </w:p>
        </w:tc>
      </w:tr>
      <w:tr w14:paraId="2A93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34EF9AD9">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47ACFBAB">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79165DAB">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57D08639">
            <w:pPr>
              <w:pStyle w:val="15"/>
              <w:spacing w:line="240" w:lineRule="atLeast"/>
              <w:ind w:left="1080" w:leftChars="257" w:hanging="540"/>
              <w:rPr>
                <w:rFonts w:hint="eastAsia" w:ascii="仿宋" w:hAnsi="仿宋" w:eastAsia="仿宋" w:cs="仿宋"/>
                <w:color w:val="auto"/>
                <w:sz w:val="21"/>
                <w:szCs w:val="21"/>
              </w:rPr>
            </w:pPr>
          </w:p>
        </w:tc>
      </w:tr>
      <w:tr w14:paraId="7785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1417C481">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74D31C2F">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4BE2BA62">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01F06120">
            <w:pPr>
              <w:pStyle w:val="15"/>
              <w:spacing w:line="240" w:lineRule="atLeast"/>
              <w:ind w:left="1080" w:leftChars="257" w:hanging="540"/>
              <w:rPr>
                <w:rFonts w:hint="eastAsia" w:ascii="仿宋" w:hAnsi="仿宋" w:eastAsia="仿宋" w:cs="仿宋"/>
                <w:color w:val="auto"/>
                <w:sz w:val="21"/>
                <w:szCs w:val="21"/>
              </w:rPr>
            </w:pPr>
          </w:p>
        </w:tc>
      </w:tr>
      <w:tr w14:paraId="5FF5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0F1C30CB">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56B7E8BD">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66C1C3D7">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0E819D13">
            <w:pPr>
              <w:pStyle w:val="15"/>
              <w:spacing w:line="240" w:lineRule="atLeast"/>
              <w:ind w:left="1080" w:leftChars="257" w:hanging="540"/>
              <w:rPr>
                <w:rFonts w:hint="eastAsia" w:ascii="仿宋" w:hAnsi="仿宋" w:eastAsia="仿宋" w:cs="仿宋"/>
                <w:color w:val="auto"/>
                <w:sz w:val="21"/>
                <w:szCs w:val="21"/>
              </w:rPr>
            </w:pPr>
          </w:p>
        </w:tc>
      </w:tr>
      <w:tr w14:paraId="5CEC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1F2F3AC5">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572D232C">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0001AE7C">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0629D0DE">
            <w:pPr>
              <w:pStyle w:val="15"/>
              <w:spacing w:line="240" w:lineRule="atLeast"/>
              <w:ind w:left="1080" w:leftChars="257" w:hanging="540"/>
              <w:rPr>
                <w:rFonts w:hint="eastAsia" w:ascii="仿宋" w:hAnsi="仿宋" w:eastAsia="仿宋" w:cs="仿宋"/>
                <w:color w:val="auto"/>
                <w:sz w:val="21"/>
                <w:szCs w:val="21"/>
              </w:rPr>
            </w:pPr>
          </w:p>
        </w:tc>
      </w:tr>
      <w:tr w14:paraId="6EBC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noWrap w:val="0"/>
            <w:vAlign w:val="top"/>
          </w:tcPr>
          <w:p w14:paraId="4A282B04">
            <w:pPr>
              <w:pStyle w:val="15"/>
              <w:spacing w:line="240" w:lineRule="atLeast"/>
              <w:ind w:left="1080" w:leftChars="257" w:hanging="540"/>
              <w:rPr>
                <w:rFonts w:hint="eastAsia" w:ascii="仿宋" w:hAnsi="仿宋" w:eastAsia="仿宋" w:cs="仿宋"/>
                <w:color w:val="auto"/>
                <w:sz w:val="21"/>
                <w:szCs w:val="21"/>
              </w:rPr>
            </w:pPr>
          </w:p>
        </w:tc>
        <w:tc>
          <w:tcPr>
            <w:tcW w:w="2870" w:type="dxa"/>
            <w:noWrap w:val="0"/>
            <w:vAlign w:val="top"/>
          </w:tcPr>
          <w:p w14:paraId="397D7596">
            <w:pPr>
              <w:pStyle w:val="15"/>
              <w:spacing w:line="240" w:lineRule="atLeast"/>
              <w:ind w:left="1080" w:leftChars="257" w:hanging="540"/>
              <w:rPr>
                <w:rFonts w:hint="eastAsia" w:ascii="仿宋" w:hAnsi="仿宋" w:eastAsia="仿宋" w:cs="仿宋"/>
                <w:color w:val="auto"/>
                <w:sz w:val="21"/>
                <w:szCs w:val="21"/>
              </w:rPr>
            </w:pPr>
          </w:p>
        </w:tc>
        <w:tc>
          <w:tcPr>
            <w:tcW w:w="2853" w:type="dxa"/>
            <w:noWrap w:val="0"/>
            <w:vAlign w:val="top"/>
          </w:tcPr>
          <w:p w14:paraId="0458CF71">
            <w:pPr>
              <w:pStyle w:val="15"/>
              <w:spacing w:line="240" w:lineRule="atLeast"/>
              <w:ind w:left="1080" w:leftChars="257" w:hanging="540"/>
              <w:rPr>
                <w:rFonts w:hint="eastAsia" w:ascii="仿宋" w:hAnsi="仿宋" w:eastAsia="仿宋" w:cs="仿宋"/>
                <w:color w:val="auto"/>
                <w:sz w:val="21"/>
                <w:szCs w:val="21"/>
              </w:rPr>
            </w:pPr>
          </w:p>
        </w:tc>
        <w:tc>
          <w:tcPr>
            <w:tcW w:w="1365" w:type="dxa"/>
            <w:noWrap w:val="0"/>
            <w:vAlign w:val="top"/>
          </w:tcPr>
          <w:p w14:paraId="7758CEC7">
            <w:pPr>
              <w:pStyle w:val="15"/>
              <w:spacing w:line="240" w:lineRule="atLeast"/>
              <w:ind w:left="1080" w:leftChars="257" w:hanging="540"/>
              <w:rPr>
                <w:rFonts w:hint="eastAsia" w:ascii="仿宋" w:hAnsi="仿宋" w:eastAsia="仿宋" w:cs="仿宋"/>
                <w:color w:val="auto"/>
                <w:sz w:val="21"/>
                <w:szCs w:val="21"/>
              </w:rPr>
            </w:pPr>
          </w:p>
        </w:tc>
      </w:tr>
    </w:tbl>
    <w:p w14:paraId="12A0D730">
      <w:pPr>
        <w:pStyle w:val="15"/>
        <w:spacing w:line="240" w:lineRule="atLeast"/>
        <w:rPr>
          <w:rFonts w:hint="eastAsia" w:ascii="仿宋" w:hAnsi="仿宋" w:eastAsia="仿宋" w:cs="仿宋"/>
          <w:color w:val="auto"/>
          <w:sz w:val="21"/>
          <w:szCs w:val="21"/>
        </w:rPr>
      </w:pPr>
    </w:p>
    <w:p w14:paraId="3195840F">
      <w:pPr>
        <w:pStyle w:val="12"/>
        <w:tabs>
          <w:tab w:val="left" w:pos="1920"/>
          <w:tab w:val="left" w:pos="3840"/>
        </w:tabs>
        <w:ind w:left="360"/>
        <w:rPr>
          <w:rFonts w:hint="eastAsia" w:ascii="仿宋" w:hAnsi="仿宋" w:eastAsia="仿宋" w:cs="仿宋"/>
          <w:color w:val="auto"/>
          <w:sz w:val="24"/>
          <w:szCs w:val="24"/>
        </w:rPr>
      </w:pPr>
      <w:bookmarkStart w:id="164" w:name="_Toc216582819"/>
      <w:bookmarkStart w:id="165" w:name="_Toc520356224"/>
      <w:bookmarkStart w:id="166" w:name="_Toc20238"/>
      <w:bookmarkStart w:id="167" w:name="_Toc9592"/>
      <w:bookmarkStart w:id="168" w:name="_Toc480942355"/>
      <w:bookmarkStart w:id="169" w:name="_Ref467988543"/>
      <w:bookmarkStart w:id="170" w:name="_Toc507399535"/>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电子签章</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p>
    <w:p w14:paraId="0C199CF4">
      <w:pPr>
        <w:pStyle w:val="12"/>
        <w:tabs>
          <w:tab w:val="left" w:pos="1560"/>
          <w:tab w:val="left" w:pos="2160"/>
          <w:tab w:val="left" w:pos="4320"/>
          <w:tab w:val="left" w:pos="6841"/>
        </w:tabs>
        <w:spacing w:before="161" w:line="362" w:lineRule="auto"/>
        <w:ind w:left="8519" w:leftChars="171" w:right="3062" w:hanging="8160" w:hangingChars="3400"/>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法定代表人或其授权代代理人（电子签章）:</w:t>
      </w:r>
      <w:r>
        <w:rPr>
          <w:rFonts w:hint="eastAsia" w:ascii="仿宋" w:hAnsi="仿宋" w:eastAsia="仿宋" w:cs="仿宋"/>
          <w:color w:val="auto"/>
          <w:sz w:val="24"/>
          <w:szCs w:val="24"/>
          <w:u w:val="single"/>
        </w:rPr>
        <w:tab/>
      </w:r>
    </w:p>
    <w:p w14:paraId="7CA4196B">
      <w:pPr>
        <w:pStyle w:val="12"/>
        <w:tabs>
          <w:tab w:val="left" w:pos="1560"/>
          <w:tab w:val="left" w:pos="2160"/>
          <w:tab w:val="left" w:pos="4320"/>
          <w:tab w:val="left" w:pos="6841"/>
        </w:tabs>
        <w:spacing w:before="161" w:line="362" w:lineRule="auto"/>
        <w:ind w:left="360" w:right="3062"/>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497F26C8">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p>
    <w:p w14:paraId="43773812">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有偏离的商务条款须在该表中逐一列明，并在“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文件的商务条款”栏填写具体应答内容，在“偏离说明”中说明偏离具体情形。若无偏离请在“</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文件的商务条款”中填写“无偏离”。</w:t>
      </w:r>
    </w:p>
    <w:p w14:paraId="012ACF40">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未声明部分将被视为已接受</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文件要求，签约时未经招标方同意不得改变。</w:t>
      </w:r>
    </w:p>
    <w:p w14:paraId="14648CC9">
      <w:pPr>
        <w:pStyle w:val="15"/>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3.投标人</w:t>
      </w:r>
      <w:r>
        <w:rPr>
          <w:rFonts w:hint="eastAsia" w:ascii="仿宋" w:hAnsi="仿宋" w:eastAsia="仿宋" w:cs="仿宋"/>
          <w:color w:val="auto"/>
          <w:sz w:val="21"/>
          <w:szCs w:val="21"/>
        </w:rPr>
        <w:t>可根据其</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内容进一步细化上述表格，并可增添其它表格或说明以便进一步明确响应内容。</w:t>
      </w:r>
    </w:p>
    <w:p w14:paraId="2E77A532">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732AEC34">
      <w:pPr>
        <w:pStyle w:val="5"/>
        <w:spacing w:before="0" w:line="240" w:lineRule="atLeast"/>
        <w:ind w:left="1080" w:leftChars="257" w:hanging="540"/>
        <w:jc w:val="both"/>
        <w:outlineLvl w:val="3"/>
        <w:rPr>
          <w:rFonts w:hint="eastAsia" w:ascii="仿宋" w:hAnsi="仿宋" w:eastAsia="仿宋" w:cs="仿宋"/>
          <w:b w:val="0"/>
          <w:color w:val="auto"/>
          <w:sz w:val="24"/>
          <w:lang w:eastAsia="zh-CN"/>
        </w:rPr>
      </w:pPr>
      <w:r>
        <w:rPr>
          <w:rFonts w:hint="eastAsia" w:ascii="仿宋" w:hAnsi="仿宋" w:eastAsia="仿宋" w:cs="仿宋"/>
          <w:color w:val="auto"/>
          <w:sz w:val="24"/>
          <w:lang w:val="en-US" w:eastAsia="zh-CN"/>
        </w:rPr>
        <w:t>附件3-7</w:t>
      </w:r>
      <w:bookmarkEnd w:id="164"/>
      <w:bookmarkEnd w:id="165"/>
      <w:bookmarkEnd w:id="166"/>
      <w:bookmarkEnd w:id="167"/>
      <w:bookmarkEnd w:id="168"/>
      <w:bookmarkEnd w:id="169"/>
      <w:bookmarkEnd w:id="170"/>
      <w:bookmarkStart w:id="171" w:name="_Toc1502"/>
      <w:bookmarkStart w:id="172" w:name="_Toc14711"/>
      <w:r>
        <w:rPr>
          <w:rFonts w:hint="eastAsia" w:ascii="仿宋" w:hAnsi="仿宋" w:eastAsia="仿宋" w:cs="仿宋"/>
          <w:color w:val="auto"/>
          <w:sz w:val="24"/>
          <w:u w:val="none"/>
          <w:lang w:val="en-US" w:eastAsia="zh-CN"/>
        </w:rPr>
        <w:t>-1</w:t>
      </w:r>
      <w:bookmarkStart w:id="173" w:name="_Toc71631935"/>
      <w:r>
        <w:rPr>
          <w:rFonts w:hint="eastAsia" w:ascii="仿宋" w:hAnsi="仿宋" w:eastAsia="仿宋" w:cs="仿宋"/>
          <w:color w:val="auto"/>
          <w:sz w:val="24"/>
        </w:rPr>
        <w:t xml:space="preserve"> 中小企业声明函</w:t>
      </w:r>
      <w:bookmarkEnd w:id="173"/>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如是</w:t>
      </w:r>
      <w:r>
        <w:rPr>
          <w:rFonts w:hint="eastAsia" w:ascii="仿宋" w:hAnsi="仿宋" w:eastAsia="仿宋" w:cs="仿宋"/>
          <w:color w:val="auto"/>
          <w:sz w:val="24"/>
          <w:lang w:eastAsia="zh-CN"/>
        </w:rPr>
        <w:t>）</w:t>
      </w:r>
      <w:bookmarkEnd w:id="171"/>
      <w:bookmarkEnd w:id="172"/>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p w14:paraId="20AE593D">
      <w:pPr>
        <w:pageBreakBefore w:val="0"/>
        <w:kinsoku/>
        <w:wordWrap/>
        <w:overflowPunct/>
        <w:topLinePunct w:val="0"/>
        <w:autoSpaceDE/>
        <w:autoSpaceDN/>
        <w:bidi w:val="0"/>
        <w:adjustRightInd w:val="0"/>
        <w:snapToGrid w:val="0"/>
        <w:spacing w:line="360" w:lineRule="auto"/>
        <w:ind w:left="0" w:leftChars="0" w:hanging="540"/>
        <w:jc w:val="center"/>
        <w:textAlignment w:val="auto"/>
        <w:rPr>
          <w:rFonts w:hint="eastAsia" w:ascii="仿宋" w:hAnsi="仿宋" w:eastAsia="仿宋" w:cs="仿宋"/>
          <w:b/>
          <w:color w:val="auto"/>
          <w:kern w:val="0"/>
          <w:sz w:val="24"/>
          <w:szCs w:val="20"/>
        </w:rPr>
      </w:pPr>
    </w:p>
    <w:p w14:paraId="28D2D203">
      <w:pPr>
        <w:pStyle w:val="15"/>
        <w:pageBreakBefore w:val="0"/>
        <w:tabs>
          <w:tab w:val="left" w:pos="558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w:t>
      </w:r>
      <w:r>
        <w:rPr>
          <w:rFonts w:hint="eastAsia" w:ascii="仿宋" w:hAnsi="仿宋" w:eastAsia="仿宋" w:cs="仿宋"/>
          <w:i/>
          <w:color w:val="auto"/>
          <w:sz w:val="24"/>
          <w:u w:val="single"/>
        </w:rPr>
        <w:t>（单位名称）</w:t>
      </w:r>
      <w:r>
        <w:rPr>
          <w:rFonts w:hint="eastAsia" w:ascii="仿宋" w:hAnsi="仿宋" w:eastAsia="仿宋" w:cs="仿宋"/>
          <w:color w:val="auto"/>
          <w:sz w:val="24"/>
        </w:rPr>
        <w:t>的</w:t>
      </w:r>
      <w:r>
        <w:rPr>
          <w:rFonts w:hint="eastAsia" w:ascii="仿宋" w:hAnsi="仿宋" w:eastAsia="仿宋" w:cs="仿宋"/>
          <w:i/>
          <w:color w:val="auto"/>
          <w:sz w:val="24"/>
          <w:u w:val="single"/>
        </w:rPr>
        <w:t>（项目名称）</w:t>
      </w:r>
      <w:r>
        <w:rPr>
          <w:rFonts w:hint="eastAsia" w:ascii="仿宋" w:hAnsi="仿宋" w:eastAsia="仿宋" w:cs="仿宋"/>
          <w:color w:val="auto"/>
          <w:sz w:val="24"/>
        </w:rPr>
        <w:t>采购活动，提供的货物全部由符合政策要求的中小企业制造。相关企业（含联合体中的中小企业、签订分包意向协议的中小企业）的具体情况如下：</w:t>
      </w:r>
    </w:p>
    <w:p w14:paraId="23379242">
      <w:pPr>
        <w:pStyle w:val="15"/>
        <w:pageBreakBefore w:val="0"/>
        <w:tabs>
          <w:tab w:val="left" w:pos="558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i/>
          <w:color w:val="auto"/>
          <w:sz w:val="24"/>
          <w:u w:val="single"/>
        </w:rPr>
        <w:t>（标的名称）</w:t>
      </w:r>
      <w:r>
        <w:rPr>
          <w:rFonts w:hint="eastAsia" w:ascii="仿宋" w:hAnsi="仿宋" w:eastAsia="仿宋" w:cs="仿宋"/>
          <w:color w:val="auto"/>
          <w:sz w:val="24"/>
        </w:rPr>
        <w:t xml:space="preserve"> ，属于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行业；制造商为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3FB3DEE8">
      <w:pPr>
        <w:pStyle w:val="15"/>
        <w:pageBreakBefore w:val="0"/>
        <w:tabs>
          <w:tab w:val="left" w:pos="558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w:t>
      </w:r>
      <w:r>
        <w:rPr>
          <w:rFonts w:hint="eastAsia" w:ascii="仿宋" w:hAnsi="仿宋" w:eastAsia="仿宋" w:cs="仿宋"/>
          <w:i/>
          <w:color w:val="auto"/>
          <w:sz w:val="24"/>
          <w:u w:val="single"/>
        </w:rPr>
        <w:t>标的名称）</w:t>
      </w:r>
      <w:r>
        <w:rPr>
          <w:rFonts w:hint="eastAsia" w:ascii="仿宋" w:hAnsi="仿宋" w:eastAsia="仿宋" w:cs="仿宋"/>
          <w:color w:val="auto"/>
          <w:sz w:val="24"/>
        </w:rPr>
        <w:t xml:space="preserve"> ，属于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行业；制造商为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60BC4027">
      <w:pPr>
        <w:pStyle w:val="15"/>
        <w:pageBreakBefore w:val="0"/>
        <w:tabs>
          <w:tab w:val="left" w:pos="5580"/>
        </w:tabs>
        <w:kinsoku/>
        <w:wordWrap/>
        <w:overflowPunct/>
        <w:topLinePunct w:val="0"/>
        <w:autoSpaceDE/>
        <w:autoSpaceDN/>
        <w:bidi w:val="0"/>
        <w:adjustRightInd w:val="0"/>
        <w:snapToGrid w:val="0"/>
        <w:spacing w:line="360" w:lineRule="auto"/>
        <w:ind w:left="45" w:leftChars="0" w:hanging="45" w:hangingChars="19"/>
        <w:textAlignment w:val="auto"/>
        <w:rPr>
          <w:rFonts w:hint="eastAsia" w:ascii="仿宋" w:hAnsi="仿宋" w:eastAsia="仿宋" w:cs="仿宋"/>
          <w:color w:val="auto"/>
          <w:sz w:val="24"/>
        </w:rPr>
      </w:pPr>
      <w:r>
        <w:rPr>
          <w:rFonts w:hint="eastAsia" w:ascii="仿宋" w:hAnsi="仿宋" w:eastAsia="仿宋" w:cs="仿宋"/>
          <w:color w:val="auto"/>
          <w:sz w:val="24"/>
        </w:rPr>
        <w:t>……</w:t>
      </w:r>
    </w:p>
    <w:p w14:paraId="3DAE42B6">
      <w:pPr>
        <w:pStyle w:val="15"/>
        <w:pageBreakBefore w:val="0"/>
        <w:tabs>
          <w:tab w:val="left" w:pos="5580"/>
        </w:tabs>
        <w:kinsoku/>
        <w:wordWrap/>
        <w:overflowPunct/>
        <w:topLinePunct w:val="0"/>
        <w:autoSpaceDE/>
        <w:autoSpaceDN/>
        <w:bidi w:val="0"/>
        <w:adjustRightInd w:val="0"/>
        <w:snapToGrid w:val="0"/>
        <w:spacing w:line="360" w:lineRule="auto"/>
        <w:ind w:left="0" w:leftChars="0" w:firstLine="491" w:firstLineChars="205"/>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06D1BFD">
      <w:pPr>
        <w:pStyle w:val="15"/>
        <w:pageBreakBefore w:val="0"/>
        <w:tabs>
          <w:tab w:val="left" w:pos="5580"/>
        </w:tabs>
        <w:kinsoku/>
        <w:wordWrap/>
        <w:overflowPunct/>
        <w:topLinePunct w:val="0"/>
        <w:autoSpaceDE/>
        <w:autoSpaceDN/>
        <w:bidi w:val="0"/>
        <w:adjustRightInd w:val="0"/>
        <w:snapToGrid w:val="0"/>
        <w:spacing w:line="360" w:lineRule="auto"/>
        <w:ind w:left="0" w:leftChars="0" w:firstLine="491" w:firstLineChars="205"/>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442E07F">
      <w:pPr>
        <w:pStyle w:val="15"/>
        <w:pageBreakBefore w:val="0"/>
        <w:tabs>
          <w:tab w:val="left" w:pos="5580"/>
        </w:tabs>
        <w:kinsoku/>
        <w:wordWrap/>
        <w:overflowPunct/>
        <w:topLinePunct w:val="0"/>
        <w:autoSpaceDE/>
        <w:autoSpaceDN/>
        <w:bidi w:val="0"/>
        <w:adjustRightInd w:val="0"/>
        <w:snapToGrid w:val="0"/>
        <w:spacing w:line="360" w:lineRule="auto"/>
        <w:ind w:left="0" w:leftChars="0" w:hanging="527"/>
        <w:textAlignment w:val="auto"/>
        <w:rPr>
          <w:rFonts w:hint="eastAsia" w:ascii="仿宋" w:hAnsi="仿宋" w:eastAsia="仿宋" w:cs="仿宋"/>
          <w:color w:val="auto"/>
          <w:sz w:val="24"/>
        </w:rPr>
      </w:pPr>
    </w:p>
    <w:p w14:paraId="17F1CD12">
      <w:pPr>
        <w:pStyle w:val="15"/>
        <w:pageBreakBefore w:val="0"/>
        <w:tabs>
          <w:tab w:val="left" w:pos="5580"/>
        </w:tabs>
        <w:kinsoku/>
        <w:wordWrap/>
        <w:overflowPunct/>
        <w:topLinePunct w:val="0"/>
        <w:autoSpaceDE/>
        <w:autoSpaceDN/>
        <w:bidi w:val="0"/>
        <w:adjustRightInd w:val="0"/>
        <w:snapToGrid w:val="0"/>
        <w:spacing w:line="360" w:lineRule="auto"/>
        <w:ind w:left="0" w:leftChars="0" w:hanging="527"/>
        <w:textAlignment w:val="auto"/>
        <w:rPr>
          <w:rFonts w:hint="eastAsia" w:ascii="仿宋" w:hAnsi="仿宋" w:eastAsia="仿宋" w:cs="仿宋"/>
          <w:color w:val="auto"/>
          <w:sz w:val="24"/>
        </w:rPr>
      </w:pPr>
    </w:p>
    <w:p w14:paraId="5ECAE197">
      <w:pPr>
        <w:pStyle w:val="15"/>
        <w:pageBreakBefore w:val="0"/>
        <w:tabs>
          <w:tab w:val="left" w:pos="5580"/>
        </w:tabs>
        <w:kinsoku/>
        <w:wordWrap/>
        <w:overflowPunct/>
        <w:topLinePunct w:val="0"/>
        <w:autoSpaceDE/>
        <w:autoSpaceDN/>
        <w:bidi w:val="0"/>
        <w:adjustRightInd w:val="0"/>
        <w:snapToGrid w:val="0"/>
        <w:spacing w:line="360" w:lineRule="auto"/>
        <w:ind w:left="0" w:leftChars="0" w:firstLine="4680" w:firstLineChars="1950"/>
        <w:textAlignment w:val="auto"/>
        <w:rPr>
          <w:rFonts w:hint="eastAsia" w:ascii="仿宋" w:hAnsi="仿宋" w:eastAsia="仿宋" w:cs="仿宋"/>
          <w:color w:val="auto"/>
          <w:sz w:val="24"/>
        </w:rPr>
      </w:pPr>
      <w:r>
        <w:rPr>
          <w:rFonts w:hint="eastAsia" w:ascii="仿宋" w:hAnsi="仿宋" w:eastAsia="仿宋" w:cs="仿宋"/>
          <w:color w:val="auto"/>
          <w:sz w:val="24"/>
        </w:rPr>
        <w:t>企业名称（</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w:t>
      </w:r>
    </w:p>
    <w:p w14:paraId="36F3279E">
      <w:pPr>
        <w:pStyle w:val="15"/>
        <w:pageBreakBefore w:val="0"/>
        <w:tabs>
          <w:tab w:val="left" w:pos="5580"/>
        </w:tabs>
        <w:kinsoku/>
        <w:wordWrap/>
        <w:overflowPunct/>
        <w:topLinePunct w:val="0"/>
        <w:autoSpaceDE/>
        <w:autoSpaceDN/>
        <w:bidi w:val="0"/>
        <w:adjustRightInd w:val="0"/>
        <w:snapToGrid w:val="0"/>
        <w:spacing w:line="360" w:lineRule="auto"/>
        <w:ind w:left="0" w:leftChars="0" w:firstLine="4680" w:firstLineChars="1950"/>
        <w:textAlignment w:val="auto"/>
        <w:rPr>
          <w:rFonts w:hint="eastAsia" w:ascii="仿宋" w:hAnsi="仿宋" w:eastAsia="仿宋" w:cs="仿宋"/>
          <w:color w:val="auto"/>
          <w:sz w:val="24"/>
        </w:rPr>
      </w:pPr>
      <w:r>
        <w:rPr>
          <w:rFonts w:hint="eastAsia" w:ascii="仿宋" w:hAnsi="仿宋" w:eastAsia="仿宋" w:cs="仿宋"/>
          <w:color w:val="auto"/>
          <w:sz w:val="24"/>
        </w:rPr>
        <w:t>日期：</w:t>
      </w:r>
    </w:p>
    <w:p w14:paraId="0FE96F06">
      <w:pPr>
        <w:pStyle w:val="15"/>
        <w:pageBreakBefore w:val="0"/>
        <w:tabs>
          <w:tab w:val="left" w:pos="5580"/>
        </w:tabs>
        <w:kinsoku/>
        <w:wordWrap/>
        <w:overflowPunct/>
        <w:topLinePunct w:val="0"/>
        <w:autoSpaceDE/>
        <w:autoSpaceDN/>
        <w:bidi w:val="0"/>
        <w:adjustRightInd w:val="0"/>
        <w:snapToGrid w:val="0"/>
        <w:spacing w:line="360" w:lineRule="auto"/>
        <w:ind w:left="0" w:leftChars="0" w:hanging="527"/>
        <w:textAlignment w:val="auto"/>
        <w:rPr>
          <w:rFonts w:hint="eastAsia" w:ascii="仿宋" w:hAnsi="仿宋" w:eastAsia="仿宋" w:cs="仿宋"/>
          <w:color w:val="auto"/>
          <w:sz w:val="24"/>
        </w:rPr>
      </w:pPr>
    </w:p>
    <w:p w14:paraId="2DBD203C">
      <w:pPr>
        <w:pStyle w:val="15"/>
        <w:pageBreakBefore w:val="0"/>
        <w:tabs>
          <w:tab w:val="left" w:pos="5580"/>
        </w:tabs>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rPr>
      </w:pPr>
      <w:r>
        <w:rPr>
          <w:rFonts w:hint="eastAsia" w:ascii="仿宋" w:hAnsi="仿宋" w:eastAsia="仿宋" w:cs="仿宋"/>
          <w:color w:val="auto"/>
          <w:sz w:val="24"/>
        </w:rPr>
        <w:t>注1、从业人员、营业收入、资产总额填报上一年度数据，无上一年度数据的新成立企业可不填报。</w:t>
      </w:r>
    </w:p>
    <w:p w14:paraId="6CA8B5AD">
      <w:pPr>
        <w:pStyle w:val="15"/>
        <w:pageBreakBefore w:val="0"/>
        <w:tabs>
          <w:tab w:val="left" w:pos="5580"/>
        </w:tabs>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rPr>
      </w:pPr>
      <w:r>
        <w:rPr>
          <w:rFonts w:hint="eastAsia" w:ascii="仿宋" w:hAnsi="仿宋" w:eastAsia="仿宋" w:cs="仿宋"/>
          <w:color w:val="auto"/>
          <w:sz w:val="24"/>
        </w:rPr>
        <w:t>2、请在本表中填写</w:t>
      </w:r>
      <w:r>
        <w:rPr>
          <w:rFonts w:hint="eastAsia" w:ascii="仿宋" w:hAnsi="仿宋" w:eastAsia="仿宋" w:cs="仿宋"/>
          <w:color w:val="auto"/>
          <w:sz w:val="24"/>
          <w:u w:val="single"/>
          <w:lang w:eastAsia="zh-CN"/>
        </w:rPr>
        <w:t>投标人须知</w:t>
      </w:r>
      <w:r>
        <w:rPr>
          <w:rFonts w:hint="eastAsia" w:ascii="仿宋" w:hAnsi="仿宋" w:eastAsia="仿宋" w:cs="仿宋"/>
          <w:color w:val="auto"/>
          <w:sz w:val="24"/>
          <w:u w:val="single"/>
        </w:rPr>
        <w:t>前附表</w:t>
      </w:r>
      <w:r>
        <w:rPr>
          <w:rFonts w:hint="eastAsia" w:ascii="仿宋" w:hAnsi="仿宋" w:eastAsia="仿宋" w:cs="仿宋"/>
          <w:color w:val="auto"/>
          <w:sz w:val="24"/>
        </w:rPr>
        <w:t>中写明的中小企业行业类别。</w:t>
      </w:r>
    </w:p>
    <w:p w14:paraId="0A73A5B6">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rPr>
      </w:pPr>
      <w:r>
        <w:rPr>
          <w:rFonts w:hint="eastAsia" w:ascii="仿宋" w:hAnsi="仿宋" w:eastAsia="仿宋" w:cs="仿宋"/>
          <w:color w:val="auto"/>
          <w:sz w:val="24"/>
        </w:rPr>
        <w:t>3、制造商如为监狱企业或残疾人福利性单位的，视同为小型、微型企业，请填写此声明函，并需要出具相应的声明函和证明文件（格式后附）。</w:t>
      </w:r>
    </w:p>
    <w:p w14:paraId="4F60B295">
      <w:pPr>
        <w:rPr>
          <w:rFonts w:hint="eastAsia" w:ascii="仿宋" w:hAnsi="仿宋" w:eastAsia="仿宋" w:cs="仿宋"/>
          <w:color w:val="auto"/>
          <w:sz w:val="24"/>
        </w:rPr>
      </w:pPr>
      <w:r>
        <w:rPr>
          <w:rFonts w:hint="eastAsia" w:ascii="仿宋" w:hAnsi="仿宋" w:eastAsia="仿宋" w:cs="仿宋"/>
          <w:color w:val="auto"/>
          <w:sz w:val="24"/>
        </w:rPr>
        <w:br w:type="page"/>
      </w:r>
    </w:p>
    <w:p w14:paraId="4B7BAC26">
      <w:pPr>
        <w:pStyle w:val="5"/>
        <w:pageBreakBefore w:val="0"/>
        <w:kinsoku/>
        <w:wordWrap/>
        <w:overflowPunct/>
        <w:topLinePunct w:val="0"/>
        <w:autoSpaceDE/>
        <w:autoSpaceDN/>
        <w:bidi w:val="0"/>
        <w:adjustRightInd w:val="0"/>
        <w:snapToGrid w:val="0"/>
        <w:spacing w:before="0" w:beforeAutospacing="0" w:after="0" w:afterAutospacing="0" w:line="360" w:lineRule="auto"/>
        <w:ind w:left="0" w:leftChars="0"/>
        <w:textAlignment w:val="auto"/>
        <w:outlineLvl w:val="3"/>
        <w:rPr>
          <w:rFonts w:hint="eastAsia" w:ascii="仿宋" w:hAnsi="仿宋" w:eastAsia="仿宋" w:cs="仿宋"/>
          <w:color w:val="auto"/>
          <w:sz w:val="24"/>
          <w:szCs w:val="24"/>
        </w:rPr>
      </w:pPr>
      <w:bookmarkStart w:id="174" w:name="_Toc71631936"/>
      <w:bookmarkStart w:id="175" w:name="_Toc5109"/>
      <w:bookmarkStart w:id="176" w:name="_Toc17478"/>
      <w:r>
        <w:rPr>
          <w:rFonts w:hint="eastAsia" w:ascii="仿宋" w:hAnsi="仿宋" w:eastAsia="仿宋" w:cs="仿宋"/>
          <w:color w:val="auto"/>
          <w:sz w:val="24"/>
          <w:szCs w:val="24"/>
          <w:lang w:val="en-US" w:eastAsia="zh-CN"/>
        </w:rPr>
        <w:t>附件3-7</w:t>
      </w:r>
      <w:r>
        <w:rPr>
          <w:rFonts w:hint="eastAsia" w:ascii="仿宋" w:hAnsi="仿宋" w:eastAsia="仿宋" w:cs="仿宋"/>
          <w:color w:val="auto"/>
          <w:sz w:val="24"/>
          <w:szCs w:val="24"/>
        </w:rPr>
        <w:t>-2  监狱企业声明函</w:t>
      </w:r>
      <w:bookmarkEnd w:id="174"/>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如是</w:t>
      </w:r>
      <w:r>
        <w:rPr>
          <w:rFonts w:hint="eastAsia" w:ascii="仿宋" w:hAnsi="仿宋" w:eastAsia="仿宋" w:cs="仿宋"/>
          <w:color w:val="auto"/>
          <w:sz w:val="24"/>
          <w:lang w:eastAsia="zh-CN"/>
        </w:rPr>
        <w:t>）</w:t>
      </w:r>
      <w:bookmarkEnd w:id="175"/>
      <w:bookmarkEnd w:id="176"/>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p w14:paraId="5F68CF66">
      <w:pPr>
        <w:pageBreakBefore w:val="0"/>
        <w:kinsoku/>
        <w:wordWrap/>
        <w:overflowPunct/>
        <w:topLinePunct w:val="0"/>
        <w:autoSpaceDE/>
        <w:autoSpaceDN/>
        <w:bidi w:val="0"/>
        <w:adjustRightInd w:val="0"/>
        <w:snapToGrid w:val="0"/>
        <w:spacing w:beforeAutospacing="0" w:afterAutospacing="0" w:line="360" w:lineRule="auto"/>
        <w:ind w:left="0" w:leftChars="0"/>
        <w:jc w:val="both"/>
        <w:textAlignment w:val="auto"/>
        <w:rPr>
          <w:rFonts w:hint="eastAsia" w:ascii="仿宋" w:hAnsi="仿宋" w:eastAsia="仿宋" w:cs="仿宋"/>
          <w:b/>
          <w:color w:val="auto"/>
          <w:kern w:val="0"/>
          <w:sz w:val="24"/>
          <w:szCs w:val="24"/>
        </w:rPr>
      </w:pPr>
    </w:p>
    <w:p w14:paraId="00632255">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本单位郑重声明，本单位在参加</w:t>
      </w:r>
      <w:r>
        <w:rPr>
          <w:rFonts w:hint="eastAsia" w:ascii="仿宋" w:hAnsi="仿宋" w:eastAsia="仿宋" w:cs="仿宋"/>
          <w:color w:val="auto"/>
          <w:kern w:val="0"/>
          <w:sz w:val="24"/>
          <w:szCs w:val="24"/>
          <w:u w:val="single"/>
        </w:rPr>
        <w:t>（采购人名称）</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u w:val="single"/>
        </w:rPr>
        <w:t>（招标项目名称）</w:t>
      </w:r>
      <w:r>
        <w:rPr>
          <w:rFonts w:hint="eastAsia" w:ascii="仿宋" w:hAnsi="仿宋" w:eastAsia="仿宋" w:cs="仿宋"/>
          <w:color w:val="auto"/>
          <w:kern w:val="0"/>
          <w:sz w:val="24"/>
          <w:szCs w:val="24"/>
        </w:rPr>
        <w:t>项目采购活动提供以下监狱企业制造的货物（或监狱企业承担的工程、或监狱企业承接的服务），具体情况如下：（按照实际情况勾选或填空）</w:t>
      </w:r>
    </w:p>
    <w:p w14:paraId="333D0C1C">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360" w:firstLineChars="15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u w:val="single"/>
        </w:rPr>
        <w:t>（制造商名称）</w:t>
      </w:r>
      <w:r>
        <w:rPr>
          <w:rFonts w:hint="eastAsia" w:ascii="仿宋" w:hAnsi="仿宋" w:eastAsia="仿宋" w:cs="仿宋"/>
          <w:color w:val="auto"/>
          <w:kern w:val="0"/>
          <w:sz w:val="24"/>
          <w:szCs w:val="24"/>
        </w:rPr>
        <w:t>属于监狱企业，后附省级以上监狱管理局、戒毒管理局（含新疆生产建设兵团）出具的属于监狱企业的证明文件。</w:t>
      </w:r>
    </w:p>
    <w:p w14:paraId="5DE2DD68">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42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u w:val="single"/>
        </w:rPr>
        <w:t>（制造商名称）</w:t>
      </w:r>
      <w:r>
        <w:rPr>
          <w:rFonts w:hint="eastAsia" w:ascii="仿宋" w:hAnsi="仿宋" w:eastAsia="仿宋" w:cs="仿宋"/>
          <w:color w:val="auto"/>
          <w:kern w:val="0"/>
          <w:sz w:val="24"/>
          <w:szCs w:val="24"/>
        </w:rPr>
        <w:t>属于监狱企业并作为联合体一方，其提供协议合同金额占到共同投标协议合同总金额的比例为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。后附省级以上监狱管理局、戒毒管理局（含新疆生产建设兵团）出具的属于监狱企业的证明文件。</w:t>
      </w:r>
    </w:p>
    <w:p w14:paraId="61E96A00">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42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u w:val="single"/>
        </w:rPr>
        <w:t>（制造商名称）</w:t>
      </w:r>
      <w:r>
        <w:rPr>
          <w:rFonts w:hint="eastAsia" w:ascii="仿宋" w:hAnsi="仿宋" w:eastAsia="仿宋" w:cs="仿宋"/>
          <w:color w:val="auto"/>
          <w:kern w:val="0"/>
          <w:sz w:val="24"/>
          <w:szCs w:val="24"/>
        </w:rPr>
        <w:t>属于监狱企业并作为分包方，其提供协议合同金额占到分包意向协议合同总金额的比例为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。后附省级以上监狱管理局、戒毒管理局（含新疆生产建设兵团）出具的属于监狱企业的证明文件。</w:t>
      </w:r>
    </w:p>
    <w:p w14:paraId="00BAE8CD">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本单位对上述声明的真实性负责。如有虚假，将依法承担相应责任。</w:t>
      </w:r>
    </w:p>
    <w:p w14:paraId="4091AC82">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14:paraId="11BE8374">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p>
    <w:p w14:paraId="35BC68B2">
      <w:pPr>
        <w:pageBreakBefore w:val="0"/>
        <w:widowControl/>
        <w:kinsoku/>
        <w:wordWrap/>
        <w:overflowPunct/>
        <w:topLinePunct w:val="0"/>
        <w:autoSpaceDE/>
        <w:autoSpaceDN/>
        <w:bidi w:val="0"/>
        <w:adjustRightInd w:val="0"/>
        <w:snapToGrid w:val="0"/>
        <w:spacing w:beforeAutospacing="0" w:afterAutospacing="0" w:line="360" w:lineRule="auto"/>
        <w:ind w:left="0" w:leftChars="0"/>
        <w:jc w:val="left"/>
        <w:textAlignment w:val="auto"/>
        <w:rPr>
          <w:rFonts w:hint="eastAsia" w:ascii="仿宋" w:hAnsi="仿宋" w:eastAsia="仿宋" w:cs="仿宋"/>
          <w:color w:val="auto"/>
          <w:kern w:val="0"/>
          <w:sz w:val="24"/>
          <w:szCs w:val="24"/>
        </w:rPr>
      </w:pPr>
    </w:p>
    <w:p w14:paraId="07B29F29">
      <w:pPr>
        <w:pageBreakBefore w:val="0"/>
        <w:kinsoku/>
        <w:wordWrap/>
        <w:overflowPunct/>
        <w:topLinePunct w:val="0"/>
        <w:autoSpaceDE/>
        <w:autoSpaceDN/>
        <w:bidi w:val="0"/>
        <w:adjustRightInd w:val="0"/>
        <w:snapToGrid w:val="0"/>
        <w:spacing w:beforeAutospacing="0" w:afterAutospacing="0" w:line="360" w:lineRule="auto"/>
        <w:ind w:left="0" w:leftChars="0" w:hanging="540"/>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　</w:t>
      </w:r>
    </w:p>
    <w:p w14:paraId="1B419226">
      <w:pPr>
        <w:pageBreakBefore w:val="0"/>
        <w:kinsoku/>
        <w:wordWrap/>
        <w:overflowPunct/>
        <w:topLinePunct w:val="0"/>
        <w:autoSpaceDE/>
        <w:autoSpaceDN/>
        <w:bidi w:val="0"/>
        <w:adjustRightInd w:val="0"/>
        <w:snapToGrid w:val="0"/>
        <w:spacing w:beforeAutospacing="0" w:afterAutospacing="0" w:line="360" w:lineRule="auto"/>
        <w:ind w:left="0" w:leftChars="0" w:firstLine="5280" w:firstLineChars="2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单位名称（</w:t>
      </w:r>
      <w:r>
        <w:rPr>
          <w:rFonts w:hint="eastAsia" w:ascii="仿宋" w:hAnsi="仿宋" w:eastAsia="仿宋" w:cs="仿宋"/>
          <w:color w:val="auto"/>
          <w:kern w:val="0"/>
          <w:sz w:val="24"/>
          <w:szCs w:val="24"/>
          <w:lang w:val="en-US" w:eastAsia="zh-CN"/>
        </w:rPr>
        <w:t>电子签章</w:t>
      </w:r>
      <w:r>
        <w:rPr>
          <w:rFonts w:hint="eastAsia" w:ascii="仿宋" w:hAnsi="仿宋" w:eastAsia="仿宋" w:cs="仿宋"/>
          <w:color w:val="auto"/>
          <w:kern w:val="0"/>
          <w:sz w:val="24"/>
          <w:szCs w:val="24"/>
        </w:rPr>
        <w:t>）：</w:t>
      </w:r>
    </w:p>
    <w:p w14:paraId="125F56D8">
      <w:pPr>
        <w:pageBreakBefore w:val="0"/>
        <w:widowControl/>
        <w:kinsoku/>
        <w:wordWrap/>
        <w:overflowPunct/>
        <w:topLinePunct w:val="0"/>
        <w:autoSpaceDE/>
        <w:autoSpaceDN/>
        <w:bidi w:val="0"/>
        <w:adjustRightInd w:val="0"/>
        <w:snapToGrid w:val="0"/>
        <w:spacing w:beforeAutospacing="0" w:afterAutospacing="0" w:line="360" w:lineRule="auto"/>
        <w:ind w:left="0" w:leftChars="0" w:firstLine="5280" w:firstLineChars="2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  期：</w:t>
      </w:r>
    </w:p>
    <w:p w14:paraId="563ECB2A">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60EB74F9">
      <w:pPr>
        <w:pStyle w:val="5"/>
        <w:pageBreakBefore w:val="0"/>
        <w:widowControl w:val="0"/>
        <w:kinsoku/>
        <w:wordWrap/>
        <w:overflowPunct/>
        <w:topLinePunct w:val="0"/>
        <w:autoSpaceDE/>
        <w:autoSpaceDN/>
        <w:bidi w:val="0"/>
        <w:adjustRightInd/>
        <w:snapToGrid/>
        <w:spacing w:before="0" w:after="0" w:line="360" w:lineRule="auto"/>
        <w:ind w:left="0" w:leftChars="0"/>
        <w:textAlignment w:val="auto"/>
        <w:outlineLvl w:val="3"/>
        <w:rPr>
          <w:rFonts w:hint="eastAsia" w:ascii="仿宋" w:hAnsi="仿宋" w:eastAsia="仿宋" w:cs="仿宋"/>
          <w:color w:val="auto"/>
          <w:sz w:val="24"/>
        </w:rPr>
      </w:pPr>
      <w:bookmarkStart w:id="177" w:name="_Toc71631937"/>
      <w:bookmarkStart w:id="178" w:name="_Toc19189"/>
      <w:bookmarkStart w:id="179" w:name="_Toc28543"/>
      <w:bookmarkStart w:id="180" w:name="OLE_LINK13"/>
      <w:bookmarkStart w:id="181" w:name="OLE_LINK14"/>
      <w:r>
        <w:rPr>
          <w:rFonts w:hint="eastAsia" w:ascii="仿宋" w:hAnsi="仿宋" w:eastAsia="仿宋" w:cs="仿宋"/>
          <w:color w:val="auto"/>
          <w:sz w:val="24"/>
          <w:lang w:val="en-US" w:eastAsia="zh-CN"/>
        </w:rPr>
        <w:t>附件3-7</w:t>
      </w:r>
      <w:r>
        <w:rPr>
          <w:rFonts w:hint="eastAsia" w:ascii="仿宋" w:hAnsi="仿宋" w:eastAsia="仿宋" w:cs="仿宋"/>
          <w:color w:val="auto"/>
          <w:sz w:val="24"/>
        </w:rPr>
        <w:t>-3  残疾人福利性单位声明函</w:t>
      </w:r>
      <w:bookmarkEnd w:id="177"/>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如是</w:t>
      </w:r>
      <w:r>
        <w:rPr>
          <w:rFonts w:hint="eastAsia" w:ascii="仿宋" w:hAnsi="仿宋" w:eastAsia="仿宋" w:cs="仿宋"/>
          <w:color w:val="auto"/>
          <w:sz w:val="24"/>
          <w:lang w:eastAsia="zh-CN"/>
        </w:rPr>
        <w:t>）</w:t>
      </w:r>
      <w:bookmarkEnd w:id="178"/>
      <w:bookmarkEnd w:id="179"/>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统一格式</w:t>
      </w:r>
      <w:r>
        <w:rPr>
          <w:rFonts w:hint="eastAsia" w:ascii="仿宋" w:hAnsi="仿宋" w:eastAsia="仿宋" w:cs="仿宋"/>
          <w:color w:val="auto"/>
          <w:sz w:val="24"/>
          <w:lang w:eastAsia="zh-CN"/>
        </w:rPr>
        <w:t>）</w:t>
      </w:r>
    </w:p>
    <w:bookmarkEnd w:id="180"/>
    <w:bookmarkEnd w:id="181"/>
    <w:p w14:paraId="7A66901E">
      <w:pPr>
        <w:pageBreakBefore w:val="0"/>
        <w:widowControl w:val="0"/>
        <w:kinsoku/>
        <w:wordWrap/>
        <w:overflowPunct/>
        <w:topLinePunct w:val="0"/>
        <w:autoSpaceDE/>
        <w:autoSpaceDN/>
        <w:bidi w:val="0"/>
        <w:adjustRightInd/>
        <w:snapToGrid/>
        <w:spacing w:line="360" w:lineRule="auto"/>
        <w:ind w:left="0" w:leftChars="0" w:hanging="540"/>
        <w:jc w:val="center"/>
        <w:textAlignment w:val="auto"/>
        <w:rPr>
          <w:rFonts w:hint="eastAsia" w:ascii="仿宋" w:hAnsi="仿宋" w:eastAsia="仿宋" w:cs="仿宋"/>
          <w:color w:val="auto"/>
          <w:kern w:val="0"/>
          <w:sz w:val="24"/>
          <w:szCs w:val="20"/>
        </w:rPr>
      </w:pPr>
    </w:p>
    <w:p w14:paraId="2DE2A674">
      <w:pPr>
        <w:pageBreakBefore w:val="0"/>
        <w:widowControl w:val="0"/>
        <w:kinsoku/>
        <w:wordWrap/>
        <w:overflowPunct/>
        <w:topLinePunct w:val="0"/>
        <w:autoSpaceDE/>
        <w:autoSpaceDN/>
        <w:bidi w:val="0"/>
        <w:adjustRightInd/>
        <w:snapToGrid/>
        <w:spacing w:line="360" w:lineRule="auto"/>
        <w:ind w:left="0" w:leftChars="0" w:firstLine="567"/>
        <w:textAlignment w:val="auto"/>
        <w:rPr>
          <w:rFonts w:hint="eastAsia" w:ascii="仿宋" w:hAnsi="仿宋" w:eastAsia="仿宋" w:cs="仿宋"/>
          <w:color w:val="auto"/>
          <w:kern w:val="0"/>
          <w:sz w:val="24"/>
          <w:szCs w:val="20"/>
        </w:rPr>
      </w:pPr>
    </w:p>
    <w:p w14:paraId="11CD4FE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0E6F1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本单位对上述声明的真实性负责。如有虚假，将依法承担相应责任。</w:t>
      </w:r>
    </w:p>
    <w:p w14:paraId="1EC9DC4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p>
    <w:p w14:paraId="54A50592">
      <w:pPr>
        <w:pageBreakBefore w:val="0"/>
        <w:widowControl w:val="0"/>
        <w:kinsoku/>
        <w:wordWrap/>
        <w:overflowPunct/>
        <w:topLinePunct w:val="0"/>
        <w:autoSpaceDE/>
        <w:autoSpaceDN/>
        <w:bidi w:val="0"/>
        <w:adjustRightInd/>
        <w:snapToGrid/>
        <w:spacing w:line="360" w:lineRule="auto"/>
        <w:ind w:left="0" w:leftChars="0" w:firstLine="624" w:firstLineChars="200"/>
        <w:textAlignment w:val="auto"/>
        <w:rPr>
          <w:rFonts w:hint="eastAsia" w:ascii="仿宋" w:hAnsi="仿宋" w:eastAsia="仿宋" w:cs="仿宋"/>
          <w:color w:val="auto"/>
          <w:spacing w:val="6"/>
          <w:sz w:val="30"/>
          <w:szCs w:val="30"/>
        </w:rPr>
      </w:pPr>
    </w:p>
    <w:p w14:paraId="466F603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单位名称（</w:t>
      </w:r>
      <w:r>
        <w:rPr>
          <w:rFonts w:hint="eastAsia" w:ascii="仿宋" w:hAnsi="仿宋" w:eastAsia="仿宋" w:cs="仿宋"/>
          <w:color w:val="auto"/>
          <w:kern w:val="0"/>
          <w:sz w:val="24"/>
          <w:lang w:val="en-US" w:eastAsia="zh-CN"/>
        </w:rPr>
        <w:t>电子签章</w:t>
      </w:r>
      <w:r>
        <w:rPr>
          <w:rFonts w:hint="eastAsia" w:ascii="仿宋" w:hAnsi="仿宋" w:eastAsia="仿宋" w:cs="仿宋"/>
          <w:color w:val="auto"/>
          <w:kern w:val="0"/>
          <w:sz w:val="24"/>
        </w:rPr>
        <w:t>）：</w:t>
      </w:r>
    </w:p>
    <w:p w14:paraId="2121D87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日  期：</w:t>
      </w:r>
    </w:p>
    <w:p w14:paraId="33FC710A">
      <w:pPr>
        <w:spacing w:line="360" w:lineRule="auto"/>
        <w:ind w:left="1080" w:leftChars="257" w:hanging="540"/>
        <w:jc w:val="center"/>
        <w:rPr>
          <w:rFonts w:hint="eastAsia" w:ascii="仿宋" w:hAnsi="仿宋" w:eastAsia="仿宋" w:cs="仿宋"/>
          <w:b/>
          <w:color w:val="auto"/>
          <w:kern w:val="0"/>
          <w:sz w:val="24"/>
          <w:szCs w:val="20"/>
        </w:rPr>
      </w:pPr>
    </w:p>
    <w:p w14:paraId="43E209AF">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1FA51390">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outlineLvl w:val="3"/>
        <w:rPr>
          <w:rFonts w:hint="eastAsia" w:ascii="仿宋" w:hAnsi="仿宋" w:eastAsia="仿宋" w:cs="仿宋"/>
          <w:b/>
          <w:bCs w:val="0"/>
          <w:color w:val="auto"/>
          <w:sz w:val="24"/>
          <w:lang w:val="en-US" w:eastAsia="zh-CN"/>
        </w:rPr>
      </w:pPr>
      <w:bookmarkStart w:id="182" w:name="_Toc20607"/>
      <w:bookmarkStart w:id="183" w:name="_Toc29152"/>
      <w:bookmarkStart w:id="184" w:name="_Toc71631940"/>
      <w:r>
        <w:rPr>
          <w:rFonts w:hint="eastAsia" w:ascii="仿宋" w:hAnsi="仿宋" w:eastAsia="仿宋" w:cs="仿宋"/>
          <w:b/>
          <w:bCs w:val="0"/>
          <w:color w:val="auto"/>
          <w:sz w:val="24"/>
          <w:lang w:val="en-US" w:eastAsia="zh-CN"/>
        </w:rPr>
        <w:t>附件3-</w:t>
      </w:r>
      <w:bookmarkStart w:id="185" w:name="_Toc2582330"/>
      <w:bookmarkStart w:id="186" w:name="_Toc532473516"/>
      <w:r>
        <w:rPr>
          <w:rFonts w:hint="eastAsia" w:ascii="仿宋" w:hAnsi="仿宋" w:eastAsia="仿宋" w:cs="仿宋"/>
          <w:b/>
          <w:bCs w:val="0"/>
          <w:color w:val="auto"/>
          <w:sz w:val="24"/>
          <w:lang w:val="en-US" w:eastAsia="zh-CN"/>
        </w:rPr>
        <w:t>8  评审所需要的其他商务文件</w:t>
      </w:r>
      <w:bookmarkEnd w:id="182"/>
      <w:bookmarkEnd w:id="183"/>
      <w:bookmarkEnd w:id="184"/>
      <w:bookmarkEnd w:id="185"/>
      <w:bookmarkEnd w:id="186"/>
    </w:p>
    <w:p w14:paraId="68AB6E6A">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b/>
          <w:bCs w:val="0"/>
          <w:color w:val="auto"/>
          <w:sz w:val="24"/>
          <w:lang w:val="en-US" w:eastAsia="zh-CN"/>
        </w:rPr>
      </w:pPr>
    </w:p>
    <w:p w14:paraId="51169920">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b/>
          <w:bCs w:val="0"/>
          <w:color w:val="auto"/>
          <w:sz w:val="24"/>
          <w:lang w:val="en-US" w:eastAsia="zh-CN"/>
        </w:rPr>
      </w:pPr>
    </w:p>
    <w:p w14:paraId="3189C8C1">
      <w:pPr>
        <w:rPr>
          <w:rFonts w:hint="eastAsia" w:ascii="仿宋" w:hAnsi="仿宋" w:eastAsia="仿宋" w:cs="仿宋"/>
          <w:b/>
          <w:bCs w:val="0"/>
          <w:color w:val="auto"/>
          <w:sz w:val="24"/>
          <w:lang w:val="en-US" w:eastAsia="zh-CN"/>
        </w:rPr>
      </w:pPr>
      <w:bookmarkStart w:id="187" w:name="_Toc71631941"/>
      <w:r>
        <w:rPr>
          <w:rFonts w:hint="eastAsia" w:ascii="仿宋" w:hAnsi="仿宋" w:eastAsia="仿宋" w:cs="仿宋"/>
          <w:b/>
          <w:bCs w:val="0"/>
          <w:color w:val="auto"/>
          <w:sz w:val="24"/>
          <w:lang w:val="en-US" w:eastAsia="zh-CN"/>
        </w:rPr>
        <w:br w:type="page"/>
      </w:r>
    </w:p>
    <w:p w14:paraId="6176D4B0">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outlineLvl w:val="9"/>
        <w:rPr>
          <w:rFonts w:hint="eastAsia" w:ascii="仿宋" w:hAnsi="仿宋" w:eastAsia="仿宋" w:cs="仿宋"/>
          <w:b/>
          <w:bCs w:val="0"/>
          <w:color w:val="auto"/>
          <w:sz w:val="24"/>
          <w:lang w:val="en-US" w:eastAsia="zh-CN"/>
        </w:rPr>
      </w:pPr>
      <w:bookmarkStart w:id="188" w:name="_Toc2602"/>
      <w:bookmarkStart w:id="189" w:name="_Toc29840"/>
      <w:r>
        <w:rPr>
          <w:rFonts w:hint="eastAsia" w:ascii="仿宋" w:hAnsi="仿宋" w:eastAsia="仿宋" w:cs="仿宋"/>
          <w:b/>
          <w:bCs w:val="0"/>
          <w:color w:val="auto"/>
          <w:sz w:val="24"/>
          <w:lang w:val="en-US" w:eastAsia="zh-CN"/>
        </w:rPr>
        <w:t>附件3-9  技术文件</w:t>
      </w:r>
      <w:bookmarkEnd w:id="187"/>
      <w:bookmarkEnd w:id="188"/>
      <w:bookmarkEnd w:id="189"/>
    </w:p>
    <w:p w14:paraId="50BD09C0">
      <w:pPr>
        <w:pStyle w:val="30"/>
        <w:pageBreakBefore w:val="0"/>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p>
    <w:p w14:paraId="15198C56">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投标人应根据招标文件第五章、第六章的规定自行编写， 详细叙述拟提供产品/服务情况。</w:t>
      </w:r>
    </w:p>
    <w:p w14:paraId="1074E99E">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包括，但不限于：</w:t>
      </w:r>
    </w:p>
    <w:p w14:paraId="334D066E">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1F56413D">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2.主要采购需求和性能的详细说明。</w:t>
      </w:r>
    </w:p>
    <w:p w14:paraId="230BCAF0">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3.从采购方开始使用至招标文件规定的服务期内正常、连续地使用所必须的备件和专用工具清单，包括备件和专用工具的货源及现行价格。</w:t>
      </w:r>
    </w:p>
    <w:p w14:paraId="28F4091B">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4.对照招标文件技术规格，逐条说明所提供服务已对招标文件的技术规格做出了实质性的响应，或申明与技术规格条文的偏差和例外。</w:t>
      </w:r>
    </w:p>
    <w:p w14:paraId="03EDAC60">
      <w:pPr>
        <w:spacing w:line="360" w:lineRule="auto"/>
        <w:outlineLvl w:val="9"/>
        <w:rPr>
          <w:rFonts w:hint="eastAsia" w:ascii="仿宋" w:hAnsi="仿宋" w:eastAsia="仿宋" w:cs="仿宋"/>
          <w:bCs/>
          <w:color w:val="auto"/>
          <w:spacing w:val="10"/>
          <w:kern w:val="0"/>
          <w:sz w:val="24"/>
          <w:szCs w:val="21"/>
          <w:lang w:val="en-US" w:eastAsia="zh-CN" w:bidi="ar-SA"/>
        </w:rPr>
      </w:pPr>
      <w:bookmarkStart w:id="190" w:name="_Toc26440"/>
      <w:bookmarkStart w:id="191" w:name="_Toc1859"/>
      <w:r>
        <w:rPr>
          <w:rFonts w:hint="eastAsia" w:ascii="仿宋" w:hAnsi="仿宋" w:eastAsia="仿宋" w:cs="仿宋"/>
          <w:bCs/>
          <w:color w:val="auto"/>
          <w:spacing w:val="10"/>
          <w:kern w:val="0"/>
          <w:sz w:val="24"/>
          <w:szCs w:val="21"/>
          <w:lang w:val="en-US" w:eastAsia="zh-CN" w:bidi="ar-SA"/>
        </w:rPr>
        <w:t>5.产品注册证或备案证明（需在有效期内）</w:t>
      </w:r>
      <w:bookmarkEnd w:id="190"/>
      <w:bookmarkEnd w:id="191"/>
    </w:p>
    <w:p w14:paraId="47D1B536">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6.售后服务方案；</w:t>
      </w:r>
    </w:p>
    <w:p w14:paraId="29D5A5A1">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7.招标文件要求的或投标人认为有必要提供的其他技术文件；</w:t>
      </w:r>
    </w:p>
    <w:p w14:paraId="2E3CB37C">
      <w:pPr>
        <w:pStyle w:val="30"/>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8.投标人认为其它需要说明的事宜。</w:t>
      </w:r>
    </w:p>
    <w:p w14:paraId="3D81C155">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47E9E785">
      <w:pPr>
        <w:pStyle w:val="5"/>
        <w:spacing w:before="1"/>
        <w:outlineLvl w:val="3"/>
        <w:rPr>
          <w:rFonts w:hint="eastAsia" w:ascii="仿宋" w:hAnsi="仿宋" w:eastAsia="仿宋" w:cs="仿宋"/>
          <w:color w:val="auto"/>
          <w:sz w:val="24"/>
          <w:szCs w:val="24"/>
        </w:rPr>
      </w:pPr>
      <w:bookmarkStart w:id="192" w:name="_Toc8281"/>
      <w:bookmarkStart w:id="193" w:name="_Toc3420"/>
      <w:r>
        <w:rPr>
          <w:rFonts w:hint="eastAsia" w:ascii="仿宋" w:hAnsi="仿宋" w:eastAsia="仿宋" w:cs="仿宋"/>
          <w:color w:val="auto"/>
          <w:sz w:val="24"/>
          <w:szCs w:val="24"/>
        </w:rPr>
        <w:t>附件</w:t>
      </w:r>
      <w:r>
        <w:rPr>
          <w:rFonts w:hint="eastAsia" w:ascii="仿宋" w:hAnsi="仿宋" w:eastAsia="仿宋" w:cs="仿宋"/>
          <w:color w:val="auto"/>
          <w:sz w:val="24"/>
          <w:szCs w:val="24"/>
          <w:lang w:val="en-US" w:eastAsia="zh-CN"/>
        </w:rPr>
        <w:t>3-10</w:t>
      </w:r>
      <w:r>
        <w:rPr>
          <w:rFonts w:hint="eastAsia" w:ascii="仿宋" w:hAnsi="仿宋" w:eastAsia="仿宋" w:cs="仿宋"/>
          <w:color w:val="auto"/>
          <w:sz w:val="24"/>
          <w:szCs w:val="24"/>
        </w:rPr>
        <w:t>（统一格式）保证金信息表</w:t>
      </w:r>
      <w:bookmarkEnd w:id="192"/>
      <w:bookmarkEnd w:id="193"/>
    </w:p>
    <w:p w14:paraId="512572A8">
      <w:pPr>
        <w:pStyle w:val="16"/>
        <w:spacing w:line="440" w:lineRule="exact"/>
        <w:jc w:val="center"/>
        <w:outlineLvl w:val="9"/>
        <w:rPr>
          <w:rFonts w:hint="eastAsia" w:ascii="仿宋" w:hAnsi="仿宋" w:eastAsia="仿宋" w:cs="仿宋"/>
          <w:b/>
          <w:color w:val="auto"/>
          <w:sz w:val="32"/>
          <w:szCs w:val="32"/>
        </w:rPr>
      </w:pPr>
    </w:p>
    <w:p w14:paraId="258B758C">
      <w:pPr>
        <w:pStyle w:val="16"/>
        <w:spacing w:line="440" w:lineRule="exact"/>
        <w:jc w:val="center"/>
        <w:outlineLvl w:val="9"/>
        <w:rPr>
          <w:rFonts w:hint="eastAsia" w:ascii="仿宋" w:hAnsi="仿宋" w:eastAsia="仿宋" w:cs="仿宋"/>
          <w:b/>
          <w:color w:val="auto"/>
          <w:sz w:val="32"/>
          <w:szCs w:val="32"/>
        </w:rPr>
      </w:pPr>
      <w:bookmarkStart w:id="194" w:name="_Toc28181"/>
      <w:bookmarkStart w:id="195" w:name="_Toc25967"/>
      <w:r>
        <w:rPr>
          <w:rFonts w:hint="eastAsia" w:ascii="仿宋" w:hAnsi="仿宋" w:eastAsia="仿宋" w:cs="仿宋"/>
          <w:b/>
          <w:color w:val="auto"/>
          <w:sz w:val="24"/>
          <w:szCs w:val="24"/>
        </w:rPr>
        <w:t>退还</w:t>
      </w:r>
      <w:r>
        <w:rPr>
          <w:rFonts w:hint="eastAsia" w:ascii="仿宋" w:hAnsi="仿宋" w:eastAsia="仿宋" w:cs="仿宋"/>
          <w:b/>
          <w:color w:val="auto"/>
          <w:sz w:val="24"/>
          <w:szCs w:val="24"/>
          <w:lang w:val="en-US" w:eastAsia="zh-CN"/>
        </w:rPr>
        <w:t>投标</w:t>
      </w:r>
      <w:r>
        <w:rPr>
          <w:rFonts w:hint="eastAsia" w:ascii="仿宋" w:hAnsi="仿宋" w:eastAsia="仿宋" w:cs="仿宋"/>
          <w:b/>
          <w:color w:val="auto"/>
          <w:sz w:val="24"/>
          <w:szCs w:val="24"/>
        </w:rPr>
        <w:t>保证金申请函</w:t>
      </w:r>
      <w:bookmarkEnd w:id="194"/>
      <w:bookmarkEnd w:id="195"/>
    </w:p>
    <w:p w14:paraId="46A2D030">
      <w:pPr>
        <w:spacing w:line="360" w:lineRule="auto"/>
        <w:rPr>
          <w:rFonts w:hint="eastAsia" w:ascii="仿宋" w:hAnsi="仿宋" w:eastAsia="仿宋" w:cs="仿宋"/>
          <w:color w:val="auto"/>
          <w:sz w:val="21"/>
          <w:szCs w:val="21"/>
          <w:u w:val="single"/>
          <w:lang w:val="en-US" w:eastAsia="zh-CN"/>
        </w:rPr>
      </w:pPr>
      <w:r>
        <w:rPr>
          <w:rFonts w:hint="eastAsia" w:ascii="仿宋" w:hAnsi="仿宋" w:eastAsia="仿宋" w:cs="仿宋"/>
          <w:color w:val="auto"/>
          <w:sz w:val="21"/>
          <w:szCs w:val="21"/>
        </w:rPr>
        <w:t>致：</w:t>
      </w:r>
      <w:r>
        <w:rPr>
          <w:rFonts w:hint="eastAsia" w:ascii="仿宋" w:hAnsi="仿宋" w:eastAsia="仿宋" w:cs="仿宋"/>
          <w:color w:val="auto"/>
          <w:sz w:val="21"/>
          <w:szCs w:val="21"/>
          <w:u w:val="single"/>
          <w:lang w:eastAsia="zh-CN"/>
        </w:rPr>
        <w:t>中科建疆工程管理有限公司</w:t>
      </w:r>
    </w:p>
    <w:p w14:paraId="33D62989">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u w:val="single"/>
        </w:rPr>
        <w:t>（</w:t>
      </w:r>
      <w:r>
        <w:rPr>
          <w:rFonts w:hint="eastAsia" w:ascii="仿宋" w:hAnsi="仿宋" w:eastAsia="仿宋" w:cs="仿宋"/>
          <w:color w:val="auto"/>
          <w:sz w:val="21"/>
          <w:szCs w:val="21"/>
          <w:u w:val="single"/>
          <w:lang w:val="en-US" w:eastAsia="zh-CN"/>
        </w:rPr>
        <w:t>投标人</w:t>
      </w:r>
      <w:r>
        <w:rPr>
          <w:rFonts w:hint="eastAsia" w:ascii="仿宋" w:hAnsi="仿宋" w:eastAsia="仿宋" w:cs="仿宋"/>
          <w:color w:val="auto"/>
          <w:sz w:val="21"/>
          <w:szCs w:val="21"/>
          <w:u w:val="single"/>
        </w:rPr>
        <w:t xml:space="preserve">全称) </w:t>
      </w:r>
      <w:r>
        <w:rPr>
          <w:rFonts w:hint="eastAsia" w:ascii="仿宋" w:hAnsi="仿宋" w:eastAsia="仿宋" w:cs="仿宋"/>
          <w:color w:val="auto"/>
          <w:sz w:val="21"/>
          <w:szCs w:val="21"/>
        </w:rPr>
        <w:t>参加贵方组织的，</w:t>
      </w:r>
      <w:r>
        <w:rPr>
          <w:rFonts w:hint="eastAsia" w:ascii="仿宋" w:hAnsi="仿宋" w:eastAsia="仿宋" w:cs="仿宋"/>
          <w:b w:val="0"/>
          <w:bCs w:val="0"/>
          <w:color w:val="auto"/>
          <w:sz w:val="21"/>
          <w:szCs w:val="21"/>
          <w:u w:val="single"/>
          <w:lang w:val="en-US" w:eastAsia="zh-CN"/>
        </w:rPr>
        <w:t>（项目名称）（项目编号）</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采购活动。按</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文件的规定，已通过</w:t>
      </w:r>
      <w:r>
        <w:rPr>
          <w:rFonts w:hint="eastAsia" w:ascii="仿宋" w:hAnsi="仿宋" w:eastAsia="仿宋" w:cs="仿宋"/>
          <w:color w:val="auto"/>
          <w:sz w:val="21"/>
          <w:szCs w:val="21"/>
          <w:u w:val="single"/>
        </w:rPr>
        <w:t>银行转帐/银行汇款</w:t>
      </w:r>
      <w:r>
        <w:rPr>
          <w:rFonts w:hint="eastAsia" w:ascii="仿宋" w:hAnsi="仿宋" w:eastAsia="仿宋" w:cs="仿宋"/>
          <w:color w:val="auto"/>
          <w:sz w:val="21"/>
          <w:szCs w:val="21"/>
        </w:rPr>
        <w:t>形式缴纳人民币</w:t>
      </w:r>
      <w:r>
        <w:rPr>
          <w:rFonts w:hint="eastAsia" w:ascii="仿宋" w:hAnsi="仿宋" w:eastAsia="仿宋" w:cs="仿宋"/>
          <w:color w:val="auto"/>
          <w:sz w:val="21"/>
          <w:szCs w:val="21"/>
          <w:u w:val="single"/>
        </w:rPr>
        <w:t xml:space="preserve">（大写）  　　  </w:t>
      </w:r>
      <w:r>
        <w:rPr>
          <w:rFonts w:hint="eastAsia" w:ascii="仿宋" w:hAnsi="仿宋" w:eastAsia="仿宋" w:cs="仿宋"/>
          <w:color w:val="auto"/>
          <w:sz w:val="21"/>
          <w:szCs w:val="21"/>
        </w:rPr>
        <w:t>元的保证金。</w:t>
      </w:r>
    </w:p>
    <w:p w14:paraId="773C9A11">
      <w:pPr>
        <w:autoSpaceDE w:val="0"/>
        <w:autoSpaceDN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退还保证金时请按以下内容划入我方帐户。若因内容不全、错误、字迹潦草模糊导致该项目保证金未能及时退还或退还过程中发生错误，我方将承担全部责任和损失。</w:t>
      </w:r>
    </w:p>
    <w:p w14:paraId="655469B6">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投标人开户</w:t>
      </w:r>
      <w:r>
        <w:rPr>
          <w:rFonts w:hint="eastAsia" w:ascii="仿宋" w:hAnsi="仿宋" w:eastAsia="仿宋" w:cs="仿宋"/>
          <w:color w:val="auto"/>
          <w:sz w:val="21"/>
          <w:szCs w:val="21"/>
        </w:rPr>
        <w:t>名称：</w:t>
      </w:r>
      <w:r>
        <w:rPr>
          <w:rFonts w:hint="eastAsia" w:ascii="仿宋" w:hAnsi="仿宋" w:eastAsia="仿宋" w:cs="仿宋"/>
          <w:i/>
          <w:iCs/>
          <w:color w:val="auto"/>
          <w:sz w:val="21"/>
          <w:szCs w:val="21"/>
          <w:u w:val="single"/>
        </w:rPr>
        <w:t xml:space="preserve">                                 </w:t>
      </w:r>
      <w:r>
        <w:rPr>
          <w:rFonts w:hint="eastAsia" w:ascii="仿宋" w:hAnsi="仿宋" w:eastAsia="仿宋" w:cs="仿宋"/>
          <w:color w:val="auto"/>
          <w:sz w:val="21"/>
          <w:szCs w:val="21"/>
        </w:rPr>
        <w:t xml:space="preserve"> </w:t>
      </w:r>
    </w:p>
    <w:p w14:paraId="25CCEE9D">
      <w:pPr>
        <w:spacing w:line="360" w:lineRule="auto"/>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银行帐号：</w:t>
      </w:r>
      <w:r>
        <w:rPr>
          <w:rFonts w:hint="eastAsia" w:ascii="仿宋" w:hAnsi="仿宋" w:eastAsia="仿宋" w:cs="仿宋"/>
          <w:color w:val="auto"/>
          <w:sz w:val="21"/>
          <w:szCs w:val="21"/>
          <w:u w:val="single"/>
        </w:rPr>
        <w:t xml:space="preserve">                             </w:t>
      </w:r>
    </w:p>
    <w:p w14:paraId="4E83A9B8">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开户银行：</w:t>
      </w:r>
      <w:r>
        <w:rPr>
          <w:rFonts w:hint="eastAsia" w:ascii="仿宋" w:hAnsi="仿宋" w:eastAsia="仿宋" w:cs="仿宋"/>
          <w:color w:val="auto"/>
          <w:sz w:val="21"/>
          <w:szCs w:val="21"/>
          <w:u w:val="single"/>
        </w:rPr>
        <w:t xml:space="preserve">                             </w:t>
      </w:r>
    </w:p>
    <w:p w14:paraId="03EF6E11">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开户银行行号：</w:t>
      </w:r>
      <w:r>
        <w:rPr>
          <w:rFonts w:hint="eastAsia" w:ascii="仿宋" w:hAnsi="仿宋" w:eastAsia="仿宋" w:cs="仿宋"/>
          <w:color w:val="auto"/>
          <w:sz w:val="21"/>
          <w:szCs w:val="21"/>
          <w:u w:val="single"/>
        </w:rPr>
        <w:t xml:space="preserve">                         </w:t>
      </w:r>
    </w:p>
    <w:p w14:paraId="45075FE1">
      <w:pPr>
        <w:adjustRightInd w:val="0"/>
        <w:snapToGrid w:val="0"/>
        <w:spacing w:line="360" w:lineRule="auto"/>
        <w:rPr>
          <w:rFonts w:hint="eastAsia" w:ascii="仿宋" w:hAnsi="仿宋" w:eastAsia="仿宋" w:cs="仿宋"/>
          <w:color w:val="auto"/>
          <w:sz w:val="21"/>
          <w:szCs w:val="21"/>
        </w:rPr>
      </w:pPr>
    </w:p>
    <w:p w14:paraId="69E3E872">
      <w:pPr>
        <w:pStyle w:val="16"/>
        <w:spacing w:line="440" w:lineRule="exact"/>
        <w:jc w:val="both"/>
        <w:rPr>
          <w:rFonts w:hint="default" w:ascii="仿宋" w:hAnsi="仿宋" w:eastAsia="仿宋" w:cs="仿宋"/>
          <w:bCs/>
          <w:color w:val="auto"/>
          <w:sz w:val="21"/>
          <w:szCs w:val="21"/>
          <w:lang w:val="en-US" w:eastAsia="zh-CN"/>
        </w:rPr>
      </w:pPr>
      <w:r>
        <w:rPr>
          <w:rFonts w:hint="eastAsia" w:ascii="仿宋" w:hAnsi="仿宋" w:eastAsia="仿宋" w:cs="仿宋"/>
          <w:color w:val="auto"/>
          <w:sz w:val="21"/>
          <w:szCs w:val="21"/>
        </w:rPr>
        <w:t>法定代表人或其授权代理人</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val="en-US" w:eastAsia="zh-CN"/>
        </w:rPr>
        <w:t>电子</w:t>
      </w:r>
      <w:r>
        <w:rPr>
          <w:rFonts w:hint="eastAsia" w:ascii="仿宋" w:hAnsi="仿宋" w:eastAsia="仿宋" w:cs="仿宋"/>
          <w:color w:val="auto"/>
          <w:sz w:val="21"/>
          <w:szCs w:val="21"/>
          <w:u w:val="none"/>
        </w:rPr>
        <w:t>签章）</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lang w:val="en-US" w:eastAsia="zh-CN"/>
        </w:rPr>
        <w:t xml:space="preserve">          </w:t>
      </w:r>
    </w:p>
    <w:p w14:paraId="63AF2FA9">
      <w:pPr>
        <w:pStyle w:val="16"/>
        <w:spacing w:line="440" w:lineRule="exact"/>
        <w:jc w:val="both"/>
        <w:rPr>
          <w:rFonts w:hint="eastAsia" w:ascii="仿宋" w:hAnsi="仿宋" w:eastAsia="仿宋" w:cs="仿宋"/>
          <w:b/>
          <w:color w:val="auto"/>
          <w:sz w:val="21"/>
          <w:szCs w:val="21"/>
        </w:rPr>
      </w:pPr>
      <w:r>
        <w:rPr>
          <w:rFonts w:hint="eastAsia" w:ascii="仿宋" w:hAnsi="仿宋" w:eastAsia="仿宋" w:cs="仿宋"/>
          <w:b/>
          <w:color w:val="auto"/>
          <w:sz w:val="21"/>
          <w:szCs w:val="21"/>
        </w:rPr>
        <w:t>注：为方便代理机构后续退款事宜，请</w:t>
      </w:r>
      <w:r>
        <w:rPr>
          <w:rFonts w:hint="eastAsia" w:ascii="仿宋" w:hAnsi="仿宋" w:eastAsia="仿宋" w:cs="仿宋"/>
          <w:b/>
          <w:color w:val="auto"/>
          <w:sz w:val="21"/>
          <w:szCs w:val="21"/>
          <w:lang w:val="en-US" w:eastAsia="zh-CN"/>
        </w:rPr>
        <w:t>投标人</w:t>
      </w:r>
      <w:r>
        <w:rPr>
          <w:rFonts w:hint="eastAsia" w:ascii="仿宋" w:hAnsi="仿宋" w:eastAsia="仿宋" w:cs="仿宋"/>
          <w:b/>
          <w:color w:val="auto"/>
          <w:sz w:val="21"/>
          <w:szCs w:val="21"/>
        </w:rPr>
        <w:t>认真填写此函信息，并后附转帐或汇款的银行凭证</w:t>
      </w:r>
      <w:r>
        <w:rPr>
          <w:rFonts w:hint="eastAsia" w:ascii="仿宋" w:hAnsi="仿宋" w:eastAsia="仿宋" w:cs="仿宋"/>
          <w:b/>
          <w:color w:val="auto"/>
          <w:sz w:val="21"/>
          <w:szCs w:val="21"/>
          <w:lang w:eastAsia="zh-CN"/>
        </w:rPr>
        <w:t>扫描件</w:t>
      </w:r>
      <w:r>
        <w:rPr>
          <w:rFonts w:hint="eastAsia" w:ascii="仿宋" w:hAnsi="仿宋" w:eastAsia="仿宋" w:cs="仿宋"/>
          <w:b/>
          <w:color w:val="auto"/>
          <w:sz w:val="21"/>
          <w:szCs w:val="21"/>
        </w:rPr>
        <w:t>。</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42CF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09F33F57">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（粘贴转帐或汇款的银行凭证</w:t>
            </w:r>
            <w:r>
              <w:rPr>
                <w:rFonts w:hint="eastAsia" w:ascii="仿宋" w:hAnsi="仿宋" w:eastAsia="仿宋" w:cs="仿宋"/>
                <w:color w:val="auto"/>
                <w:sz w:val="21"/>
                <w:szCs w:val="21"/>
                <w:lang w:eastAsia="zh-CN"/>
              </w:rPr>
              <w:t>扫描件</w:t>
            </w:r>
            <w:r>
              <w:rPr>
                <w:rFonts w:hint="eastAsia" w:ascii="仿宋" w:hAnsi="仿宋" w:eastAsia="仿宋" w:cs="仿宋"/>
                <w:color w:val="auto"/>
                <w:sz w:val="21"/>
                <w:szCs w:val="21"/>
              </w:rPr>
              <w:t>）</w:t>
            </w:r>
          </w:p>
        </w:tc>
      </w:tr>
    </w:tbl>
    <w:p w14:paraId="587BE462">
      <w:pPr>
        <w:pStyle w:val="12"/>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rPr>
      </w:pPr>
    </w:p>
    <w:p w14:paraId="2D53A4B9">
      <w:pPr>
        <w:rPr>
          <w:rFonts w:hint="eastAsia" w:ascii="仿宋" w:hAnsi="仿宋" w:eastAsia="仿宋" w:cs="仿宋"/>
          <w:color w:val="auto"/>
          <w:sz w:val="21"/>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C1C97B1-1BEE-4A44-B408-AF23C61FDF9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E9EF6B4-007E-4587-B781-8FA715450CCB}"/>
  </w:font>
  <w:font w:name="楷体">
    <w:panose1 w:val="02010609060101010101"/>
    <w:charset w:val="86"/>
    <w:family w:val="modern"/>
    <w:pitch w:val="default"/>
    <w:sig w:usb0="800002BF" w:usb1="38CF7CFA" w:usb2="00000016" w:usb3="00000000" w:csb0="00040001" w:csb1="00000000"/>
    <w:embedRegular r:id="rId3" w:fontKey="{34DEA385-111E-4767-947E-5AD9C4D34B58}"/>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986F2878-32EB-4616-A810-2F9C44D20794}"/>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embedRegular r:id="rId5" w:fontKey="{45F84378-FC31-48F0-B8F8-EF93C95F34B2}"/>
  </w:font>
  <w:font w:name="仿宋_GB2312">
    <w:panose1 w:val="02010609030101010101"/>
    <w:charset w:val="86"/>
    <w:family w:val="modern"/>
    <w:pitch w:val="default"/>
    <w:sig w:usb0="00000001" w:usb1="080E0000" w:usb2="00000000" w:usb3="00000000" w:csb0="00040000" w:csb1="00000000"/>
    <w:embedRegular r:id="rId6" w:fontKey="{ADD03C96-4FCF-4658-91DF-967A0E4D42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755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8A4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618A4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4993">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635E5">
                          <w:pPr>
                            <w:pStyle w:val="16"/>
                          </w:pPr>
                          <w:r>
                            <w:fldChar w:fldCharType="begin"/>
                          </w:r>
                          <w:r>
                            <w:instrText xml:space="preserve"> PAGE  \* MERGEFORMAT </w:instrText>
                          </w:r>
                          <w:r>
                            <w:fldChar w:fldCharType="separate"/>
                          </w:r>
                          <w:r>
                            <w:t>108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1635E5">
                    <w:pPr>
                      <w:pStyle w:val="16"/>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01D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8D618">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F8D618">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5582">
    <w:pPr>
      <w:pStyle w:val="16"/>
      <w:ind w:right="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A0EEC">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9A0EEC">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393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8C48C450"/>
    <w:multiLevelType w:val="singleLevel"/>
    <w:tmpl w:val="8C48C450"/>
    <w:lvl w:ilvl="0" w:tentative="0">
      <w:start w:val="5"/>
      <w:numFmt w:val="chineseCounting"/>
      <w:suff w:val="space"/>
      <w:lvlText w:val="第%1章"/>
      <w:lvlJc w:val="left"/>
      <w:rPr>
        <w:rFonts w:hint="eastAsia"/>
      </w:rPr>
    </w:lvl>
  </w:abstractNum>
  <w:abstractNum w:abstractNumId="2">
    <w:nsid w:val="BD53D879"/>
    <w:multiLevelType w:val="singleLevel"/>
    <w:tmpl w:val="BD53D879"/>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15E2F75"/>
    <w:multiLevelType w:val="singleLevel"/>
    <w:tmpl w:val="F15E2F75"/>
    <w:lvl w:ilvl="0" w:tentative="0">
      <w:start w:val="2"/>
      <w:numFmt w:val="decimal"/>
      <w:suff w:val="nothing"/>
      <w:lvlText w:val="%1、"/>
      <w:lvlJc w:val="left"/>
    </w:lvl>
  </w:abstractNum>
  <w:abstractNum w:abstractNumId="9">
    <w:nsid w:val="F6EC052D"/>
    <w:multiLevelType w:val="singleLevel"/>
    <w:tmpl w:val="F6EC052D"/>
    <w:lvl w:ilvl="0" w:tentative="0">
      <w:start w:val="1"/>
      <w:numFmt w:val="decimal"/>
      <w:suff w:val="nothing"/>
      <w:lvlText w:val="%1、"/>
      <w:lvlJc w:val="left"/>
    </w:lvl>
  </w:abstractNum>
  <w:abstractNum w:abstractNumId="10">
    <w:nsid w:val="F8E3D2D6"/>
    <w:multiLevelType w:val="singleLevel"/>
    <w:tmpl w:val="F8E3D2D6"/>
    <w:lvl w:ilvl="0" w:tentative="0">
      <w:start w:val="1"/>
      <w:numFmt w:val="decimal"/>
      <w:suff w:val="nothing"/>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E945F39"/>
    <w:multiLevelType w:val="singleLevel"/>
    <w:tmpl w:val="0E945F39"/>
    <w:lvl w:ilvl="0" w:tentative="0">
      <w:start w:val="15"/>
      <w:numFmt w:val="decimal"/>
      <w:suff w:val="space"/>
      <w:lvlText w:val="%1."/>
      <w:lvlJc w:val="left"/>
    </w:lvl>
  </w:abstractNum>
  <w:abstractNum w:abstractNumId="13">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33619BF"/>
    <w:multiLevelType w:val="singleLevel"/>
    <w:tmpl w:val="633619BF"/>
    <w:lvl w:ilvl="0" w:tentative="0">
      <w:start w:val="1"/>
      <w:numFmt w:val="decimal"/>
      <w:suff w:val="space"/>
      <w:lvlText w:val="%1."/>
      <w:lvlJc w:val="left"/>
    </w:lvl>
  </w:abstractNum>
  <w:abstractNum w:abstractNumId="16">
    <w:nsid w:val="73B67362"/>
    <w:multiLevelType w:val="singleLevel"/>
    <w:tmpl w:val="73B67362"/>
    <w:lvl w:ilvl="0" w:tentative="0">
      <w:start w:val="1"/>
      <w:numFmt w:val="decimal"/>
      <w:suff w:val="nothing"/>
      <w:lvlText w:val="%1、"/>
      <w:lvlJc w:val="left"/>
    </w:lvl>
  </w:abstractNum>
  <w:abstractNum w:abstractNumId="17">
    <w:nsid w:val="7A0F6431"/>
    <w:multiLevelType w:val="singleLevel"/>
    <w:tmpl w:val="7A0F6431"/>
    <w:lvl w:ilvl="0" w:tentative="0">
      <w:start w:val="1"/>
      <w:numFmt w:val="decimal"/>
      <w:suff w:val="space"/>
      <w:lvlText w:val="%1."/>
      <w:lvlJc w:val="left"/>
    </w:lvl>
  </w:abstractNum>
  <w:num w:numId="1">
    <w:abstractNumId w:val="16"/>
  </w:num>
  <w:num w:numId="2">
    <w:abstractNumId w:val="8"/>
  </w:num>
  <w:num w:numId="3">
    <w:abstractNumId w:val="12"/>
  </w:num>
  <w:num w:numId="4">
    <w:abstractNumId w:val="17"/>
  </w:num>
  <w:num w:numId="5">
    <w:abstractNumId w:val="4"/>
  </w:num>
  <w:num w:numId="6">
    <w:abstractNumId w:val="11"/>
  </w:num>
  <w:num w:numId="7">
    <w:abstractNumId w:val="6"/>
  </w:num>
  <w:num w:numId="8">
    <w:abstractNumId w:val="5"/>
  </w:num>
  <w:num w:numId="9">
    <w:abstractNumId w:val="3"/>
  </w:num>
  <w:num w:numId="10">
    <w:abstractNumId w:val="7"/>
  </w:num>
  <w:num w:numId="11">
    <w:abstractNumId w:val="1"/>
  </w:num>
  <w:num w:numId="12">
    <w:abstractNumId w:val="14"/>
  </w:num>
  <w:num w:numId="13">
    <w:abstractNumId w:val="13"/>
  </w:num>
  <w:num w:numId="14">
    <w:abstractNumId w:val="15"/>
  </w:num>
  <w:num w:numId="15">
    <w:abstractNumId w:val="2"/>
  </w:num>
  <w:num w:numId="16">
    <w:abstractNumId w:val="10"/>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MyZjhlODg5MDBkZjU3MDA4MjFmNDljMzQwZjIifQ=="/>
  </w:docVars>
  <w:rsids>
    <w:rsidRoot w:val="19341EB2"/>
    <w:rsid w:val="003250E8"/>
    <w:rsid w:val="003B643A"/>
    <w:rsid w:val="00574E4C"/>
    <w:rsid w:val="00961913"/>
    <w:rsid w:val="00FB4547"/>
    <w:rsid w:val="01527EDF"/>
    <w:rsid w:val="01651067"/>
    <w:rsid w:val="01804A4C"/>
    <w:rsid w:val="0208713A"/>
    <w:rsid w:val="0208777C"/>
    <w:rsid w:val="024617F2"/>
    <w:rsid w:val="0269287C"/>
    <w:rsid w:val="029E06D9"/>
    <w:rsid w:val="02D54924"/>
    <w:rsid w:val="02E9543A"/>
    <w:rsid w:val="03177C94"/>
    <w:rsid w:val="03724869"/>
    <w:rsid w:val="03B870CA"/>
    <w:rsid w:val="03EA3B15"/>
    <w:rsid w:val="043B190D"/>
    <w:rsid w:val="047311E8"/>
    <w:rsid w:val="05225C08"/>
    <w:rsid w:val="053007BD"/>
    <w:rsid w:val="056075D1"/>
    <w:rsid w:val="05685851"/>
    <w:rsid w:val="05A66A19"/>
    <w:rsid w:val="05A748EF"/>
    <w:rsid w:val="05BE78F1"/>
    <w:rsid w:val="06170092"/>
    <w:rsid w:val="06510766"/>
    <w:rsid w:val="069A2461"/>
    <w:rsid w:val="069E2D2B"/>
    <w:rsid w:val="06C071FE"/>
    <w:rsid w:val="07C63FEA"/>
    <w:rsid w:val="08295284"/>
    <w:rsid w:val="09075DF1"/>
    <w:rsid w:val="09E244F6"/>
    <w:rsid w:val="0A2D3298"/>
    <w:rsid w:val="0ABA1EC3"/>
    <w:rsid w:val="0AFA52EB"/>
    <w:rsid w:val="0B22520C"/>
    <w:rsid w:val="0B73203F"/>
    <w:rsid w:val="0BBC48D3"/>
    <w:rsid w:val="0BE36B6C"/>
    <w:rsid w:val="0BF26547"/>
    <w:rsid w:val="0C4C55F4"/>
    <w:rsid w:val="0C786DEC"/>
    <w:rsid w:val="0CCF7F92"/>
    <w:rsid w:val="0CDA3674"/>
    <w:rsid w:val="0CF81CF5"/>
    <w:rsid w:val="0D362375"/>
    <w:rsid w:val="0D882F0E"/>
    <w:rsid w:val="0E6F2475"/>
    <w:rsid w:val="0ED07756"/>
    <w:rsid w:val="0F542732"/>
    <w:rsid w:val="0FF96855"/>
    <w:rsid w:val="101013AC"/>
    <w:rsid w:val="101E3247"/>
    <w:rsid w:val="10911D17"/>
    <w:rsid w:val="10A047C3"/>
    <w:rsid w:val="10B57A43"/>
    <w:rsid w:val="11380EA0"/>
    <w:rsid w:val="11C24C0D"/>
    <w:rsid w:val="12212400"/>
    <w:rsid w:val="124339DF"/>
    <w:rsid w:val="125D09B5"/>
    <w:rsid w:val="127533B2"/>
    <w:rsid w:val="12884AE6"/>
    <w:rsid w:val="128F31DD"/>
    <w:rsid w:val="12B272D8"/>
    <w:rsid w:val="133470C2"/>
    <w:rsid w:val="137572E1"/>
    <w:rsid w:val="13A44936"/>
    <w:rsid w:val="13AE269A"/>
    <w:rsid w:val="13CE5AEB"/>
    <w:rsid w:val="14126712"/>
    <w:rsid w:val="1471694C"/>
    <w:rsid w:val="148717CC"/>
    <w:rsid w:val="14B8631E"/>
    <w:rsid w:val="14E85A38"/>
    <w:rsid w:val="14F20AAB"/>
    <w:rsid w:val="15215471"/>
    <w:rsid w:val="153951E6"/>
    <w:rsid w:val="159B19FD"/>
    <w:rsid w:val="159D506B"/>
    <w:rsid w:val="15B14CB7"/>
    <w:rsid w:val="15E22455"/>
    <w:rsid w:val="167D26BA"/>
    <w:rsid w:val="16F413C5"/>
    <w:rsid w:val="170E5215"/>
    <w:rsid w:val="171001C9"/>
    <w:rsid w:val="171125C2"/>
    <w:rsid w:val="174B576F"/>
    <w:rsid w:val="17A41E86"/>
    <w:rsid w:val="17CF3BE0"/>
    <w:rsid w:val="18E64881"/>
    <w:rsid w:val="19341EB2"/>
    <w:rsid w:val="197C5623"/>
    <w:rsid w:val="19AE38FB"/>
    <w:rsid w:val="1A8748B4"/>
    <w:rsid w:val="1A97379A"/>
    <w:rsid w:val="1ACC4407"/>
    <w:rsid w:val="1AF9460C"/>
    <w:rsid w:val="1B0818E3"/>
    <w:rsid w:val="1B245FF1"/>
    <w:rsid w:val="1B724FAE"/>
    <w:rsid w:val="1BE22A05"/>
    <w:rsid w:val="1C1319BC"/>
    <w:rsid w:val="1C6F00EA"/>
    <w:rsid w:val="1CED6FE2"/>
    <w:rsid w:val="1CF70F42"/>
    <w:rsid w:val="1CFB3A4C"/>
    <w:rsid w:val="1D0460DA"/>
    <w:rsid w:val="1D903E12"/>
    <w:rsid w:val="1D9E6974"/>
    <w:rsid w:val="1DBD1EF8"/>
    <w:rsid w:val="1E34138D"/>
    <w:rsid w:val="1E6A5646"/>
    <w:rsid w:val="1E710329"/>
    <w:rsid w:val="1E8269F2"/>
    <w:rsid w:val="1E97362F"/>
    <w:rsid w:val="1EBD71B4"/>
    <w:rsid w:val="1EE9133A"/>
    <w:rsid w:val="1F200027"/>
    <w:rsid w:val="1F2A507F"/>
    <w:rsid w:val="1F814C0C"/>
    <w:rsid w:val="1FCA360B"/>
    <w:rsid w:val="1FDB32ED"/>
    <w:rsid w:val="201F11C5"/>
    <w:rsid w:val="202A40A9"/>
    <w:rsid w:val="207D067D"/>
    <w:rsid w:val="208C72CE"/>
    <w:rsid w:val="208E2217"/>
    <w:rsid w:val="20F63C58"/>
    <w:rsid w:val="213E4C31"/>
    <w:rsid w:val="216058A9"/>
    <w:rsid w:val="21A47E8B"/>
    <w:rsid w:val="21E27E7A"/>
    <w:rsid w:val="21F11323"/>
    <w:rsid w:val="2254626A"/>
    <w:rsid w:val="22DD74E4"/>
    <w:rsid w:val="22E368A3"/>
    <w:rsid w:val="23160915"/>
    <w:rsid w:val="232B5C53"/>
    <w:rsid w:val="23890369"/>
    <w:rsid w:val="239C7C69"/>
    <w:rsid w:val="248024EA"/>
    <w:rsid w:val="25487419"/>
    <w:rsid w:val="25F22A45"/>
    <w:rsid w:val="26064C71"/>
    <w:rsid w:val="263C16B1"/>
    <w:rsid w:val="263E3D97"/>
    <w:rsid w:val="265A0FF2"/>
    <w:rsid w:val="26603745"/>
    <w:rsid w:val="26C3061C"/>
    <w:rsid w:val="276B6E49"/>
    <w:rsid w:val="27F56E70"/>
    <w:rsid w:val="289D0CA4"/>
    <w:rsid w:val="28C66939"/>
    <w:rsid w:val="28EF7C3E"/>
    <w:rsid w:val="295834A8"/>
    <w:rsid w:val="29C410CB"/>
    <w:rsid w:val="2A61742B"/>
    <w:rsid w:val="2ABF56F1"/>
    <w:rsid w:val="2ACD2137"/>
    <w:rsid w:val="2AF85413"/>
    <w:rsid w:val="2B0B1533"/>
    <w:rsid w:val="2B397896"/>
    <w:rsid w:val="2B604E23"/>
    <w:rsid w:val="2B6A7A50"/>
    <w:rsid w:val="2B7A4EF5"/>
    <w:rsid w:val="2BB61CA3"/>
    <w:rsid w:val="2C79460B"/>
    <w:rsid w:val="2D483DC1"/>
    <w:rsid w:val="2DBE4083"/>
    <w:rsid w:val="2DFC6014"/>
    <w:rsid w:val="2E114810"/>
    <w:rsid w:val="2E8568E5"/>
    <w:rsid w:val="2E913546"/>
    <w:rsid w:val="2EB106E3"/>
    <w:rsid w:val="2EB96831"/>
    <w:rsid w:val="2F3D6784"/>
    <w:rsid w:val="2FA43479"/>
    <w:rsid w:val="2FBC6F6E"/>
    <w:rsid w:val="30071D11"/>
    <w:rsid w:val="307A0DB5"/>
    <w:rsid w:val="310854B6"/>
    <w:rsid w:val="310915F5"/>
    <w:rsid w:val="31431831"/>
    <w:rsid w:val="314F167D"/>
    <w:rsid w:val="31BC2B22"/>
    <w:rsid w:val="328412EF"/>
    <w:rsid w:val="32D10452"/>
    <w:rsid w:val="330603D7"/>
    <w:rsid w:val="3310632C"/>
    <w:rsid w:val="332359AB"/>
    <w:rsid w:val="33EA0182"/>
    <w:rsid w:val="33FA3E2F"/>
    <w:rsid w:val="34186C1D"/>
    <w:rsid w:val="34B16F7C"/>
    <w:rsid w:val="35102F74"/>
    <w:rsid w:val="35243365"/>
    <w:rsid w:val="35286238"/>
    <w:rsid w:val="35805AE3"/>
    <w:rsid w:val="35E26818"/>
    <w:rsid w:val="36206819"/>
    <w:rsid w:val="36D2621F"/>
    <w:rsid w:val="37261041"/>
    <w:rsid w:val="37B7401D"/>
    <w:rsid w:val="383A54C5"/>
    <w:rsid w:val="3850506D"/>
    <w:rsid w:val="38724B29"/>
    <w:rsid w:val="391C22F0"/>
    <w:rsid w:val="392B2AB6"/>
    <w:rsid w:val="392E030F"/>
    <w:rsid w:val="39400042"/>
    <w:rsid w:val="3A0B0EB5"/>
    <w:rsid w:val="3AE645DF"/>
    <w:rsid w:val="3B255741"/>
    <w:rsid w:val="3B2A6911"/>
    <w:rsid w:val="3B521AB5"/>
    <w:rsid w:val="3B624F62"/>
    <w:rsid w:val="3B6E0E96"/>
    <w:rsid w:val="3B9A04C3"/>
    <w:rsid w:val="3BB95194"/>
    <w:rsid w:val="3C1934F8"/>
    <w:rsid w:val="3CA37266"/>
    <w:rsid w:val="3CA63663"/>
    <w:rsid w:val="3CA7631A"/>
    <w:rsid w:val="3D5C1507"/>
    <w:rsid w:val="3DA23079"/>
    <w:rsid w:val="3DAA037C"/>
    <w:rsid w:val="3DC07B51"/>
    <w:rsid w:val="3DD84FD9"/>
    <w:rsid w:val="3E151A9D"/>
    <w:rsid w:val="3E682515"/>
    <w:rsid w:val="3EE41BAE"/>
    <w:rsid w:val="3F522D8B"/>
    <w:rsid w:val="3FE913C2"/>
    <w:rsid w:val="40095632"/>
    <w:rsid w:val="405D1F09"/>
    <w:rsid w:val="4084338A"/>
    <w:rsid w:val="4153263F"/>
    <w:rsid w:val="41A748ED"/>
    <w:rsid w:val="42215C0E"/>
    <w:rsid w:val="42284BF1"/>
    <w:rsid w:val="42562684"/>
    <w:rsid w:val="43651FF1"/>
    <w:rsid w:val="439C056B"/>
    <w:rsid w:val="43C27B28"/>
    <w:rsid w:val="43D96E8D"/>
    <w:rsid w:val="440B2CAD"/>
    <w:rsid w:val="443C65D0"/>
    <w:rsid w:val="447D1452"/>
    <w:rsid w:val="44A1486B"/>
    <w:rsid w:val="4529771E"/>
    <w:rsid w:val="45597D01"/>
    <w:rsid w:val="45622B78"/>
    <w:rsid w:val="45B45B9B"/>
    <w:rsid w:val="463227AE"/>
    <w:rsid w:val="46432224"/>
    <w:rsid w:val="464F7B16"/>
    <w:rsid w:val="4663242F"/>
    <w:rsid w:val="46675C6A"/>
    <w:rsid w:val="468D735C"/>
    <w:rsid w:val="476474E5"/>
    <w:rsid w:val="479043D1"/>
    <w:rsid w:val="482270AC"/>
    <w:rsid w:val="483F35B5"/>
    <w:rsid w:val="488E13FF"/>
    <w:rsid w:val="48B3461A"/>
    <w:rsid w:val="48E81AF7"/>
    <w:rsid w:val="49AC0A59"/>
    <w:rsid w:val="49FF71D1"/>
    <w:rsid w:val="4A773662"/>
    <w:rsid w:val="4AB30993"/>
    <w:rsid w:val="4B984758"/>
    <w:rsid w:val="4BDC646C"/>
    <w:rsid w:val="4C4F5634"/>
    <w:rsid w:val="4C964ED6"/>
    <w:rsid w:val="4D115B26"/>
    <w:rsid w:val="4D1D096E"/>
    <w:rsid w:val="4DF825C6"/>
    <w:rsid w:val="4E31544E"/>
    <w:rsid w:val="4EA50115"/>
    <w:rsid w:val="4EE334F2"/>
    <w:rsid w:val="4F425B45"/>
    <w:rsid w:val="4F4770D5"/>
    <w:rsid w:val="4F7A20A8"/>
    <w:rsid w:val="4F833D0C"/>
    <w:rsid w:val="4FD27B6B"/>
    <w:rsid w:val="4FDF1C24"/>
    <w:rsid w:val="510B6295"/>
    <w:rsid w:val="51403806"/>
    <w:rsid w:val="51786CF8"/>
    <w:rsid w:val="518C1C1F"/>
    <w:rsid w:val="51AB4FAD"/>
    <w:rsid w:val="51D13AD5"/>
    <w:rsid w:val="51DA5080"/>
    <w:rsid w:val="51F25327"/>
    <w:rsid w:val="51FD52C0"/>
    <w:rsid w:val="52166DB8"/>
    <w:rsid w:val="52E361B6"/>
    <w:rsid w:val="531D470D"/>
    <w:rsid w:val="532B103B"/>
    <w:rsid w:val="53B77DE9"/>
    <w:rsid w:val="53CD28D8"/>
    <w:rsid w:val="53D77AC9"/>
    <w:rsid w:val="55791BB1"/>
    <w:rsid w:val="55821CB6"/>
    <w:rsid w:val="56023682"/>
    <w:rsid w:val="562A1363"/>
    <w:rsid w:val="565E3DEE"/>
    <w:rsid w:val="56A310EE"/>
    <w:rsid w:val="56A96DCF"/>
    <w:rsid w:val="56CE6A6E"/>
    <w:rsid w:val="579241B3"/>
    <w:rsid w:val="57957137"/>
    <w:rsid w:val="579700CC"/>
    <w:rsid w:val="57CB1335"/>
    <w:rsid w:val="57E52089"/>
    <w:rsid w:val="57E75C98"/>
    <w:rsid w:val="57F03BC1"/>
    <w:rsid w:val="581F4981"/>
    <w:rsid w:val="58563CA2"/>
    <w:rsid w:val="586E0C41"/>
    <w:rsid w:val="58FD05B3"/>
    <w:rsid w:val="590748CD"/>
    <w:rsid w:val="591930C3"/>
    <w:rsid w:val="593908DE"/>
    <w:rsid w:val="594B0611"/>
    <w:rsid w:val="59617814"/>
    <w:rsid w:val="599902CF"/>
    <w:rsid w:val="5A056588"/>
    <w:rsid w:val="5A4C63EF"/>
    <w:rsid w:val="5A7277CE"/>
    <w:rsid w:val="5A843DDB"/>
    <w:rsid w:val="5A9B6D2B"/>
    <w:rsid w:val="5AB741B0"/>
    <w:rsid w:val="5AE81382"/>
    <w:rsid w:val="5B8E0F1E"/>
    <w:rsid w:val="5BBC5376"/>
    <w:rsid w:val="5BC16969"/>
    <w:rsid w:val="5BF30DF5"/>
    <w:rsid w:val="5C041660"/>
    <w:rsid w:val="5C454E3A"/>
    <w:rsid w:val="5C47149B"/>
    <w:rsid w:val="5D027237"/>
    <w:rsid w:val="5D6E48CE"/>
    <w:rsid w:val="5DFE634F"/>
    <w:rsid w:val="5E057603"/>
    <w:rsid w:val="5E294615"/>
    <w:rsid w:val="5E2C2C48"/>
    <w:rsid w:val="5E2F2BA5"/>
    <w:rsid w:val="5EFB7C7E"/>
    <w:rsid w:val="5F5F4E16"/>
    <w:rsid w:val="5F6F4921"/>
    <w:rsid w:val="5F811724"/>
    <w:rsid w:val="5FA5772A"/>
    <w:rsid w:val="5FA8056B"/>
    <w:rsid w:val="5FE01AB3"/>
    <w:rsid w:val="5FE61094"/>
    <w:rsid w:val="60125EE4"/>
    <w:rsid w:val="60A650B5"/>
    <w:rsid w:val="6168063A"/>
    <w:rsid w:val="618C48B8"/>
    <w:rsid w:val="61E35820"/>
    <w:rsid w:val="623A0F6B"/>
    <w:rsid w:val="62745CBE"/>
    <w:rsid w:val="62B45F2D"/>
    <w:rsid w:val="62B83A6E"/>
    <w:rsid w:val="62E15EDB"/>
    <w:rsid w:val="632546A4"/>
    <w:rsid w:val="634803BC"/>
    <w:rsid w:val="636B4573"/>
    <w:rsid w:val="637A21B5"/>
    <w:rsid w:val="63BD210C"/>
    <w:rsid w:val="63E12291"/>
    <w:rsid w:val="63F55D49"/>
    <w:rsid w:val="64836EB1"/>
    <w:rsid w:val="64951B92"/>
    <w:rsid w:val="64ED1CC6"/>
    <w:rsid w:val="65502ED3"/>
    <w:rsid w:val="65876E75"/>
    <w:rsid w:val="65920D9F"/>
    <w:rsid w:val="65A310C5"/>
    <w:rsid w:val="65D22AFB"/>
    <w:rsid w:val="66635DA6"/>
    <w:rsid w:val="66842731"/>
    <w:rsid w:val="674A49FE"/>
    <w:rsid w:val="67F9528D"/>
    <w:rsid w:val="68152516"/>
    <w:rsid w:val="682613AB"/>
    <w:rsid w:val="683F428D"/>
    <w:rsid w:val="68B61A01"/>
    <w:rsid w:val="691D1B6E"/>
    <w:rsid w:val="6965127B"/>
    <w:rsid w:val="69A41E18"/>
    <w:rsid w:val="69C37636"/>
    <w:rsid w:val="69E2467A"/>
    <w:rsid w:val="6A3346F2"/>
    <w:rsid w:val="6A534528"/>
    <w:rsid w:val="6A6B28C1"/>
    <w:rsid w:val="6A7E0A7E"/>
    <w:rsid w:val="6A8120E5"/>
    <w:rsid w:val="6B0A3E88"/>
    <w:rsid w:val="6B293081"/>
    <w:rsid w:val="6B385B0F"/>
    <w:rsid w:val="6B4E646B"/>
    <w:rsid w:val="6B69315F"/>
    <w:rsid w:val="6B87065F"/>
    <w:rsid w:val="6C1B642C"/>
    <w:rsid w:val="6C2A779B"/>
    <w:rsid w:val="6C9E63AA"/>
    <w:rsid w:val="6CDF15D5"/>
    <w:rsid w:val="6D743B13"/>
    <w:rsid w:val="6E0A419F"/>
    <w:rsid w:val="6E5969B2"/>
    <w:rsid w:val="6EA0458C"/>
    <w:rsid w:val="6F8B7FB3"/>
    <w:rsid w:val="6FD838D9"/>
    <w:rsid w:val="6FE729EA"/>
    <w:rsid w:val="6FFE53A0"/>
    <w:rsid w:val="70983097"/>
    <w:rsid w:val="70AC3977"/>
    <w:rsid w:val="713D6842"/>
    <w:rsid w:val="7157594D"/>
    <w:rsid w:val="71673282"/>
    <w:rsid w:val="719E106A"/>
    <w:rsid w:val="72141A90"/>
    <w:rsid w:val="72746513"/>
    <w:rsid w:val="730E3259"/>
    <w:rsid w:val="738276E3"/>
    <w:rsid w:val="73E17C34"/>
    <w:rsid w:val="74123DAE"/>
    <w:rsid w:val="7479678C"/>
    <w:rsid w:val="74A523B8"/>
    <w:rsid w:val="74F20AD2"/>
    <w:rsid w:val="752F399F"/>
    <w:rsid w:val="75640639"/>
    <w:rsid w:val="75A16179"/>
    <w:rsid w:val="75B0387E"/>
    <w:rsid w:val="75B922AF"/>
    <w:rsid w:val="75F440A0"/>
    <w:rsid w:val="75F629D1"/>
    <w:rsid w:val="765842C1"/>
    <w:rsid w:val="7664140C"/>
    <w:rsid w:val="76A516EB"/>
    <w:rsid w:val="76C05D43"/>
    <w:rsid w:val="77032AB8"/>
    <w:rsid w:val="772F411F"/>
    <w:rsid w:val="777055CC"/>
    <w:rsid w:val="77753D2D"/>
    <w:rsid w:val="77D5404E"/>
    <w:rsid w:val="77E01A81"/>
    <w:rsid w:val="77FF29BC"/>
    <w:rsid w:val="78060A2F"/>
    <w:rsid w:val="78885576"/>
    <w:rsid w:val="78AF69D1"/>
    <w:rsid w:val="78CD2BDF"/>
    <w:rsid w:val="78DF6A5D"/>
    <w:rsid w:val="78E75EFC"/>
    <w:rsid w:val="793E110C"/>
    <w:rsid w:val="79A02057"/>
    <w:rsid w:val="79D4584F"/>
    <w:rsid w:val="7A1349CC"/>
    <w:rsid w:val="7A974E26"/>
    <w:rsid w:val="7AB85367"/>
    <w:rsid w:val="7AF34EC0"/>
    <w:rsid w:val="7B227C26"/>
    <w:rsid w:val="7B387FD8"/>
    <w:rsid w:val="7B453444"/>
    <w:rsid w:val="7B5C504B"/>
    <w:rsid w:val="7B6F5FC1"/>
    <w:rsid w:val="7CA24505"/>
    <w:rsid w:val="7CB70FD0"/>
    <w:rsid w:val="7D1C0211"/>
    <w:rsid w:val="7D3A1093"/>
    <w:rsid w:val="7D470F6C"/>
    <w:rsid w:val="7D8950E1"/>
    <w:rsid w:val="7D964613"/>
    <w:rsid w:val="7E0C13DE"/>
    <w:rsid w:val="7E254CDA"/>
    <w:rsid w:val="7EE10A2D"/>
    <w:rsid w:val="7F34520E"/>
    <w:rsid w:val="7FB20B86"/>
    <w:rsid w:val="7FEB755B"/>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0" w:after="0" w:line="576" w:lineRule="auto"/>
      <w:ind w:left="0" w:right="0"/>
      <w:jc w:val="both"/>
      <w:outlineLvl w:val="0"/>
    </w:pPr>
    <w:rPr>
      <w:rFonts w:ascii="Calibri" w:hAnsi="Calibri" w:eastAsia="宋体" w:cs="Times New Roman"/>
      <w:b/>
      <w:bCs/>
      <w:kern w:val="44"/>
      <w:sz w:val="44"/>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1"/>
    <w:pPr>
      <w:ind w:right="158"/>
      <w:jc w:val="center"/>
      <w:outlineLvl w:val="5"/>
    </w:pPr>
    <w:rPr>
      <w:rFonts w:ascii="仿宋" w:hAnsi="仿宋" w:eastAsia="仿宋" w:cs="仿宋"/>
      <w:b/>
      <w:bCs/>
      <w:sz w:val="28"/>
      <w:szCs w:val="28"/>
      <w:lang w:val="zh-CN" w:eastAsia="zh-CN" w:bidi="zh-CN"/>
    </w:rPr>
  </w:style>
  <w:style w:type="paragraph" w:styleId="7">
    <w:name w:val="heading 6"/>
    <w:basedOn w:val="1"/>
    <w:next w:val="1"/>
    <w:qFormat/>
    <w:uiPriority w:val="1"/>
    <w:pPr>
      <w:spacing w:before="61"/>
      <w:outlineLvl w:val="6"/>
    </w:pPr>
    <w:rPr>
      <w:rFonts w:ascii="仿宋" w:hAnsi="仿宋" w:eastAsia="仿宋" w:cs="仿宋"/>
      <w:sz w:val="28"/>
      <w:szCs w:val="28"/>
      <w:lang w:val="zh-CN" w:eastAsia="zh-CN" w:bidi="zh-CN"/>
    </w:rPr>
  </w:style>
  <w:style w:type="paragraph" w:styleId="8">
    <w:name w:val="heading 7"/>
    <w:basedOn w:val="1"/>
    <w:next w:val="1"/>
    <w:qFormat/>
    <w:uiPriority w:val="1"/>
    <w:pPr>
      <w:ind w:left="360"/>
      <w:outlineLvl w:val="7"/>
    </w:pPr>
    <w:rPr>
      <w:rFonts w:ascii="仿宋" w:hAnsi="仿宋" w:eastAsia="仿宋" w:cs="仿宋"/>
      <w:b/>
      <w:bCs/>
      <w:sz w:val="24"/>
      <w:szCs w:val="24"/>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annotation text"/>
    <w:basedOn w:val="1"/>
    <w:semiHidden/>
    <w:qFormat/>
    <w:uiPriority w:val="0"/>
    <w:pPr>
      <w:jc w:val="left"/>
    </w:pPr>
  </w:style>
  <w:style w:type="paragraph" w:styleId="11">
    <w:name w:val="index 6"/>
    <w:basedOn w:val="1"/>
    <w:next w:val="1"/>
    <w:qFormat/>
    <w:uiPriority w:val="99"/>
    <w:pPr>
      <w:ind w:left="2100"/>
    </w:pPr>
  </w:style>
  <w:style w:type="paragraph" w:styleId="12">
    <w:name w:val="Body Text"/>
    <w:basedOn w:val="1"/>
    <w:next w:val="13"/>
    <w:qFormat/>
    <w:uiPriority w:val="1"/>
    <w:rPr>
      <w:rFonts w:ascii="楷体" w:hAnsi="楷体" w:eastAsia="楷体" w:cs="楷体"/>
      <w:sz w:val="24"/>
      <w:szCs w:val="24"/>
      <w:lang w:val="zh-CN" w:eastAsia="zh-CN" w:bidi="zh-CN"/>
    </w:rPr>
  </w:style>
  <w:style w:type="paragraph" w:styleId="13">
    <w:name w:val="Body Text First Indent"/>
    <w:basedOn w:val="12"/>
    <w:qFormat/>
    <w:uiPriority w:val="0"/>
  </w:style>
  <w:style w:type="paragraph" w:styleId="14">
    <w:name w:val="Body Text Indent"/>
    <w:basedOn w:val="1"/>
    <w:next w:val="12"/>
    <w:qFormat/>
    <w:uiPriority w:val="0"/>
    <w:pPr>
      <w:spacing w:line="500" w:lineRule="exact"/>
      <w:ind w:left="1588" w:leftChars="832" w:firstLine="433" w:firstLineChars="196"/>
    </w:pPr>
    <w:rPr>
      <w:rFonts w:ascii="Times New Roman" w:hAnsi="Times New Roman" w:eastAsia="宋体"/>
      <w:sz w:val="24"/>
      <w:szCs w:val="24"/>
    </w:rPr>
  </w:style>
  <w:style w:type="paragraph" w:styleId="15">
    <w:name w:val="Plain Text"/>
    <w:basedOn w:val="1"/>
    <w:next w:val="1"/>
    <w:qFormat/>
    <w:uiPriority w:val="0"/>
    <w:rPr>
      <w:rFonts w:ascii="宋体" w:hAnsi="Courier New" w:eastAsiaTheme="minorEastAsia" w:cstheme="minorBidi"/>
      <w:szCs w:val="22"/>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footnote text"/>
    <w:basedOn w:val="1"/>
    <w:qFormat/>
    <w:uiPriority w:val="99"/>
    <w:pPr>
      <w:snapToGrid w:val="0"/>
      <w:jc w:val="left"/>
    </w:pPr>
    <w:rPr>
      <w:sz w:val="1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qFormat/>
    <w:uiPriority w:val="10"/>
    <w:pPr>
      <w:spacing w:before="240" w:beforeAutospacing="0" w:after="60" w:afterAutospacing="0"/>
      <w:jc w:val="center"/>
    </w:pPr>
    <w:rPr>
      <w:rFonts w:ascii="Cambria" w:hAnsi="Cambria"/>
      <w:sz w:val="32"/>
      <w:szCs w:val="32"/>
    </w:rPr>
  </w:style>
  <w:style w:type="paragraph" w:styleId="21">
    <w:name w:val="Body Text First Indent 2"/>
    <w:basedOn w:val="14"/>
    <w:next w:val="13"/>
    <w:qFormat/>
    <w:uiPriority w:val="0"/>
    <w:pPr>
      <w:ind w:left="0" w:leftChars="0" w:firstLine="210"/>
    </w:pPr>
    <w:rPr>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136EC2"/>
      <w:u w:val="single"/>
    </w:rPr>
  </w:style>
  <w:style w:type="paragraph" w:customStyle="1" w:styleId="27">
    <w:name w:val="_Style 1"/>
    <w:basedOn w:val="1"/>
    <w:qFormat/>
    <w:uiPriority w:val="0"/>
    <w:rPr>
      <w:rFonts w:ascii="Times New Roman" w:hAnsi="Times New Roman" w:cs="Calibri"/>
      <w:szCs w:val="21"/>
    </w:rPr>
  </w:style>
  <w:style w:type="paragraph" w:customStyle="1" w:styleId="28">
    <w:name w:val="Default"/>
    <w:next w:val="2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Intense Quote"/>
    <w:basedOn w:val="1"/>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0">
    <w:name w:val="表格文字2"/>
    <w:basedOn w:val="31"/>
    <w:qFormat/>
    <w:uiPriority w:val="99"/>
    <w:pPr>
      <w:spacing w:before="25" w:after="25"/>
      <w:jc w:val="left"/>
    </w:pPr>
    <w:rPr>
      <w:bCs/>
      <w:spacing w:val="10"/>
      <w:kern w:val="0"/>
    </w:rPr>
  </w:style>
  <w:style w:type="paragraph" w:customStyle="1" w:styleId="31">
    <w:name w:val="Normal"/>
    <w:qFormat/>
    <w:uiPriority w:val="0"/>
    <w:pPr>
      <w:jc w:val="both"/>
    </w:pPr>
    <w:rPr>
      <w:rFonts w:ascii="Times New Roman" w:hAnsi="Times New Roman" w:eastAsia="宋体" w:cs="Times New Roman"/>
      <w:kern w:val="2"/>
      <w:sz w:val="21"/>
      <w:szCs w:val="21"/>
      <w:lang w:val="en-US" w:eastAsia="zh-CN" w:bidi="ar-SA"/>
    </w:rPr>
  </w:style>
  <w:style w:type="paragraph" w:styleId="32">
    <w:name w:val="List Paragraph"/>
    <w:basedOn w:val="1"/>
    <w:qFormat/>
    <w:uiPriority w:val="34"/>
    <w:pPr>
      <w:ind w:firstLine="420" w:firstLineChars="200"/>
    </w:pPr>
  </w:style>
  <w:style w:type="paragraph" w:customStyle="1" w:styleId="33">
    <w:name w:val="正文_3_0"/>
    <w:basedOn w:val="34"/>
    <w:next w:val="35"/>
    <w:qFormat/>
    <w:uiPriority w:val="0"/>
    <w:rPr>
      <w:rFonts w:ascii="Calibri" w:hAnsi="Calibri" w:cs="Calibri"/>
      <w:szCs w:val="21"/>
    </w:rPr>
  </w:style>
  <w:style w:type="paragraph" w:customStyle="1" w:styleId="3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_2"/>
    <w:basedOn w:val="36"/>
    <w:unhideWhenUsed/>
    <w:qFormat/>
    <w:uiPriority w:val="0"/>
    <w:pPr>
      <w:tabs>
        <w:tab w:val="center" w:pos="4153"/>
        <w:tab w:val="right" w:pos="8306"/>
      </w:tabs>
      <w:snapToGrid w:val="0"/>
      <w:jc w:val="left"/>
    </w:pPr>
    <w:rPr>
      <w:sz w:val="18"/>
      <w:szCs w:val="18"/>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页脚_0"/>
    <w:basedOn w:val="34"/>
    <w:unhideWhenUsed/>
    <w:qFormat/>
    <w:uiPriority w:val="99"/>
    <w:pPr>
      <w:tabs>
        <w:tab w:val="center" w:pos="4153"/>
        <w:tab w:val="right" w:pos="8306"/>
      </w:tabs>
      <w:snapToGrid w:val="0"/>
      <w:jc w:val="left"/>
    </w:pPr>
    <w:rPr>
      <w:rFonts w:ascii="Calibri" w:hAnsi="Calibri"/>
      <w:sz w:val="18"/>
      <w:szCs w:val="18"/>
    </w:rPr>
  </w:style>
  <w:style w:type="paragraph" w:customStyle="1" w:styleId="3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1"/>
    <w:basedOn w:val="40"/>
    <w:next w:val="40"/>
    <w:qFormat/>
    <w:uiPriority w:val="0"/>
    <w:rPr>
      <w:rFonts w:ascii="Calibri" w:hAnsi="Calibri"/>
      <w:szCs w:val="21"/>
    </w:rPr>
  </w:style>
  <w:style w:type="paragraph" w:customStyle="1" w:styleId="4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Table Paragraph"/>
    <w:basedOn w:val="1"/>
    <w:qFormat/>
    <w:uiPriority w:val="1"/>
    <w:rPr>
      <w:rFonts w:ascii="楷体" w:hAnsi="楷体" w:eastAsia="楷体" w:cs="楷体"/>
      <w:lang w:val="zh-CN" w:eastAsia="zh-CN" w:bidi="zh-CN"/>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正文1"/>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文本1"/>
    <w:basedOn w:val="43"/>
    <w:next w:val="45"/>
    <w:qFormat/>
    <w:uiPriority w:val="0"/>
    <w:pPr>
      <w:spacing w:after="120"/>
    </w:pPr>
  </w:style>
  <w:style w:type="paragraph" w:customStyle="1" w:styleId="45">
    <w:name w:val="一级条标题"/>
    <w:basedOn w:val="46"/>
    <w:next w:val="5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6">
    <w:name w:val="章标题"/>
    <w:next w:val="47"/>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47">
    <w:name w:val="正文111"/>
    <w:next w:val="4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8">
    <w:name w:val="正文首行缩进1"/>
    <w:basedOn w:val="49"/>
    <w:next w:val="51"/>
    <w:unhideWhenUsed/>
    <w:qFormat/>
    <w:uiPriority w:val="99"/>
    <w:pPr>
      <w:ind w:firstLine="420" w:firstLineChars="100"/>
    </w:pPr>
    <w:rPr>
      <w:szCs w:val="22"/>
    </w:rPr>
  </w:style>
  <w:style w:type="paragraph" w:customStyle="1" w:styleId="49">
    <w:name w:val="正文文本11"/>
    <w:basedOn w:val="50"/>
    <w:next w:val="45"/>
    <w:qFormat/>
    <w:uiPriority w:val="0"/>
    <w:pPr>
      <w:spacing w:after="120"/>
    </w:pPr>
    <w:rPr>
      <w:sz w:val="20"/>
      <w:szCs w:val="20"/>
    </w:rPr>
  </w:style>
  <w:style w:type="paragraph" w:customStyle="1" w:styleId="50">
    <w:name w:val="正文11"/>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
    <w:name w:val="正文首行缩进 21"/>
    <w:basedOn w:val="52"/>
    <w:next w:val="47"/>
    <w:qFormat/>
    <w:uiPriority w:val="0"/>
    <w:pPr>
      <w:spacing w:after="0" w:line="360" w:lineRule="auto"/>
      <w:ind w:left="0" w:firstLine="420"/>
    </w:pPr>
    <w:rPr>
      <w:rFonts w:ascii="宋体" w:hAnsi="宋体"/>
      <w:sz w:val="20"/>
    </w:rPr>
  </w:style>
  <w:style w:type="paragraph" w:customStyle="1" w:styleId="52">
    <w:name w:val="正文文本缩进1"/>
    <w:basedOn w:val="43"/>
    <w:next w:val="53"/>
    <w:qFormat/>
    <w:uiPriority w:val="0"/>
    <w:pPr>
      <w:spacing w:after="120"/>
      <w:ind w:left="420"/>
    </w:pPr>
    <w:rPr>
      <w:rFonts w:ascii="Calibri"/>
    </w:rPr>
  </w:style>
  <w:style w:type="paragraph" w:customStyle="1" w:styleId="53">
    <w:name w:val="寄信人地址1"/>
    <w:basedOn w:val="43"/>
    <w:qFormat/>
    <w:uiPriority w:val="0"/>
    <w:rPr>
      <w:rFonts w:ascii="Arial" w:hAnsi="Arial"/>
    </w:rPr>
  </w:style>
  <w:style w:type="paragraph" w:customStyle="1" w:styleId="54">
    <w:name w:val="段"/>
    <w:basedOn w:val="55"/>
    <w:next w:val="1"/>
    <w:qFormat/>
    <w:uiPriority w:val="0"/>
    <w:pPr>
      <w:widowControl/>
      <w:autoSpaceDE w:val="0"/>
      <w:autoSpaceDN w:val="0"/>
      <w:ind w:firstLine="200" w:firstLineChars="200"/>
    </w:pPr>
    <w:rPr>
      <w:rFonts w:hint="eastAsia" w:ascii="宋体"/>
      <w:szCs w:val="20"/>
    </w:rPr>
  </w:style>
  <w:style w:type="paragraph" w:customStyle="1" w:styleId="55">
    <w:name w:val="正文13"/>
    <w:next w:val="4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57">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5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59">
    <w:name w:val="正文_1_0"/>
    <w:next w:val="48"/>
    <w:qFormat/>
    <w:uiPriority w:val="0"/>
    <w:pPr>
      <w:widowControl w:val="0"/>
      <w:jc w:val="both"/>
    </w:pPr>
    <w:rPr>
      <w:rFonts w:ascii="Times New Roman" w:hAnsi="Times New Roman" w:eastAsia="宋体" w:cs="Times New Roman"/>
      <w:lang w:val="en-US" w:eastAsia="zh-CN" w:bidi="ar-SA"/>
    </w:rPr>
  </w:style>
  <w:style w:type="paragraph" w:customStyle="1" w:styleId="60">
    <w:name w:val="正文文本_0_0"/>
    <w:basedOn w:val="61"/>
    <w:qFormat/>
    <w:uiPriority w:val="99"/>
    <w:rPr>
      <w:rFonts w:ascii="Calibri" w:hAnsi="Calibri" w:eastAsia="黑体"/>
      <w:kern w:val="0"/>
      <w:sz w:val="36"/>
      <w:szCs w:val="24"/>
    </w:rPr>
  </w:style>
  <w:style w:type="paragraph" w:customStyle="1" w:styleId="61">
    <w:name w:val="正文_1_0_0_0"/>
    <w:basedOn w:val="62"/>
    <w:qFormat/>
    <w:uiPriority w:val="0"/>
    <w:pPr>
      <w:widowControl w:val="0"/>
      <w:jc w:val="both"/>
    </w:pPr>
    <w:rPr>
      <w:rFonts w:ascii="Calibri" w:hAnsi="Calibri"/>
      <w:kern w:val="2"/>
      <w:sz w:val="28"/>
      <w:szCs w:val="22"/>
      <w:lang w:val="en-US" w:eastAsia="zh-CN" w:bidi="ar-SA"/>
    </w:rPr>
  </w:style>
  <w:style w:type="paragraph" w:customStyle="1" w:styleId="62">
    <w:name w:val="正文_2_0_0_0"/>
    <w:basedOn w:val="63"/>
    <w:next w:val="65"/>
    <w:qFormat/>
    <w:uiPriority w:val="0"/>
    <w:rPr>
      <w:rFonts w:ascii="Times New Roman" w:hAnsi="Times New Roman" w:cs="Times New Roman"/>
    </w:rPr>
  </w:style>
  <w:style w:type="paragraph" w:customStyle="1" w:styleId="63">
    <w:name w:val="正文_2_0_0"/>
    <w:basedOn w:val="64"/>
    <w:qFormat/>
    <w:uiPriority w:val="0"/>
    <w:rPr>
      <w:rFonts w:ascii="Calibri" w:hAnsi="Calibri" w:cs="宋体"/>
      <w:szCs w:val="21"/>
    </w:rPr>
  </w:style>
  <w:style w:type="paragraph" w:customStyle="1" w:styleId="6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引文目录标题_0_0_0"/>
    <w:basedOn w:val="66"/>
    <w:next w:val="66"/>
    <w:qFormat/>
    <w:uiPriority w:val="0"/>
    <w:pPr>
      <w:widowControl w:val="0"/>
      <w:adjustRightInd/>
      <w:snapToGrid/>
      <w:spacing w:before="120" w:after="0"/>
      <w:jc w:val="both"/>
    </w:pPr>
    <w:rPr>
      <w:rFonts w:ascii="Cambria" w:hAnsi="Cambria"/>
      <w:sz w:val="28"/>
    </w:rPr>
  </w:style>
  <w:style w:type="paragraph" w:customStyle="1" w:styleId="66">
    <w:name w:val="正文_4_0"/>
    <w:next w:val="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文本_2_0"/>
    <w:basedOn w:val="66"/>
    <w:unhideWhenUsed/>
    <w:qFormat/>
    <w:uiPriority w:val="0"/>
    <w:pPr>
      <w:spacing w:after="120"/>
    </w:pPr>
  </w:style>
  <w:style w:type="paragraph" w:customStyle="1" w:styleId="68">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列出段落1"/>
    <w:basedOn w:val="1"/>
    <w:qFormat/>
    <w:uiPriority w:val="34"/>
    <w:pPr>
      <w:ind w:firstLine="420" w:firstLineChars="200"/>
    </w:pPr>
  </w:style>
  <w:style w:type="paragraph" w:customStyle="1" w:styleId="70">
    <w:name w:val="正文_3_0_0"/>
    <w:qFormat/>
    <w:uiPriority w:val="0"/>
    <w:pPr>
      <w:widowControl w:val="0"/>
      <w:jc w:val="both"/>
    </w:pPr>
    <w:rPr>
      <w:rFonts w:ascii="Times New Roman" w:hAnsi="Times New Roman" w:eastAsia="方正仿宋_GB2312" w:cs="Times New Roman"/>
      <w:kern w:val="2"/>
      <w:sz w:val="28"/>
      <w:szCs w:val="24"/>
      <w:lang w:val="en-US" w:eastAsia="zh-CN" w:bidi="ar-SA"/>
    </w:rPr>
  </w:style>
  <w:style w:type="paragraph" w:customStyle="1" w:styleId="71">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72">
    <w:name w:val="paragraph"/>
    <w:basedOn w:val="1"/>
    <w:qFormat/>
    <w:uiPriority w:val="0"/>
    <w:pPr>
      <w:widowControl/>
      <w:snapToGrid/>
      <w:spacing w:before="100" w:beforeAutospacing="1" w:after="100" w:afterAutospacing="1" w:line="240" w:lineRule="auto"/>
    </w:pPr>
    <w:rPr>
      <w:rFonts w:ascii="宋体" w:hAnsi="宋体" w:eastAsia="宋体" w:cs="宋体"/>
      <w:color w:val="auto"/>
      <w:kern w:val="0"/>
      <w:sz w:val="24"/>
      <w:szCs w:val="24"/>
    </w:rPr>
  </w:style>
  <w:style w:type="character" w:customStyle="1" w:styleId="73">
    <w:name w:val="UserStyle_2"/>
    <w:link w:val="1"/>
    <w:semiHidden/>
    <w:qFormat/>
    <w:uiPriority w:val="0"/>
  </w:style>
  <w:style w:type="character" w:customStyle="1" w:styleId="74">
    <w:name w:val="font31"/>
    <w:basedOn w:val="24"/>
    <w:qFormat/>
    <w:uiPriority w:val="0"/>
    <w:rPr>
      <w:rFonts w:hint="eastAsia" w:ascii="宋体" w:hAnsi="宋体" w:eastAsia="宋体" w:cs="宋体"/>
      <w:color w:val="000000"/>
      <w:sz w:val="22"/>
      <w:szCs w:val="22"/>
      <w:u w:val="none"/>
    </w:rPr>
  </w:style>
  <w:style w:type="paragraph" w:customStyle="1" w:styleId="7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76">
    <w:name w:val="BodyText"/>
    <w:basedOn w:val="1"/>
    <w:next w:val="77"/>
    <w:qFormat/>
    <w:uiPriority w:val="0"/>
    <w:pPr>
      <w:spacing w:line="300" w:lineRule="auto"/>
      <w:ind w:firstLineChars="0"/>
      <w:jc w:val="center"/>
      <w:textAlignment w:val="baseline"/>
    </w:pPr>
    <w:rPr>
      <w:rFonts w:ascii="宋体" w:hAnsi="宋体" w:eastAsia="宋体"/>
      <w:kern w:val="2"/>
      <w:sz w:val="24"/>
      <w:szCs w:val="24"/>
      <w:lang w:val="en-US" w:eastAsia="zh-CN" w:bidi="ar-SA"/>
    </w:rPr>
  </w:style>
  <w:style w:type="paragraph" w:customStyle="1" w:styleId="77">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9">
    <w:name w:val="列表段落1"/>
    <w:basedOn w:val="1"/>
    <w:qFormat/>
    <w:uiPriority w:val="34"/>
    <w:pPr>
      <w:ind w:firstLine="420" w:firstLineChars="200"/>
    </w:pPr>
  </w:style>
  <w:style w:type="character" w:customStyle="1" w:styleId="80">
    <w:name w:val="font81"/>
    <w:basedOn w:val="24"/>
    <w:qFormat/>
    <w:uiPriority w:val="0"/>
    <w:rPr>
      <w:rFonts w:hint="default" w:ascii="Times New Roman" w:hAnsi="Times New Roman" w:cs="Times New Roman"/>
      <w:color w:val="000000"/>
      <w:sz w:val="22"/>
      <w:szCs w:val="22"/>
      <w:u w:val="none"/>
    </w:rPr>
  </w:style>
  <w:style w:type="character" w:customStyle="1" w:styleId="81">
    <w:name w:val="font161"/>
    <w:basedOn w:val="24"/>
    <w:qFormat/>
    <w:uiPriority w:val="0"/>
    <w:rPr>
      <w:rFonts w:hint="eastAsia" w:ascii="仿宋" w:hAnsi="仿宋" w:eastAsia="仿宋" w:cs="仿宋"/>
      <w:b/>
      <w:bCs/>
      <w:color w:val="000000"/>
      <w:sz w:val="24"/>
      <w:szCs w:val="24"/>
      <w:u w:val="none"/>
    </w:rPr>
  </w:style>
  <w:style w:type="character" w:customStyle="1" w:styleId="82">
    <w:name w:val="font151"/>
    <w:basedOn w:val="24"/>
    <w:qFormat/>
    <w:uiPriority w:val="0"/>
    <w:rPr>
      <w:rFonts w:hint="eastAsia" w:ascii="仿宋" w:hAnsi="仿宋" w:eastAsia="仿宋" w:cs="仿宋"/>
      <w:color w:val="000000"/>
      <w:sz w:val="24"/>
      <w:szCs w:val="24"/>
      <w:u w:val="none"/>
    </w:rPr>
  </w:style>
  <w:style w:type="paragraph" w:customStyle="1" w:styleId="83">
    <w:name w:val="Table Text"/>
    <w:basedOn w:val="1"/>
    <w:semiHidden/>
    <w:qFormat/>
    <w:uiPriority w:val="0"/>
    <w:rPr>
      <w:rFonts w:ascii="仿宋" w:hAnsi="仿宋" w:eastAsia="仿宋" w:cs="仿宋"/>
      <w:sz w:val="24"/>
      <w:szCs w:val="24"/>
      <w:lang w:val="en-US" w:eastAsia="en-US" w:bidi="ar-SA"/>
    </w:rPr>
  </w:style>
  <w:style w:type="table" w:customStyle="1" w:styleId="84">
    <w:name w:val="Table Normal"/>
    <w:semiHidden/>
    <w:unhideWhenUsed/>
    <w:qFormat/>
    <w:uiPriority w:val="2"/>
    <w:tblPr>
      <w:tblCellMar>
        <w:top w:w="0" w:type="dxa"/>
        <w:left w:w="0" w:type="dxa"/>
        <w:bottom w:w="0" w:type="dxa"/>
        <w:right w:w="0" w:type="dxa"/>
      </w:tblCellMar>
    </w:tblPr>
  </w:style>
  <w:style w:type="character" w:customStyle="1" w:styleId="85">
    <w:name w:val="font71"/>
    <w:basedOn w:val="24"/>
    <w:qFormat/>
    <w:uiPriority w:val="0"/>
    <w:rPr>
      <w:rFonts w:hint="default" w:ascii="Times New Roman" w:hAnsi="Times New Roman" w:cs="Times New Roman"/>
      <w:color w:val="000000"/>
      <w:sz w:val="22"/>
      <w:szCs w:val="22"/>
      <w:u w:val="none"/>
      <w:vertAlign w:val="superscript"/>
    </w:rPr>
  </w:style>
  <w:style w:type="paragraph" w:customStyle="1" w:styleId="86">
    <w:name w:val="项目1"/>
    <w:basedOn w:val="1"/>
    <w:qFormat/>
    <w:uiPriority w:val="99"/>
    <w:pPr>
      <w:adjustRightInd/>
      <w:spacing w:line="240" w:lineRule="auto"/>
      <w:textAlignment w:val="auto"/>
    </w:pPr>
    <w:rPr>
      <w:rFonts w:ascii="Calibri" w:hAnsi="Calibri" w:eastAsia="宋体" w:cs="Times New Roman"/>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5831</Words>
  <Characters>6528</Characters>
  <Lines>0</Lines>
  <Paragraphs>0</Paragraphs>
  <TotalTime>1</TotalTime>
  <ScaleCrop>false</ScaleCrop>
  <LinksUpToDate>false</LinksUpToDate>
  <CharactersWithSpaces>6664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李航</dc:creator>
  <cp:lastModifiedBy>夏邱霸气</cp:lastModifiedBy>
  <cp:lastPrinted>2024-09-02T09:50:00Z</cp:lastPrinted>
  <dcterms:modified xsi:type="dcterms:W3CDTF">2025-03-08T06:14:48Z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B047F2BD844D4927AE4639F46ABC50A6_13</vt:lpwstr>
  </property>
  <property fmtid="{D5CDD505-2E9C-101B-9397-08002B2CF9AE}" pid="4" name="KSOSaveFontToCloudKey">
    <vt:lpwstr>340659104_cloud</vt:lpwstr>
  </property>
  <property fmtid="{D5CDD505-2E9C-101B-9397-08002B2CF9AE}" pid="5" name="KSOTemplateDocerSaveRecord">
    <vt:lpwstr>eyJoZGlkIjoiYmVkYjEyMjlhYmExMjkyNTI5Mjk5MmRmMWRkNjZmZGUiLCJ1c2VySWQiOiIxMTk2Nzk3NDEwIn0=</vt:lpwstr>
  </property>
</Properties>
</file>