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2BF80344">
      <w:pPr>
        <w:bidi w:val="0"/>
        <w:rPr>
          <w:rFonts w:hint="eastAsia"/>
        </w:rPr>
      </w:pPr>
    </w:p>
    <w:p w14:paraId="1CCF1228">
      <w:pPr>
        <w:pStyle w:val="49"/>
        <w:jc w:val="center"/>
        <w:rPr>
          <w:rFonts w:hint="eastAsia" w:ascii="宋体" w:hAnsi="宋体" w:cs="宋体"/>
          <w:b/>
          <w:bCs/>
          <w:sz w:val="48"/>
          <w:szCs w:val="48"/>
          <w:lang w:val="en-US" w:eastAsia="zh-CN"/>
        </w:rPr>
      </w:pPr>
      <w:r>
        <w:rPr>
          <w:rFonts w:hint="eastAsia" w:ascii="宋体" w:hAnsi="宋体" w:cs="宋体"/>
          <w:b/>
          <w:bCs/>
          <w:sz w:val="48"/>
          <w:szCs w:val="48"/>
          <w:lang w:val="en-US" w:eastAsia="zh-CN"/>
        </w:rPr>
        <w:t>乌恰县2025年机关事业单位在职人员雇主责任保险服务采购项目</w:t>
      </w:r>
    </w:p>
    <w:p w14:paraId="3B4C3D8D">
      <w:pPr>
        <w:pStyle w:val="49"/>
        <w:jc w:val="center"/>
        <w:rPr>
          <w:rFonts w:hint="eastAsia"/>
          <w:highlight w:val="yellow"/>
          <w:lang w:val="en-US" w:eastAsia="zh-CN"/>
        </w:rPr>
      </w:pPr>
      <w:r>
        <w:rPr>
          <w:rFonts w:hint="eastAsia"/>
          <w:highlight w:val="yellow"/>
          <w:lang w:val="en-US" w:eastAsia="zh-CN"/>
        </w:rPr>
        <w:t>（</w:t>
      </w:r>
      <w:bookmarkStart w:id="0" w:name="_Toc1641"/>
      <w:r>
        <w:rPr>
          <w:rFonts w:hint="eastAsia" w:ascii="宋体" w:hAnsi="宋体" w:cs="宋体"/>
          <w:b/>
          <w:bCs/>
          <w:color w:val="0000FF"/>
          <w:kern w:val="0"/>
          <w:sz w:val="32"/>
          <w:szCs w:val="32"/>
          <w:highlight w:val="yellow"/>
          <w:shd w:val="clear" w:color="auto" w:fill="FFFFFF"/>
        </w:rPr>
        <w:t>项目编号：</w:t>
      </w:r>
      <w:bookmarkEnd w:id="0"/>
      <w:r>
        <w:rPr>
          <w:rFonts w:hint="eastAsia" w:ascii="宋体" w:hAnsi="宋体" w:cs="宋体"/>
          <w:b/>
          <w:bCs/>
          <w:color w:val="0000FF"/>
          <w:kern w:val="0"/>
          <w:sz w:val="32"/>
          <w:szCs w:val="32"/>
          <w:highlight w:val="yellow"/>
          <w:shd w:val="clear" w:color="auto" w:fill="FFFFFF"/>
          <w:lang w:val="en-US" w:eastAsia="zh-CN"/>
        </w:rPr>
        <w:t>WQZFCG(ZB)-2025-031</w:t>
      </w:r>
      <w:r>
        <w:rPr>
          <w:rFonts w:hint="eastAsia"/>
          <w:highlight w:val="yellow"/>
          <w:lang w:val="en-US" w:eastAsia="zh-CN"/>
        </w:rPr>
        <w:t>）</w:t>
      </w:r>
    </w:p>
    <w:p w14:paraId="6A8C72F5">
      <w:pPr>
        <w:pStyle w:val="49"/>
        <w:jc w:val="center"/>
        <w:rPr>
          <w:rFonts w:hint="eastAsia"/>
          <w:sz w:val="28"/>
          <w:szCs w:val="28"/>
          <w:lang w:val="en-US" w:eastAsia="zh-CN"/>
        </w:rPr>
      </w:pPr>
    </w:p>
    <w:p w14:paraId="4C0E805B">
      <w:pPr>
        <w:pStyle w:val="49"/>
        <w:jc w:val="center"/>
        <w:rPr>
          <w:rFonts w:hint="default"/>
          <w:sz w:val="28"/>
          <w:szCs w:val="28"/>
          <w:lang w:val="en-US" w:eastAsia="zh-CN"/>
        </w:rPr>
      </w:pPr>
      <w:r>
        <w:rPr>
          <w:rFonts w:hint="eastAsia"/>
          <w:b/>
          <w:bCs/>
          <w:sz w:val="40"/>
          <w:szCs w:val="48"/>
          <w:lang w:val="en-US" w:eastAsia="zh-CN"/>
        </w:rPr>
        <w:drawing>
          <wp:inline distT="0" distB="0" distL="114300" distR="114300">
            <wp:extent cx="5324475" cy="2788920"/>
            <wp:effectExtent l="0" t="0" r="9525" b="11430"/>
            <wp:docPr id="18" name="图片 1" descr="IMG_8001(20230424-095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 descr="IMG_8001(20230424-095458)"/>
                    <pic:cNvPicPr>
                      <a:picLocks noChangeAspect="1"/>
                    </pic:cNvPicPr>
                  </pic:nvPicPr>
                  <pic:blipFill>
                    <a:blip r:embed="rId7"/>
                    <a:srcRect l="13573" t="25510" r="5690" b="30013"/>
                    <a:stretch>
                      <a:fillRect/>
                    </a:stretch>
                  </pic:blipFill>
                  <pic:spPr>
                    <a:xfrm>
                      <a:off x="0" y="0"/>
                      <a:ext cx="5324475" cy="2788920"/>
                    </a:xfrm>
                    <a:prstGeom prst="rect">
                      <a:avLst/>
                    </a:prstGeom>
                    <a:noFill/>
                    <a:ln>
                      <a:noFill/>
                    </a:ln>
                  </pic:spPr>
                </pic:pic>
              </a:graphicData>
            </a:graphic>
          </wp:inline>
        </w:drawing>
      </w:r>
    </w:p>
    <w:p w14:paraId="27F72566">
      <w:pPr>
        <w:autoSpaceDE w:val="0"/>
        <w:autoSpaceDN w:val="0"/>
        <w:jc w:val="center"/>
        <w:rPr>
          <w:rFonts w:hint="eastAsia" w:ascii="宋体" w:hAnsi="宋体" w:eastAsia="宋体" w:cs="楷体"/>
          <w:b/>
          <w:bCs/>
          <w:sz w:val="72"/>
          <w:szCs w:val="72"/>
          <w:lang w:val="en-US" w:eastAsia="zh-CN"/>
        </w:rPr>
      </w:pPr>
      <w:r>
        <w:rPr>
          <w:rFonts w:hint="eastAsia" w:ascii="宋体" w:hAnsi="宋体" w:eastAsia="宋体" w:cs="楷体"/>
          <w:b/>
          <w:bCs/>
          <w:sz w:val="72"/>
          <w:szCs w:val="72"/>
          <w:lang w:val="en-US" w:eastAsia="zh-CN"/>
        </w:rPr>
        <w:t>招标文件</w:t>
      </w:r>
    </w:p>
    <w:p w14:paraId="28930037">
      <w:pPr>
        <w:pStyle w:val="49"/>
        <w:ind w:left="0" w:leftChars="0" w:firstLine="0" w:firstLineChars="0"/>
        <w:rPr>
          <w:rFonts w:hint="eastAsia"/>
          <w:lang w:val="zh-CN"/>
        </w:rPr>
      </w:pPr>
    </w:p>
    <w:p w14:paraId="49C55B24">
      <w:pPr>
        <w:pStyle w:val="49"/>
        <w:ind w:left="0" w:leftChars="0" w:firstLine="0" w:firstLineChars="0"/>
        <w:rPr>
          <w:rFonts w:hint="eastAsia"/>
          <w:lang w:val="zh-CN"/>
        </w:rPr>
      </w:pPr>
    </w:p>
    <w:p w14:paraId="30405416">
      <w:pPr>
        <w:widowControl/>
        <w:autoSpaceDE w:val="0"/>
        <w:autoSpaceDN w:val="0"/>
        <w:spacing w:line="600" w:lineRule="auto"/>
        <w:ind w:right="-28" w:firstLine="849" w:firstLineChars="300"/>
        <w:textAlignment w:val="bottom"/>
        <w:rPr>
          <w:rFonts w:hint="eastAsia" w:ascii="宋体" w:hAnsi="宋体" w:cs="宋体"/>
          <w:b/>
          <w:kern w:val="2"/>
          <w:sz w:val="28"/>
          <w:szCs w:val="22"/>
          <w:lang w:val="en-US" w:eastAsia="zh-CN" w:bidi="ar-SA"/>
        </w:rPr>
      </w:pPr>
      <w:r>
        <w:rPr>
          <w:rFonts w:hint="eastAsia" w:ascii="宋体" w:hAnsi="宋体"/>
          <w:b/>
          <w:sz w:val="28"/>
          <w:szCs w:val="22"/>
        </w:rPr>
        <w:t>采 购 人：</w:t>
      </w:r>
      <w:r>
        <w:rPr>
          <w:rFonts w:hint="eastAsia" w:ascii="宋体" w:hAnsi="宋体" w:cs="宋体"/>
          <w:b/>
          <w:kern w:val="2"/>
          <w:sz w:val="28"/>
          <w:szCs w:val="22"/>
          <w:u w:val="single"/>
          <w:lang w:val="en-US" w:eastAsia="zh-CN" w:bidi="ar-SA"/>
        </w:rPr>
        <w:t>乌恰县财政局</w:t>
      </w:r>
      <w:r>
        <w:rPr>
          <w:rFonts w:hint="eastAsia" w:ascii="宋体" w:hAnsi="宋体" w:cs="宋体"/>
          <w:b/>
          <w:kern w:val="2"/>
          <w:sz w:val="28"/>
          <w:szCs w:val="22"/>
          <w:lang w:val="en-US" w:eastAsia="zh-CN" w:bidi="ar-SA"/>
        </w:rPr>
        <w:t>（盖章）</w:t>
      </w:r>
    </w:p>
    <w:p w14:paraId="03713143">
      <w:pPr>
        <w:widowControl/>
        <w:autoSpaceDE w:val="0"/>
        <w:autoSpaceDN w:val="0"/>
        <w:spacing w:line="600" w:lineRule="auto"/>
        <w:ind w:right="-28" w:firstLine="849" w:firstLineChars="300"/>
        <w:textAlignment w:val="bottom"/>
        <w:rPr>
          <w:rFonts w:hint="eastAsia" w:ascii="宋体" w:hAnsi="宋体"/>
          <w:b/>
          <w:sz w:val="28"/>
          <w:szCs w:val="22"/>
          <w:lang w:val="en-US" w:eastAsia="zh-CN"/>
        </w:rPr>
      </w:pPr>
      <w:r>
        <w:rPr>
          <w:rFonts w:hint="eastAsia" w:ascii="宋体" w:hAnsi="宋体"/>
          <w:b/>
          <w:sz w:val="28"/>
          <w:szCs w:val="22"/>
        </w:rPr>
        <w:t>联系人</w:t>
      </w:r>
      <w:r>
        <w:rPr>
          <w:rFonts w:hint="eastAsia" w:ascii="宋体" w:hAnsi="宋体"/>
          <w:b/>
          <w:sz w:val="28"/>
          <w:szCs w:val="22"/>
          <w:lang w:eastAsia="zh-CN"/>
        </w:rPr>
        <w:t>：</w:t>
      </w:r>
      <w:r>
        <w:rPr>
          <w:rFonts w:hint="eastAsia" w:ascii="宋体" w:hAnsi="宋体"/>
          <w:b/>
          <w:sz w:val="28"/>
          <w:szCs w:val="22"/>
          <w:u w:val="single"/>
          <w:lang w:val="en-US" w:eastAsia="zh-CN"/>
        </w:rPr>
        <w:t>吴女士</w:t>
      </w:r>
      <w:r>
        <w:rPr>
          <w:rFonts w:hint="eastAsia" w:ascii="宋体" w:hAnsi="宋体"/>
          <w:b/>
          <w:sz w:val="28"/>
          <w:szCs w:val="22"/>
          <w:lang w:val="en-US" w:eastAsia="zh-CN"/>
        </w:rPr>
        <w:t xml:space="preserve">           </w:t>
      </w:r>
    </w:p>
    <w:p w14:paraId="6A8C3C9E">
      <w:pPr>
        <w:widowControl/>
        <w:autoSpaceDE w:val="0"/>
        <w:autoSpaceDN w:val="0"/>
        <w:spacing w:line="600" w:lineRule="auto"/>
        <w:ind w:right="-28" w:firstLine="849" w:firstLineChars="300"/>
        <w:textAlignment w:val="bottom"/>
        <w:rPr>
          <w:rFonts w:hint="default" w:ascii="宋体" w:hAnsi="宋体"/>
          <w:b/>
          <w:sz w:val="28"/>
          <w:szCs w:val="22"/>
          <w:lang w:val="en-US" w:eastAsia="zh-CN"/>
        </w:rPr>
      </w:pPr>
      <w:r>
        <w:rPr>
          <w:rFonts w:hint="eastAsia" w:ascii="宋体" w:hAnsi="宋体"/>
          <w:b/>
          <w:sz w:val="28"/>
          <w:szCs w:val="22"/>
          <w:lang w:eastAsia="zh-CN"/>
        </w:rPr>
        <w:t>联系电话：</w:t>
      </w:r>
      <w:r>
        <w:rPr>
          <w:rFonts w:hint="eastAsia" w:ascii="宋体" w:hAnsi="宋体"/>
          <w:b/>
          <w:sz w:val="28"/>
          <w:szCs w:val="22"/>
          <w:u w:val="single"/>
          <w:lang w:val="en-US" w:eastAsia="zh-CN"/>
        </w:rPr>
        <w:t>15909088765</w:t>
      </w:r>
    </w:p>
    <w:p w14:paraId="4E507631">
      <w:pPr>
        <w:widowControl/>
        <w:autoSpaceDE w:val="0"/>
        <w:autoSpaceDN w:val="0"/>
        <w:spacing w:line="600" w:lineRule="auto"/>
        <w:ind w:right="-28" w:firstLine="849" w:firstLineChars="300"/>
        <w:textAlignment w:val="bottom"/>
        <w:rPr>
          <w:rFonts w:hint="eastAsia" w:ascii="宋体" w:hAnsi="宋体"/>
          <w:b/>
          <w:sz w:val="28"/>
          <w:szCs w:val="22"/>
          <w:lang w:val="en-US" w:eastAsia="zh-CN"/>
        </w:rPr>
      </w:pPr>
      <w:r>
        <w:rPr>
          <w:rFonts w:hint="eastAsia" w:ascii="宋体" w:hAnsi="宋体"/>
          <w:b/>
          <w:sz w:val="28"/>
          <w:szCs w:val="22"/>
        </w:rPr>
        <w:t>代理机构：</w:t>
      </w:r>
      <w:r>
        <w:rPr>
          <w:rFonts w:hint="eastAsia" w:ascii="宋体" w:hAnsi="宋体"/>
          <w:b/>
          <w:sz w:val="28"/>
          <w:szCs w:val="22"/>
          <w:lang w:val="en-US" w:eastAsia="zh-CN"/>
        </w:rPr>
        <w:t>中科建疆工程管理有限公司（盖章）</w:t>
      </w:r>
    </w:p>
    <w:p w14:paraId="57927D6C">
      <w:pPr>
        <w:widowControl/>
        <w:autoSpaceDE w:val="0"/>
        <w:autoSpaceDN w:val="0"/>
        <w:spacing w:line="600" w:lineRule="auto"/>
        <w:ind w:right="-28" w:firstLine="849" w:firstLineChars="300"/>
        <w:textAlignment w:val="bottom"/>
        <w:rPr>
          <w:rFonts w:hint="eastAsia" w:ascii="宋体" w:hAnsi="宋体"/>
          <w:b/>
          <w:color w:val="auto"/>
          <w:sz w:val="28"/>
          <w:szCs w:val="22"/>
          <w:lang w:val="en-US" w:eastAsia="zh-CN"/>
        </w:rPr>
      </w:pPr>
      <w:r>
        <w:rPr>
          <w:rFonts w:hint="eastAsia" w:ascii="宋体" w:hAnsi="宋体"/>
          <w:b/>
          <w:color w:val="auto"/>
          <w:sz w:val="28"/>
          <w:szCs w:val="22"/>
        </w:rPr>
        <w:t>联系人：</w:t>
      </w:r>
      <w:r>
        <w:rPr>
          <w:rFonts w:hint="eastAsia" w:ascii="宋体" w:hAnsi="宋体"/>
          <w:b/>
          <w:color w:val="auto"/>
          <w:sz w:val="28"/>
          <w:szCs w:val="22"/>
          <w:u w:val="single"/>
          <w:lang w:val="en-US" w:eastAsia="zh-CN"/>
        </w:rPr>
        <w:t>王先生</w:t>
      </w:r>
      <w:r>
        <w:rPr>
          <w:rFonts w:hint="eastAsia" w:ascii="宋体" w:hAnsi="宋体"/>
          <w:b/>
          <w:color w:val="auto"/>
          <w:sz w:val="28"/>
          <w:szCs w:val="22"/>
        </w:rPr>
        <w:t xml:space="preserve">    </w:t>
      </w:r>
      <w:r>
        <w:rPr>
          <w:rFonts w:hint="eastAsia" w:ascii="宋体" w:hAnsi="宋体"/>
          <w:b/>
          <w:color w:val="auto"/>
          <w:sz w:val="28"/>
          <w:szCs w:val="22"/>
          <w:lang w:val="en-US" w:eastAsia="zh-CN"/>
        </w:rPr>
        <w:t xml:space="preserve">     </w:t>
      </w:r>
      <w:r>
        <w:rPr>
          <w:rFonts w:hint="eastAsia" w:ascii="宋体" w:hAnsi="宋体"/>
          <w:b/>
          <w:color w:val="auto"/>
          <w:sz w:val="28"/>
          <w:szCs w:val="22"/>
        </w:rPr>
        <w:t xml:space="preserve"> </w:t>
      </w:r>
      <w:r>
        <w:rPr>
          <w:rFonts w:hint="eastAsia" w:ascii="宋体" w:hAnsi="宋体"/>
          <w:b/>
          <w:color w:val="auto"/>
          <w:sz w:val="28"/>
          <w:szCs w:val="22"/>
          <w:lang w:val="en-US" w:eastAsia="zh-CN"/>
        </w:rPr>
        <w:t xml:space="preserve">  </w:t>
      </w:r>
    </w:p>
    <w:p w14:paraId="489EB145">
      <w:pPr>
        <w:widowControl/>
        <w:autoSpaceDE w:val="0"/>
        <w:autoSpaceDN w:val="0"/>
        <w:spacing w:line="600" w:lineRule="auto"/>
        <w:ind w:right="-28" w:firstLine="849" w:firstLineChars="300"/>
        <w:textAlignment w:val="bottom"/>
        <w:rPr>
          <w:rFonts w:hint="default" w:ascii="宋体" w:hAnsi="宋体"/>
          <w:b/>
          <w:color w:val="auto"/>
          <w:sz w:val="28"/>
          <w:szCs w:val="22"/>
          <w:u w:val="single"/>
          <w:lang w:val="en-US" w:eastAsia="zh-CN"/>
        </w:rPr>
      </w:pPr>
      <w:r>
        <w:rPr>
          <w:rFonts w:hint="eastAsia" w:ascii="宋体" w:hAnsi="宋体"/>
          <w:b/>
          <w:color w:val="auto"/>
          <w:sz w:val="28"/>
          <w:szCs w:val="22"/>
          <w:lang w:eastAsia="zh-CN"/>
        </w:rPr>
        <w:t>联系电话：</w:t>
      </w:r>
      <w:r>
        <w:rPr>
          <w:rFonts w:hint="eastAsia" w:ascii="宋体" w:hAnsi="宋体"/>
          <w:b/>
          <w:color w:val="auto"/>
          <w:sz w:val="28"/>
          <w:szCs w:val="22"/>
          <w:u w:val="single"/>
          <w:lang w:val="en-US" w:eastAsia="zh-CN"/>
        </w:rPr>
        <w:t>13201016575</w:t>
      </w:r>
    </w:p>
    <w:p w14:paraId="59E2CDFB">
      <w:pPr>
        <w:pStyle w:val="26"/>
        <w:rPr>
          <w:rFonts w:hint="default"/>
          <w:lang w:val="en-US" w:eastAsia="zh-CN"/>
        </w:rPr>
      </w:pPr>
    </w:p>
    <w:p w14:paraId="513F35B4">
      <w:pPr>
        <w:rPr>
          <w:rFonts w:hint="default"/>
          <w:lang w:val="en-US" w:eastAsia="zh-CN"/>
        </w:rPr>
      </w:pPr>
    </w:p>
    <w:p w14:paraId="730ACFA0">
      <w:pPr>
        <w:widowControl/>
        <w:autoSpaceDE w:val="0"/>
        <w:autoSpaceDN w:val="0"/>
        <w:spacing w:line="360" w:lineRule="auto"/>
        <w:ind w:right="-26" w:firstLine="1815" w:firstLineChars="500"/>
        <w:jc w:val="both"/>
        <w:textAlignment w:val="bottom"/>
        <w:rPr>
          <w:rFonts w:hint="eastAsia" w:ascii="宋体" w:hAnsi="宋体" w:cs="宋体"/>
          <w:sz w:val="32"/>
          <w:szCs w:val="32"/>
        </w:rPr>
      </w:pPr>
      <w:r>
        <w:rPr>
          <w:rFonts w:hint="eastAsia" w:ascii="宋体" w:hAnsi="宋体" w:cs="宋体"/>
          <w:b/>
          <w:sz w:val="36"/>
          <w:szCs w:val="36"/>
        </w:rPr>
        <w:t>招投标监督管理机构备案登记栏</w:t>
      </w:r>
    </w:p>
    <w:tbl>
      <w:tblPr>
        <w:tblStyle w:val="28"/>
        <w:tblpPr w:leftFromText="180" w:rightFromText="180" w:vertAnchor="text" w:horzAnchor="page" w:tblpX="1810" w:tblpY="20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48"/>
      </w:tblGrid>
      <w:tr w14:paraId="34FD1A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63" w:hRule="atLeast"/>
          <w:jc w:val="center"/>
        </w:trPr>
        <w:tc>
          <w:tcPr>
            <w:tcW w:w="8248" w:type="dxa"/>
            <w:noWrap w:val="0"/>
            <w:vAlign w:val="top"/>
          </w:tcPr>
          <w:p w14:paraId="32289692">
            <w:pPr>
              <w:pStyle w:val="4"/>
              <w:numPr>
                <w:ilvl w:val="0"/>
                <w:numId w:val="0"/>
              </w:numPr>
              <w:rPr>
                <w:rFonts w:hint="eastAsia" w:ascii="宋体" w:hAnsi="宋体" w:cs="宋体"/>
              </w:rPr>
            </w:pPr>
            <w:bookmarkStart w:id="1" w:name="_Hlt42956379"/>
            <w:bookmarkEnd w:id="1"/>
            <w:bookmarkStart w:id="2" w:name="_Hlt10567911"/>
            <w:bookmarkEnd w:id="2"/>
            <w:bookmarkStart w:id="3" w:name="_Hlt10462525"/>
            <w:bookmarkEnd w:id="3"/>
            <w:bookmarkStart w:id="4" w:name="_Hlt42956360"/>
            <w:bookmarkEnd w:id="4"/>
            <w:bookmarkStart w:id="5" w:name="_Hlt10519329"/>
            <w:bookmarkEnd w:id="5"/>
            <w:bookmarkStart w:id="6" w:name="_Hlt10523642"/>
            <w:bookmarkEnd w:id="6"/>
            <w:bookmarkStart w:id="7" w:name="_Hlt10529670"/>
            <w:bookmarkEnd w:id="7"/>
            <w:bookmarkStart w:id="8" w:name="_Hlt10524010"/>
            <w:bookmarkEnd w:id="8"/>
            <w:bookmarkStart w:id="9" w:name="_Hlt10524018"/>
            <w:bookmarkEnd w:id="9"/>
            <w:bookmarkStart w:id="10" w:name="_Hlt10524029"/>
            <w:bookmarkEnd w:id="10"/>
          </w:p>
          <w:p w14:paraId="29864FDE">
            <w:pPr>
              <w:rPr>
                <w:rFonts w:hint="eastAsia" w:ascii="宋体" w:hAnsi="宋体" w:cs="宋体"/>
              </w:rPr>
            </w:pPr>
          </w:p>
          <w:p w14:paraId="181815FA">
            <w:pPr>
              <w:pStyle w:val="49"/>
              <w:rPr>
                <w:rFonts w:hint="eastAsia"/>
              </w:rPr>
            </w:pPr>
          </w:p>
          <w:p w14:paraId="0D0E0563">
            <w:pPr>
              <w:widowControl/>
              <w:adjustRightInd w:val="0"/>
              <w:spacing w:before="100" w:after="100" w:line="360" w:lineRule="auto"/>
              <w:jc w:val="left"/>
              <w:rPr>
                <w:rFonts w:hint="default" w:ascii="宋体" w:hAnsi="宋体" w:cs="宋体"/>
                <w:sz w:val="30"/>
                <w:szCs w:val="30"/>
                <w:lang w:val="en-US"/>
              </w:rPr>
            </w:pPr>
            <w:r>
              <w:rPr>
                <w:rFonts w:hint="eastAsia" w:ascii="宋体" w:hAnsi="宋体" w:cs="宋体"/>
                <w:sz w:val="30"/>
                <w:szCs w:val="30"/>
              </w:rPr>
              <w:t>招 标 人:</w:t>
            </w:r>
            <w:r>
              <w:rPr>
                <w:rFonts w:hint="eastAsia" w:ascii="宋体" w:hAnsi="宋体" w:cs="宋体"/>
                <w:sz w:val="30"/>
                <w:szCs w:val="30"/>
                <w:lang w:eastAsia="zh-CN"/>
              </w:rPr>
              <w:t>乌恰县财政局</w:t>
            </w:r>
          </w:p>
          <w:p w14:paraId="4BA190E2">
            <w:pPr>
              <w:pStyle w:val="4"/>
              <w:numPr>
                <w:ilvl w:val="0"/>
                <w:numId w:val="0"/>
              </w:numPr>
              <w:rPr>
                <w:rFonts w:hint="eastAsia" w:ascii="宋体" w:hAnsi="宋体" w:cs="宋体"/>
              </w:rPr>
            </w:pPr>
          </w:p>
          <w:p w14:paraId="10625735">
            <w:pPr>
              <w:rPr>
                <w:rFonts w:hint="eastAsia" w:ascii="宋体" w:hAnsi="宋体" w:cs="宋体"/>
              </w:rPr>
            </w:pPr>
          </w:p>
          <w:p w14:paraId="14715B5D">
            <w:pPr>
              <w:pStyle w:val="49"/>
              <w:rPr>
                <w:rFonts w:hint="eastAsia"/>
              </w:rPr>
            </w:pPr>
          </w:p>
          <w:p w14:paraId="4DD2C194">
            <w:pPr>
              <w:widowControl/>
              <w:adjustRightInd w:val="0"/>
              <w:spacing w:before="100" w:after="100" w:line="360" w:lineRule="auto"/>
              <w:jc w:val="left"/>
              <w:rPr>
                <w:rFonts w:hint="eastAsia" w:ascii="宋体" w:hAnsi="宋体" w:cs="宋体"/>
                <w:b/>
                <w:sz w:val="32"/>
              </w:rPr>
            </w:pPr>
          </w:p>
          <w:p w14:paraId="59D86C65">
            <w:pPr>
              <w:widowControl/>
              <w:adjustRightInd w:val="0"/>
              <w:spacing w:before="100" w:after="100" w:line="360" w:lineRule="auto"/>
              <w:jc w:val="left"/>
              <w:rPr>
                <w:rFonts w:hint="eastAsia" w:ascii="宋体" w:hAnsi="宋体" w:cs="宋体"/>
                <w:sz w:val="30"/>
                <w:szCs w:val="30"/>
                <w:lang w:val="en-US" w:eastAsia="zh-CN"/>
              </w:rPr>
            </w:pPr>
            <w:r>
              <w:rPr>
                <w:rFonts w:hint="eastAsia" w:ascii="宋体" w:hAnsi="宋体" w:eastAsia="宋体" w:cs="宋体"/>
                <w:sz w:val="30"/>
                <w:szCs w:val="30"/>
                <w:lang w:eastAsia="zh-CN"/>
              </w:rPr>
              <w:t>项目名称：</w:t>
            </w:r>
            <w:r>
              <w:rPr>
                <w:rFonts w:hint="eastAsia" w:ascii="宋体" w:hAnsi="宋体" w:cs="宋体"/>
                <w:sz w:val="30"/>
                <w:szCs w:val="30"/>
                <w:lang w:val="en-US" w:eastAsia="zh-CN"/>
              </w:rPr>
              <w:t>乌恰县2025年机关事业单位在职人员雇主责任保险服务采购项目</w:t>
            </w:r>
          </w:p>
          <w:p w14:paraId="3FFDDAC6">
            <w:pPr>
              <w:pStyle w:val="10"/>
              <w:rPr>
                <w:rFonts w:hint="eastAsia"/>
                <w:lang w:eastAsia="zh-CN"/>
              </w:rPr>
            </w:pPr>
          </w:p>
          <w:p w14:paraId="7F39082E">
            <w:pPr>
              <w:pStyle w:val="10"/>
              <w:rPr>
                <w:rFonts w:hint="eastAsia"/>
                <w:lang w:eastAsia="zh-CN"/>
              </w:rPr>
            </w:pPr>
          </w:p>
          <w:p w14:paraId="326DFCC3">
            <w:pPr>
              <w:widowControl/>
              <w:adjustRightInd w:val="0"/>
              <w:spacing w:before="100" w:after="100" w:line="360" w:lineRule="auto"/>
              <w:jc w:val="left"/>
              <w:rPr>
                <w:rFonts w:hint="eastAsia" w:ascii="宋体" w:hAnsi="宋体" w:cs="宋体"/>
                <w:sz w:val="30"/>
                <w:szCs w:val="30"/>
                <w:lang w:val="zh-CN" w:eastAsia="zh-CN"/>
              </w:rPr>
            </w:pPr>
            <w:r>
              <w:rPr>
                <w:rFonts w:hint="eastAsia" w:ascii="宋体" w:hAnsi="宋体" w:eastAsia="宋体" w:cs="宋体"/>
                <w:sz w:val="30"/>
                <w:szCs w:val="30"/>
                <w:lang w:val="en-US" w:eastAsia="zh-CN"/>
              </w:rPr>
              <w:t>招标代理机构：</w:t>
            </w:r>
            <w:r>
              <w:rPr>
                <w:rFonts w:hint="eastAsia" w:ascii="宋体" w:hAnsi="宋体" w:cs="宋体"/>
                <w:sz w:val="30"/>
                <w:szCs w:val="30"/>
                <w:lang w:val="zh-CN" w:eastAsia="zh-CN"/>
              </w:rPr>
              <w:t>中科建疆工程管理有限公司</w:t>
            </w:r>
          </w:p>
          <w:p w14:paraId="3C3E7627">
            <w:pPr>
              <w:widowControl/>
              <w:adjustRightInd w:val="0"/>
              <w:spacing w:before="100" w:after="100" w:line="360" w:lineRule="auto"/>
              <w:jc w:val="left"/>
              <w:rPr>
                <w:rFonts w:hint="eastAsia" w:ascii="宋体" w:hAnsi="宋体" w:eastAsia="宋体" w:cs="宋体"/>
                <w:sz w:val="30"/>
                <w:szCs w:val="30"/>
                <w:lang w:eastAsia="zh-CN"/>
              </w:rPr>
            </w:pPr>
          </w:p>
          <w:p w14:paraId="72C800B9">
            <w:pPr>
              <w:pStyle w:val="26"/>
              <w:ind w:left="0" w:leftChars="0" w:firstLine="0" w:firstLineChars="0"/>
              <w:rPr>
                <w:rFonts w:hint="eastAsia" w:ascii="宋体" w:hAnsi="宋体" w:eastAsia="宋体" w:cs="宋体"/>
                <w:sz w:val="30"/>
                <w:szCs w:val="30"/>
                <w:lang w:eastAsia="zh-CN"/>
              </w:rPr>
            </w:pPr>
          </w:p>
          <w:p w14:paraId="5E0F5473">
            <w:pPr>
              <w:rPr>
                <w:rFonts w:hint="eastAsia"/>
                <w:lang w:eastAsia="zh-CN"/>
              </w:rPr>
            </w:pPr>
          </w:p>
          <w:p w14:paraId="353D15E3">
            <w:pPr>
              <w:pStyle w:val="26"/>
              <w:rPr>
                <w:rFonts w:hint="eastAsia"/>
                <w:lang w:eastAsia="zh-CN"/>
              </w:rPr>
            </w:pPr>
          </w:p>
          <w:p w14:paraId="4355B950">
            <w:pPr>
              <w:widowControl/>
              <w:adjustRightInd w:val="0"/>
              <w:spacing w:before="100" w:after="100" w:line="360" w:lineRule="auto"/>
              <w:ind w:firstLine="2121" w:firstLineChars="700"/>
              <w:jc w:val="left"/>
              <w:rPr>
                <w:rFonts w:hint="eastAsia" w:ascii="宋体" w:hAnsi="宋体" w:cs="宋体"/>
                <w:sz w:val="32"/>
                <w:szCs w:val="32"/>
              </w:rPr>
            </w:pPr>
            <w:r>
              <w:rPr>
                <w:rFonts w:hint="eastAsia" w:ascii="宋体" w:hAnsi="宋体" w:eastAsia="宋体" w:cs="宋体"/>
                <w:sz w:val="30"/>
                <w:szCs w:val="30"/>
                <w:lang w:eastAsia="zh-CN"/>
              </w:rPr>
              <w:t>本采购项目招标文件已报备</w:t>
            </w:r>
          </w:p>
        </w:tc>
      </w:tr>
    </w:tbl>
    <w:p w14:paraId="640B3289">
      <w:pPr>
        <w:pStyle w:val="49"/>
        <w:spacing w:line="240" w:lineRule="auto"/>
        <w:ind w:left="0" w:leftChars="0" w:firstLine="0" w:firstLineChars="0"/>
        <w:rPr>
          <w:rFonts w:hint="eastAsia"/>
        </w:rPr>
      </w:pPr>
    </w:p>
    <w:p w14:paraId="570C4FF2">
      <w:pPr>
        <w:pStyle w:val="49"/>
        <w:spacing w:line="240" w:lineRule="auto"/>
        <w:ind w:left="0" w:leftChars="0" w:firstLine="0" w:firstLineChars="0"/>
        <w:rPr>
          <w:rFonts w:hint="eastAsia"/>
        </w:rPr>
      </w:pPr>
    </w:p>
    <w:p w14:paraId="7BB30B62">
      <w:pPr>
        <w:pStyle w:val="49"/>
        <w:spacing w:line="240" w:lineRule="auto"/>
        <w:ind w:left="0" w:leftChars="0" w:firstLine="0" w:firstLineChars="0"/>
        <w:rPr>
          <w:rFonts w:hint="eastAsia"/>
        </w:rPr>
      </w:pPr>
    </w:p>
    <w:p w14:paraId="0EEF9CB9">
      <w:pPr>
        <w:shd w:val="clear" w:color="auto" w:fill="auto"/>
        <w:jc w:val="center"/>
        <w:rPr>
          <w:rFonts w:hint="eastAsia"/>
          <w:b/>
          <w:color w:val="auto"/>
          <w:sz w:val="36"/>
          <w:highlight w:val="none"/>
        </w:rPr>
      </w:pPr>
      <w:r>
        <w:rPr>
          <w:rFonts w:hint="eastAsia"/>
          <w:b/>
          <w:color w:val="auto"/>
          <w:sz w:val="36"/>
          <w:highlight w:val="none"/>
        </w:rPr>
        <w:t>目  录</w:t>
      </w:r>
    </w:p>
    <w:p w14:paraId="537A11E8">
      <w:pPr>
        <w:pStyle w:val="19"/>
        <w:keepNext w:val="0"/>
        <w:keepLines w:val="0"/>
        <w:pageBreakBefore w:val="0"/>
        <w:widowControl w:val="0"/>
        <w:shd w:val="clear" w:color="auto" w:fill="auto"/>
        <w:tabs>
          <w:tab w:val="left" w:pos="1050"/>
          <w:tab w:val="right" w:leader="dot" w:pos="8296"/>
        </w:tabs>
        <w:kinsoku/>
        <w:wordWrap/>
        <w:overflowPunct/>
        <w:topLinePunct w:val="0"/>
        <w:autoSpaceDE/>
        <w:autoSpaceDN/>
        <w:bidi w:val="0"/>
        <w:adjustRightInd/>
        <w:snapToGrid/>
        <w:spacing w:line="440" w:lineRule="exact"/>
        <w:ind w:firstLine="486" w:firstLineChars="200"/>
        <w:textAlignment w:val="auto"/>
        <w:rPr>
          <w:rFonts w:ascii="宋体" w:hAnsi="宋体"/>
          <w:color w:val="auto"/>
          <w:szCs w:val="22"/>
          <w:highlight w:val="none"/>
        </w:rPr>
      </w:pPr>
      <w:r>
        <w:rPr>
          <w:rFonts w:hint="eastAsia" w:ascii="宋体" w:hAnsi="宋体" w:cs="宋体"/>
          <w:color w:val="auto"/>
          <w:sz w:val="24"/>
          <w:highlight w:val="none"/>
        </w:rPr>
        <w:fldChar w:fldCharType="begin"/>
      </w:r>
      <w:r>
        <w:rPr>
          <w:rFonts w:hint="eastAsia" w:ascii="宋体" w:hAnsi="宋体" w:cs="宋体"/>
          <w:color w:val="auto"/>
          <w:sz w:val="24"/>
          <w:highlight w:val="none"/>
        </w:rPr>
        <w:instrText xml:space="preserve"> TOC \o "1-3" \h \z \u </w:instrText>
      </w:r>
      <w:r>
        <w:rPr>
          <w:rFonts w:hint="eastAsia" w:ascii="宋体" w:hAnsi="宋体" w:cs="宋体"/>
          <w:color w:val="auto"/>
          <w:sz w:val="24"/>
          <w:highlight w:val="none"/>
        </w:rPr>
        <w:fldChar w:fldCharType="separate"/>
      </w:r>
      <w:r>
        <w:rPr>
          <w:rFonts w:ascii="宋体" w:hAnsi="宋体"/>
          <w:color w:val="auto"/>
          <w:highlight w:val="none"/>
        </w:rPr>
        <w:fldChar w:fldCharType="begin"/>
      </w:r>
      <w:r>
        <w:rPr>
          <w:rStyle w:val="38"/>
          <w:rFonts w:ascii="宋体" w:hAnsi="宋体"/>
          <w:color w:val="auto"/>
          <w:highlight w:val="none"/>
        </w:rPr>
        <w:instrText xml:space="preserve"> </w:instrText>
      </w:r>
      <w:r>
        <w:rPr>
          <w:rFonts w:ascii="宋体" w:hAnsi="宋体"/>
          <w:color w:val="auto"/>
          <w:highlight w:val="none"/>
        </w:rPr>
        <w:instrText xml:space="preserve">HYPERLINK \l "_Toc469495720"</w:instrText>
      </w:r>
      <w:r>
        <w:rPr>
          <w:rStyle w:val="38"/>
          <w:rFonts w:ascii="宋体" w:hAnsi="宋体"/>
          <w:color w:val="auto"/>
          <w:highlight w:val="none"/>
        </w:rPr>
        <w:instrText xml:space="preserve"> </w:instrText>
      </w:r>
      <w:r>
        <w:rPr>
          <w:rFonts w:ascii="宋体" w:hAnsi="宋体"/>
          <w:color w:val="auto"/>
          <w:highlight w:val="none"/>
        </w:rPr>
        <w:fldChar w:fldCharType="separate"/>
      </w:r>
      <w:r>
        <w:rPr>
          <w:rStyle w:val="38"/>
          <w:rFonts w:hint="eastAsia" w:ascii="宋体" w:hAnsi="宋体"/>
          <w:bCs/>
          <w:color w:val="auto"/>
          <w:highlight w:val="none"/>
        </w:rPr>
        <w:t>第一章</w:t>
      </w:r>
      <w:r>
        <w:rPr>
          <w:rStyle w:val="38"/>
          <w:rFonts w:hint="eastAsia" w:ascii="宋体" w:hAnsi="宋体"/>
          <w:bCs/>
          <w:color w:val="auto"/>
          <w:highlight w:val="none"/>
          <w:lang w:val="en-US" w:eastAsia="zh-CN"/>
        </w:rPr>
        <w:t xml:space="preserve"> </w:t>
      </w:r>
      <w:r>
        <w:rPr>
          <w:rStyle w:val="38"/>
          <w:rFonts w:hint="eastAsia" w:ascii="宋体" w:hAnsi="宋体"/>
          <w:bCs/>
          <w:color w:val="auto"/>
          <w:highlight w:val="none"/>
        </w:rPr>
        <w:t>招标公告</w:t>
      </w:r>
      <w:r>
        <w:rPr>
          <w:rFonts w:ascii="宋体" w:hAnsi="宋体"/>
          <w:color w:val="auto"/>
          <w:szCs w:val="22"/>
          <w:highlight w:val="none"/>
        </w:rPr>
        <w:tab/>
      </w:r>
      <w:r>
        <w:rPr>
          <w:rFonts w:hint="eastAsia" w:ascii="宋体" w:hAnsi="宋体"/>
          <w:color w:val="auto"/>
          <w:szCs w:val="22"/>
          <w:highlight w:val="none"/>
          <w:lang w:val="en-US" w:eastAsia="zh-CN"/>
        </w:rPr>
        <w:t>4</w:t>
      </w:r>
      <w:r>
        <w:rPr>
          <w:rFonts w:ascii="宋体" w:hAnsi="宋体"/>
          <w:color w:val="auto"/>
          <w:highlight w:val="none"/>
        </w:rPr>
        <w:fldChar w:fldCharType="end"/>
      </w:r>
    </w:p>
    <w:p w14:paraId="6ABFEDF1">
      <w:pPr>
        <w:pStyle w:val="19"/>
        <w:keepNext w:val="0"/>
        <w:keepLines w:val="0"/>
        <w:pageBreakBefore w:val="0"/>
        <w:widowControl w:val="0"/>
        <w:shd w:val="clear" w:color="auto" w:fill="auto"/>
        <w:tabs>
          <w:tab w:val="right" w:leader="dot" w:pos="8296"/>
        </w:tabs>
        <w:kinsoku/>
        <w:wordWrap/>
        <w:overflowPunct/>
        <w:topLinePunct w:val="0"/>
        <w:autoSpaceDE/>
        <w:autoSpaceDN/>
        <w:bidi w:val="0"/>
        <w:adjustRightInd/>
        <w:snapToGrid/>
        <w:spacing w:line="440" w:lineRule="exact"/>
        <w:ind w:firstLine="426" w:firstLineChars="200"/>
        <w:textAlignment w:val="auto"/>
        <w:rPr>
          <w:rFonts w:ascii="宋体" w:hAnsi="宋体"/>
          <w:color w:val="auto"/>
          <w:szCs w:val="22"/>
          <w:highlight w:val="none"/>
        </w:rPr>
      </w:pPr>
      <w:r>
        <w:rPr>
          <w:rFonts w:ascii="宋体" w:hAnsi="宋体"/>
          <w:color w:val="auto"/>
          <w:highlight w:val="none"/>
        </w:rPr>
        <w:fldChar w:fldCharType="begin"/>
      </w:r>
      <w:r>
        <w:rPr>
          <w:rStyle w:val="38"/>
          <w:rFonts w:ascii="宋体" w:hAnsi="宋体"/>
          <w:color w:val="auto"/>
          <w:highlight w:val="none"/>
        </w:rPr>
        <w:instrText xml:space="preserve"> </w:instrText>
      </w:r>
      <w:r>
        <w:rPr>
          <w:rFonts w:ascii="宋体" w:hAnsi="宋体"/>
          <w:color w:val="auto"/>
          <w:highlight w:val="none"/>
        </w:rPr>
        <w:instrText xml:space="preserve">HYPERLINK \l "_Toc469495721"</w:instrText>
      </w:r>
      <w:r>
        <w:rPr>
          <w:rStyle w:val="38"/>
          <w:rFonts w:ascii="宋体" w:hAnsi="宋体"/>
          <w:color w:val="auto"/>
          <w:highlight w:val="none"/>
        </w:rPr>
        <w:instrText xml:space="preserve"> </w:instrText>
      </w:r>
      <w:r>
        <w:rPr>
          <w:rFonts w:ascii="宋体" w:hAnsi="宋体"/>
          <w:color w:val="auto"/>
          <w:highlight w:val="none"/>
        </w:rPr>
        <w:fldChar w:fldCharType="separate"/>
      </w:r>
      <w:r>
        <w:rPr>
          <w:rStyle w:val="38"/>
          <w:rFonts w:hint="eastAsia" w:ascii="宋体" w:hAnsi="宋体"/>
          <w:color w:val="auto"/>
          <w:highlight w:val="none"/>
        </w:rPr>
        <w:t>第二章</w:t>
      </w:r>
      <w:r>
        <w:rPr>
          <w:rStyle w:val="38"/>
          <w:rFonts w:ascii="宋体" w:hAnsi="宋体"/>
          <w:color w:val="auto"/>
          <w:highlight w:val="none"/>
        </w:rPr>
        <w:t xml:space="preserve"> </w:t>
      </w:r>
      <w:r>
        <w:rPr>
          <w:rStyle w:val="38"/>
          <w:rFonts w:hint="eastAsia" w:ascii="宋体" w:hAnsi="宋体"/>
          <w:color w:val="auto"/>
          <w:highlight w:val="none"/>
        </w:rPr>
        <w:t>投标人须知</w:t>
      </w:r>
      <w:r>
        <w:rPr>
          <w:rFonts w:ascii="宋体" w:hAnsi="宋体"/>
          <w:color w:val="auto"/>
          <w:highlight w:val="none"/>
        </w:rPr>
        <w:tab/>
      </w:r>
      <w:r>
        <w:rPr>
          <w:rFonts w:hint="eastAsia" w:ascii="宋体" w:hAnsi="宋体"/>
          <w:color w:val="auto"/>
          <w:highlight w:val="none"/>
          <w:lang w:val="en-US" w:eastAsia="zh-CN"/>
        </w:rPr>
        <w:t>9</w:t>
      </w:r>
      <w:r>
        <w:rPr>
          <w:rFonts w:ascii="宋体" w:hAnsi="宋体"/>
          <w:color w:val="auto"/>
          <w:highlight w:val="none"/>
        </w:rPr>
        <w:fldChar w:fldCharType="end"/>
      </w:r>
    </w:p>
    <w:p w14:paraId="1342B8F5">
      <w:pPr>
        <w:pStyle w:val="22"/>
        <w:keepNext w:val="0"/>
        <w:keepLines w:val="0"/>
        <w:pageBreakBefore w:val="0"/>
        <w:widowControl w:val="0"/>
        <w:shd w:val="clear" w:color="auto" w:fill="auto"/>
        <w:tabs>
          <w:tab w:val="right" w:leader="dot" w:pos="8296"/>
        </w:tabs>
        <w:kinsoku/>
        <w:wordWrap/>
        <w:overflowPunct/>
        <w:topLinePunct w:val="0"/>
        <w:autoSpaceDE/>
        <w:autoSpaceDN/>
        <w:bidi w:val="0"/>
        <w:adjustRightInd/>
        <w:snapToGrid/>
        <w:spacing w:line="440" w:lineRule="exact"/>
        <w:ind w:left="420" w:firstLine="426" w:firstLineChars="200"/>
        <w:textAlignment w:val="auto"/>
        <w:rPr>
          <w:rFonts w:ascii="宋体" w:hAnsi="宋体"/>
          <w:color w:val="auto"/>
          <w:szCs w:val="22"/>
          <w:highlight w:val="none"/>
        </w:rPr>
      </w:pPr>
      <w:r>
        <w:rPr>
          <w:rFonts w:ascii="宋体" w:hAnsi="宋体"/>
          <w:color w:val="auto"/>
          <w:highlight w:val="none"/>
        </w:rPr>
        <w:fldChar w:fldCharType="begin"/>
      </w:r>
      <w:r>
        <w:rPr>
          <w:rStyle w:val="38"/>
          <w:rFonts w:ascii="宋体" w:hAnsi="宋体"/>
          <w:color w:val="auto"/>
          <w:highlight w:val="none"/>
        </w:rPr>
        <w:instrText xml:space="preserve"> </w:instrText>
      </w:r>
      <w:r>
        <w:rPr>
          <w:rFonts w:ascii="宋体" w:hAnsi="宋体"/>
          <w:color w:val="auto"/>
          <w:highlight w:val="none"/>
        </w:rPr>
        <w:instrText xml:space="preserve">HYPERLINK \l "_Toc469495722"</w:instrText>
      </w:r>
      <w:r>
        <w:rPr>
          <w:rStyle w:val="38"/>
          <w:rFonts w:ascii="宋体" w:hAnsi="宋体"/>
          <w:color w:val="auto"/>
          <w:highlight w:val="none"/>
        </w:rPr>
        <w:instrText xml:space="preserve"> </w:instrText>
      </w:r>
      <w:r>
        <w:rPr>
          <w:rFonts w:ascii="宋体" w:hAnsi="宋体"/>
          <w:color w:val="auto"/>
          <w:highlight w:val="none"/>
        </w:rPr>
        <w:fldChar w:fldCharType="separate"/>
      </w:r>
      <w:r>
        <w:rPr>
          <w:rStyle w:val="38"/>
          <w:rFonts w:hint="eastAsia" w:ascii="宋体" w:hAnsi="宋体"/>
          <w:color w:val="auto"/>
          <w:highlight w:val="none"/>
        </w:rPr>
        <w:t>一、投标人须知前附表</w:t>
      </w:r>
      <w:r>
        <w:rPr>
          <w:rFonts w:ascii="宋体" w:hAnsi="宋体"/>
          <w:color w:val="auto"/>
          <w:highlight w:val="none"/>
        </w:rPr>
        <w:tab/>
      </w:r>
      <w:r>
        <w:rPr>
          <w:rFonts w:hint="eastAsia" w:ascii="宋体" w:hAnsi="宋体"/>
          <w:color w:val="auto"/>
          <w:highlight w:val="none"/>
          <w:lang w:val="en-US" w:eastAsia="zh-CN"/>
        </w:rPr>
        <w:t>9</w:t>
      </w:r>
      <w:r>
        <w:rPr>
          <w:rFonts w:ascii="宋体" w:hAnsi="宋体"/>
          <w:color w:val="auto"/>
          <w:highlight w:val="none"/>
        </w:rPr>
        <w:fldChar w:fldCharType="end"/>
      </w:r>
    </w:p>
    <w:p w14:paraId="372A4D3F">
      <w:pPr>
        <w:pStyle w:val="22"/>
        <w:keepNext w:val="0"/>
        <w:keepLines w:val="0"/>
        <w:pageBreakBefore w:val="0"/>
        <w:widowControl w:val="0"/>
        <w:shd w:val="clear" w:color="auto" w:fill="auto"/>
        <w:tabs>
          <w:tab w:val="left" w:pos="945"/>
          <w:tab w:val="right" w:leader="dot" w:pos="8296"/>
        </w:tabs>
        <w:kinsoku/>
        <w:wordWrap/>
        <w:overflowPunct/>
        <w:topLinePunct w:val="0"/>
        <w:autoSpaceDE/>
        <w:autoSpaceDN/>
        <w:bidi w:val="0"/>
        <w:adjustRightInd/>
        <w:snapToGrid/>
        <w:spacing w:line="440" w:lineRule="exact"/>
        <w:ind w:left="420" w:firstLine="426" w:firstLineChars="200"/>
        <w:textAlignment w:val="auto"/>
        <w:rPr>
          <w:rFonts w:hint="eastAsia" w:ascii="宋体" w:hAnsi="宋体"/>
          <w:color w:val="auto"/>
          <w:highlight w:val="none"/>
          <w:lang w:val="en-US" w:eastAsia="zh-CN"/>
        </w:rPr>
      </w:pPr>
      <w:r>
        <w:rPr>
          <w:rFonts w:ascii="宋体" w:hAnsi="宋体"/>
          <w:color w:val="auto"/>
          <w:highlight w:val="none"/>
        </w:rPr>
        <w:fldChar w:fldCharType="begin"/>
      </w:r>
      <w:r>
        <w:rPr>
          <w:rFonts w:ascii="宋体" w:hAnsi="宋体"/>
          <w:color w:val="auto"/>
          <w:highlight w:val="none"/>
        </w:rPr>
        <w:instrText xml:space="preserve"> HYPERLINK \l "_Toc469495723" </w:instrText>
      </w:r>
      <w:r>
        <w:rPr>
          <w:rFonts w:ascii="宋体" w:hAnsi="宋体"/>
          <w:color w:val="auto"/>
          <w:highlight w:val="none"/>
        </w:rPr>
        <w:fldChar w:fldCharType="separate"/>
      </w:r>
      <w:r>
        <w:rPr>
          <w:rFonts w:hint="eastAsia" w:ascii="宋体" w:hAnsi="宋体"/>
          <w:color w:val="auto"/>
          <w:highlight w:val="none"/>
        </w:rPr>
        <w:t>二、投标人须知</w:t>
      </w:r>
      <w:r>
        <w:rPr>
          <w:rFonts w:ascii="宋体" w:hAnsi="宋体"/>
          <w:color w:val="auto"/>
          <w:highlight w:val="none"/>
        </w:rPr>
        <w:tab/>
      </w:r>
      <w:r>
        <w:rPr>
          <w:rFonts w:hint="eastAsia" w:ascii="宋体" w:hAnsi="宋体"/>
          <w:color w:val="auto"/>
          <w:highlight w:val="none"/>
          <w:lang w:val="en-US" w:eastAsia="zh-CN"/>
        </w:rPr>
        <w:t>1</w:t>
      </w:r>
      <w:r>
        <w:rPr>
          <w:rFonts w:ascii="宋体" w:hAnsi="宋体"/>
          <w:color w:val="auto"/>
          <w:highlight w:val="none"/>
        </w:rPr>
        <w:fldChar w:fldCharType="end"/>
      </w:r>
      <w:r>
        <w:rPr>
          <w:rFonts w:hint="eastAsia" w:ascii="宋体" w:hAnsi="宋体"/>
          <w:color w:val="auto"/>
          <w:highlight w:val="none"/>
          <w:lang w:val="en-US" w:eastAsia="zh-CN"/>
        </w:rPr>
        <w:t>7</w:t>
      </w:r>
    </w:p>
    <w:p w14:paraId="1F94C614">
      <w:pPr>
        <w:pStyle w:val="22"/>
        <w:keepNext w:val="0"/>
        <w:keepLines w:val="0"/>
        <w:pageBreakBefore w:val="0"/>
        <w:widowControl w:val="0"/>
        <w:shd w:val="clear" w:color="auto" w:fill="auto"/>
        <w:tabs>
          <w:tab w:val="left" w:pos="945"/>
          <w:tab w:val="right" w:leader="dot" w:pos="8296"/>
        </w:tabs>
        <w:kinsoku/>
        <w:wordWrap/>
        <w:overflowPunct/>
        <w:topLinePunct w:val="0"/>
        <w:autoSpaceDE/>
        <w:autoSpaceDN/>
        <w:bidi w:val="0"/>
        <w:adjustRightInd/>
        <w:snapToGrid/>
        <w:spacing w:line="440" w:lineRule="exact"/>
        <w:ind w:left="420" w:firstLine="426" w:firstLineChars="200"/>
        <w:textAlignment w:val="auto"/>
        <w:rPr>
          <w:rFonts w:hint="eastAsia" w:ascii="宋体" w:hAnsi="宋体"/>
          <w:color w:val="auto"/>
          <w:highlight w:val="none"/>
          <w:lang w:val="en-US" w:eastAsia="zh-CN"/>
        </w:rPr>
      </w:pPr>
      <w:r>
        <w:rPr>
          <w:rFonts w:hint="eastAsia" w:ascii="宋体" w:hAnsi="宋体"/>
          <w:color w:val="auto"/>
          <w:highlight w:val="none"/>
          <w:lang w:val="en-US" w:eastAsia="zh-CN"/>
        </w:rPr>
        <w:t>1.政府采购投诉书(范本、质疑函范本）..................................36</w:t>
      </w:r>
    </w:p>
    <w:p w14:paraId="4445815F">
      <w:pPr>
        <w:pStyle w:val="22"/>
        <w:keepNext w:val="0"/>
        <w:keepLines w:val="0"/>
        <w:pageBreakBefore w:val="0"/>
        <w:widowControl w:val="0"/>
        <w:shd w:val="clear" w:color="auto" w:fill="auto"/>
        <w:tabs>
          <w:tab w:val="left" w:pos="945"/>
          <w:tab w:val="right" w:leader="dot" w:pos="8296"/>
        </w:tabs>
        <w:kinsoku/>
        <w:wordWrap/>
        <w:overflowPunct/>
        <w:topLinePunct w:val="0"/>
        <w:autoSpaceDE/>
        <w:autoSpaceDN/>
        <w:bidi w:val="0"/>
        <w:adjustRightInd/>
        <w:snapToGrid/>
        <w:spacing w:line="440" w:lineRule="exact"/>
        <w:ind w:left="420" w:firstLine="639" w:firstLineChars="300"/>
        <w:textAlignment w:val="auto"/>
        <w:rPr>
          <w:rFonts w:hint="eastAsia" w:ascii="宋体" w:hAnsi="宋体"/>
          <w:color w:val="auto"/>
          <w:highlight w:val="none"/>
          <w:lang w:val="en-US" w:eastAsia="zh-CN"/>
        </w:rPr>
      </w:pPr>
      <w:r>
        <w:rPr>
          <w:rFonts w:hint="eastAsia" w:ascii="宋体" w:hAnsi="宋体"/>
          <w:color w:val="auto"/>
          <w:highlight w:val="none"/>
          <w:lang w:val="en-US" w:eastAsia="zh-CN"/>
        </w:rPr>
        <w:t>政府采购投诉书范本...............................................36</w:t>
      </w:r>
    </w:p>
    <w:p w14:paraId="291FE19E">
      <w:pPr>
        <w:pStyle w:val="22"/>
        <w:keepNext w:val="0"/>
        <w:keepLines w:val="0"/>
        <w:pageBreakBefore w:val="0"/>
        <w:widowControl w:val="0"/>
        <w:shd w:val="clear" w:color="auto" w:fill="auto"/>
        <w:tabs>
          <w:tab w:val="left" w:pos="945"/>
          <w:tab w:val="right" w:leader="dot" w:pos="8296"/>
        </w:tabs>
        <w:kinsoku/>
        <w:wordWrap/>
        <w:overflowPunct/>
        <w:topLinePunct w:val="0"/>
        <w:autoSpaceDE/>
        <w:autoSpaceDN/>
        <w:bidi w:val="0"/>
        <w:adjustRightInd/>
        <w:snapToGrid/>
        <w:spacing w:line="440" w:lineRule="exact"/>
        <w:ind w:left="420" w:firstLine="426" w:firstLineChars="200"/>
        <w:textAlignment w:val="auto"/>
        <w:rPr>
          <w:rFonts w:hint="eastAsia" w:ascii="宋体" w:hAnsi="宋体"/>
          <w:color w:val="auto"/>
          <w:highlight w:val="none"/>
          <w:lang w:val="en-US" w:eastAsia="zh-CN"/>
        </w:rPr>
      </w:pPr>
      <w:r>
        <w:rPr>
          <w:rFonts w:hint="eastAsia" w:ascii="宋体" w:hAnsi="宋体"/>
          <w:color w:val="auto"/>
          <w:highlight w:val="none"/>
          <w:lang w:val="en-US" w:eastAsia="zh-CN"/>
        </w:rPr>
        <w:t>2.投诉相关说明.....................................................37</w:t>
      </w:r>
    </w:p>
    <w:p w14:paraId="5A9CC9B6">
      <w:pPr>
        <w:pStyle w:val="22"/>
        <w:keepNext w:val="0"/>
        <w:keepLines w:val="0"/>
        <w:pageBreakBefore w:val="0"/>
        <w:widowControl w:val="0"/>
        <w:shd w:val="clear" w:color="auto" w:fill="auto"/>
        <w:tabs>
          <w:tab w:val="left" w:pos="945"/>
          <w:tab w:val="right" w:leader="dot" w:pos="8296"/>
        </w:tabs>
        <w:kinsoku/>
        <w:wordWrap/>
        <w:overflowPunct/>
        <w:topLinePunct w:val="0"/>
        <w:autoSpaceDE/>
        <w:autoSpaceDN/>
        <w:bidi w:val="0"/>
        <w:adjustRightInd/>
        <w:snapToGrid/>
        <w:spacing w:line="440" w:lineRule="exact"/>
        <w:ind w:left="420" w:firstLine="426" w:firstLineChars="200"/>
        <w:textAlignment w:val="auto"/>
        <w:rPr>
          <w:rFonts w:hint="default" w:ascii="宋体" w:hAnsi="宋体"/>
          <w:color w:val="auto"/>
          <w:highlight w:val="none"/>
          <w:lang w:val="en-US" w:eastAsia="zh-CN"/>
        </w:rPr>
      </w:pPr>
      <w:r>
        <w:rPr>
          <w:rFonts w:hint="eastAsia" w:ascii="宋体" w:hAnsi="宋体"/>
          <w:color w:val="auto"/>
          <w:highlight w:val="none"/>
          <w:lang w:val="en-US" w:eastAsia="zh-CN"/>
        </w:rPr>
        <w:t>3.质疑函范本.......................................................39</w:t>
      </w:r>
    </w:p>
    <w:p w14:paraId="45985BE5">
      <w:pPr>
        <w:pStyle w:val="19"/>
        <w:keepNext w:val="0"/>
        <w:keepLines w:val="0"/>
        <w:pageBreakBefore w:val="0"/>
        <w:widowControl w:val="0"/>
        <w:shd w:val="clear" w:color="auto" w:fill="auto"/>
        <w:tabs>
          <w:tab w:val="right" w:leader="dot" w:pos="8296"/>
        </w:tabs>
        <w:kinsoku/>
        <w:wordWrap/>
        <w:overflowPunct/>
        <w:topLinePunct w:val="0"/>
        <w:autoSpaceDE/>
        <w:autoSpaceDN/>
        <w:bidi w:val="0"/>
        <w:adjustRightInd/>
        <w:snapToGrid/>
        <w:spacing w:line="440" w:lineRule="exact"/>
        <w:ind w:firstLine="426" w:firstLineChars="200"/>
        <w:textAlignment w:val="auto"/>
        <w:rPr>
          <w:rFonts w:hint="eastAsia" w:ascii="宋体" w:hAnsi="宋体" w:eastAsia="宋体"/>
          <w:color w:val="auto"/>
          <w:szCs w:val="22"/>
          <w:highlight w:val="none"/>
          <w:lang w:val="en-US" w:eastAsia="zh-CN"/>
        </w:rPr>
      </w:pPr>
      <w:r>
        <w:rPr>
          <w:rFonts w:ascii="宋体" w:hAnsi="宋体"/>
          <w:color w:val="auto"/>
          <w:highlight w:val="none"/>
        </w:rPr>
        <w:fldChar w:fldCharType="begin"/>
      </w:r>
      <w:r>
        <w:rPr>
          <w:rStyle w:val="38"/>
          <w:rFonts w:ascii="宋体" w:hAnsi="宋体"/>
          <w:color w:val="auto"/>
          <w:highlight w:val="none"/>
        </w:rPr>
        <w:instrText xml:space="preserve"> </w:instrText>
      </w:r>
      <w:r>
        <w:rPr>
          <w:rFonts w:ascii="宋体" w:hAnsi="宋体"/>
          <w:color w:val="auto"/>
          <w:highlight w:val="none"/>
        </w:rPr>
        <w:instrText xml:space="preserve">HYPERLINK \l "_Toc469495731"</w:instrText>
      </w:r>
      <w:r>
        <w:rPr>
          <w:rStyle w:val="38"/>
          <w:rFonts w:ascii="宋体" w:hAnsi="宋体"/>
          <w:color w:val="auto"/>
          <w:highlight w:val="none"/>
        </w:rPr>
        <w:instrText xml:space="preserve"> </w:instrText>
      </w:r>
      <w:r>
        <w:rPr>
          <w:rFonts w:ascii="宋体" w:hAnsi="宋体"/>
          <w:color w:val="auto"/>
          <w:highlight w:val="none"/>
        </w:rPr>
        <w:fldChar w:fldCharType="separate"/>
      </w:r>
      <w:r>
        <w:rPr>
          <w:rStyle w:val="38"/>
          <w:rFonts w:hint="eastAsia" w:ascii="宋体" w:hAnsi="宋体"/>
          <w:color w:val="auto"/>
          <w:highlight w:val="none"/>
        </w:rPr>
        <w:t>第三章</w:t>
      </w:r>
      <w:r>
        <w:rPr>
          <w:rStyle w:val="38"/>
          <w:rFonts w:ascii="宋体" w:hAnsi="宋体"/>
          <w:color w:val="auto"/>
          <w:highlight w:val="none"/>
        </w:rPr>
        <w:t xml:space="preserve">  </w:t>
      </w:r>
      <w:r>
        <w:rPr>
          <w:rStyle w:val="38"/>
          <w:rFonts w:hint="eastAsia" w:ascii="宋体" w:hAnsi="宋体"/>
          <w:color w:val="auto"/>
          <w:highlight w:val="none"/>
        </w:rPr>
        <w:t>评标办法</w:t>
      </w:r>
      <w:r>
        <w:rPr>
          <w:rFonts w:ascii="宋体" w:hAnsi="宋体"/>
          <w:color w:val="auto"/>
          <w:highlight w:val="none"/>
        </w:rPr>
        <w:tab/>
      </w:r>
      <w:r>
        <w:rPr>
          <w:rFonts w:hint="eastAsia" w:ascii="宋体" w:hAnsi="宋体"/>
          <w:color w:val="auto"/>
          <w:highlight w:val="none"/>
          <w:lang w:val="en-US" w:eastAsia="zh-CN"/>
        </w:rPr>
        <w:t>4</w:t>
      </w:r>
      <w:r>
        <w:rPr>
          <w:rFonts w:ascii="宋体" w:hAnsi="宋体"/>
          <w:color w:val="auto"/>
          <w:highlight w:val="none"/>
        </w:rPr>
        <w:fldChar w:fldCharType="end"/>
      </w:r>
      <w:r>
        <w:rPr>
          <w:rFonts w:hint="eastAsia" w:ascii="宋体" w:hAnsi="宋体"/>
          <w:color w:val="auto"/>
          <w:highlight w:val="none"/>
          <w:lang w:val="en-US" w:eastAsia="zh-CN"/>
        </w:rPr>
        <w:t>0</w:t>
      </w:r>
    </w:p>
    <w:p w14:paraId="61D1D768">
      <w:pPr>
        <w:pStyle w:val="22"/>
        <w:keepNext w:val="0"/>
        <w:keepLines w:val="0"/>
        <w:pageBreakBefore w:val="0"/>
        <w:widowControl w:val="0"/>
        <w:shd w:val="clear" w:color="auto" w:fill="auto"/>
        <w:tabs>
          <w:tab w:val="right" w:leader="dot" w:pos="8296"/>
        </w:tabs>
        <w:kinsoku/>
        <w:wordWrap/>
        <w:overflowPunct/>
        <w:topLinePunct w:val="0"/>
        <w:autoSpaceDE/>
        <w:autoSpaceDN/>
        <w:bidi w:val="0"/>
        <w:adjustRightInd/>
        <w:snapToGrid/>
        <w:spacing w:line="440" w:lineRule="exact"/>
        <w:ind w:left="420" w:firstLine="426" w:firstLineChars="200"/>
        <w:textAlignment w:val="auto"/>
        <w:rPr>
          <w:rFonts w:hint="eastAsia" w:ascii="宋体" w:hAnsi="宋体" w:eastAsia="宋体"/>
          <w:color w:val="auto"/>
          <w:szCs w:val="22"/>
          <w:highlight w:val="none"/>
          <w:lang w:val="en-US" w:eastAsia="zh-CN"/>
        </w:rPr>
      </w:pPr>
      <w:r>
        <w:rPr>
          <w:rFonts w:ascii="宋体" w:hAnsi="宋体"/>
          <w:color w:val="auto"/>
          <w:highlight w:val="none"/>
        </w:rPr>
        <w:fldChar w:fldCharType="begin"/>
      </w:r>
      <w:r>
        <w:rPr>
          <w:rStyle w:val="38"/>
          <w:rFonts w:ascii="宋体" w:hAnsi="宋体"/>
          <w:color w:val="auto"/>
          <w:highlight w:val="none"/>
        </w:rPr>
        <w:instrText xml:space="preserve"> </w:instrText>
      </w:r>
      <w:r>
        <w:rPr>
          <w:rFonts w:ascii="宋体" w:hAnsi="宋体"/>
          <w:color w:val="auto"/>
          <w:highlight w:val="none"/>
        </w:rPr>
        <w:instrText xml:space="preserve">HYPERLINK \l "_Toc469495732"</w:instrText>
      </w:r>
      <w:r>
        <w:rPr>
          <w:rStyle w:val="38"/>
          <w:rFonts w:ascii="宋体" w:hAnsi="宋体"/>
          <w:color w:val="auto"/>
          <w:highlight w:val="none"/>
        </w:rPr>
        <w:instrText xml:space="preserve"> </w:instrText>
      </w:r>
      <w:r>
        <w:rPr>
          <w:rFonts w:ascii="宋体" w:hAnsi="宋体"/>
          <w:color w:val="auto"/>
          <w:highlight w:val="none"/>
        </w:rPr>
        <w:fldChar w:fldCharType="separate"/>
      </w:r>
      <w:r>
        <w:rPr>
          <w:rStyle w:val="38"/>
          <w:rFonts w:hint="eastAsia" w:ascii="宋体" w:hAnsi="宋体"/>
          <w:color w:val="auto"/>
          <w:highlight w:val="none"/>
        </w:rPr>
        <w:t>一</w:t>
      </w:r>
      <w:r>
        <w:rPr>
          <w:rStyle w:val="38"/>
          <w:rFonts w:ascii="宋体" w:hAnsi="宋体"/>
          <w:color w:val="auto"/>
          <w:highlight w:val="none"/>
        </w:rPr>
        <w:t xml:space="preserve">  </w:t>
      </w:r>
      <w:r>
        <w:rPr>
          <w:rStyle w:val="38"/>
          <w:rFonts w:hint="eastAsia" w:ascii="宋体" w:hAnsi="宋体"/>
          <w:color w:val="auto"/>
          <w:highlight w:val="none"/>
        </w:rPr>
        <w:t>总则</w:t>
      </w:r>
      <w:r>
        <w:rPr>
          <w:rFonts w:ascii="宋体" w:hAnsi="宋体"/>
          <w:color w:val="auto"/>
          <w:highlight w:val="none"/>
        </w:rPr>
        <w:tab/>
      </w:r>
      <w:r>
        <w:rPr>
          <w:rFonts w:hint="eastAsia" w:ascii="宋体" w:hAnsi="宋体"/>
          <w:color w:val="auto"/>
          <w:highlight w:val="none"/>
          <w:lang w:val="en-US" w:eastAsia="zh-CN"/>
        </w:rPr>
        <w:t>4</w:t>
      </w:r>
      <w:r>
        <w:rPr>
          <w:rFonts w:ascii="宋体" w:hAnsi="宋体"/>
          <w:color w:val="auto"/>
          <w:highlight w:val="none"/>
        </w:rPr>
        <w:fldChar w:fldCharType="end"/>
      </w:r>
      <w:r>
        <w:rPr>
          <w:rFonts w:hint="eastAsia" w:ascii="宋体" w:hAnsi="宋体"/>
          <w:color w:val="auto"/>
          <w:highlight w:val="none"/>
          <w:lang w:val="en-US" w:eastAsia="zh-CN"/>
        </w:rPr>
        <w:t>0</w:t>
      </w:r>
    </w:p>
    <w:p w14:paraId="3182EDB2">
      <w:pPr>
        <w:pStyle w:val="22"/>
        <w:keepNext w:val="0"/>
        <w:keepLines w:val="0"/>
        <w:pageBreakBefore w:val="0"/>
        <w:widowControl w:val="0"/>
        <w:shd w:val="clear" w:color="auto" w:fill="auto"/>
        <w:tabs>
          <w:tab w:val="right" w:leader="dot" w:pos="8296"/>
        </w:tabs>
        <w:kinsoku/>
        <w:wordWrap/>
        <w:overflowPunct/>
        <w:topLinePunct w:val="0"/>
        <w:autoSpaceDE/>
        <w:autoSpaceDN/>
        <w:bidi w:val="0"/>
        <w:adjustRightInd/>
        <w:snapToGrid/>
        <w:spacing w:line="440" w:lineRule="exact"/>
        <w:ind w:left="420" w:firstLine="426" w:firstLineChars="200"/>
        <w:textAlignment w:val="auto"/>
        <w:rPr>
          <w:rFonts w:hint="eastAsia" w:ascii="宋体" w:hAnsi="宋体" w:eastAsia="宋体"/>
          <w:color w:val="auto"/>
          <w:szCs w:val="22"/>
          <w:highlight w:val="none"/>
          <w:lang w:val="en-US" w:eastAsia="zh-CN"/>
        </w:rPr>
      </w:pPr>
      <w:r>
        <w:rPr>
          <w:rFonts w:ascii="宋体" w:hAnsi="宋体"/>
          <w:color w:val="auto"/>
          <w:highlight w:val="none"/>
        </w:rPr>
        <w:fldChar w:fldCharType="begin"/>
      </w:r>
      <w:r>
        <w:rPr>
          <w:rStyle w:val="38"/>
          <w:rFonts w:ascii="宋体" w:hAnsi="宋体"/>
          <w:color w:val="auto"/>
          <w:highlight w:val="none"/>
        </w:rPr>
        <w:instrText xml:space="preserve"> </w:instrText>
      </w:r>
      <w:r>
        <w:rPr>
          <w:rFonts w:ascii="宋体" w:hAnsi="宋体"/>
          <w:color w:val="auto"/>
          <w:highlight w:val="none"/>
        </w:rPr>
        <w:instrText xml:space="preserve">HYPERLINK \l "_Toc469495733"</w:instrText>
      </w:r>
      <w:r>
        <w:rPr>
          <w:rStyle w:val="38"/>
          <w:rFonts w:ascii="宋体" w:hAnsi="宋体"/>
          <w:color w:val="auto"/>
          <w:highlight w:val="none"/>
        </w:rPr>
        <w:instrText xml:space="preserve"> </w:instrText>
      </w:r>
      <w:r>
        <w:rPr>
          <w:rFonts w:ascii="宋体" w:hAnsi="宋体"/>
          <w:color w:val="auto"/>
          <w:highlight w:val="none"/>
        </w:rPr>
        <w:fldChar w:fldCharType="separate"/>
      </w:r>
      <w:r>
        <w:rPr>
          <w:rStyle w:val="38"/>
          <w:rFonts w:hint="eastAsia" w:ascii="宋体" w:hAnsi="宋体"/>
          <w:color w:val="auto"/>
          <w:highlight w:val="none"/>
        </w:rPr>
        <w:t>二</w:t>
      </w:r>
      <w:r>
        <w:rPr>
          <w:rStyle w:val="38"/>
          <w:rFonts w:ascii="宋体" w:hAnsi="宋体"/>
          <w:color w:val="auto"/>
          <w:highlight w:val="none"/>
        </w:rPr>
        <w:t xml:space="preserve">  </w:t>
      </w:r>
      <w:r>
        <w:rPr>
          <w:rStyle w:val="38"/>
          <w:rFonts w:hint="eastAsia" w:ascii="宋体" w:hAnsi="宋体"/>
          <w:color w:val="auto"/>
          <w:highlight w:val="none"/>
        </w:rPr>
        <w:t>投标文件初审</w:t>
      </w:r>
      <w:r>
        <w:rPr>
          <w:rFonts w:ascii="宋体" w:hAnsi="宋体"/>
          <w:color w:val="auto"/>
          <w:highlight w:val="none"/>
        </w:rPr>
        <w:tab/>
      </w:r>
      <w:r>
        <w:rPr>
          <w:rFonts w:hint="eastAsia" w:ascii="宋体" w:hAnsi="宋体"/>
          <w:color w:val="auto"/>
          <w:highlight w:val="none"/>
          <w:lang w:val="en-US" w:eastAsia="zh-CN"/>
        </w:rPr>
        <w:t>4</w:t>
      </w:r>
      <w:r>
        <w:rPr>
          <w:rFonts w:ascii="宋体" w:hAnsi="宋体"/>
          <w:color w:val="auto"/>
          <w:highlight w:val="none"/>
        </w:rPr>
        <w:fldChar w:fldCharType="end"/>
      </w:r>
      <w:r>
        <w:rPr>
          <w:rFonts w:hint="eastAsia" w:ascii="宋体" w:hAnsi="宋体"/>
          <w:color w:val="auto"/>
          <w:highlight w:val="none"/>
          <w:lang w:val="en-US" w:eastAsia="zh-CN"/>
        </w:rPr>
        <w:t>2</w:t>
      </w:r>
    </w:p>
    <w:p w14:paraId="51A23D38">
      <w:pPr>
        <w:pStyle w:val="22"/>
        <w:keepNext w:val="0"/>
        <w:keepLines w:val="0"/>
        <w:pageBreakBefore w:val="0"/>
        <w:widowControl w:val="0"/>
        <w:shd w:val="clear" w:color="auto" w:fill="auto"/>
        <w:tabs>
          <w:tab w:val="right" w:leader="dot" w:pos="8296"/>
        </w:tabs>
        <w:kinsoku/>
        <w:wordWrap/>
        <w:overflowPunct/>
        <w:topLinePunct w:val="0"/>
        <w:autoSpaceDE/>
        <w:autoSpaceDN/>
        <w:bidi w:val="0"/>
        <w:adjustRightInd/>
        <w:snapToGrid/>
        <w:spacing w:line="440" w:lineRule="exact"/>
        <w:ind w:left="420" w:firstLine="426" w:firstLineChars="200"/>
        <w:textAlignment w:val="auto"/>
        <w:rPr>
          <w:rFonts w:hint="eastAsia" w:ascii="宋体" w:hAnsi="宋体" w:eastAsia="宋体"/>
          <w:color w:val="auto"/>
          <w:szCs w:val="22"/>
          <w:highlight w:val="none"/>
          <w:lang w:val="en-US" w:eastAsia="zh-CN"/>
        </w:rPr>
      </w:pPr>
      <w:r>
        <w:rPr>
          <w:rFonts w:ascii="宋体" w:hAnsi="宋体"/>
          <w:color w:val="auto"/>
          <w:highlight w:val="none"/>
        </w:rPr>
        <w:fldChar w:fldCharType="begin"/>
      </w:r>
      <w:r>
        <w:rPr>
          <w:rStyle w:val="38"/>
          <w:rFonts w:ascii="宋体" w:hAnsi="宋体"/>
          <w:color w:val="auto"/>
          <w:highlight w:val="none"/>
        </w:rPr>
        <w:instrText xml:space="preserve"> </w:instrText>
      </w:r>
      <w:r>
        <w:rPr>
          <w:rFonts w:ascii="宋体" w:hAnsi="宋体"/>
          <w:color w:val="auto"/>
          <w:highlight w:val="none"/>
        </w:rPr>
        <w:instrText xml:space="preserve">HYPERLINK \l "_Toc469495734"</w:instrText>
      </w:r>
      <w:r>
        <w:rPr>
          <w:rStyle w:val="38"/>
          <w:rFonts w:ascii="宋体" w:hAnsi="宋体"/>
          <w:color w:val="auto"/>
          <w:highlight w:val="none"/>
        </w:rPr>
        <w:instrText xml:space="preserve"> </w:instrText>
      </w:r>
      <w:r>
        <w:rPr>
          <w:rFonts w:ascii="宋体" w:hAnsi="宋体"/>
          <w:color w:val="auto"/>
          <w:highlight w:val="none"/>
        </w:rPr>
        <w:fldChar w:fldCharType="separate"/>
      </w:r>
      <w:r>
        <w:rPr>
          <w:rStyle w:val="38"/>
          <w:rFonts w:hint="eastAsia" w:ascii="宋体" w:hAnsi="宋体"/>
          <w:color w:val="auto"/>
          <w:highlight w:val="none"/>
        </w:rPr>
        <w:t>三</w:t>
      </w:r>
      <w:r>
        <w:rPr>
          <w:rStyle w:val="38"/>
          <w:rFonts w:ascii="宋体" w:hAnsi="宋体"/>
          <w:color w:val="auto"/>
          <w:highlight w:val="none"/>
        </w:rPr>
        <w:t xml:space="preserve">  </w:t>
      </w:r>
      <w:r>
        <w:rPr>
          <w:rStyle w:val="38"/>
          <w:rFonts w:hint="eastAsia" w:ascii="宋体" w:hAnsi="宋体"/>
          <w:color w:val="auto"/>
          <w:highlight w:val="none"/>
        </w:rPr>
        <w:t>投标文件的澄清和补正</w:t>
      </w:r>
      <w:r>
        <w:rPr>
          <w:rFonts w:ascii="宋体" w:hAnsi="宋体"/>
          <w:color w:val="auto"/>
          <w:highlight w:val="none"/>
        </w:rPr>
        <w:tab/>
      </w:r>
      <w:r>
        <w:rPr>
          <w:rFonts w:hint="eastAsia" w:ascii="宋体" w:hAnsi="宋体"/>
          <w:color w:val="auto"/>
          <w:highlight w:val="none"/>
          <w:lang w:val="en-US" w:eastAsia="zh-CN"/>
        </w:rPr>
        <w:t>4</w:t>
      </w:r>
      <w:r>
        <w:rPr>
          <w:rFonts w:ascii="宋体" w:hAnsi="宋体"/>
          <w:color w:val="auto"/>
          <w:highlight w:val="none"/>
        </w:rPr>
        <w:fldChar w:fldCharType="end"/>
      </w:r>
      <w:r>
        <w:rPr>
          <w:rFonts w:hint="eastAsia" w:ascii="宋体" w:hAnsi="宋体"/>
          <w:color w:val="auto"/>
          <w:highlight w:val="none"/>
          <w:lang w:val="en-US" w:eastAsia="zh-CN"/>
        </w:rPr>
        <w:t>3</w:t>
      </w:r>
    </w:p>
    <w:p w14:paraId="6B2E88E5">
      <w:pPr>
        <w:pStyle w:val="22"/>
        <w:keepNext w:val="0"/>
        <w:keepLines w:val="0"/>
        <w:pageBreakBefore w:val="0"/>
        <w:widowControl w:val="0"/>
        <w:shd w:val="clear" w:color="auto" w:fill="auto"/>
        <w:tabs>
          <w:tab w:val="right" w:leader="dot" w:pos="8296"/>
        </w:tabs>
        <w:kinsoku/>
        <w:wordWrap/>
        <w:overflowPunct/>
        <w:topLinePunct w:val="0"/>
        <w:autoSpaceDE/>
        <w:autoSpaceDN/>
        <w:bidi w:val="0"/>
        <w:adjustRightInd/>
        <w:snapToGrid/>
        <w:spacing w:line="440" w:lineRule="exact"/>
        <w:ind w:left="420" w:firstLine="426" w:firstLineChars="200"/>
        <w:textAlignment w:val="auto"/>
        <w:rPr>
          <w:rFonts w:hint="eastAsia" w:ascii="宋体" w:hAnsi="宋体" w:eastAsia="宋体"/>
          <w:color w:val="auto"/>
          <w:szCs w:val="22"/>
          <w:highlight w:val="none"/>
          <w:lang w:val="en-US" w:eastAsia="zh-CN"/>
        </w:rPr>
      </w:pPr>
      <w:r>
        <w:rPr>
          <w:rFonts w:ascii="宋体" w:hAnsi="宋体"/>
          <w:color w:val="auto"/>
          <w:highlight w:val="none"/>
        </w:rPr>
        <w:fldChar w:fldCharType="begin"/>
      </w:r>
      <w:r>
        <w:rPr>
          <w:rStyle w:val="38"/>
          <w:rFonts w:ascii="宋体" w:hAnsi="宋体"/>
          <w:color w:val="auto"/>
          <w:highlight w:val="none"/>
        </w:rPr>
        <w:instrText xml:space="preserve"> </w:instrText>
      </w:r>
      <w:r>
        <w:rPr>
          <w:rFonts w:ascii="宋体" w:hAnsi="宋体"/>
          <w:color w:val="auto"/>
          <w:highlight w:val="none"/>
        </w:rPr>
        <w:instrText xml:space="preserve">HYPERLINK \l "_Toc469495735"</w:instrText>
      </w:r>
      <w:r>
        <w:rPr>
          <w:rStyle w:val="38"/>
          <w:rFonts w:ascii="宋体" w:hAnsi="宋体"/>
          <w:color w:val="auto"/>
          <w:highlight w:val="none"/>
        </w:rPr>
        <w:instrText xml:space="preserve"> </w:instrText>
      </w:r>
      <w:r>
        <w:rPr>
          <w:rFonts w:ascii="宋体" w:hAnsi="宋体"/>
          <w:color w:val="auto"/>
          <w:highlight w:val="none"/>
        </w:rPr>
        <w:fldChar w:fldCharType="separate"/>
      </w:r>
      <w:r>
        <w:rPr>
          <w:rStyle w:val="38"/>
          <w:rFonts w:hint="eastAsia" w:ascii="宋体" w:hAnsi="宋体"/>
          <w:color w:val="auto"/>
          <w:highlight w:val="none"/>
        </w:rPr>
        <w:t>四</w:t>
      </w:r>
      <w:r>
        <w:rPr>
          <w:rStyle w:val="38"/>
          <w:rFonts w:ascii="宋体" w:hAnsi="宋体"/>
          <w:color w:val="auto"/>
          <w:highlight w:val="none"/>
        </w:rPr>
        <w:t xml:space="preserve"> </w:t>
      </w:r>
      <w:r>
        <w:rPr>
          <w:rStyle w:val="38"/>
          <w:rFonts w:hint="eastAsia" w:ascii="宋体" w:hAnsi="宋体"/>
          <w:color w:val="auto"/>
          <w:highlight w:val="none"/>
          <w:lang w:val="en-US" w:eastAsia="zh-CN"/>
        </w:rPr>
        <w:t xml:space="preserve"> </w:t>
      </w:r>
      <w:r>
        <w:rPr>
          <w:rStyle w:val="38"/>
          <w:rFonts w:hint="eastAsia" w:ascii="宋体" w:hAnsi="宋体"/>
          <w:color w:val="auto"/>
          <w:highlight w:val="none"/>
        </w:rPr>
        <w:t>比较与评价</w:t>
      </w:r>
      <w:r>
        <w:rPr>
          <w:rFonts w:ascii="宋体" w:hAnsi="宋体"/>
          <w:color w:val="auto"/>
          <w:highlight w:val="none"/>
        </w:rPr>
        <w:tab/>
      </w:r>
      <w:r>
        <w:rPr>
          <w:rFonts w:hint="eastAsia" w:ascii="宋体" w:hAnsi="宋体"/>
          <w:color w:val="auto"/>
          <w:highlight w:val="none"/>
          <w:lang w:val="en-US" w:eastAsia="zh-CN"/>
        </w:rPr>
        <w:t>4</w:t>
      </w:r>
      <w:r>
        <w:rPr>
          <w:rFonts w:ascii="宋体" w:hAnsi="宋体"/>
          <w:color w:val="auto"/>
          <w:highlight w:val="none"/>
        </w:rPr>
        <w:fldChar w:fldCharType="end"/>
      </w:r>
      <w:r>
        <w:rPr>
          <w:rFonts w:hint="eastAsia" w:ascii="宋体" w:hAnsi="宋体"/>
          <w:color w:val="auto"/>
          <w:highlight w:val="none"/>
          <w:lang w:val="en-US" w:eastAsia="zh-CN"/>
        </w:rPr>
        <w:t>4</w:t>
      </w:r>
    </w:p>
    <w:p w14:paraId="1B572370">
      <w:pPr>
        <w:pStyle w:val="22"/>
        <w:keepNext w:val="0"/>
        <w:keepLines w:val="0"/>
        <w:pageBreakBefore w:val="0"/>
        <w:widowControl w:val="0"/>
        <w:shd w:val="clear" w:color="auto" w:fill="auto"/>
        <w:tabs>
          <w:tab w:val="left" w:pos="945"/>
          <w:tab w:val="right" w:leader="dot" w:pos="8296"/>
        </w:tabs>
        <w:kinsoku/>
        <w:wordWrap/>
        <w:overflowPunct/>
        <w:topLinePunct w:val="0"/>
        <w:autoSpaceDE/>
        <w:autoSpaceDN/>
        <w:bidi w:val="0"/>
        <w:adjustRightInd/>
        <w:snapToGrid/>
        <w:spacing w:line="440" w:lineRule="exact"/>
        <w:ind w:left="420" w:firstLine="426" w:firstLineChars="200"/>
        <w:textAlignment w:val="auto"/>
        <w:rPr>
          <w:rFonts w:hint="default" w:ascii="宋体" w:hAnsi="宋体"/>
          <w:color w:val="auto"/>
          <w:highlight w:val="none"/>
          <w:lang w:val="en-US" w:eastAsia="zh-CN"/>
        </w:rPr>
      </w:pPr>
      <w:r>
        <w:rPr>
          <w:rFonts w:ascii="宋体" w:hAnsi="宋体"/>
          <w:color w:val="auto"/>
          <w:highlight w:val="none"/>
        </w:rPr>
        <w:fldChar w:fldCharType="begin"/>
      </w:r>
      <w:r>
        <w:rPr>
          <w:rFonts w:ascii="宋体" w:hAnsi="宋体"/>
          <w:color w:val="auto"/>
          <w:highlight w:val="none"/>
        </w:rPr>
        <w:instrText xml:space="preserve"> HYPERLINK \l "_Toc469495736" </w:instrText>
      </w:r>
      <w:r>
        <w:rPr>
          <w:rFonts w:ascii="宋体" w:hAnsi="宋体"/>
          <w:color w:val="auto"/>
          <w:highlight w:val="none"/>
        </w:rPr>
        <w:fldChar w:fldCharType="separate"/>
      </w:r>
      <w:r>
        <w:rPr>
          <w:rFonts w:hint="eastAsia" w:ascii="宋体" w:hAnsi="宋体"/>
          <w:color w:val="auto"/>
          <w:highlight w:val="none"/>
        </w:rPr>
        <w:t>五</w:t>
      </w:r>
      <w:r>
        <w:rPr>
          <w:rFonts w:ascii="宋体" w:hAnsi="宋体"/>
          <w:color w:val="auto"/>
          <w:highlight w:val="none"/>
        </w:rPr>
        <w:t xml:space="preserve">  </w:t>
      </w:r>
      <w:r>
        <w:rPr>
          <w:rFonts w:hint="eastAsia" w:ascii="宋体" w:hAnsi="宋体"/>
          <w:color w:val="auto"/>
          <w:highlight w:val="none"/>
        </w:rPr>
        <w:t>推荐中标候选人</w:t>
      </w:r>
      <w:r>
        <w:rPr>
          <w:rFonts w:ascii="宋体" w:hAnsi="宋体"/>
          <w:color w:val="auto"/>
          <w:highlight w:val="none"/>
        </w:rPr>
        <w:tab/>
      </w:r>
      <w:r>
        <w:rPr>
          <w:rFonts w:ascii="宋体" w:hAnsi="宋体"/>
          <w:color w:val="auto"/>
          <w:highlight w:val="none"/>
        </w:rPr>
        <w:fldChar w:fldCharType="end"/>
      </w:r>
      <w:r>
        <w:rPr>
          <w:rFonts w:hint="eastAsia" w:ascii="宋体" w:hAnsi="宋体"/>
          <w:color w:val="auto"/>
          <w:highlight w:val="none"/>
          <w:lang w:val="en-US" w:eastAsia="zh-CN"/>
        </w:rPr>
        <w:t>47</w:t>
      </w:r>
    </w:p>
    <w:p w14:paraId="484BC7E8">
      <w:pPr>
        <w:pStyle w:val="22"/>
        <w:keepNext w:val="0"/>
        <w:keepLines w:val="0"/>
        <w:pageBreakBefore w:val="0"/>
        <w:widowControl w:val="0"/>
        <w:shd w:val="clear" w:color="auto" w:fill="auto"/>
        <w:tabs>
          <w:tab w:val="left" w:pos="945"/>
          <w:tab w:val="right" w:leader="dot" w:pos="8296"/>
        </w:tabs>
        <w:kinsoku/>
        <w:wordWrap/>
        <w:overflowPunct/>
        <w:topLinePunct w:val="0"/>
        <w:autoSpaceDE/>
        <w:autoSpaceDN/>
        <w:bidi w:val="0"/>
        <w:adjustRightInd/>
        <w:snapToGrid/>
        <w:spacing w:line="440" w:lineRule="exact"/>
        <w:textAlignment w:val="auto"/>
        <w:rPr>
          <w:rFonts w:hint="default" w:ascii="宋体" w:hAnsi="宋体"/>
          <w:color w:val="auto"/>
          <w:highlight w:val="none"/>
          <w:lang w:val="en-US" w:eastAsia="zh-CN"/>
        </w:rPr>
      </w:pPr>
      <w:r>
        <w:rPr>
          <w:rFonts w:hint="eastAsia" w:ascii="宋体" w:hAnsi="宋体"/>
          <w:color w:val="auto"/>
          <w:highlight w:val="none"/>
          <w:lang w:val="en-US" w:eastAsia="zh-CN"/>
        </w:rPr>
        <w:t>第四章  采购内容及技术要求..............................................49</w:t>
      </w:r>
    </w:p>
    <w:p w14:paraId="30814AD3">
      <w:pPr>
        <w:pStyle w:val="19"/>
        <w:keepNext w:val="0"/>
        <w:keepLines w:val="0"/>
        <w:pageBreakBefore w:val="0"/>
        <w:widowControl w:val="0"/>
        <w:shd w:val="clear" w:color="auto" w:fill="auto"/>
        <w:tabs>
          <w:tab w:val="right" w:leader="dot" w:pos="8296"/>
        </w:tabs>
        <w:kinsoku/>
        <w:wordWrap/>
        <w:overflowPunct/>
        <w:topLinePunct w:val="0"/>
        <w:autoSpaceDE/>
        <w:autoSpaceDN/>
        <w:bidi w:val="0"/>
        <w:adjustRightInd/>
        <w:snapToGrid/>
        <w:spacing w:line="440" w:lineRule="exact"/>
        <w:ind w:firstLine="426" w:firstLineChars="200"/>
        <w:textAlignment w:val="auto"/>
        <w:rPr>
          <w:rFonts w:hint="default" w:ascii="宋体" w:hAnsi="宋体" w:eastAsia="宋体"/>
          <w:color w:val="auto"/>
          <w:szCs w:val="22"/>
          <w:highlight w:val="none"/>
          <w:lang w:val="en-US" w:eastAsia="zh-CN"/>
        </w:rPr>
      </w:pPr>
      <w:r>
        <w:rPr>
          <w:rFonts w:ascii="宋体" w:hAnsi="宋体"/>
          <w:color w:val="auto"/>
          <w:highlight w:val="none"/>
        </w:rPr>
        <w:fldChar w:fldCharType="begin"/>
      </w:r>
      <w:r>
        <w:rPr>
          <w:rStyle w:val="38"/>
          <w:rFonts w:ascii="宋体" w:hAnsi="宋体"/>
          <w:color w:val="auto"/>
          <w:highlight w:val="none"/>
        </w:rPr>
        <w:instrText xml:space="preserve"> </w:instrText>
      </w:r>
      <w:r>
        <w:rPr>
          <w:rFonts w:ascii="宋体" w:hAnsi="宋体"/>
          <w:color w:val="auto"/>
          <w:highlight w:val="none"/>
        </w:rPr>
        <w:instrText xml:space="preserve">HYPERLINK \l "_Toc469495740"</w:instrText>
      </w:r>
      <w:r>
        <w:rPr>
          <w:rStyle w:val="38"/>
          <w:rFonts w:ascii="宋体" w:hAnsi="宋体"/>
          <w:color w:val="auto"/>
          <w:highlight w:val="none"/>
        </w:rPr>
        <w:instrText xml:space="preserve"> </w:instrText>
      </w:r>
      <w:r>
        <w:rPr>
          <w:rFonts w:ascii="宋体" w:hAnsi="宋体"/>
          <w:color w:val="auto"/>
          <w:highlight w:val="none"/>
        </w:rPr>
        <w:fldChar w:fldCharType="separate"/>
      </w:r>
      <w:r>
        <w:rPr>
          <w:rStyle w:val="38"/>
          <w:rFonts w:hint="eastAsia" w:ascii="宋体" w:hAnsi="宋体"/>
          <w:color w:val="auto"/>
          <w:highlight w:val="none"/>
        </w:rPr>
        <w:t>第五章</w:t>
      </w:r>
      <w:r>
        <w:rPr>
          <w:rStyle w:val="38"/>
          <w:rFonts w:ascii="宋体" w:hAnsi="宋体"/>
          <w:color w:val="auto"/>
          <w:highlight w:val="none"/>
        </w:rPr>
        <w:t xml:space="preserve">  </w:t>
      </w:r>
      <w:r>
        <w:rPr>
          <w:rStyle w:val="38"/>
          <w:rFonts w:hint="eastAsia" w:ascii="宋体" w:hAnsi="宋体"/>
          <w:color w:val="auto"/>
          <w:highlight w:val="none"/>
        </w:rPr>
        <w:t>合同条款及格式</w:t>
      </w:r>
      <w:r>
        <w:rPr>
          <w:rFonts w:ascii="宋体" w:hAnsi="宋体"/>
          <w:color w:val="auto"/>
          <w:highlight w:val="none"/>
        </w:rPr>
        <w:tab/>
      </w:r>
      <w:r>
        <w:rPr>
          <w:rFonts w:ascii="宋体" w:hAnsi="宋体"/>
          <w:color w:val="auto"/>
          <w:highlight w:val="none"/>
        </w:rPr>
        <w:fldChar w:fldCharType="end"/>
      </w:r>
      <w:r>
        <w:rPr>
          <w:rFonts w:hint="eastAsia" w:ascii="宋体" w:hAnsi="宋体"/>
          <w:color w:val="auto"/>
          <w:highlight w:val="none"/>
          <w:lang w:val="en-US" w:eastAsia="zh-CN"/>
        </w:rPr>
        <w:t>58</w:t>
      </w:r>
    </w:p>
    <w:p w14:paraId="614D6061">
      <w:pPr>
        <w:pStyle w:val="22"/>
        <w:keepNext w:val="0"/>
        <w:keepLines w:val="0"/>
        <w:pageBreakBefore w:val="0"/>
        <w:widowControl w:val="0"/>
        <w:shd w:val="clear" w:color="auto" w:fill="auto"/>
        <w:tabs>
          <w:tab w:val="left" w:pos="945"/>
          <w:tab w:val="right" w:leader="dot" w:pos="8296"/>
        </w:tabs>
        <w:kinsoku/>
        <w:wordWrap/>
        <w:overflowPunct/>
        <w:topLinePunct w:val="0"/>
        <w:autoSpaceDE/>
        <w:autoSpaceDN/>
        <w:bidi w:val="0"/>
        <w:adjustRightInd/>
        <w:snapToGrid/>
        <w:spacing w:line="440" w:lineRule="exact"/>
        <w:ind w:left="420" w:firstLine="426" w:firstLineChars="200"/>
        <w:textAlignment w:val="auto"/>
        <w:rPr>
          <w:rFonts w:hint="default" w:ascii="宋体" w:hAnsi="宋体" w:eastAsia="宋体"/>
          <w:color w:val="auto"/>
          <w:szCs w:val="22"/>
          <w:highlight w:val="none"/>
          <w:lang w:val="en-US" w:eastAsia="zh-CN"/>
        </w:rPr>
      </w:pPr>
      <w:r>
        <w:rPr>
          <w:rFonts w:ascii="宋体" w:hAnsi="宋体"/>
          <w:color w:val="auto"/>
          <w:highlight w:val="none"/>
        </w:rPr>
        <w:fldChar w:fldCharType="begin"/>
      </w:r>
      <w:r>
        <w:rPr>
          <w:rStyle w:val="38"/>
          <w:rFonts w:ascii="宋体" w:hAnsi="宋体"/>
          <w:color w:val="auto"/>
          <w:highlight w:val="none"/>
        </w:rPr>
        <w:instrText xml:space="preserve"> </w:instrText>
      </w:r>
      <w:r>
        <w:rPr>
          <w:rFonts w:ascii="宋体" w:hAnsi="宋体"/>
          <w:color w:val="auto"/>
          <w:highlight w:val="none"/>
        </w:rPr>
        <w:instrText xml:space="preserve">HYPERLINK \l "_Toc469495741"</w:instrText>
      </w:r>
      <w:r>
        <w:rPr>
          <w:rStyle w:val="38"/>
          <w:rFonts w:ascii="宋体" w:hAnsi="宋体"/>
          <w:color w:val="auto"/>
          <w:highlight w:val="none"/>
        </w:rPr>
        <w:instrText xml:space="preserve"> </w:instrText>
      </w:r>
      <w:r>
        <w:rPr>
          <w:rFonts w:ascii="宋体" w:hAnsi="宋体"/>
          <w:color w:val="auto"/>
          <w:highlight w:val="none"/>
        </w:rPr>
        <w:fldChar w:fldCharType="separate"/>
      </w:r>
      <w:r>
        <w:rPr>
          <w:rStyle w:val="38"/>
          <w:rFonts w:hint="eastAsia" w:ascii="宋体" w:hAnsi="宋体"/>
          <w:color w:val="auto"/>
          <w:highlight w:val="none"/>
        </w:rPr>
        <w:t>一</w:t>
      </w:r>
      <w:r>
        <w:rPr>
          <w:rStyle w:val="38"/>
          <w:rFonts w:hint="eastAsia" w:ascii="宋体" w:hAnsi="宋体"/>
          <w:color w:val="auto"/>
          <w:highlight w:val="none"/>
          <w:lang w:val="en-US" w:eastAsia="zh-CN"/>
        </w:rPr>
        <w:t xml:space="preserve">  </w:t>
      </w:r>
      <w:r>
        <w:rPr>
          <w:rStyle w:val="38"/>
          <w:rFonts w:hint="eastAsia" w:ascii="宋体" w:hAnsi="宋体"/>
          <w:color w:val="auto"/>
          <w:highlight w:val="none"/>
        </w:rPr>
        <w:t>合同协议书</w:t>
      </w:r>
      <w:r>
        <w:rPr>
          <w:rFonts w:ascii="宋体" w:hAnsi="宋体"/>
          <w:color w:val="auto"/>
          <w:highlight w:val="none"/>
        </w:rPr>
        <w:tab/>
      </w:r>
      <w:r>
        <w:rPr>
          <w:rFonts w:ascii="宋体" w:hAnsi="宋体"/>
          <w:color w:val="auto"/>
          <w:highlight w:val="none"/>
        </w:rPr>
        <w:fldChar w:fldCharType="end"/>
      </w:r>
      <w:r>
        <w:rPr>
          <w:rFonts w:hint="eastAsia" w:ascii="宋体" w:hAnsi="宋体"/>
          <w:color w:val="auto"/>
          <w:highlight w:val="none"/>
          <w:lang w:val="en-US" w:eastAsia="zh-CN"/>
        </w:rPr>
        <w:t>58</w:t>
      </w:r>
    </w:p>
    <w:p w14:paraId="3C757B81">
      <w:pPr>
        <w:pStyle w:val="22"/>
        <w:keepNext w:val="0"/>
        <w:keepLines w:val="0"/>
        <w:pageBreakBefore w:val="0"/>
        <w:widowControl w:val="0"/>
        <w:shd w:val="clear" w:color="auto" w:fill="auto"/>
        <w:tabs>
          <w:tab w:val="right" w:leader="dot" w:pos="8296"/>
        </w:tabs>
        <w:kinsoku/>
        <w:wordWrap/>
        <w:overflowPunct/>
        <w:topLinePunct w:val="0"/>
        <w:autoSpaceDE/>
        <w:autoSpaceDN/>
        <w:bidi w:val="0"/>
        <w:adjustRightInd/>
        <w:snapToGrid/>
        <w:spacing w:line="440" w:lineRule="exact"/>
        <w:ind w:left="420" w:firstLine="426" w:firstLineChars="200"/>
        <w:textAlignment w:val="auto"/>
        <w:rPr>
          <w:rFonts w:hint="default" w:ascii="宋体" w:hAnsi="宋体" w:eastAsia="宋体"/>
          <w:color w:val="auto"/>
          <w:szCs w:val="22"/>
          <w:highlight w:val="none"/>
          <w:lang w:val="en-US" w:eastAsia="zh-CN"/>
        </w:rPr>
      </w:pPr>
      <w:r>
        <w:rPr>
          <w:rFonts w:ascii="宋体" w:hAnsi="宋体"/>
          <w:color w:val="auto"/>
          <w:highlight w:val="none"/>
        </w:rPr>
        <w:fldChar w:fldCharType="begin"/>
      </w:r>
      <w:r>
        <w:rPr>
          <w:rStyle w:val="38"/>
          <w:rFonts w:ascii="宋体" w:hAnsi="宋体"/>
          <w:color w:val="auto"/>
          <w:highlight w:val="none"/>
        </w:rPr>
        <w:instrText xml:space="preserve"> </w:instrText>
      </w:r>
      <w:r>
        <w:rPr>
          <w:rFonts w:ascii="宋体" w:hAnsi="宋体"/>
          <w:color w:val="auto"/>
          <w:highlight w:val="none"/>
        </w:rPr>
        <w:instrText xml:space="preserve">HYPERLINK \l "_Toc469495742"</w:instrText>
      </w:r>
      <w:r>
        <w:rPr>
          <w:rStyle w:val="38"/>
          <w:rFonts w:ascii="宋体" w:hAnsi="宋体"/>
          <w:color w:val="auto"/>
          <w:highlight w:val="none"/>
        </w:rPr>
        <w:instrText xml:space="preserve"> </w:instrText>
      </w:r>
      <w:r>
        <w:rPr>
          <w:rFonts w:ascii="宋体" w:hAnsi="宋体"/>
          <w:color w:val="auto"/>
          <w:highlight w:val="none"/>
        </w:rPr>
        <w:fldChar w:fldCharType="separate"/>
      </w:r>
      <w:r>
        <w:rPr>
          <w:rStyle w:val="38"/>
          <w:rFonts w:hint="eastAsia" w:ascii="宋体" w:hAnsi="宋体"/>
          <w:color w:val="auto"/>
          <w:highlight w:val="none"/>
        </w:rPr>
        <w:t>二</w:t>
      </w:r>
      <w:r>
        <w:rPr>
          <w:rStyle w:val="38"/>
          <w:rFonts w:ascii="宋体" w:hAnsi="宋体"/>
          <w:color w:val="auto"/>
          <w:highlight w:val="none"/>
        </w:rPr>
        <w:t xml:space="preserve">  </w:t>
      </w:r>
      <w:r>
        <w:rPr>
          <w:rStyle w:val="38"/>
          <w:rFonts w:hint="eastAsia" w:ascii="宋体" w:hAnsi="宋体"/>
          <w:color w:val="auto"/>
          <w:highlight w:val="none"/>
        </w:rPr>
        <w:t>合同条款</w:t>
      </w:r>
      <w:r>
        <w:rPr>
          <w:rFonts w:ascii="宋体" w:hAnsi="宋体"/>
          <w:color w:val="auto"/>
          <w:highlight w:val="none"/>
        </w:rPr>
        <w:tab/>
      </w:r>
      <w:r>
        <w:rPr>
          <w:rFonts w:hint="eastAsia" w:ascii="宋体" w:hAnsi="宋体"/>
          <w:color w:val="auto"/>
          <w:highlight w:val="none"/>
          <w:lang w:val="en-US" w:eastAsia="zh-CN"/>
        </w:rPr>
        <w:t>.</w:t>
      </w:r>
      <w:r>
        <w:rPr>
          <w:rFonts w:ascii="宋体" w:hAnsi="宋体"/>
          <w:color w:val="auto"/>
          <w:highlight w:val="none"/>
        </w:rPr>
        <w:fldChar w:fldCharType="end"/>
      </w:r>
      <w:r>
        <w:rPr>
          <w:rFonts w:hint="eastAsia" w:ascii="宋体" w:hAnsi="宋体"/>
          <w:color w:val="auto"/>
          <w:highlight w:val="none"/>
          <w:lang w:val="en-US" w:eastAsia="zh-CN"/>
        </w:rPr>
        <w:t>59</w:t>
      </w:r>
    </w:p>
    <w:p w14:paraId="44301A78">
      <w:pPr>
        <w:pStyle w:val="19"/>
        <w:keepNext w:val="0"/>
        <w:keepLines w:val="0"/>
        <w:pageBreakBefore w:val="0"/>
        <w:widowControl w:val="0"/>
        <w:shd w:val="clear" w:color="auto" w:fill="auto"/>
        <w:tabs>
          <w:tab w:val="right" w:leader="dot" w:pos="8296"/>
        </w:tabs>
        <w:kinsoku/>
        <w:wordWrap/>
        <w:overflowPunct/>
        <w:topLinePunct w:val="0"/>
        <w:autoSpaceDE/>
        <w:autoSpaceDN/>
        <w:bidi w:val="0"/>
        <w:adjustRightInd/>
        <w:snapToGrid/>
        <w:spacing w:line="440" w:lineRule="exact"/>
        <w:ind w:firstLine="426" w:firstLineChars="200"/>
        <w:textAlignment w:val="auto"/>
        <w:rPr>
          <w:rFonts w:hint="eastAsia" w:ascii="宋体" w:hAnsi="宋体" w:eastAsia="宋体"/>
          <w:color w:val="auto"/>
          <w:szCs w:val="22"/>
          <w:highlight w:val="none"/>
          <w:lang w:val="en-US" w:eastAsia="zh-CN"/>
        </w:rPr>
      </w:pPr>
      <w:r>
        <w:rPr>
          <w:rFonts w:ascii="宋体" w:hAnsi="宋体"/>
          <w:color w:val="auto"/>
          <w:highlight w:val="none"/>
        </w:rPr>
        <w:fldChar w:fldCharType="begin"/>
      </w:r>
      <w:r>
        <w:rPr>
          <w:rStyle w:val="38"/>
          <w:rFonts w:ascii="宋体" w:hAnsi="宋体"/>
          <w:color w:val="auto"/>
          <w:highlight w:val="none"/>
        </w:rPr>
        <w:instrText xml:space="preserve"> </w:instrText>
      </w:r>
      <w:r>
        <w:rPr>
          <w:rFonts w:ascii="宋体" w:hAnsi="宋体"/>
          <w:color w:val="auto"/>
          <w:highlight w:val="none"/>
        </w:rPr>
        <w:instrText xml:space="preserve">HYPERLINK \l "_Toc469495743"</w:instrText>
      </w:r>
      <w:r>
        <w:rPr>
          <w:rStyle w:val="38"/>
          <w:rFonts w:ascii="宋体" w:hAnsi="宋体"/>
          <w:color w:val="auto"/>
          <w:highlight w:val="none"/>
        </w:rPr>
        <w:instrText xml:space="preserve"> </w:instrText>
      </w:r>
      <w:r>
        <w:rPr>
          <w:rFonts w:ascii="宋体" w:hAnsi="宋体"/>
          <w:color w:val="auto"/>
          <w:highlight w:val="none"/>
        </w:rPr>
        <w:fldChar w:fldCharType="separate"/>
      </w:r>
      <w:r>
        <w:rPr>
          <w:rStyle w:val="38"/>
          <w:rFonts w:hint="eastAsia" w:ascii="宋体" w:hAnsi="宋体"/>
          <w:color w:val="auto"/>
          <w:highlight w:val="none"/>
        </w:rPr>
        <w:t>第六章</w:t>
      </w:r>
      <w:r>
        <w:rPr>
          <w:rStyle w:val="38"/>
          <w:rFonts w:ascii="宋体" w:hAnsi="宋体"/>
          <w:color w:val="auto"/>
          <w:highlight w:val="none"/>
        </w:rPr>
        <w:t xml:space="preserve">  </w:t>
      </w:r>
      <w:r>
        <w:rPr>
          <w:rStyle w:val="38"/>
          <w:rFonts w:hint="eastAsia" w:ascii="宋体" w:hAnsi="宋体"/>
          <w:color w:val="auto"/>
          <w:highlight w:val="none"/>
        </w:rPr>
        <w:t>投标文件格式</w:t>
      </w:r>
      <w:r>
        <w:rPr>
          <w:rFonts w:ascii="宋体" w:hAnsi="宋体"/>
          <w:color w:val="auto"/>
          <w:highlight w:val="none"/>
        </w:rPr>
        <w:tab/>
      </w:r>
      <w:r>
        <w:rPr>
          <w:rFonts w:hint="eastAsia" w:ascii="宋体" w:hAnsi="宋体"/>
          <w:color w:val="auto"/>
          <w:highlight w:val="none"/>
          <w:lang w:val="en-US" w:eastAsia="zh-CN"/>
        </w:rPr>
        <w:t>.6</w:t>
      </w:r>
      <w:r>
        <w:rPr>
          <w:rFonts w:ascii="宋体" w:hAnsi="宋体"/>
          <w:color w:val="auto"/>
          <w:highlight w:val="none"/>
        </w:rPr>
        <w:fldChar w:fldCharType="end"/>
      </w:r>
      <w:r>
        <w:rPr>
          <w:rFonts w:hint="eastAsia" w:ascii="宋体" w:hAnsi="宋体"/>
          <w:color w:val="auto"/>
          <w:highlight w:val="none"/>
          <w:lang w:val="en-US" w:eastAsia="zh-CN"/>
        </w:rPr>
        <w:t>4</w:t>
      </w:r>
    </w:p>
    <w:p w14:paraId="5478795E">
      <w:pPr>
        <w:keepNext w:val="0"/>
        <w:keepLines w:val="0"/>
        <w:pageBreakBefore w:val="0"/>
        <w:widowControl w:val="0"/>
        <w:shd w:val="clear" w:color="auto" w:fill="auto"/>
        <w:kinsoku/>
        <w:wordWrap/>
        <w:overflowPunct/>
        <w:topLinePunct w:val="0"/>
        <w:autoSpaceDE/>
        <w:autoSpaceDN/>
        <w:bidi w:val="0"/>
        <w:adjustRightInd/>
        <w:snapToGrid/>
        <w:spacing w:line="440" w:lineRule="exact"/>
        <w:ind w:firstLine="486" w:firstLineChars="200"/>
        <w:jc w:val="distribute"/>
        <w:textAlignment w:val="auto"/>
        <w:rPr>
          <w:rFonts w:hint="eastAsia" w:ascii="宋体" w:hAnsi="宋体" w:cs="宋体"/>
          <w:color w:val="auto"/>
          <w:sz w:val="24"/>
          <w:highlight w:val="none"/>
        </w:rPr>
      </w:pPr>
      <w:r>
        <w:rPr>
          <w:rFonts w:hint="eastAsia" w:ascii="宋体" w:hAnsi="宋体" w:cs="宋体"/>
          <w:color w:val="auto"/>
          <w:sz w:val="24"/>
          <w:highlight w:val="none"/>
        </w:rPr>
        <w:fldChar w:fldCharType="end"/>
      </w:r>
    </w:p>
    <w:p w14:paraId="754E125B">
      <w:pPr>
        <w:spacing w:line="240" w:lineRule="auto"/>
        <w:jc w:val="center"/>
        <w:rPr>
          <w:rFonts w:hint="eastAsia" w:ascii="宋体" w:hAnsi="宋体" w:cs="宋体"/>
          <w:b/>
          <w:bCs/>
          <w:kern w:val="36"/>
          <w:sz w:val="36"/>
          <w:szCs w:val="36"/>
        </w:rPr>
      </w:pPr>
      <w:r>
        <w:rPr>
          <w:rFonts w:hint="eastAsia" w:ascii="宋体" w:hAnsi="宋体" w:cs="宋体"/>
          <w:color w:val="FF0000"/>
          <w:sz w:val="24"/>
          <w:highlight w:val="none"/>
        </w:rPr>
        <w:br w:type="page"/>
      </w:r>
      <w:r>
        <w:rPr>
          <w:rFonts w:ascii="宋体" w:hAnsi="宋体" w:cs="宋体"/>
          <w:b/>
          <w:bCs/>
          <w:kern w:val="36"/>
          <w:sz w:val="36"/>
          <w:szCs w:val="36"/>
        </w:rPr>
        <w:t>第一部分 招标公告</w:t>
      </w:r>
    </w:p>
    <w:p w14:paraId="1E31100B">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cs="宋体"/>
          <w:b/>
          <w:bCs/>
          <w:kern w:val="2"/>
          <w:sz w:val="32"/>
          <w:szCs w:val="32"/>
          <w:lang w:val="en-US" w:eastAsia="zh-CN" w:bidi="ar-SA"/>
        </w:rPr>
      </w:pPr>
      <w:bookmarkStart w:id="11" w:name="_Toc469495721"/>
      <w:bookmarkStart w:id="12" w:name="_Toc469495723"/>
      <w:r>
        <w:rPr>
          <w:rFonts w:hint="eastAsia" w:cs="宋体"/>
          <w:b/>
          <w:bCs/>
          <w:kern w:val="2"/>
          <w:sz w:val="32"/>
          <w:szCs w:val="32"/>
          <w:lang w:val="en-US" w:eastAsia="zh-CN" w:bidi="ar-SA"/>
        </w:rPr>
        <w:t>乌恰县2025年机关事业单位在职人员雇主责任保险服务采购项目公开招标公告</w:t>
      </w:r>
    </w:p>
    <w:p w14:paraId="178AED78">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宋体" w:hAnsi="宋体" w:eastAsia="宋体" w:cs="宋体"/>
          <w:b/>
          <w:bCs/>
          <w:kern w:val="2"/>
          <w:sz w:val="21"/>
          <w:szCs w:val="21"/>
          <w:lang w:val="en-US" w:eastAsia="zh-CN" w:bidi="ar-SA"/>
        </w:rPr>
      </w:pPr>
      <w:r>
        <w:rPr>
          <w:rFonts w:hint="eastAsia" w:ascii="宋体" w:hAnsi="宋体" w:eastAsia="宋体" w:cs="宋体"/>
          <w:b/>
          <w:bCs/>
          <w:kern w:val="2"/>
          <w:sz w:val="21"/>
          <w:szCs w:val="21"/>
          <w:lang w:val="en-US" w:eastAsia="zh-CN" w:bidi="ar-SA"/>
        </w:rPr>
        <w:t xml:space="preserve">项目概况 </w:t>
      </w:r>
    </w:p>
    <w:p w14:paraId="70E8970A">
      <w:pPr>
        <w:pStyle w:val="24"/>
        <w:keepNext w:val="0"/>
        <w:keepLines w:val="0"/>
        <w:pageBreakBefore w:val="0"/>
        <w:widowControl/>
        <w:suppressLineNumbers w:val="0"/>
        <w:pBdr>
          <w:top w:val="single" w:color="auto" w:sz="4" w:space="0"/>
          <w:left w:val="single" w:color="auto" w:sz="4" w:space="0"/>
          <w:bottom w:val="single" w:color="auto" w:sz="4" w:space="0"/>
          <w:right w:val="single" w:color="auto" w:sz="4" w:space="0"/>
        </w:pBdr>
        <w:kinsoku/>
        <w:wordWrap/>
        <w:overflowPunct/>
        <w:topLinePunct w:val="0"/>
        <w:autoSpaceDE/>
        <w:autoSpaceDN/>
        <w:bidi w:val="0"/>
        <w:adjustRightInd/>
        <w:snapToGrid/>
        <w:spacing w:before="0" w:beforeAutospacing="0" w:after="0" w:afterAutospacing="0" w:line="240" w:lineRule="auto"/>
        <w:ind w:right="0" w:firstLine="426" w:firstLineChars="200"/>
        <w:textAlignment w:val="auto"/>
        <w:rPr>
          <w:rFonts w:hint="eastAsia" w:ascii="宋体" w:hAnsi="宋体" w:eastAsia="宋体" w:cs="宋体"/>
          <w:kern w:val="2"/>
          <w:sz w:val="21"/>
          <w:szCs w:val="21"/>
          <w:lang w:val="en-US" w:eastAsia="zh-CN" w:bidi="ar-SA"/>
        </w:rPr>
      </w:pPr>
      <w:r>
        <w:rPr>
          <w:rFonts w:hint="eastAsia" w:cs="宋体"/>
          <w:kern w:val="2"/>
          <w:sz w:val="21"/>
          <w:szCs w:val="21"/>
          <w:lang w:val="en-US" w:eastAsia="zh-CN" w:bidi="ar-SA"/>
        </w:rPr>
        <w:t>乌恰县2025年机关事业单位在职人员雇主责任保险服务采购项目</w:t>
      </w:r>
      <w:r>
        <w:rPr>
          <w:rFonts w:hint="eastAsia" w:ascii="宋体" w:hAnsi="宋体" w:eastAsia="宋体" w:cs="宋体"/>
          <w:kern w:val="2"/>
          <w:sz w:val="21"/>
          <w:szCs w:val="21"/>
          <w:lang w:val="en-US" w:eastAsia="zh-CN" w:bidi="ar-SA"/>
        </w:rPr>
        <w:t>的潜在投标人应在供应商登陆政采云平台http://www.zcygov.cn/，在线申请获取招标文件（登录政府采购云平台 → 项目采购 → 获取招标文件→申请，审核通过后可下载招标文件，如有操作性问题，可与政采云在线客服进行咨询，咨询电话：(95763），并于</w:t>
      </w:r>
      <w:r>
        <w:rPr>
          <w:rFonts w:hint="eastAsia" w:cs="宋体"/>
          <w:i w:val="0"/>
          <w:iCs w:val="0"/>
          <w:caps w:val="0"/>
          <w:color w:val="auto"/>
          <w:spacing w:val="0"/>
          <w:kern w:val="0"/>
          <w:sz w:val="21"/>
          <w:szCs w:val="21"/>
          <w:highlight w:val="yellow"/>
          <w:lang w:val="en-US" w:eastAsia="zh-CN" w:bidi="ar"/>
        </w:rPr>
        <w:t>2025年4月28日10：30（北京时间）</w:t>
      </w:r>
      <w:r>
        <w:rPr>
          <w:rFonts w:hint="eastAsia" w:ascii="宋体" w:hAnsi="宋体" w:eastAsia="宋体" w:cs="宋体"/>
          <w:kern w:val="2"/>
          <w:sz w:val="21"/>
          <w:szCs w:val="21"/>
          <w:lang w:val="en-US" w:eastAsia="zh-CN" w:bidi="ar-SA"/>
        </w:rPr>
        <w:t>前递交投标文件。</w:t>
      </w:r>
    </w:p>
    <w:p w14:paraId="53653EE3">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40" w:lineRule="exact"/>
        <w:textAlignment w:val="auto"/>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一、项目基本情况</w:t>
      </w:r>
    </w:p>
    <w:p w14:paraId="7C113EFC">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40" w:lineRule="exac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项目编号：</w:t>
      </w:r>
      <w:r>
        <w:rPr>
          <w:rFonts w:hint="eastAsia" w:cs="宋体"/>
          <w:color w:val="auto"/>
          <w:sz w:val="21"/>
          <w:szCs w:val="21"/>
          <w:highlight w:val="yellow"/>
          <w:lang w:eastAsia="zh-CN"/>
        </w:rPr>
        <w:t>WQZFCG(ZB)-2025-031</w:t>
      </w:r>
      <w:r>
        <w:rPr>
          <w:rFonts w:hint="eastAsia" w:ascii="宋体" w:hAnsi="宋体" w:eastAsia="宋体" w:cs="宋体"/>
          <w:sz w:val="21"/>
          <w:szCs w:val="21"/>
          <w:highlight w:val="yellow"/>
          <w:lang w:val="en-US" w:eastAsia="zh-CN"/>
        </w:rPr>
        <w:t xml:space="preserve"> </w:t>
      </w:r>
      <w:r>
        <w:rPr>
          <w:rFonts w:hint="eastAsia" w:ascii="宋体" w:hAnsi="宋体" w:eastAsia="宋体" w:cs="宋体"/>
          <w:sz w:val="21"/>
          <w:szCs w:val="21"/>
          <w:lang w:val="en-US" w:eastAsia="zh-CN"/>
        </w:rPr>
        <w:t xml:space="preserve"> </w:t>
      </w:r>
    </w:p>
    <w:p w14:paraId="5CB55644">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40" w:lineRule="exact"/>
        <w:textAlignment w:val="auto"/>
        <w:rPr>
          <w:rFonts w:hint="eastAsia" w:cs="宋体"/>
          <w:sz w:val="21"/>
          <w:szCs w:val="21"/>
          <w:lang w:val="en-US" w:eastAsia="zh-CN"/>
        </w:rPr>
      </w:pPr>
      <w:r>
        <w:rPr>
          <w:rFonts w:hint="eastAsia" w:ascii="宋体" w:hAnsi="宋体" w:eastAsia="宋体" w:cs="宋体"/>
          <w:sz w:val="21"/>
          <w:szCs w:val="21"/>
          <w:lang w:val="en-US" w:eastAsia="zh-CN"/>
        </w:rPr>
        <w:t>项目名称：</w:t>
      </w:r>
      <w:r>
        <w:rPr>
          <w:rFonts w:hint="eastAsia" w:cs="宋体"/>
          <w:sz w:val="21"/>
          <w:szCs w:val="21"/>
          <w:lang w:val="en-US" w:eastAsia="zh-CN"/>
        </w:rPr>
        <w:t>乌恰县2025年机关事业单位在职人员雇主责任保险服务采购项目</w:t>
      </w:r>
    </w:p>
    <w:p w14:paraId="31E4292D">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40" w:lineRule="exac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采购方式：公开招标</w:t>
      </w:r>
    </w:p>
    <w:p w14:paraId="73CB2644">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40" w:lineRule="exact"/>
        <w:textAlignment w:val="auto"/>
        <w:rPr>
          <w:rFonts w:hint="eastAsia" w:cs="宋体"/>
          <w:sz w:val="21"/>
          <w:szCs w:val="21"/>
          <w:lang w:val="en-US" w:eastAsia="zh-CN"/>
        </w:rPr>
      </w:pPr>
      <w:r>
        <w:rPr>
          <w:rFonts w:hint="eastAsia" w:ascii="宋体" w:hAnsi="宋体" w:eastAsia="宋体" w:cs="宋体"/>
          <w:sz w:val="21"/>
          <w:szCs w:val="21"/>
          <w:lang w:val="en-US" w:eastAsia="zh-CN"/>
        </w:rPr>
        <w:t>预算金额（元）：</w:t>
      </w:r>
      <w:r>
        <w:rPr>
          <w:rFonts w:hint="eastAsia" w:cs="宋体"/>
          <w:sz w:val="21"/>
          <w:szCs w:val="21"/>
          <w:lang w:val="en-US" w:eastAsia="zh-CN"/>
        </w:rPr>
        <w:t>943200.00</w:t>
      </w:r>
    </w:p>
    <w:p w14:paraId="77C85945">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40" w:lineRule="exact"/>
        <w:textAlignment w:val="auto"/>
        <w:rPr>
          <w:rFonts w:hint="eastAsia" w:cs="宋体"/>
          <w:sz w:val="21"/>
          <w:szCs w:val="21"/>
          <w:lang w:val="en-US" w:eastAsia="zh-CN"/>
        </w:rPr>
      </w:pPr>
      <w:r>
        <w:rPr>
          <w:rFonts w:hint="eastAsia" w:ascii="宋体" w:hAnsi="宋体" w:eastAsia="宋体" w:cs="宋体"/>
          <w:sz w:val="21"/>
          <w:szCs w:val="21"/>
          <w:lang w:val="en-US" w:eastAsia="zh-CN"/>
        </w:rPr>
        <w:t>最高限价（元）：</w:t>
      </w:r>
      <w:r>
        <w:rPr>
          <w:rFonts w:hint="eastAsia" w:cs="宋体"/>
          <w:sz w:val="21"/>
          <w:szCs w:val="21"/>
          <w:lang w:val="en-US" w:eastAsia="zh-CN"/>
        </w:rPr>
        <w:t>943200.00</w:t>
      </w:r>
    </w:p>
    <w:p w14:paraId="672134EC">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40" w:lineRule="exac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采购需求：</w:t>
      </w:r>
    </w:p>
    <w:p w14:paraId="3021AF4F">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40" w:lineRule="exact"/>
        <w:textAlignment w:val="auto"/>
        <w:rPr>
          <w:rFonts w:hint="eastAsia" w:cs="宋体"/>
          <w:sz w:val="21"/>
          <w:szCs w:val="21"/>
          <w:lang w:val="en-US" w:eastAsia="zh-CN"/>
        </w:rPr>
      </w:pPr>
      <w:r>
        <w:rPr>
          <w:rFonts w:hint="eastAsia" w:ascii="宋体" w:hAnsi="宋体" w:eastAsia="宋体" w:cs="宋体"/>
          <w:sz w:val="21"/>
          <w:szCs w:val="21"/>
          <w:lang w:val="en-US" w:eastAsia="zh-CN"/>
        </w:rPr>
        <w:t>标项名称:</w:t>
      </w:r>
      <w:r>
        <w:rPr>
          <w:rFonts w:hint="eastAsia" w:cs="宋体"/>
          <w:sz w:val="21"/>
          <w:szCs w:val="21"/>
          <w:lang w:val="en-US" w:eastAsia="zh-CN"/>
        </w:rPr>
        <w:t>乌恰县2025年机关事业单位在职人员雇主责任保险服务采购项目</w:t>
      </w:r>
    </w:p>
    <w:p w14:paraId="4338A617">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40" w:lineRule="exac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数量:1</w:t>
      </w:r>
    </w:p>
    <w:p w14:paraId="05400EB4">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40" w:lineRule="exact"/>
        <w:textAlignment w:val="auto"/>
        <w:rPr>
          <w:rFonts w:hint="eastAsia" w:cs="宋体"/>
          <w:sz w:val="21"/>
          <w:szCs w:val="21"/>
          <w:lang w:val="en-US" w:eastAsia="zh-CN"/>
        </w:rPr>
      </w:pPr>
      <w:r>
        <w:rPr>
          <w:rFonts w:hint="eastAsia" w:ascii="宋体" w:hAnsi="宋体" w:eastAsia="宋体" w:cs="宋体"/>
          <w:sz w:val="21"/>
          <w:szCs w:val="21"/>
          <w:lang w:val="en-US" w:eastAsia="zh-CN"/>
        </w:rPr>
        <w:t>预算金额（元）:</w:t>
      </w:r>
      <w:r>
        <w:rPr>
          <w:rFonts w:hint="eastAsia" w:cs="宋体"/>
          <w:sz w:val="21"/>
          <w:szCs w:val="21"/>
          <w:lang w:val="en-US" w:eastAsia="zh-CN"/>
        </w:rPr>
        <w:t>943200.00</w:t>
      </w:r>
    </w:p>
    <w:p w14:paraId="2DE8C79B">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40" w:lineRule="exac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简要规格描述或项目基本概况介绍、用途：人员类保险服务。</w:t>
      </w:r>
    </w:p>
    <w:p w14:paraId="32018702">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40" w:lineRule="exac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备注：</w:t>
      </w:r>
    </w:p>
    <w:p w14:paraId="6137686C">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40" w:lineRule="exac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合同履约期限：标项 1，服务期1年。</w:t>
      </w:r>
    </w:p>
    <w:p w14:paraId="5115933F">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40" w:lineRule="exac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本项目不接受联合体投标。</w:t>
      </w:r>
    </w:p>
    <w:p w14:paraId="72C98681">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40" w:lineRule="exact"/>
        <w:textAlignment w:val="auto"/>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二、申请人的资格要求：</w:t>
      </w:r>
    </w:p>
    <w:p w14:paraId="0BAC8510">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sz w:val="21"/>
          <w:szCs w:val="21"/>
        </w:rPr>
      </w:pPr>
      <w:r>
        <w:rPr>
          <w:rFonts w:hint="eastAsia" w:ascii="宋体" w:hAnsi="宋体" w:eastAsia="宋体" w:cs="宋体"/>
          <w:sz w:val="21"/>
          <w:szCs w:val="21"/>
        </w:rPr>
        <w:t>1.满足《中华人民共和国政府采购法》第二十二条规定；</w:t>
      </w:r>
    </w:p>
    <w:p w14:paraId="528E2572">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sz w:val="21"/>
          <w:szCs w:val="21"/>
          <w:lang w:val="en-US" w:eastAsia="zh-CN"/>
        </w:rPr>
      </w:pPr>
      <w:r>
        <w:rPr>
          <w:rFonts w:hint="eastAsia" w:ascii="宋体" w:hAnsi="宋体" w:eastAsia="宋体" w:cs="宋体"/>
          <w:sz w:val="21"/>
          <w:szCs w:val="21"/>
        </w:rPr>
        <w:t>2.落实政府采购政策需满足的资格要求：</w:t>
      </w:r>
      <w:r>
        <w:rPr>
          <w:rFonts w:hint="eastAsia" w:ascii="宋体" w:hAnsi="宋体" w:cs="宋体"/>
          <w:sz w:val="21"/>
          <w:szCs w:val="21"/>
          <w:lang w:eastAsia="zh-CN"/>
        </w:rPr>
        <w:t>不专门面向中小企业；</w:t>
      </w:r>
    </w:p>
    <w:p w14:paraId="03079EB3">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sz w:val="21"/>
          <w:szCs w:val="21"/>
        </w:rPr>
      </w:pPr>
      <w:r>
        <w:rPr>
          <w:rFonts w:hint="eastAsia" w:ascii="宋体" w:hAnsi="宋体" w:eastAsia="宋体" w:cs="宋体"/>
          <w:sz w:val="21"/>
          <w:szCs w:val="21"/>
        </w:rPr>
        <w:t>3.本项目的特定资格要求：</w:t>
      </w:r>
    </w:p>
    <w:p w14:paraId="727E04A7">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color w:val="0000FF"/>
          <w:sz w:val="21"/>
          <w:szCs w:val="21"/>
        </w:rPr>
      </w:pPr>
      <w:r>
        <w:rPr>
          <w:rFonts w:hint="eastAsia" w:ascii="宋体" w:hAnsi="宋体" w:eastAsia="宋体" w:cs="宋体"/>
          <w:color w:val="0000FF"/>
          <w:sz w:val="21"/>
          <w:szCs w:val="21"/>
          <w:lang w:eastAsia="zh-CN"/>
        </w:rPr>
        <w:t>（</w:t>
      </w:r>
      <w:r>
        <w:rPr>
          <w:rFonts w:hint="eastAsia" w:ascii="宋体" w:hAnsi="宋体" w:eastAsia="宋体" w:cs="宋体"/>
          <w:color w:val="0000FF"/>
          <w:sz w:val="21"/>
          <w:szCs w:val="21"/>
          <w:lang w:val="en-US" w:eastAsia="zh-CN"/>
        </w:rPr>
        <w:t>1</w:t>
      </w:r>
      <w:r>
        <w:rPr>
          <w:rFonts w:hint="eastAsia" w:ascii="宋体" w:hAnsi="宋体" w:eastAsia="宋体" w:cs="宋体"/>
          <w:color w:val="0000FF"/>
          <w:sz w:val="21"/>
          <w:szCs w:val="21"/>
          <w:lang w:eastAsia="zh-CN"/>
        </w:rPr>
        <w:t>）</w:t>
      </w:r>
      <w:r>
        <w:rPr>
          <w:rFonts w:hint="eastAsia" w:ascii="宋体" w:hAnsi="宋体" w:eastAsia="宋体" w:cs="宋体"/>
          <w:color w:val="0000FF"/>
          <w:sz w:val="21"/>
          <w:szCs w:val="21"/>
        </w:rPr>
        <w:t>具备三证合一营业执照副本；</w:t>
      </w:r>
    </w:p>
    <w:p w14:paraId="7466F957">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color w:val="0000FF"/>
          <w:sz w:val="21"/>
          <w:szCs w:val="21"/>
        </w:rPr>
      </w:pPr>
      <w:r>
        <w:rPr>
          <w:rFonts w:hint="eastAsia" w:ascii="宋体" w:hAnsi="宋体" w:eastAsia="宋体" w:cs="宋体"/>
          <w:color w:val="0000FF"/>
          <w:sz w:val="21"/>
          <w:szCs w:val="21"/>
          <w:lang w:eastAsia="zh-CN"/>
        </w:rPr>
        <w:t>（</w:t>
      </w:r>
      <w:r>
        <w:rPr>
          <w:rFonts w:hint="eastAsia" w:ascii="宋体" w:hAnsi="宋体" w:eastAsia="宋体" w:cs="宋体"/>
          <w:color w:val="0000FF"/>
          <w:sz w:val="21"/>
          <w:szCs w:val="21"/>
          <w:lang w:val="en-US" w:eastAsia="zh-CN"/>
        </w:rPr>
        <w:t>2</w:t>
      </w:r>
      <w:r>
        <w:rPr>
          <w:rFonts w:hint="eastAsia" w:ascii="宋体" w:hAnsi="宋体" w:eastAsia="宋体" w:cs="宋体"/>
          <w:color w:val="0000FF"/>
          <w:sz w:val="21"/>
          <w:szCs w:val="21"/>
          <w:lang w:eastAsia="zh-CN"/>
        </w:rPr>
        <w:t>）</w:t>
      </w:r>
      <w:r>
        <w:rPr>
          <w:rFonts w:hint="eastAsia" w:ascii="宋体" w:hAnsi="宋体" w:eastAsia="宋体" w:cs="宋体"/>
          <w:color w:val="0000FF"/>
          <w:sz w:val="21"/>
          <w:szCs w:val="21"/>
        </w:rPr>
        <w:t>法定代表人投标需提供法定代表人资格证明书，委托代理人投标需提供法定代表人授权委托书；</w:t>
      </w:r>
    </w:p>
    <w:p w14:paraId="4F5084ED">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color w:val="0000FF"/>
          <w:sz w:val="21"/>
          <w:szCs w:val="21"/>
        </w:rPr>
      </w:pPr>
      <w:r>
        <w:rPr>
          <w:rFonts w:hint="eastAsia" w:ascii="宋体" w:hAnsi="宋体" w:eastAsia="宋体" w:cs="宋体"/>
          <w:color w:val="0000FF"/>
          <w:sz w:val="21"/>
          <w:szCs w:val="21"/>
          <w:lang w:eastAsia="zh-CN"/>
        </w:rPr>
        <w:t>（</w:t>
      </w:r>
      <w:r>
        <w:rPr>
          <w:rFonts w:hint="eastAsia" w:ascii="宋体" w:hAnsi="宋体" w:eastAsia="宋体" w:cs="宋体"/>
          <w:color w:val="0000FF"/>
          <w:sz w:val="21"/>
          <w:szCs w:val="21"/>
          <w:lang w:val="en-US" w:eastAsia="zh-CN"/>
        </w:rPr>
        <w:t>3</w:t>
      </w:r>
      <w:r>
        <w:rPr>
          <w:rFonts w:hint="eastAsia" w:ascii="宋体" w:hAnsi="宋体" w:eastAsia="宋体" w:cs="宋体"/>
          <w:color w:val="0000FF"/>
          <w:sz w:val="21"/>
          <w:szCs w:val="21"/>
          <w:lang w:eastAsia="zh-CN"/>
        </w:rPr>
        <w:t>）</w:t>
      </w:r>
      <w:r>
        <w:rPr>
          <w:rFonts w:hint="eastAsia" w:ascii="宋体" w:hAnsi="宋体" w:cs="宋体"/>
          <w:color w:val="0000FF"/>
          <w:sz w:val="21"/>
          <w:szCs w:val="21"/>
          <w:lang w:eastAsia="zh-CN"/>
        </w:rPr>
        <w:t>投标企业须提供投标人（被授权在职人员）近6个月内任何1月已依法缴纳社会保险的凭据（依法不需要缴纳社会保障资金的供应商，应提供相应证明文件，新成立企业需提供资信证明）</w:t>
      </w:r>
      <w:r>
        <w:rPr>
          <w:rFonts w:hint="eastAsia" w:ascii="宋体" w:hAnsi="宋体" w:eastAsia="宋体" w:cs="宋体"/>
          <w:color w:val="0000FF"/>
          <w:sz w:val="21"/>
          <w:szCs w:val="21"/>
        </w:rPr>
        <w:t>；</w:t>
      </w:r>
    </w:p>
    <w:p w14:paraId="7A243B26">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color w:val="0000FF"/>
          <w:sz w:val="21"/>
          <w:szCs w:val="21"/>
        </w:rPr>
      </w:pPr>
      <w:r>
        <w:rPr>
          <w:rFonts w:hint="eastAsia" w:ascii="宋体" w:hAnsi="宋体" w:eastAsia="宋体" w:cs="宋体"/>
          <w:color w:val="0000FF"/>
          <w:sz w:val="21"/>
          <w:szCs w:val="21"/>
          <w:lang w:eastAsia="zh-CN"/>
        </w:rPr>
        <w:t>（</w:t>
      </w:r>
      <w:r>
        <w:rPr>
          <w:rFonts w:hint="eastAsia" w:ascii="宋体" w:hAnsi="宋体" w:eastAsia="宋体" w:cs="宋体"/>
          <w:color w:val="0000FF"/>
          <w:sz w:val="21"/>
          <w:szCs w:val="21"/>
          <w:lang w:val="en-US" w:eastAsia="zh-CN"/>
        </w:rPr>
        <w:t>4</w:t>
      </w:r>
      <w:r>
        <w:rPr>
          <w:rFonts w:hint="eastAsia" w:ascii="宋体" w:hAnsi="宋体" w:eastAsia="宋体" w:cs="宋体"/>
          <w:color w:val="0000FF"/>
          <w:sz w:val="21"/>
          <w:szCs w:val="21"/>
          <w:lang w:eastAsia="zh-CN"/>
        </w:rPr>
        <w:t>）</w:t>
      </w:r>
      <w:r>
        <w:rPr>
          <w:rFonts w:hint="eastAsia" w:ascii="宋体" w:hAnsi="宋体" w:cs="宋体"/>
          <w:color w:val="0000FF"/>
          <w:sz w:val="21"/>
          <w:szCs w:val="21"/>
          <w:lang w:eastAsia="zh-CN"/>
        </w:rPr>
        <w:t>参加采购活动前三年内未被</w:t>
      </w:r>
      <w:r>
        <w:rPr>
          <w:rFonts w:hint="eastAsia" w:ascii="宋体" w:hAnsi="宋体" w:eastAsia="宋体" w:cs="宋体"/>
          <w:color w:val="0000FF"/>
          <w:sz w:val="21"/>
          <w:szCs w:val="21"/>
          <w:lang w:eastAsia="zh-CN"/>
        </w:rPr>
        <w:t>“信用中国”（www.creditchina.gov.cn）、中国政府采购网（www.ccgp.gov.cn）列入失信被执行人、重大税收违法案件当事人名单、政府采购严重违法失信行为记录名单</w:t>
      </w:r>
      <w:r>
        <w:rPr>
          <w:rFonts w:hint="eastAsia" w:ascii="宋体" w:hAnsi="宋体" w:eastAsia="宋体" w:cs="宋体"/>
          <w:color w:val="0000FF"/>
          <w:sz w:val="21"/>
          <w:szCs w:val="21"/>
        </w:rPr>
        <w:t xml:space="preserve">。 </w:t>
      </w:r>
    </w:p>
    <w:p w14:paraId="2D044C5B">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eastAsia="宋体" w:cs="宋体"/>
          <w:color w:val="0000FF"/>
          <w:sz w:val="21"/>
          <w:szCs w:val="21"/>
        </w:rPr>
      </w:pPr>
      <w:r>
        <w:rPr>
          <w:rFonts w:hint="eastAsia" w:ascii="宋体" w:hAnsi="宋体" w:eastAsia="宋体" w:cs="宋体"/>
          <w:color w:val="0000FF"/>
          <w:sz w:val="21"/>
          <w:szCs w:val="21"/>
        </w:rPr>
        <w:t>（5）在中华人民共和国境内注册的，经中国保险监督管理委员会批准，具有人身保险业务经营资格；</w:t>
      </w:r>
    </w:p>
    <w:p w14:paraId="7CFE0C49">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40" w:lineRule="exact"/>
        <w:textAlignment w:val="auto"/>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 xml:space="preserve">三、获取招标文件 </w:t>
      </w:r>
    </w:p>
    <w:p w14:paraId="17E44AAF">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40" w:lineRule="exact"/>
        <w:ind w:firstLine="426" w:firstLineChars="200"/>
        <w:textAlignment w:val="auto"/>
        <w:rPr>
          <w:rFonts w:hint="eastAsia" w:ascii="宋体" w:hAnsi="宋体" w:eastAsia="宋体" w:cs="宋体"/>
          <w:color w:val="auto"/>
          <w:sz w:val="21"/>
          <w:szCs w:val="21"/>
          <w:highlight w:val="yellow"/>
          <w:lang w:val="en-US" w:eastAsia="zh-CN"/>
        </w:rPr>
      </w:pPr>
      <w:r>
        <w:rPr>
          <w:rFonts w:hint="eastAsia" w:ascii="宋体" w:hAnsi="宋体" w:eastAsia="宋体" w:cs="宋体"/>
          <w:sz w:val="21"/>
          <w:szCs w:val="21"/>
          <w:lang w:val="en-US" w:eastAsia="zh-CN"/>
        </w:rPr>
        <w:t>时间：</w:t>
      </w:r>
      <w:r>
        <w:rPr>
          <w:rFonts w:hint="eastAsia" w:cs="宋体"/>
          <w:color w:val="auto"/>
          <w:sz w:val="21"/>
          <w:szCs w:val="21"/>
          <w:highlight w:val="yellow"/>
          <w:lang w:val="en-US" w:eastAsia="zh-CN"/>
        </w:rPr>
        <w:t>2025年4月7日至2025年4月14日，每天上午10:00至14:00，下午16:00至19:30（北京时间，法定节假日除外）</w:t>
      </w:r>
    </w:p>
    <w:p w14:paraId="102AA252">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40" w:lineRule="exact"/>
        <w:ind w:firstLine="426" w:firstLineChars="200"/>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地点：供应商登陆政采云平台http://www.zcygov.cn/，在线申请获取招标文件（登录政府采购云平台 → 项目采购 → 获取招标文件→申请，如有操作性问题，可与政采云在线客服进行咨询，咨询电话：95763）</w:t>
      </w:r>
    </w:p>
    <w:p w14:paraId="4EC98187">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40" w:lineRule="exact"/>
        <w:ind w:firstLine="426" w:firstLineChars="200"/>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方式：（1）线上获取（登录政府采购云平台 → 项目采购 → 获取招标文件→ 申请）。本次招标不提供纸质版招标文件。（2）供应商获取招标文件前应注册成为政府采购云平台正式供应商。</w:t>
      </w:r>
    </w:p>
    <w:p w14:paraId="07728ED4">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40" w:lineRule="exact"/>
        <w:ind w:firstLine="426" w:firstLineChars="200"/>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售价（元）：0</w:t>
      </w:r>
    </w:p>
    <w:p w14:paraId="1324388D">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40" w:lineRule="exact"/>
        <w:textAlignment w:val="auto"/>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四、提交投标文件截止时间、开标时间和地点</w:t>
      </w:r>
    </w:p>
    <w:p w14:paraId="7F0ACCB7">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40" w:lineRule="exact"/>
        <w:ind w:firstLine="426" w:firstLineChars="200"/>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提交投标文件截止时间：</w:t>
      </w:r>
      <w:r>
        <w:rPr>
          <w:rFonts w:hint="eastAsia" w:cs="宋体"/>
          <w:color w:val="auto"/>
          <w:sz w:val="21"/>
          <w:szCs w:val="21"/>
          <w:highlight w:val="yellow"/>
          <w:lang w:val="en-US" w:eastAsia="zh-CN"/>
        </w:rPr>
        <w:t>2025年4月28日10:30（北京时间）</w:t>
      </w:r>
    </w:p>
    <w:p w14:paraId="40216585">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40" w:lineRule="exact"/>
        <w:ind w:firstLine="426" w:firstLineChars="200"/>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投标地点：政府采购云平台（www.zcygov.cn）</w:t>
      </w:r>
    </w:p>
    <w:p w14:paraId="5A0B1C4C">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40" w:lineRule="exact"/>
        <w:ind w:firstLine="426" w:firstLineChars="200"/>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开标时间：</w:t>
      </w:r>
      <w:r>
        <w:rPr>
          <w:rFonts w:hint="eastAsia" w:cs="宋体"/>
          <w:color w:val="auto"/>
          <w:sz w:val="21"/>
          <w:szCs w:val="21"/>
          <w:highlight w:val="yellow"/>
          <w:lang w:val="en-US" w:eastAsia="zh-CN"/>
        </w:rPr>
        <w:t>2025年4月28日10:30（北京时间）</w:t>
      </w:r>
    </w:p>
    <w:p w14:paraId="341955AC">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40" w:lineRule="exact"/>
        <w:ind w:firstLine="426" w:firstLineChars="200"/>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开标地点：政府采购云平台（www.zcygov.cn）  </w:t>
      </w:r>
    </w:p>
    <w:p w14:paraId="4D5B961C">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40" w:lineRule="exact"/>
        <w:textAlignment w:val="auto"/>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 xml:space="preserve">五、公告期限 </w:t>
      </w:r>
    </w:p>
    <w:p w14:paraId="1C4C858C">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40" w:lineRule="exact"/>
        <w:textAlignment w:val="auto"/>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 xml:space="preserve"> </w:t>
      </w:r>
      <w:r>
        <w:rPr>
          <w:rFonts w:hint="eastAsia" w:ascii="宋体" w:hAnsi="宋体" w:eastAsia="宋体" w:cs="宋体"/>
          <w:sz w:val="21"/>
          <w:szCs w:val="21"/>
          <w:lang w:val="en-US" w:eastAsia="zh-CN"/>
        </w:rPr>
        <w:t>自本公告发布之日起5个工作日。</w:t>
      </w:r>
    </w:p>
    <w:p w14:paraId="5F23C020">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40" w:lineRule="exact"/>
        <w:textAlignment w:val="auto"/>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六、其他补充事宜</w:t>
      </w:r>
    </w:p>
    <w:p w14:paraId="2F12B225">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40" w:lineRule="exact"/>
        <w:textAlignment w:val="auto"/>
        <w:rPr>
          <w:rFonts w:hint="eastAsia" w:ascii="宋体" w:hAnsi="宋体" w:eastAsia="宋体" w:cs="宋体"/>
          <w:sz w:val="21"/>
          <w:szCs w:val="21"/>
          <w:lang w:eastAsia="zh-CN"/>
        </w:rPr>
      </w:pPr>
      <w:r>
        <w:rPr>
          <w:rFonts w:hint="eastAsia" w:ascii="宋体" w:hAnsi="宋体" w:eastAsia="宋体" w:cs="宋体"/>
          <w:b/>
          <w:bCs/>
          <w:sz w:val="21"/>
          <w:szCs w:val="21"/>
          <w:lang w:val="en-US" w:eastAsia="zh-CN"/>
        </w:rPr>
        <w:t xml:space="preserve"> </w:t>
      </w:r>
      <w:r>
        <w:rPr>
          <w:rFonts w:hint="eastAsia" w:cs="宋体"/>
          <w:b/>
          <w:bCs/>
          <w:sz w:val="21"/>
          <w:szCs w:val="21"/>
          <w:lang w:val="en-US" w:eastAsia="zh-CN"/>
        </w:rPr>
        <w:t xml:space="preserve">  </w:t>
      </w:r>
      <w:r>
        <w:rPr>
          <w:rFonts w:hint="eastAsia" w:ascii="宋体" w:hAnsi="宋体" w:eastAsia="宋体" w:cs="宋体"/>
          <w:sz w:val="21"/>
          <w:szCs w:val="21"/>
          <w:lang w:val="en-US" w:eastAsia="zh-CN"/>
        </w:rPr>
        <w:t>1.本项目采用全流程不见</w:t>
      </w:r>
      <w:r>
        <w:rPr>
          <w:rFonts w:hint="eastAsia" w:ascii="宋体" w:hAnsi="宋体" w:eastAsia="宋体" w:cs="宋体"/>
          <w:sz w:val="21"/>
          <w:szCs w:val="21"/>
        </w:rPr>
        <w:t>面电子开评标，投标供应商需要使用CA加密设备，供应商可通过新疆数字证书认证中心官网（https://www.xjca.com.cn/）或下载“新疆政务通”APP自行进行申领。</w:t>
      </w:r>
    </w:p>
    <w:p w14:paraId="4B7E568E">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40" w:lineRule="exact"/>
        <w:textAlignment w:val="auto"/>
        <w:rPr>
          <w:rFonts w:hint="eastAsia" w:ascii="宋体" w:hAnsi="宋体" w:eastAsia="宋体" w:cs="宋体"/>
          <w:sz w:val="21"/>
          <w:szCs w:val="21"/>
          <w:lang w:eastAsia="zh-CN"/>
        </w:rPr>
      </w:pP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2.本项目实行网上投标，采用加密电子投标文件(供应商须使用CA加密设备通过政采云电子投标客户端制作投标文件)。若供应商参与投标，自行承担投标一切费用。</w:t>
      </w:r>
    </w:p>
    <w:p w14:paraId="3BF24BD5">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40" w:lineRule="exact"/>
        <w:textAlignment w:val="auto"/>
        <w:rPr>
          <w:rFonts w:hint="eastAsia" w:ascii="宋体" w:hAnsi="宋体" w:eastAsia="宋体" w:cs="宋体"/>
          <w:sz w:val="21"/>
          <w:szCs w:val="21"/>
          <w:lang w:eastAsia="zh-CN"/>
        </w:rPr>
      </w:pP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3.各供应商在开标前应确保成为新疆维吾尔自治区政府采购网正式注册入库供应商（已在政采云平台其他省份入驻的供应商无须重复注册），并完成CA数字证书申领。因未注册入库、未办理CA数字证书等原因造成无法投标或投标失败等后果由供应商自行承担。</w:t>
      </w:r>
    </w:p>
    <w:p w14:paraId="53B50170">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40" w:lineRule="exact"/>
        <w:textAlignment w:val="auto"/>
        <w:rPr>
          <w:rFonts w:hint="eastAsia" w:ascii="宋体" w:hAnsi="宋体" w:eastAsia="宋体" w:cs="宋体"/>
          <w:sz w:val="21"/>
          <w:szCs w:val="21"/>
          <w:lang w:eastAsia="zh-CN"/>
        </w:rPr>
      </w:pP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4.供应商将政采云电子交易客户端下载、安装完成后，可通过账号密码或CA登录客户端进行投标文件制作。在使用政采云投标客户端时，建议使用WIN7+64位及以上操作系统。客户端请至新疆政府采购网（http://www.ccgp-xinjiang.gov.cn/）下载专区查看，如有问题可拨打政采云客户服务热线</w:t>
      </w:r>
      <w:r>
        <w:rPr>
          <w:rFonts w:hint="eastAsia" w:ascii="宋体" w:hAnsi="宋体" w:eastAsia="宋体" w:cs="宋体"/>
          <w:sz w:val="21"/>
          <w:szCs w:val="21"/>
          <w:lang w:eastAsia="zh-CN"/>
        </w:rPr>
        <w:t xml:space="preserve">95763 </w:t>
      </w:r>
      <w:r>
        <w:rPr>
          <w:rFonts w:hint="eastAsia" w:ascii="宋体" w:hAnsi="宋体" w:eastAsia="宋体" w:cs="宋体"/>
          <w:sz w:val="21"/>
          <w:szCs w:val="21"/>
        </w:rPr>
        <w:t>进行咨询。</w:t>
      </w:r>
    </w:p>
    <w:p w14:paraId="57283908">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40" w:lineRule="exac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5.供应商在开标时须使用制作加密电子投标文件所使用的CA锁及电脑，电脑须提前配置好浏览器（建议使用谷歌浏览器），以便开标时解锁。</w:t>
      </w:r>
      <w:r>
        <w:rPr>
          <w:rFonts w:hint="eastAsia" w:ascii="宋体" w:hAnsi="宋体" w:eastAsia="宋体" w:cs="宋体"/>
          <w:sz w:val="21"/>
          <w:szCs w:val="21"/>
          <w:lang w:val="en-US" w:eastAsia="zh-CN"/>
        </w:rPr>
        <w:t xml:space="preserve"> </w:t>
      </w:r>
    </w:p>
    <w:p w14:paraId="4C32CF46">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40" w:lineRule="exact"/>
        <w:textAlignment w:val="auto"/>
        <w:rPr>
          <w:rFonts w:hint="eastAsia" w:ascii="宋体" w:hAnsi="宋体" w:eastAsia="宋体" w:cs="宋体"/>
          <w:sz w:val="21"/>
          <w:szCs w:val="21"/>
          <w:lang w:eastAsia="zh-CN"/>
        </w:rPr>
      </w:pP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6.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w:t>
      </w:r>
      <w:r>
        <w:rPr>
          <w:rFonts w:hint="eastAsia" w:ascii="宋体" w:hAnsi="宋体" w:eastAsia="宋体" w:cs="宋体"/>
          <w:sz w:val="21"/>
          <w:szCs w:val="21"/>
          <w:lang w:eastAsia="zh-CN"/>
        </w:rPr>
        <w:t>。</w:t>
      </w:r>
    </w:p>
    <w:p w14:paraId="48F09D0C">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40" w:lineRule="exact"/>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7.为了保证开评标顺利进行，政采云线上开标功能完全实现，供应商开标所使用的电脑设备须具有视频及语音功能。</w:t>
      </w:r>
    </w:p>
    <w:p w14:paraId="3A87CCF5">
      <w:pPr>
        <w:pStyle w:val="82"/>
        <w:ind w:left="0" w:leftChars="0" w:firstLine="0" w:firstLineChars="0"/>
        <w:rPr>
          <w:rFonts w:hint="eastAsia" w:ascii="仿宋" w:hAnsi="仿宋" w:eastAsia="仿宋" w:cs="仿宋"/>
          <w:color w:val="auto"/>
          <w:spacing w:val="0"/>
          <w:w w:val="100"/>
          <w:position w:val="0"/>
          <w:sz w:val="24"/>
          <w:szCs w:val="24"/>
          <w:shd w:val="clear" w:color="auto" w:fill="auto"/>
          <w:lang w:val="en-US" w:eastAsia="zh-CN" w:bidi="en-US"/>
        </w:rPr>
      </w:pPr>
      <w:r>
        <w:rPr>
          <w:rFonts w:hint="eastAsia" w:ascii="仿宋" w:hAnsi="仿宋" w:eastAsia="仿宋" w:cs="仿宋"/>
          <w:color w:val="auto"/>
          <w:spacing w:val="0"/>
          <w:w w:val="100"/>
          <w:position w:val="0"/>
          <w:sz w:val="24"/>
          <w:szCs w:val="24"/>
          <w:shd w:val="clear" w:color="auto" w:fill="auto"/>
          <w:lang w:val="en-US" w:eastAsia="zh-CN" w:bidi="en-US"/>
        </w:rPr>
        <w:t>其他事项： 采购人与招标代理机构经协商本次招标代理服务费为：13500元。</w:t>
      </w:r>
    </w:p>
    <w:p w14:paraId="6F0DA1E3">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40" w:lineRule="exact"/>
        <w:textAlignment w:val="auto"/>
        <w:rPr>
          <w:rFonts w:hint="eastAsia" w:ascii="宋体" w:hAnsi="宋体" w:eastAsia="宋体" w:cs="宋体"/>
          <w:sz w:val="21"/>
          <w:szCs w:val="21"/>
        </w:rPr>
      </w:pPr>
    </w:p>
    <w:p w14:paraId="2A67E049">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340" w:lineRule="exact"/>
        <w:ind w:left="0" w:right="0"/>
        <w:jc w:val="both"/>
        <w:textAlignment w:val="auto"/>
        <w:rPr>
          <w:rStyle w:val="31"/>
          <w:rFonts w:hint="eastAsia" w:ascii="宋体" w:hAnsi="宋体" w:eastAsia="宋体" w:cs="宋体"/>
          <w:b/>
          <w:color w:val="333333"/>
          <w:sz w:val="21"/>
          <w:szCs w:val="21"/>
          <w:lang w:val="en-US" w:eastAsia="zh-CN"/>
        </w:rPr>
      </w:pPr>
      <w:r>
        <w:rPr>
          <w:rStyle w:val="31"/>
          <w:rFonts w:hint="eastAsia" w:ascii="宋体" w:hAnsi="宋体" w:eastAsia="宋体" w:cs="宋体"/>
          <w:b/>
          <w:color w:val="333333"/>
          <w:sz w:val="21"/>
          <w:szCs w:val="21"/>
          <w:lang w:val="en-US" w:eastAsia="zh-CN"/>
        </w:rPr>
        <w:t>七、对本次采购提出询问，请按以下方式联系</w:t>
      </w:r>
    </w:p>
    <w:p w14:paraId="50058E5B">
      <w:pPr>
        <w:pStyle w:val="2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40" w:lineRule="exact"/>
        <w:ind w:left="0" w:right="0" w:firstLine="420"/>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1.采购人信息</w:t>
      </w:r>
    </w:p>
    <w:p w14:paraId="576F41CB">
      <w:pPr>
        <w:pStyle w:val="2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40" w:lineRule="exact"/>
        <w:ind w:left="0" w:right="0" w:firstLine="420"/>
        <w:jc w:val="left"/>
        <w:textAlignment w:val="auto"/>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名 称：</w:t>
      </w:r>
      <w:r>
        <w:rPr>
          <w:rFonts w:hint="eastAsia" w:cs="宋体"/>
          <w:color w:val="auto"/>
          <w:sz w:val="21"/>
          <w:szCs w:val="21"/>
          <w:lang w:val="en-US" w:eastAsia="zh-CN"/>
        </w:rPr>
        <w:t>乌恰县财政局</w:t>
      </w:r>
    </w:p>
    <w:p w14:paraId="6996E3FF">
      <w:pPr>
        <w:pStyle w:val="2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40" w:lineRule="exact"/>
        <w:ind w:left="0" w:right="0" w:firstLine="420"/>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联系方式：</w:t>
      </w:r>
      <w:r>
        <w:rPr>
          <w:rFonts w:hint="eastAsia" w:cs="宋体"/>
          <w:color w:val="auto"/>
          <w:sz w:val="21"/>
          <w:szCs w:val="21"/>
          <w:lang w:val="en-US" w:eastAsia="zh-CN"/>
        </w:rPr>
        <w:t>15909088765</w:t>
      </w:r>
    </w:p>
    <w:p w14:paraId="39DEF08E">
      <w:pPr>
        <w:pStyle w:val="2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40" w:lineRule="exact"/>
        <w:ind w:left="0" w:right="0" w:firstLine="420"/>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2.采购代理机构信息</w:t>
      </w:r>
    </w:p>
    <w:p w14:paraId="4F322F80">
      <w:pPr>
        <w:pStyle w:val="2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40" w:lineRule="exact"/>
        <w:ind w:left="0" w:right="0" w:firstLine="420"/>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名 称：</w:t>
      </w:r>
      <w:r>
        <w:rPr>
          <w:rFonts w:hint="eastAsia" w:cs="宋体"/>
          <w:color w:val="auto"/>
          <w:sz w:val="21"/>
          <w:szCs w:val="21"/>
          <w:lang w:val="en-US" w:eastAsia="zh-CN"/>
        </w:rPr>
        <w:t>中科建疆工程管理有限公司</w:t>
      </w:r>
    </w:p>
    <w:p w14:paraId="52825A02">
      <w:pPr>
        <w:pStyle w:val="2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40" w:lineRule="exact"/>
        <w:ind w:left="0" w:right="0" w:firstLine="420"/>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地址：</w:t>
      </w:r>
      <w:r>
        <w:rPr>
          <w:rFonts w:hint="eastAsia" w:cs="宋体"/>
          <w:color w:val="auto"/>
          <w:sz w:val="21"/>
          <w:szCs w:val="21"/>
          <w:lang w:val="en-US" w:eastAsia="zh-CN"/>
        </w:rPr>
        <w:t>乌恰县寰宇大厦6楼</w:t>
      </w:r>
    </w:p>
    <w:p w14:paraId="0AC10806">
      <w:pPr>
        <w:pStyle w:val="2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40" w:lineRule="exact"/>
        <w:ind w:left="0" w:right="0" w:firstLine="420"/>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联系方式：</w:t>
      </w:r>
      <w:r>
        <w:rPr>
          <w:rFonts w:hint="eastAsia" w:cs="宋体"/>
          <w:color w:val="auto"/>
          <w:sz w:val="21"/>
          <w:szCs w:val="21"/>
          <w:lang w:val="en-US" w:eastAsia="zh-CN"/>
        </w:rPr>
        <w:t>13201016575</w:t>
      </w:r>
    </w:p>
    <w:p w14:paraId="72DD167D">
      <w:pPr>
        <w:pStyle w:val="2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40" w:lineRule="exact"/>
        <w:ind w:left="0" w:right="0" w:firstLine="420"/>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3.项目联系方式</w:t>
      </w:r>
    </w:p>
    <w:p w14:paraId="37A2D6CC">
      <w:pPr>
        <w:pStyle w:val="2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40" w:lineRule="exact"/>
        <w:ind w:left="0" w:right="0" w:firstLine="420"/>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项目联系人：王先生</w:t>
      </w:r>
    </w:p>
    <w:p w14:paraId="61742F8E">
      <w:pPr>
        <w:pStyle w:val="2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40" w:lineRule="exact"/>
        <w:ind w:left="0" w:right="0" w:firstLine="420"/>
        <w:jc w:val="left"/>
        <w:textAlignment w:val="auto"/>
        <w:rPr>
          <w:rFonts w:hint="eastAsia" w:ascii="宋体" w:hAnsi="宋体" w:eastAsia="宋体" w:cs="宋体"/>
          <w:sz w:val="21"/>
          <w:szCs w:val="21"/>
        </w:rPr>
      </w:pPr>
      <w:r>
        <w:rPr>
          <w:rFonts w:hint="eastAsia" w:ascii="宋体" w:hAnsi="宋体" w:eastAsia="宋体" w:cs="宋体"/>
          <w:color w:val="auto"/>
          <w:sz w:val="21"/>
          <w:szCs w:val="21"/>
          <w:lang w:val="en-US" w:eastAsia="zh-CN"/>
        </w:rPr>
        <w:t>电话：</w:t>
      </w:r>
      <w:bookmarkEnd w:id="11"/>
      <w:r>
        <w:rPr>
          <w:rFonts w:hint="eastAsia" w:cs="宋体"/>
          <w:color w:val="auto"/>
          <w:sz w:val="21"/>
          <w:szCs w:val="21"/>
          <w:lang w:val="en-US" w:eastAsia="zh-CN"/>
        </w:rPr>
        <w:t>13201016575</w:t>
      </w:r>
    </w:p>
    <w:p w14:paraId="5CE28D1B">
      <w:pPr>
        <w:pStyle w:val="10"/>
        <w:rPr>
          <w:rFonts w:hint="eastAsia"/>
          <w:sz w:val="20"/>
          <w:szCs w:val="22"/>
        </w:rPr>
      </w:pPr>
    </w:p>
    <w:p w14:paraId="0C6581E3">
      <w:pPr>
        <w:rPr>
          <w:rFonts w:hint="eastAsia"/>
          <w:sz w:val="20"/>
          <w:szCs w:val="22"/>
        </w:rPr>
      </w:pPr>
    </w:p>
    <w:p w14:paraId="125D6F9B">
      <w:pPr>
        <w:pStyle w:val="10"/>
        <w:rPr>
          <w:rFonts w:hint="eastAsia"/>
          <w:sz w:val="20"/>
          <w:szCs w:val="22"/>
        </w:rPr>
      </w:pPr>
    </w:p>
    <w:p w14:paraId="729C081A">
      <w:pPr>
        <w:rPr>
          <w:rFonts w:hint="eastAsia"/>
        </w:rPr>
      </w:pPr>
    </w:p>
    <w:p w14:paraId="3B2AC4EF">
      <w:pPr>
        <w:pStyle w:val="10"/>
        <w:rPr>
          <w:rFonts w:hint="eastAsia"/>
        </w:rPr>
      </w:pPr>
    </w:p>
    <w:p w14:paraId="048B2BB0">
      <w:pPr>
        <w:rPr>
          <w:rFonts w:hint="eastAsia"/>
        </w:rPr>
      </w:pPr>
    </w:p>
    <w:p w14:paraId="28B3CC0A">
      <w:pPr>
        <w:pStyle w:val="10"/>
        <w:rPr>
          <w:rFonts w:hint="eastAsia"/>
        </w:rPr>
      </w:pPr>
    </w:p>
    <w:p w14:paraId="150CE96A">
      <w:pPr>
        <w:rPr>
          <w:rFonts w:hint="eastAsia"/>
        </w:rPr>
      </w:pPr>
    </w:p>
    <w:p w14:paraId="2592AE2F">
      <w:pPr>
        <w:pStyle w:val="14"/>
        <w:rPr>
          <w:rFonts w:hint="eastAsia"/>
        </w:rPr>
      </w:pPr>
    </w:p>
    <w:p w14:paraId="64FBBA2F">
      <w:pPr>
        <w:pStyle w:val="15"/>
        <w:rPr>
          <w:rFonts w:hint="eastAsia"/>
        </w:rPr>
      </w:pPr>
    </w:p>
    <w:p w14:paraId="2A15161F">
      <w:pPr>
        <w:rPr>
          <w:rFonts w:hint="eastAsia"/>
        </w:rPr>
      </w:pPr>
    </w:p>
    <w:p w14:paraId="0DD5AC87">
      <w:pPr>
        <w:pStyle w:val="10"/>
        <w:rPr>
          <w:rFonts w:hint="eastAsia"/>
        </w:rPr>
      </w:pPr>
    </w:p>
    <w:p w14:paraId="217B8D16">
      <w:pPr>
        <w:pStyle w:val="11"/>
        <w:rPr>
          <w:rFonts w:hint="eastAsia"/>
        </w:rPr>
      </w:pPr>
    </w:p>
    <w:p w14:paraId="3A777835">
      <w:pPr>
        <w:rPr>
          <w:rFonts w:hint="eastAsia"/>
        </w:rPr>
      </w:pPr>
    </w:p>
    <w:p w14:paraId="406A144A">
      <w:pPr>
        <w:pStyle w:val="10"/>
        <w:rPr>
          <w:rFonts w:hint="eastAsia"/>
        </w:rPr>
      </w:pPr>
    </w:p>
    <w:p w14:paraId="1866AF63">
      <w:pPr>
        <w:pStyle w:val="11"/>
        <w:rPr>
          <w:rFonts w:hint="eastAsia"/>
        </w:rPr>
      </w:pPr>
    </w:p>
    <w:p w14:paraId="71598C33">
      <w:pPr>
        <w:rPr>
          <w:rFonts w:hint="eastAsia"/>
        </w:rPr>
      </w:pPr>
    </w:p>
    <w:p w14:paraId="25A88A1A">
      <w:pPr>
        <w:pStyle w:val="10"/>
        <w:rPr>
          <w:rFonts w:hint="eastAsia"/>
        </w:rPr>
      </w:pPr>
    </w:p>
    <w:p w14:paraId="24369558">
      <w:pPr>
        <w:pStyle w:val="11"/>
        <w:rPr>
          <w:rFonts w:hint="eastAsia"/>
        </w:rPr>
      </w:pPr>
    </w:p>
    <w:p w14:paraId="6C475DAA">
      <w:pPr>
        <w:rPr>
          <w:rFonts w:hint="eastAsia"/>
        </w:rPr>
      </w:pPr>
    </w:p>
    <w:p w14:paraId="3F488233">
      <w:pPr>
        <w:pStyle w:val="10"/>
        <w:rPr>
          <w:rFonts w:hint="eastAsia"/>
        </w:rPr>
      </w:pPr>
    </w:p>
    <w:p w14:paraId="074459EE">
      <w:pPr>
        <w:pStyle w:val="11"/>
        <w:rPr>
          <w:rFonts w:hint="eastAsia"/>
        </w:rPr>
      </w:pPr>
    </w:p>
    <w:p w14:paraId="70492B86">
      <w:pPr>
        <w:rPr>
          <w:rFonts w:hint="eastAsia"/>
        </w:rPr>
      </w:pPr>
    </w:p>
    <w:p w14:paraId="56351B3C">
      <w:pPr>
        <w:pStyle w:val="10"/>
        <w:rPr>
          <w:rFonts w:hint="eastAsia"/>
        </w:rPr>
      </w:pPr>
    </w:p>
    <w:p w14:paraId="2C5D9C23">
      <w:pPr>
        <w:numPr>
          <w:ilvl w:val="0"/>
          <w:numId w:val="0"/>
        </w:numPr>
        <w:shd w:val="clear" w:color="auto" w:fill="auto"/>
        <w:spacing w:line="500" w:lineRule="exact"/>
        <w:jc w:val="center"/>
        <w:outlineLvl w:val="0"/>
        <w:rPr>
          <w:rFonts w:hint="eastAsia" w:ascii="宋体"/>
          <w:b/>
          <w:color w:val="auto"/>
          <w:sz w:val="32"/>
          <w:szCs w:val="32"/>
          <w:highlight w:val="none"/>
        </w:rPr>
      </w:pPr>
      <w:r>
        <w:rPr>
          <w:rFonts w:hint="eastAsia" w:ascii="宋体"/>
          <w:b/>
          <w:color w:val="auto"/>
          <w:sz w:val="32"/>
          <w:szCs w:val="32"/>
          <w:highlight w:val="none"/>
          <w:lang w:eastAsia="zh-CN"/>
        </w:rPr>
        <w:t>第二章</w:t>
      </w:r>
      <w:r>
        <w:rPr>
          <w:rFonts w:hint="eastAsia" w:ascii="宋体"/>
          <w:b/>
          <w:color w:val="auto"/>
          <w:sz w:val="32"/>
          <w:szCs w:val="32"/>
          <w:highlight w:val="none"/>
          <w:lang w:val="en-US" w:eastAsia="zh-CN"/>
        </w:rPr>
        <w:t xml:space="preserve">  </w:t>
      </w:r>
      <w:r>
        <w:rPr>
          <w:rFonts w:hint="eastAsia" w:ascii="宋体"/>
          <w:b/>
          <w:color w:val="auto"/>
          <w:sz w:val="32"/>
          <w:szCs w:val="32"/>
          <w:highlight w:val="none"/>
        </w:rPr>
        <w:t>投标人须知</w:t>
      </w:r>
      <w:bookmarkStart w:id="13" w:name="_Toc469495722"/>
    </w:p>
    <w:p w14:paraId="5AA28EC0">
      <w:pPr>
        <w:numPr>
          <w:ilvl w:val="0"/>
          <w:numId w:val="0"/>
        </w:numPr>
        <w:shd w:val="clear" w:color="auto" w:fill="auto"/>
        <w:spacing w:line="500" w:lineRule="exact"/>
        <w:jc w:val="center"/>
        <w:outlineLvl w:val="0"/>
        <w:rPr>
          <w:rFonts w:hint="eastAsia"/>
        </w:rPr>
      </w:pPr>
      <w:r>
        <w:rPr>
          <w:rFonts w:hint="eastAsia" w:ascii="宋体"/>
          <w:b/>
          <w:color w:val="auto"/>
          <w:sz w:val="28"/>
          <w:szCs w:val="28"/>
          <w:highlight w:val="none"/>
          <w:lang w:eastAsia="zh-CN"/>
        </w:rPr>
        <w:t>一、</w:t>
      </w:r>
      <w:r>
        <w:rPr>
          <w:rFonts w:hint="eastAsia" w:ascii="宋体"/>
          <w:b/>
          <w:color w:val="auto"/>
          <w:sz w:val="28"/>
          <w:szCs w:val="28"/>
          <w:highlight w:val="none"/>
        </w:rPr>
        <w:t>投标人须知前附表</w:t>
      </w:r>
      <w:bookmarkEnd w:id="13"/>
    </w:p>
    <w:tbl>
      <w:tblPr>
        <w:tblStyle w:val="28"/>
        <w:tblW w:w="9836" w:type="dxa"/>
        <w:jc w:val="center"/>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fixed"/>
        <w:tblCellMar>
          <w:top w:w="0" w:type="dxa"/>
          <w:left w:w="108" w:type="dxa"/>
          <w:bottom w:w="0" w:type="dxa"/>
          <w:right w:w="108" w:type="dxa"/>
        </w:tblCellMar>
      </w:tblPr>
      <w:tblGrid>
        <w:gridCol w:w="1012"/>
        <w:gridCol w:w="1536"/>
        <w:gridCol w:w="7288"/>
      </w:tblGrid>
      <w:tr w14:paraId="05BA978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79" w:hRule="atLeast"/>
          <w:jc w:val="center"/>
        </w:trPr>
        <w:tc>
          <w:tcPr>
            <w:tcW w:w="1012" w:type="dxa"/>
            <w:noWrap w:val="0"/>
            <w:vAlign w:val="center"/>
          </w:tcPr>
          <w:p w14:paraId="35DDEC3D">
            <w:pPr>
              <w:pStyle w:val="14"/>
              <w:keepNext w:val="0"/>
              <w:keepLines w:val="0"/>
              <w:pageBreakBefore w:val="0"/>
              <w:shd w:val="clear" w:color="auto" w:fill="auto"/>
              <w:kinsoku/>
              <w:wordWrap/>
              <w:overflowPunct/>
              <w:topLinePunct w:val="0"/>
              <w:autoSpaceDE/>
              <w:autoSpaceDN/>
              <w:bidi w:val="0"/>
              <w:adjustRightInd/>
              <w:snapToGrid w:val="0"/>
              <w:spacing w:line="290" w:lineRule="exact"/>
              <w:ind w:left="-95" w:leftChars="-45" w:right="-83" w:rightChars="-39"/>
              <w:jc w:val="center"/>
              <w:textAlignment w:val="auto"/>
              <w:outlineLvl w:val="9"/>
              <w:rPr>
                <w:rFonts w:hint="eastAsia"/>
                <w:b/>
                <w:bCs w:val="0"/>
                <w:color w:val="auto"/>
                <w:sz w:val="21"/>
                <w:szCs w:val="21"/>
                <w:highlight w:val="none"/>
                <w:lang w:val="en-US" w:eastAsia="zh-CN"/>
              </w:rPr>
            </w:pPr>
            <w:r>
              <w:rPr>
                <w:rFonts w:hint="eastAsia"/>
                <w:b/>
                <w:bCs w:val="0"/>
                <w:color w:val="auto"/>
                <w:sz w:val="21"/>
                <w:szCs w:val="21"/>
                <w:highlight w:val="none"/>
                <w:lang w:val="en-US" w:eastAsia="zh-CN"/>
              </w:rPr>
              <w:t>条款号</w:t>
            </w:r>
          </w:p>
        </w:tc>
        <w:tc>
          <w:tcPr>
            <w:tcW w:w="1536" w:type="dxa"/>
            <w:noWrap w:val="0"/>
            <w:vAlign w:val="center"/>
          </w:tcPr>
          <w:p w14:paraId="1F32C65F">
            <w:pPr>
              <w:pStyle w:val="14"/>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b/>
                <w:bCs w:val="0"/>
                <w:color w:val="auto"/>
                <w:sz w:val="21"/>
                <w:szCs w:val="21"/>
                <w:highlight w:val="none"/>
                <w:lang w:val="en-US" w:eastAsia="zh-CN"/>
              </w:rPr>
            </w:pPr>
            <w:r>
              <w:rPr>
                <w:rFonts w:hint="eastAsia"/>
                <w:b/>
                <w:bCs w:val="0"/>
                <w:color w:val="auto"/>
                <w:sz w:val="21"/>
                <w:szCs w:val="21"/>
                <w:highlight w:val="none"/>
                <w:lang w:val="en-US" w:eastAsia="zh-CN"/>
              </w:rPr>
              <w:t>内容</w:t>
            </w:r>
          </w:p>
        </w:tc>
        <w:tc>
          <w:tcPr>
            <w:tcW w:w="7288" w:type="dxa"/>
            <w:noWrap w:val="0"/>
            <w:vAlign w:val="center"/>
          </w:tcPr>
          <w:p w14:paraId="101FB320">
            <w:pPr>
              <w:pStyle w:val="14"/>
              <w:keepNext w:val="0"/>
              <w:keepLines w:val="0"/>
              <w:pageBreakBefore w:val="0"/>
              <w:shd w:val="clear" w:color="auto" w:fill="auto"/>
              <w:kinsoku/>
              <w:wordWrap/>
              <w:overflowPunct/>
              <w:topLinePunct w:val="0"/>
              <w:autoSpaceDE/>
              <w:autoSpaceDN/>
              <w:bidi w:val="0"/>
              <w:adjustRightInd/>
              <w:snapToGrid w:val="0"/>
              <w:spacing w:line="290" w:lineRule="exact"/>
              <w:ind w:firstLine="2130" w:firstLineChars="1000"/>
              <w:jc w:val="both"/>
              <w:textAlignment w:val="auto"/>
              <w:outlineLvl w:val="9"/>
              <w:rPr>
                <w:b w:val="0"/>
                <w:bCs/>
                <w:color w:val="auto"/>
                <w:sz w:val="21"/>
                <w:szCs w:val="21"/>
                <w:highlight w:val="none"/>
                <w:lang w:val="en-US" w:eastAsia="zh-CN"/>
              </w:rPr>
            </w:pPr>
            <w:r>
              <w:rPr>
                <w:rFonts w:hint="eastAsia"/>
                <w:b w:val="0"/>
                <w:bCs/>
                <w:color w:val="auto"/>
                <w:sz w:val="21"/>
                <w:szCs w:val="21"/>
                <w:highlight w:val="none"/>
                <w:lang w:val="en-US" w:eastAsia="zh-CN"/>
              </w:rPr>
              <w:t>说明与要求</w:t>
            </w:r>
          </w:p>
        </w:tc>
      </w:tr>
      <w:tr w14:paraId="46C5FB3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39" w:hRule="atLeast"/>
          <w:jc w:val="center"/>
        </w:trPr>
        <w:tc>
          <w:tcPr>
            <w:tcW w:w="1012" w:type="dxa"/>
            <w:noWrap w:val="0"/>
            <w:vAlign w:val="center"/>
          </w:tcPr>
          <w:p w14:paraId="2A4429F0">
            <w:pPr>
              <w:pStyle w:val="14"/>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b/>
                <w:bCs w:val="0"/>
                <w:color w:val="000000" w:themeColor="text1"/>
                <w:sz w:val="21"/>
                <w:szCs w:val="21"/>
                <w:highlight w:val="none"/>
                <w:lang w:val="en-US" w:eastAsia="zh-CN"/>
                <w14:textFill>
                  <w14:solidFill>
                    <w14:schemeClr w14:val="tx1"/>
                  </w14:solidFill>
                </w14:textFill>
              </w:rPr>
            </w:pPr>
            <w:r>
              <w:rPr>
                <w:rFonts w:hint="eastAsia"/>
                <w:b/>
                <w:bCs w:val="0"/>
                <w:color w:val="000000" w:themeColor="text1"/>
                <w:sz w:val="21"/>
                <w:szCs w:val="21"/>
                <w:highlight w:val="none"/>
                <w:lang w:val="en-US" w:eastAsia="zh-CN"/>
                <w14:textFill>
                  <w14:solidFill>
                    <w14:schemeClr w14:val="tx1"/>
                  </w14:solidFill>
                </w14:textFill>
              </w:rPr>
              <w:t>1</w:t>
            </w:r>
          </w:p>
        </w:tc>
        <w:tc>
          <w:tcPr>
            <w:tcW w:w="1536" w:type="dxa"/>
            <w:noWrap w:val="0"/>
            <w:vAlign w:val="center"/>
          </w:tcPr>
          <w:p w14:paraId="7CBBD567">
            <w:pPr>
              <w:keepNext w:val="0"/>
              <w:keepLines w:val="0"/>
              <w:pageBreakBefore w:val="0"/>
              <w:widowControl/>
              <w:shd w:val="clear" w:color="auto" w:fill="auto"/>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val="0"/>
                <w:color w:val="auto"/>
                <w:sz w:val="21"/>
                <w:szCs w:val="21"/>
                <w:highlight w:val="none"/>
              </w:rPr>
            </w:pPr>
            <w:r>
              <w:rPr>
                <w:rFonts w:hint="eastAsia" w:ascii="宋体" w:hAnsi="宋体" w:eastAsia="宋体" w:cs="宋体"/>
                <w:b/>
                <w:bCs w:val="0"/>
                <w:color w:val="auto"/>
                <w:sz w:val="21"/>
                <w:szCs w:val="21"/>
                <w:highlight w:val="none"/>
              </w:rPr>
              <w:t>采购人</w:t>
            </w:r>
            <w:r>
              <w:rPr>
                <w:rFonts w:hint="eastAsia" w:ascii="宋体" w:hAnsi="宋体" w:eastAsia="宋体" w:cs="宋体"/>
                <w:b/>
                <w:bCs w:val="0"/>
                <w:color w:val="auto"/>
                <w:sz w:val="21"/>
                <w:szCs w:val="21"/>
                <w:highlight w:val="none"/>
                <w:lang w:eastAsia="zh-CN"/>
              </w:rPr>
              <w:t>信</w:t>
            </w:r>
            <w:r>
              <w:rPr>
                <w:rFonts w:hint="eastAsia" w:ascii="宋体" w:hAnsi="宋体" w:eastAsia="宋体" w:cs="宋体"/>
                <w:b/>
                <w:bCs w:val="0"/>
                <w:color w:val="auto"/>
                <w:sz w:val="21"/>
                <w:szCs w:val="21"/>
                <w:highlight w:val="none"/>
              </w:rPr>
              <w:t>息</w:t>
            </w:r>
          </w:p>
        </w:tc>
        <w:tc>
          <w:tcPr>
            <w:tcW w:w="7288" w:type="dxa"/>
            <w:noWrap w:val="0"/>
            <w:vAlign w:val="center"/>
          </w:tcPr>
          <w:p w14:paraId="2600861E">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b w:val="0"/>
                <w:bCs/>
                <w:sz w:val="21"/>
                <w:szCs w:val="21"/>
                <w:lang w:val="en-US" w:eastAsia="zh-CN"/>
              </w:rPr>
            </w:pPr>
            <w:r>
              <w:rPr>
                <w:rFonts w:hint="eastAsia"/>
                <w:b w:val="0"/>
                <w:bCs/>
                <w:color w:val="auto"/>
                <w:sz w:val="21"/>
                <w:szCs w:val="21"/>
                <w:highlight w:val="none"/>
                <w:lang w:val="en-US" w:eastAsia="zh-CN"/>
              </w:rPr>
              <w:t>采购单位：</w:t>
            </w:r>
            <w:r>
              <w:rPr>
                <w:rFonts w:hint="eastAsia"/>
                <w:b w:val="0"/>
                <w:bCs/>
                <w:sz w:val="21"/>
                <w:szCs w:val="21"/>
                <w:lang w:val="en-US" w:eastAsia="zh-CN"/>
              </w:rPr>
              <w:t>乌恰县财政局</w:t>
            </w:r>
          </w:p>
          <w:p w14:paraId="486E99BE">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eastAsia="宋体"/>
                <w:b w:val="0"/>
                <w:bCs/>
                <w:sz w:val="21"/>
                <w:szCs w:val="21"/>
                <w:lang w:val="en-US" w:eastAsia="zh-CN"/>
              </w:rPr>
            </w:pPr>
            <w:r>
              <w:rPr>
                <w:rFonts w:hint="eastAsia" w:eastAsia="宋体"/>
                <w:b w:val="0"/>
                <w:bCs/>
                <w:sz w:val="21"/>
                <w:szCs w:val="21"/>
                <w:lang w:val="en-US" w:eastAsia="zh-CN"/>
              </w:rPr>
              <w:t>联系人：</w:t>
            </w:r>
            <w:r>
              <w:rPr>
                <w:rFonts w:hint="eastAsia"/>
                <w:b w:val="0"/>
                <w:bCs/>
                <w:sz w:val="21"/>
                <w:szCs w:val="21"/>
                <w:lang w:val="en-US" w:eastAsia="zh-CN"/>
              </w:rPr>
              <w:t>吴女士</w:t>
            </w:r>
            <w:r>
              <w:rPr>
                <w:rFonts w:hint="eastAsia" w:eastAsia="宋体"/>
                <w:b w:val="0"/>
                <w:bCs/>
                <w:sz w:val="21"/>
                <w:szCs w:val="21"/>
                <w:lang w:val="en-US" w:eastAsia="zh-CN"/>
              </w:rPr>
              <w:t xml:space="preserve">        </w:t>
            </w:r>
          </w:p>
          <w:p w14:paraId="3439C417">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eastAsia="宋体"/>
                <w:b w:val="0"/>
                <w:bCs/>
                <w:sz w:val="21"/>
                <w:szCs w:val="21"/>
                <w:lang w:val="en-US" w:eastAsia="zh-CN"/>
              </w:rPr>
            </w:pPr>
            <w:r>
              <w:rPr>
                <w:rFonts w:hint="eastAsia" w:eastAsia="宋体"/>
                <w:b w:val="0"/>
                <w:bCs/>
                <w:sz w:val="21"/>
                <w:szCs w:val="21"/>
                <w:lang w:val="en-US" w:eastAsia="zh-CN"/>
              </w:rPr>
              <w:t>联系电话</w:t>
            </w:r>
            <w:r>
              <w:rPr>
                <w:rFonts w:hint="eastAsia"/>
                <w:b w:val="0"/>
                <w:bCs/>
                <w:sz w:val="21"/>
                <w:szCs w:val="21"/>
                <w:lang w:val="en-US" w:eastAsia="zh-CN"/>
              </w:rPr>
              <w:t>：15909088765</w:t>
            </w:r>
          </w:p>
        </w:tc>
      </w:tr>
      <w:tr w14:paraId="2655DDCF">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359" w:hRule="atLeast"/>
          <w:jc w:val="center"/>
        </w:trPr>
        <w:tc>
          <w:tcPr>
            <w:tcW w:w="1012" w:type="dxa"/>
            <w:noWrap w:val="0"/>
            <w:vAlign w:val="center"/>
          </w:tcPr>
          <w:p w14:paraId="04FFBAA9">
            <w:pPr>
              <w:pStyle w:val="14"/>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b/>
                <w:bCs w:val="0"/>
                <w:color w:val="000000" w:themeColor="text1"/>
                <w:sz w:val="21"/>
                <w:szCs w:val="21"/>
                <w:highlight w:val="none"/>
                <w:lang w:val="en-US" w:eastAsia="zh-CN"/>
                <w14:textFill>
                  <w14:solidFill>
                    <w14:schemeClr w14:val="tx1"/>
                  </w14:solidFill>
                </w14:textFill>
              </w:rPr>
            </w:pPr>
            <w:r>
              <w:rPr>
                <w:rFonts w:hint="default"/>
                <w:b/>
                <w:bCs w:val="0"/>
                <w:color w:val="000000" w:themeColor="text1"/>
                <w:sz w:val="21"/>
                <w:szCs w:val="21"/>
                <w:highlight w:val="none"/>
                <w:lang w:val="en-US" w:eastAsia="zh-CN"/>
                <w14:textFill>
                  <w14:solidFill>
                    <w14:schemeClr w14:val="tx1"/>
                  </w14:solidFill>
                </w14:textFill>
              </w:rPr>
              <w:t>2</w:t>
            </w:r>
          </w:p>
        </w:tc>
        <w:tc>
          <w:tcPr>
            <w:tcW w:w="1536" w:type="dxa"/>
            <w:noWrap w:val="0"/>
            <w:vAlign w:val="center"/>
          </w:tcPr>
          <w:p w14:paraId="629629B5">
            <w:pPr>
              <w:keepNext w:val="0"/>
              <w:keepLines w:val="0"/>
              <w:pageBreakBefore w:val="0"/>
              <w:widowControl/>
              <w:shd w:val="clear" w:color="auto" w:fill="auto"/>
              <w:kinsoku/>
              <w:wordWrap/>
              <w:overflowPunct/>
              <w:topLinePunct w:val="0"/>
              <w:autoSpaceDE/>
              <w:autoSpaceDN/>
              <w:bidi w:val="0"/>
              <w:adjustRightInd/>
              <w:snapToGrid/>
              <w:spacing w:line="290" w:lineRule="exact"/>
              <w:jc w:val="center"/>
              <w:textAlignment w:val="auto"/>
              <w:rPr>
                <w:rFonts w:hint="eastAsia"/>
                <w:b/>
                <w:bCs w:val="0"/>
                <w:color w:val="auto"/>
                <w:sz w:val="21"/>
                <w:szCs w:val="21"/>
                <w:highlight w:val="none"/>
                <w:lang w:val="en-US" w:eastAsia="zh-CN"/>
              </w:rPr>
            </w:pPr>
            <w:r>
              <w:rPr>
                <w:rFonts w:hint="eastAsia" w:ascii="宋体" w:hAnsi="宋体" w:eastAsia="宋体" w:cs="宋体"/>
                <w:b/>
                <w:bCs w:val="0"/>
                <w:color w:val="auto"/>
                <w:sz w:val="21"/>
                <w:szCs w:val="21"/>
                <w:highlight w:val="none"/>
              </w:rPr>
              <w:t>采购代理机构</w:t>
            </w:r>
          </w:p>
        </w:tc>
        <w:tc>
          <w:tcPr>
            <w:tcW w:w="7288" w:type="dxa"/>
            <w:noWrap w:val="0"/>
            <w:vAlign w:val="center"/>
          </w:tcPr>
          <w:p w14:paraId="3CB66679">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Times New Roman" w:hAnsi="Times New Roman" w:eastAsia="宋体" w:cs="Times New Roman"/>
                <w:b w:val="0"/>
                <w:bCs/>
                <w:sz w:val="21"/>
                <w:szCs w:val="21"/>
                <w:lang w:val="en-US" w:eastAsia="zh-CN"/>
              </w:rPr>
            </w:pPr>
            <w:r>
              <w:rPr>
                <w:rFonts w:hint="eastAsia" w:ascii="Times New Roman" w:hAnsi="Times New Roman" w:eastAsia="宋体" w:cs="Times New Roman"/>
                <w:b w:val="0"/>
                <w:bCs/>
                <w:sz w:val="21"/>
                <w:szCs w:val="21"/>
                <w:lang w:val="en-US" w:eastAsia="zh-CN"/>
              </w:rPr>
              <w:t>名  称：</w:t>
            </w:r>
            <w:r>
              <w:rPr>
                <w:rFonts w:hint="eastAsia" w:cs="Times New Roman"/>
                <w:b w:val="0"/>
                <w:bCs/>
                <w:sz w:val="21"/>
                <w:szCs w:val="21"/>
                <w:lang w:val="en-US" w:eastAsia="zh-CN"/>
              </w:rPr>
              <w:t>中科建疆工程管理有限公司</w:t>
            </w:r>
          </w:p>
          <w:p w14:paraId="4592FEC8">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b w:val="0"/>
                <w:bCs/>
                <w:lang w:val="en-US" w:eastAsia="zh-CN"/>
              </w:rPr>
            </w:pPr>
            <w:r>
              <w:rPr>
                <w:rFonts w:hint="eastAsia" w:ascii="Times New Roman" w:hAnsi="Times New Roman" w:eastAsia="宋体" w:cs="Times New Roman"/>
                <w:b w:val="0"/>
                <w:bCs/>
                <w:sz w:val="21"/>
                <w:szCs w:val="21"/>
                <w:lang w:val="en-US" w:eastAsia="zh-CN"/>
              </w:rPr>
              <w:t>地  址：</w:t>
            </w:r>
            <w:r>
              <w:rPr>
                <w:rFonts w:hint="eastAsia" w:cs="Times New Roman"/>
                <w:b w:val="0"/>
                <w:bCs/>
                <w:sz w:val="21"/>
                <w:szCs w:val="21"/>
                <w:lang w:val="en-US" w:eastAsia="zh-CN"/>
              </w:rPr>
              <w:t>乌恰县寰宇大厦6楼</w:t>
            </w:r>
          </w:p>
          <w:p w14:paraId="773BB161">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Times New Roman" w:hAnsi="Times New Roman" w:eastAsia="宋体" w:cs="Times New Roman"/>
                <w:b w:val="0"/>
                <w:bCs/>
                <w:sz w:val="21"/>
                <w:szCs w:val="21"/>
                <w:lang w:val="en-US" w:eastAsia="zh-CN"/>
              </w:rPr>
            </w:pPr>
            <w:r>
              <w:rPr>
                <w:rFonts w:hint="default" w:ascii="Times New Roman" w:hAnsi="Times New Roman" w:eastAsia="宋体" w:cs="Times New Roman"/>
                <w:b w:val="0"/>
                <w:bCs/>
                <w:sz w:val="21"/>
                <w:szCs w:val="21"/>
                <w:lang w:val="en-US" w:eastAsia="zh-CN"/>
              </w:rPr>
              <w:t>联系人：</w:t>
            </w:r>
            <w:r>
              <w:rPr>
                <w:rFonts w:hint="eastAsia" w:cs="Times New Roman"/>
                <w:b w:val="0"/>
                <w:bCs/>
                <w:sz w:val="21"/>
                <w:szCs w:val="21"/>
                <w:lang w:val="en-US" w:eastAsia="zh-CN"/>
              </w:rPr>
              <w:t>王先生</w:t>
            </w:r>
            <w:r>
              <w:rPr>
                <w:rFonts w:hint="eastAsia" w:ascii="Times New Roman" w:hAnsi="Times New Roman" w:eastAsia="宋体" w:cs="Times New Roman"/>
                <w:b w:val="0"/>
                <w:bCs/>
                <w:sz w:val="21"/>
                <w:szCs w:val="21"/>
                <w:lang w:val="en-US" w:eastAsia="zh-CN"/>
              </w:rPr>
              <w:t xml:space="preserve">       </w:t>
            </w:r>
          </w:p>
          <w:p w14:paraId="2252C672">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b w:val="0"/>
                <w:bCs/>
                <w:color w:val="auto"/>
                <w:sz w:val="21"/>
                <w:szCs w:val="21"/>
                <w:highlight w:val="none"/>
              </w:rPr>
            </w:pPr>
            <w:r>
              <w:rPr>
                <w:rFonts w:hint="default" w:ascii="Times New Roman" w:hAnsi="Times New Roman" w:eastAsia="宋体" w:cs="Times New Roman"/>
                <w:b w:val="0"/>
                <w:bCs/>
                <w:sz w:val="21"/>
                <w:szCs w:val="21"/>
                <w:lang w:val="en-US" w:eastAsia="zh-CN"/>
              </w:rPr>
              <w:t>联系电话：</w:t>
            </w:r>
            <w:r>
              <w:rPr>
                <w:rFonts w:hint="eastAsia" w:cs="Times New Roman"/>
                <w:b w:val="0"/>
                <w:bCs/>
                <w:sz w:val="21"/>
                <w:szCs w:val="21"/>
                <w:lang w:val="en-US" w:eastAsia="zh-CN"/>
              </w:rPr>
              <w:t>13201016575</w:t>
            </w:r>
          </w:p>
        </w:tc>
      </w:tr>
      <w:tr w14:paraId="40B8674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33" w:hRule="atLeast"/>
          <w:jc w:val="center"/>
        </w:trPr>
        <w:tc>
          <w:tcPr>
            <w:tcW w:w="1012" w:type="dxa"/>
            <w:noWrap w:val="0"/>
            <w:vAlign w:val="center"/>
          </w:tcPr>
          <w:p w14:paraId="774D659F">
            <w:pPr>
              <w:pStyle w:val="14"/>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b/>
                <w:bCs w:val="0"/>
                <w:color w:val="000000" w:themeColor="text1"/>
                <w:sz w:val="21"/>
                <w:szCs w:val="21"/>
                <w:highlight w:val="none"/>
                <w:lang w:val="en-US" w:eastAsia="zh-CN"/>
                <w14:textFill>
                  <w14:solidFill>
                    <w14:schemeClr w14:val="tx1"/>
                  </w14:solidFill>
                </w14:textFill>
              </w:rPr>
            </w:pPr>
            <w:r>
              <w:rPr>
                <w:rFonts w:hint="eastAsia"/>
                <w:b/>
                <w:bCs w:val="0"/>
                <w:color w:val="000000" w:themeColor="text1"/>
                <w:sz w:val="21"/>
                <w:szCs w:val="21"/>
                <w:highlight w:val="none"/>
                <w:lang w:val="en-US" w:eastAsia="zh-CN"/>
                <w14:textFill>
                  <w14:solidFill>
                    <w14:schemeClr w14:val="tx1"/>
                  </w14:solidFill>
                </w14:textFill>
              </w:rPr>
              <w:t>3</w:t>
            </w:r>
          </w:p>
        </w:tc>
        <w:tc>
          <w:tcPr>
            <w:tcW w:w="1536" w:type="dxa"/>
            <w:noWrap w:val="0"/>
            <w:vAlign w:val="center"/>
          </w:tcPr>
          <w:p w14:paraId="3120D2B4">
            <w:pPr>
              <w:pStyle w:val="24"/>
              <w:keepNext w:val="0"/>
              <w:keepLines w:val="0"/>
              <w:widowControl/>
              <w:suppressLineNumbers w:val="0"/>
              <w:spacing w:before="0" w:beforeAutospacing="0" w:after="0" w:afterAutospacing="0" w:line="510" w:lineRule="atLeast"/>
              <w:ind w:right="0"/>
              <w:rPr>
                <w:rFonts w:hint="eastAsia" w:ascii="Times New Roman" w:hAnsi="Times New Roman" w:eastAsia="宋体" w:cs="Times New Roman"/>
                <w:b w:val="0"/>
                <w:bCs/>
                <w:kern w:val="2"/>
                <w:sz w:val="21"/>
                <w:szCs w:val="21"/>
                <w:lang w:val="en-US" w:eastAsia="zh-CN" w:bidi="ar-SA"/>
              </w:rPr>
            </w:pPr>
            <w:r>
              <w:rPr>
                <w:rFonts w:hint="eastAsia" w:ascii="Times New Roman" w:hAnsi="Times New Roman" w:eastAsia="宋体" w:cs="Times New Roman"/>
                <w:b w:val="0"/>
                <w:bCs/>
                <w:kern w:val="2"/>
                <w:sz w:val="21"/>
                <w:szCs w:val="21"/>
                <w:lang w:val="en-US" w:eastAsia="zh-CN" w:bidi="ar-SA"/>
              </w:rPr>
              <w:t>项目名称</w:t>
            </w:r>
          </w:p>
          <w:p w14:paraId="17DF278B">
            <w:pPr>
              <w:pStyle w:val="24"/>
              <w:keepNext w:val="0"/>
              <w:keepLines w:val="0"/>
              <w:widowControl/>
              <w:suppressLineNumbers w:val="0"/>
              <w:spacing w:before="0" w:beforeAutospacing="0" w:after="0" w:afterAutospacing="0" w:line="510" w:lineRule="atLeast"/>
              <w:ind w:right="0"/>
              <w:rPr>
                <w:rFonts w:hint="eastAsia" w:ascii="Times New Roman" w:hAnsi="Times New Roman" w:eastAsia="宋体" w:cs="Times New Roman"/>
                <w:b w:val="0"/>
                <w:bCs/>
                <w:kern w:val="2"/>
                <w:sz w:val="21"/>
                <w:szCs w:val="21"/>
                <w:lang w:val="en-US" w:eastAsia="zh-CN" w:bidi="ar-SA"/>
              </w:rPr>
            </w:pPr>
            <w:r>
              <w:rPr>
                <w:rFonts w:hint="eastAsia" w:ascii="Times New Roman" w:hAnsi="Times New Roman" w:eastAsia="宋体" w:cs="Times New Roman"/>
                <w:b w:val="0"/>
                <w:bCs/>
                <w:kern w:val="2"/>
                <w:sz w:val="21"/>
                <w:szCs w:val="21"/>
                <w:lang w:val="en-US" w:eastAsia="zh-CN" w:bidi="ar-SA"/>
              </w:rPr>
              <w:t>项目编号</w:t>
            </w:r>
          </w:p>
          <w:p w14:paraId="7E01BE95">
            <w:pPr>
              <w:pStyle w:val="24"/>
              <w:keepNext w:val="0"/>
              <w:keepLines w:val="0"/>
              <w:widowControl/>
              <w:suppressLineNumbers w:val="0"/>
              <w:spacing w:before="0" w:beforeAutospacing="0" w:after="0" w:afterAutospacing="0" w:line="510" w:lineRule="atLeast"/>
              <w:ind w:right="0"/>
              <w:rPr>
                <w:rFonts w:hint="default" w:ascii="Times New Roman" w:hAnsi="Times New Roman" w:eastAsia="宋体" w:cs="Times New Roman"/>
                <w:b w:val="0"/>
                <w:bCs/>
                <w:kern w:val="2"/>
                <w:sz w:val="21"/>
                <w:szCs w:val="21"/>
                <w:lang w:val="en-US" w:eastAsia="zh-CN" w:bidi="ar-SA"/>
              </w:rPr>
            </w:pPr>
            <w:r>
              <w:rPr>
                <w:rFonts w:hint="eastAsia" w:ascii="Times New Roman" w:hAnsi="Times New Roman" w:eastAsia="宋体" w:cs="Times New Roman"/>
                <w:b w:val="0"/>
                <w:bCs/>
                <w:kern w:val="2"/>
                <w:sz w:val="21"/>
                <w:szCs w:val="21"/>
                <w:lang w:val="en-US" w:eastAsia="zh-CN" w:bidi="ar-SA"/>
              </w:rPr>
              <w:t>采购内容</w:t>
            </w:r>
          </w:p>
        </w:tc>
        <w:tc>
          <w:tcPr>
            <w:tcW w:w="7288" w:type="dxa"/>
            <w:noWrap w:val="0"/>
            <w:vAlign w:val="center"/>
          </w:tcPr>
          <w:p w14:paraId="29F681A7">
            <w:pPr>
              <w:pStyle w:val="24"/>
              <w:keepNext w:val="0"/>
              <w:keepLines w:val="0"/>
              <w:widowControl/>
              <w:suppressLineNumbers w:val="0"/>
              <w:spacing w:before="0" w:beforeAutospacing="0" w:after="0" w:afterAutospacing="0" w:line="510" w:lineRule="atLeast"/>
              <w:ind w:right="0"/>
              <w:rPr>
                <w:rFonts w:hint="default" w:ascii="Times New Roman" w:hAnsi="Times New Roman" w:eastAsia="宋体" w:cs="Times New Roman"/>
                <w:b w:val="0"/>
                <w:bCs/>
                <w:kern w:val="2"/>
                <w:sz w:val="21"/>
                <w:szCs w:val="21"/>
                <w:lang w:val="en-US" w:eastAsia="zh-CN" w:bidi="ar-SA"/>
              </w:rPr>
            </w:pPr>
            <w:r>
              <w:rPr>
                <w:rFonts w:hint="eastAsia" w:ascii="Times New Roman" w:hAnsi="Times New Roman" w:eastAsia="宋体" w:cs="Times New Roman"/>
                <w:b w:val="0"/>
                <w:bCs/>
                <w:kern w:val="2"/>
                <w:sz w:val="21"/>
                <w:szCs w:val="21"/>
                <w:lang w:val="en-US" w:eastAsia="zh-CN" w:bidi="ar-SA"/>
              </w:rPr>
              <w:t>项目名称：</w:t>
            </w:r>
            <w:r>
              <w:rPr>
                <w:rFonts w:hint="eastAsia" w:ascii="Times New Roman" w:hAnsi="Times New Roman" w:cs="Times New Roman"/>
                <w:b w:val="0"/>
                <w:bCs/>
                <w:kern w:val="2"/>
                <w:sz w:val="21"/>
                <w:szCs w:val="21"/>
                <w:lang w:val="en-US" w:eastAsia="zh-CN" w:bidi="ar-SA"/>
              </w:rPr>
              <w:t>乌恰县2025年机关事业单位在职人员雇主责任保险服务采购项目</w:t>
            </w:r>
            <w:r>
              <w:rPr>
                <w:rFonts w:hint="eastAsia" w:ascii="Times New Roman" w:hAnsi="Times New Roman" w:eastAsia="宋体" w:cs="Times New Roman"/>
                <w:b w:val="0"/>
                <w:bCs/>
                <w:kern w:val="2"/>
                <w:sz w:val="21"/>
                <w:szCs w:val="21"/>
                <w:highlight w:val="yellow"/>
                <w:lang w:val="en-US" w:eastAsia="zh-CN" w:bidi="ar-SA"/>
              </w:rPr>
              <w:t>项目编号：</w:t>
            </w:r>
            <w:r>
              <w:rPr>
                <w:rFonts w:hint="eastAsia" w:ascii="Times New Roman" w:hAnsi="Times New Roman" w:cs="Times New Roman"/>
                <w:b w:val="0"/>
                <w:bCs/>
                <w:kern w:val="2"/>
                <w:sz w:val="21"/>
                <w:szCs w:val="21"/>
                <w:highlight w:val="yellow"/>
                <w:lang w:val="en-US" w:eastAsia="zh-CN" w:bidi="ar-SA"/>
              </w:rPr>
              <w:t>WQZFCG(ZB)-2025-031</w:t>
            </w:r>
          </w:p>
          <w:p w14:paraId="7A384E46">
            <w:pPr>
              <w:pStyle w:val="24"/>
              <w:keepNext w:val="0"/>
              <w:keepLines w:val="0"/>
              <w:widowControl/>
              <w:suppressLineNumbers w:val="0"/>
              <w:spacing w:before="0" w:beforeAutospacing="0" w:after="0" w:afterAutospacing="0" w:line="510" w:lineRule="atLeast"/>
              <w:ind w:right="0"/>
              <w:rPr>
                <w:rFonts w:hint="default" w:ascii="Times New Roman" w:hAnsi="Times New Roman" w:eastAsia="宋体" w:cs="Times New Roman"/>
                <w:b w:val="0"/>
                <w:bCs/>
                <w:kern w:val="2"/>
                <w:sz w:val="21"/>
                <w:szCs w:val="21"/>
                <w:lang w:val="en-US" w:eastAsia="zh-CN" w:bidi="ar-SA"/>
              </w:rPr>
            </w:pPr>
            <w:r>
              <w:rPr>
                <w:rFonts w:hint="eastAsia" w:ascii="Times New Roman" w:hAnsi="Times New Roman" w:eastAsia="宋体" w:cs="Times New Roman"/>
                <w:b w:val="0"/>
                <w:bCs/>
                <w:kern w:val="2"/>
                <w:sz w:val="21"/>
                <w:szCs w:val="21"/>
                <w:lang w:val="en-US" w:eastAsia="zh-CN" w:bidi="ar-SA"/>
              </w:rPr>
              <w:t>采购内容：人员类保险服务。（详见招标文件）。</w:t>
            </w:r>
          </w:p>
        </w:tc>
      </w:tr>
      <w:tr w14:paraId="2808B451">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33" w:hRule="atLeast"/>
          <w:jc w:val="center"/>
        </w:trPr>
        <w:tc>
          <w:tcPr>
            <w:tcW w:w="1012" w:type="dxa"/>
            <w:noWrap w:val="0"/>
            <w:vAlign w:val="center"/>
          </w:tcPr>
          <w:p w14:paraId="4636FCEC">
            <w:pPr>
              <w:pStyle w:val="14"/>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b/>
                <w:bCs w:val="0"/>
                <w:color w:val="000000" w:themeColor="text1"/>
                <w:sz w:val="21"/>
                <w:szCs w:val="21"/>
                <w:highlight w:val="none"/>
                <w:lang w:val="en-US" w:eastAsia="zh-CN"/>
                <w14:textFill>
                  <w14:solidFill>
                    <w14:schemeClr w14:val="tx1"/>
                  </w14:solidFill>
                </w14:textFill>
              </w:rPr>
            </w:pPr>
            <w:r>
              <w:rPr>
                <w:rFonts w:hint="eastAsia"/>
                <w:b/>
                <w:bCs w:val="0"/>
                <w:color w:val="auto"/>
                <w:sz w:val="21"/>
                <w:szCs w:val="21"/>
                <w:highlight w:val="none"/>
                <w:lang w:val="en-US" w:eastAsia="zh-CN"/>
              </w:rPr>
              <w:t>4</w:t>
            </w:r>
          </w:p>
        </w:tc>
        <w:tc>
          <w:tcPr>
            <w:tcW w:w="1536" w:type="dxa"/>
            <w:noWrap w:val="0"/>
            <w:vAlign w:val="center"/>
          </w:tcPr>
          <w:p w14:paraId="77EE77B3">
            <w:pPr>
              <w:pStyle w:val="24"/>
              <w:keepNext w:val="0"/>
              <w:keepLines w:val="0"/>
              <w:widowControl/>
              <w:suppressLineNumbers w:val="0"/>
              <w:spacing w:before="0" w:beforeAutospacing="0" w:after="0" w:afterAutospacing="0" w:line="510" w:lineRule="atLeast"/>
              <w:ind w:right="0"/>
              <w:jc w:val="center"/>
              <w:rPr>
                <w:rFonts w:hint="default" w:ascii="Times New Roman" w:hAnsi="Times New Roman" w:eastAsia="宋体" w:cs="Times New Roman"/>
                <w:b/>
                <w:bCs w:val="0"/>
                <w:kern w:val="2"/>
                <w:sz w:val="21"/>
                <w:szCs w:val="21"/>
                <w:lang w:val="en-US" w:eastAsia="zh-CN" w:bidi="ar-SA"/>
              </w:rPr>
            </w:pPr>
            <w:r>
              <w:rPr>
                <w:rFonts w:hint="eastAsia" w:ascii="Times New Roman" w:hAnsi="Times New Roman" w:eastAsia="宋体" w:cs="Times New Roman"/>
                <w:b/>
                <w:bCs w:val="0"/>
                <w:kern w:val="2"/>
                <w:sz w:val="21"/>
                <w:szCs w:val="21"/>
                <w:lang w:val="en-US" w:eastAsia="zh-CN" w:bidi="ar-SA"/>
              </w:rPr>
              <w:t>采购预算</w:t>
            </w:r>
          </w:p>
          <w:p w14:paraId="6CECDD77">
            <w:pPr>
              <w:pStyle w:val="24"/>
              <w:keepNext w:val="0"/>
              <w:keepLines w:val="0"/>
              <w:widowControl/>
              <w:suppressLineNumbers w:val="0"/>
              <w:spacing w:before="0" w:beforeAutospacing="0" w:after="0" w:afterAutospacing="0" w:line="510" w:lineRule="atLeast"/>
              <w:ind w:right="0"/>
              <w:jc w:val="center"/>
              <w:rPr>
                <w:rFonts w:hint="eastAsia" w:ascii="Times New Roman" w:hAnsi="Times New Roman" w:eastAsia="宋体" w:cs="Times New Roman"/>
                <w:b/>
                <w:bCs w:val="0"/>
                <w:kern w:val="2"/>
                <w:sz w:val="21"/>
                <w:szCs w:val="21"/>
                <w:lang w:val="en-US" w:eastAsia="zh-CN" w:bidi="ar-SA"/>
              </w:rPr>
            </w:pPr>
            <w:r>
              <w:rPr>
                <w:rFonts w:hint="eastAsia" w:ascii="Times New Roman" w:hAnsi="Times New Roman" w:eastAsia="宋体" w:cs="Times New Roman"/>
                <w:b/>
                <w:bCs w:val="0"/>
                <w:kern w:val="2"/>
                <w:sz w:val="21"/>
                <w:szCs w:val="21"/>
                <w:lang w:val="en-US" w:eastAsia="zh-CN" w:bidi="ar-SA"/>
              </w:rPr>
              <w:t>最高投标限价</w:t>
            </w:r>
          </w:p>
        </w:tc>
        <w:tc>
          <w:tcPr>
            <w:tcW w:w="7288" w:type="dxa"/>
            <w:noWrap w:val="0"/>
            <w:vAlign w:val="center"/>
          </w:tcPr>
          <w:p w14:paraId="0CC33388">
            <w:pPr>
              <w:pStyle w:val="24"/>
              <w:keepNext w:val="0"/>
              <w:keepLines w:val="0"/>
              <w:widowControl/>
              <w:suppressLineNumbers w:val="0"/>
              <w:spacing w:before="0" w:beforeAutospacing="0" w:after="0" w:afterAutospacing="0" w:line="510" w:lineRule="atLeast"/>
              <w:ind w:right="0"/>
              <w:jc w:val="left"/>
              <w:rPr>
                <w:rFonts w:hint="default" w:ascii="Times New Roman" w:hAnsi="Times New Roman" w:eastAsia="宋体" w:cs="Times New Roman"/>
                <w:kern w:val="2"/>
                <w:sz w:val="21"/>
                <w:szCs w:val="21"/>
                <w:lang w:val="en-US" w:eastAsia="zh-CN" w:bidi="ar-SA"/>
              </w:rPr>
            </w:pPr>
            <w:r>
              <w:rPr>
                <w:rFonts w:hint="eastAsia" w:ascii="Times New Roman" w:hAnsi="Times New Roman" w:eastAsia="宋体" w:cs="Times New Roman"/>
                <w:kern w:val="2"/>
                <w:sz w:val="21"/>
                <w:szCs w:val="21"/>
                <w:lang w:val="en-US" w:eastAsia="zh-CN" w:bidi="ar-SA"/>
              </w:rPr>
              <w:t>采购预算：</w:t>
            </w:r>
            <w:r>
              <w:rPr>
                <w:rFonts w:hint="eastAsia" w:ascii="Times New Roman" w:hAnsi="Times New Roman" w:cs="Times New Roman"/>
                <w:kern w:val="2"/>
                <w:sz w:val="21"/>
                <w:szCs w:val="21"/>
                <w:lang w:val="en-US" w:eastAsia="zh-CN" w:bidi="ar-SA"/>
              </w:rPr>
              <w:t>943200.00元</w:t>
            </w:r>
          </w:p>
          <w:p w14:paraId="263F2E26">
            <w:pPr>
              <w:pStyle w:val="24"/>
              <w:keepNext w:val="0"/>
              <w:keepLines w:val="0"/>
              <w:widowControl/>
              <w:suppressLineNumbers w:val="0"/>
              <w:spacing w:before="0" w:beforeAutospacing="0" w:after="0" w:afterAutospacing="0" w:line="510" w:lineRule="atLeast"/>
              <w:ind w:right="0"/>
              <w:jc w:val="left"/>
              <w:rPr>
                <w:rFonts w:hint="eastAsia" w:ascii="Times New Roman" w:hAnsi="Times New Roman" w:eastAsia="宋体" w:cs="Times New Roman"/>
                <w:b w:val="0"/>
                <w:bCs/>
                <w:kern w:val="2"/>
                <w:sz w:val="21"/>
                <w:szCs w:val="21"/>
                <w:lang w:val="en-US" w:eastAsia="zh-CN" w:bidi="ar-SA"/>
              </w:rPr>
            </w:pPr>
            <w:r>
              <w:rPr>
                <w:rFonts w:hint="eastAsia" w:ascii="Times New Roman" w:hAnsi="Times New Roman" w:eastAsia="宋体" w:cs="Times New Roman"/>
                <w:b/>
                <w:bCs/>
                <w:kern w:val="2"/>
                <w:sz w:val="21"/>
                <w:szCs w:val="21"/>
                <w:lang w:val="en-US" w:eastAsia="zh-CN" w:bidi="ar-SA"/>
              </w:rPr>
              <w:t>最高投标限价：</w:t>
            </w:r>
            <w:r>
              <w:rPr>
                <w:rFonts w:hint="eastAsia" w:ascii="Times New Roman" w:hAnsi="Times New Roman" w:cs="Times New Roman"/>
                <w:b/>
                <w:bCs/>
                <w:kern w:val="2"/>
                <w:sz w:val="21"/>
                <w:szCs w:val="21"/>
                <w:lang w:val="en-US" w:eastAsia="zh-CN" w:bidi="ar-SA"/>
              </w:rPr>
              <w:t>943200.00元</w:t>
            </w:r>
            <w:r>
              <w:rPr>
                <w:rFonts w:hint="eastAsia" w:ascii="Times New Roman" w:hAnsi="Times New Roman" w:eastAsia="宋体" w:cs="Times New Roman"/>
                <w:b/>
                <w:bCs/>
                <w:kern w:val="2"/>
                <w:sz w:val="21"/>
                <w:szCs w:val="21"/>
                <w:lang w:val="en-US" w:eastAsia="zh-CN" w:bidi="ar-SA"/>
              </w:rPr>
              <w:t>，投标人的投标报价不得高于最高投标限价，否则其投标将被否决。</w:t>
            </w:r>
          </w:p>
        </w:tc>
      </w:tr>
      <w:tr w14:paraId="583EB8D6">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06" w:hRule="atLeast"/>
          <w:jc w:val="center"/>
        </w:trPr>
        <w:tc>
          <w:tcPr>
            <w:tcW w:w="1012" w:type="dxa"/>
            <w:noWrap w:val="0"/>
            <w:vAlign w:val="center"/>
          </w:tcPr>
          <w:p w14:paraId="012F8A04">
            <w:pPr>
              <w:pStyle w:val="14"/>
              <w:keepNext w:val="0"/>
              <w:keepLines w:val="0"/>
              <w:pageBreakBefore w:val="0"/>
              <w:shd w:val="clear" w:color="auto" w:fill="auto"/>
              <w:kinsoku/>
              <w:wordWrap/>
              <w:overflowPunct/>
              <w:topLinePunct w:val="0"/>
              <w:autoSpaceDE/>
              <w:autoSpaceDN/>
              <w:bidi w:val="0"/>
              <w:adjustRightInd/>
              <w:snapToGrid w:val="0"/>
              <w:spacing w:line="240" w:lineRule="auto"/>
              <w:jc w:val="center"/>
              <w:textAlignment w:val="auto"/>
              <w:outlineLvl w:val="9"/>
              <w:rPr>
                <w:rFonts w:hint="default"/>
                <w:b/>
                <w:bCs w:val="0"/>
                <w:color w:val="000000" w:themeColor="text1"/>
                <w:sz w:val="21"/>
                <w:szCs w:val="21"/>
                <w:highlight w:val="none"/>
                <w:lang w:val="en-US" w:eastAsia="zh-CN"/>
                <w14:textFill>
                  <w14:solidFill>
                    <w14:schemeClr w14:val="tx1"/>
                  </w14:solidFill>
                </w14:textFill>
              </w:rPr>
            </w:pPr>
            <w:r>
              <w:rPr>
                <w:rFonts w:hint="eastAsia"/>
                <w:b/>
                <w:bCs w:val="0"/>
                <w:color w:val="000000" w:themeColor="text1"/>
                <w:sz w:val="21"/>
                <w:szCs w:val="21"/>
                <w:highlight w:val="none"/>
                <w:lang w:val="en-US" w:eastAsia="zh-CN"/>
                <w14:textFill>
                  <w14:solidFill>
                    <w14:schemeClr w14:val="tx1"/>
                  </w14:solidFill>
                </w14:textFill>
              </w:rPr>
              <w:t>5</w:t>
            </w:r>
          </w:p>
        </w:tc>
        <w:tc>
          <w:tcPr>
            <w:tcW w:w="1536" w:type="dxa"/>
            <w:noWrap w:val="0"/>
            <w:vAlign w:val="center"/>
          </w:tcPr>
          <w:p w14:paraId="28704B84">
            <w:pPr>
              <w:keepNext w:val="0"/>
              <w:keepLines w:val="0"/>
              <w:pageBreakBefore w:val="0"/>
              <w:widowControl/>
              <w:shd w:val="clear" w:color="auto" w:fill="auto"/>
              <w:kinsoku/>
              <w:wordWrap/>
              <w:overflowPunct/>
              <w:topLinePunct w:val="0"/>
              <w:autoSpaceDE/>
              <w:autoSpaceDN/>
              <w:bidi w:val="0"/>
              <w:adjustRightInd/>
              <w:snapToGrid/>
              <w:spacing w:line="240" w:lineRule="auto"/>
              <w:jc w:val="center"/>
              <w:textAlignment w:val="auto"/>
              <w:rPr>
                <w:rFonts w:hint="eastAsia"/>
                <w:b/>
                <w:bCs w:val="0"/>
                <w:color w:val="auto"/>
                <w:sz w:val="21"/>
                <w:szCs w:val="21"/>
                <w:highlight w:val="none"/>
                <w:lang w:val="en-US" w:eastAsia="zh-CN"/>
              </w:rPr>
            </w:pPr>
            <w:r>
              <w:rPr>
                <w:rFonts w:hint="eastAsia"/>
                <w:b/>
                <w:bCs w:val="0"/>
                <w:color w:val="auto"/>
                <w:sz w:val="21"/>
                <w:szCs w:val="21"/>
                <w:highlight w:val="none"/>
                <w:lang w:val="en-US" w:eastAsia="zh-CN"/>
              </w:rPr>
              <w:t>资金来源</w:t>
            </w:r>
          </w:p>
        </w:tc>
        <w:tc>
          <w:tcPr>
            <w:tcW w:w="7288" w:type="dxa"/>
            <w:noWrap w:val="0"/>
            <w:vAlign w:val="center"/>
          </w:tcPr>
          <w:p w14:paraId="71278B0A">
            <w:pPr>
              <w:keepNext w:val="0"/>
              <w:keepLines w:val="0"/>
              <w:pageBreakBefore w:val="0"/>
              <w:widowControl/>
              <w:shd w:val="clear" w:color="auto" w:fill="auto"/>
              <w:kinsoku/>
              <w:wordWrap/>
              <w:overflowPunct/>
              <w:topLinePunct w:val="0"/>
              <w:autoSpaceDE/>
              <w:autoSpaceDN/>
              <w:bidi w:val="0"/>
              <w:adjustRightInd/>
              <w:snapToGrid/>
              <w:spacing w:line="240" w:lineRule="auto"/>
              <w:textAlignment w:val="auto"/>
              <w:rPr>
                <w:rFonts w:hint="default" w:ascii="宋体" w:hAnsi="宋体" w:eastAsia="宋体" w:cs="宋体"/>
                <w:b w:val="0"/>
                <w:bCs/>
                <w:color w:val="auto"/>
                <w:kern w:val="0"/>
                <w:sz w:val="21"/>
                <w:szCs w:val="21"/>
                <w:highlight w:val="none"/>
                <w:lang w:val="en-US" w:eastAsia="zh-CN"/>
              </w:rPr>
            </w:pPr>
            <w:r>
              <w:rPr>
                <w:rFonts w:hint="eastAsia" w:ascii="新宋体" w:hAnsi="新宋体" w:eastAsia="新宋体" w:cs="新宋体"/>
                <w:color w:val="auto"/>
                <w:kern w:val="2"/>
                <w:sz w:val="21"/>
                <w:szCs w:val="21"/>
                <w:lang w:val="en-US" w:eastAsia="zh-CN" w:bidi="ar-SA"/>
              </w:rPr>
              <w:t>单位年初预算资金</w:t>
            </w:r>
          </w:p>
        </w:tc>
      </w:tr>
      <w:tr w14:paraId="5D3E4024">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96" w:hRule="atLeast"/>
          <w:jc w:val="center"/>
        </w:trPr>
        <w:tc>
          <w:tcPr>
            <w:tcW w:w="1012" w:type="dxa"/>
            <w:noWrap w:val="0"/>
            <w:vAlign w:val="center"/>
          </w:tcPr>
          <w:p w14:paraId="543C4787">
            <w:pPr>
              <w:pStyle w:val="14"/>
              <w:keepNext w:val="0"/>
              <w:keepLines w:val="0"/>
              <w:pageBreakBefore w:val="0"/>
              <w:shd w:val="clear" w:color="auto" w:fill="auto"/>
              <w:kinsoku/>
              <w:wordWrap/>
              <w:overflowPunct/>
              <w:topLinePunct w:val="0"/>
              <w:autoSpaceDE/>
              <w:autoSpaceDN/>
              <w:bidi w:val="0"/>
              <w:adjustRightInd/>
              <w:snapToGrid w:val="0"/>
              <w:spacing w:line="240" w:lineRule="auto"/>
              <w:jc w:val="center"/>
              <w:textAlignment w:val="auto"/>
              <w:outlineLvl w:val="9"/>
              <w:rPr>
                <w:rFonts w:hint="default"/>
                <w:b/>
                <w:bCs w:val="0"/>
                <w:color w:val="000000" w:themeColor="text1"/>
                <w:sz w:val="21"/>
                <w:szCs w:val="21"/>
                <w:highlight w:val="none"/>
                <w:lang w:val="en-US" w:eastAsia="zh-CN"/>
                <w14:textFill>
                  <w14:solidFill>
                    <w14:schemeClr w14:val="tx1"/>
                  </w14:solidFill>
                </w14:textFill>
              </w:rPr>
            </w:pPr>
            <w:r>
              <w:rPr>
                <w:rFonts w:hint="eastAsia"/>
                <w:b/>
                <w:bCs w:val="0"/>
                <w:color w:val="000000" w:themeColor="text1"/>
                <w:sz w:val="21"/>
                <w:szCs w:val="21"/>
                <w:highlight w:val="none"/>
                <w:lang w:val="en-US" w:eastAsia="zh-CN"/>
                <w14:textFill>
                  <w14:solidFill>
                    <w14:schemeClr w14:val="tx1"/>
                  </w14:solidFill>
                </w14:textFill>
              </w:rPr>
              <w:t>6</w:t>
            </w:r>
          </w:p>
        </w:tc>
        <w:tc>
          <w:tcPr>
            <w:tcW w:w="1536" w:type="dxa"/>
            <w:noWrap w:val="0"/>
            <w:vAlign w:val="center"/>
          </w:tcPr>
          <w:p w14:paraId="387233D7">
            <w:pPr>
              <w:keepNext w:val="0"/>
              <w:keepLines w:val="0"/>
              <w:pageBreakBefore w:val="0"/>
              <w:widowControl/>
              <w:shd w:val="clear" w:color="auto" w:fill="auto"/>
              <w:kinsoku/>
              <w:wordWrap/>
              <w:overflowPunct/>
              <w:topLinePunct w:val="0"/>
              <w:autoSpaceDE/>
              <w:autoSpaceDN/>
              <w:bidi w:val="0"/>
              <w:adjustRightInd/>
              <w:snapToGrid/>
              <w:spacing w:line="300" w:lineRule="exact"/>
              <w:jc w:val="center"/>
              <w:textAlignment w:val="auto"/>
              <w:rPr>
                <w:rFonts w:hint="default" w:ascii="Times New Roman" w:hAnsi="Times New Roman" w:eastAsia="宋体" w:cs="Times New Roman"/>
                <w:b/>
                <w:bCs w:val="0"/>
                <w:kern w:val="2"/>
                <w:sz w:val="21"/>
                <w:szCs w:val="21"/>
                <w:lang w:val="en-US" w:eastAsia="zh-CN" w:bidi="ar-SA"/>
              </w:rPr>
            </w:pPr>
            <w:r>
              <w:rPr>
                <w:rFonts w:hint="eastAsia" w:ascii="Times New Roman" w:hAnsi="Times New Roman" w:eastAsia="宋体" w:cs="Times New Roman"/>
                <w:b/>
                <w:bCs w:val="0"/>
                <w:kern w:val="2"/>
                <w:sz w:val="21"/>
                <w:szCs w:val="21"/>
                <w:lang w:val="en-US" w:eastAsia="zh-CN" w:bidi="ar-SA"/>
              </w:rPr>
              <w:t>供货时间</w:t>
            </w:r>
          </w:p>
        </w:tc>
        <w:tc>
          <w:tcPr>
            <w:tcW w:w="7288" w:type="dxa"/>
            <w:noWrap w:val="0"/>
            <w:vAlign w:val="center"/>
          </w:tcPr>
          <w:p w14:paraId="3F92781F">
            <w:pPr>
              <w:pStyle w:val="24"/>
              <w:keepNext w:val="0"/>
              <w:keepLines w:val="0"/>
              <w:widowControl/>
              <w:suppressLineNumbers w:val="0"/>
              <w:spacing w:before="0" w:beforeAutospacing="0" w:after="0" w:afterAutospacing="0" w:line="510" w:lineRule="atLeast"/>
              <w:ind w:right="0"/>
              <w:jc w:val="left"/>
              <w:rPr>
                <w:rFonts w:hint="eastAsia" w:ascii="Times New Roman" w:hAnsi="Times New Roman" w:eastAsia="宋体" w:cs="Times New Roman"/>
                <w:b/>
                <w:bCs/>
                <w:kern w:val="2"/>
                <w:sz w:val="21"/>
                <w:szCs w:val="21"/>
                <w:lang w:val="en-US" w:eastAsia="zh-CN" w:bidi="ar-SA"/>
              </w:rPr>
            </w:pPr>
            <w:r>
              <w:rPr>
                <w:rFonts w:hint="eastAsia" w:ascii="Times New Roman" w:hAnsi="Times New Roman" w:cs="Times New Roman"/>
                <w:b/>
                <w:bCs/>
                <w:kern w:val="2"/>
                <w:sz w:val="21"/>
                <w:szCs w:val="21"/>
                <w:highlight w:val="yellow"/>
                <w:lang w:val="en-US" w:eastAsia="zh-CN" w:bidi="ar-SA"/>
              </w:rPr>
              <w:t>签订合同3日内出具保险单</w:t>
            </w:r>
            <w:r>
              <w:rPr>
                <w:rFonts w:hint="eastAsia" w:ascii="Times New Roman" w:hAnsi="Times New Roman" w:eastAsia="宋体" w:cs="Times New Roman"/>
                <w:b/>
                <w:bCs/>
                <w:kern w:val="2"/>
                <w:sz w:val="21"/>
                <w:szCs w:val="21"/>
                <w:highlight w:val="yellow"/>
                <w:lang w:val="en-US" w:eastAsia="zh-CN" w:bidi="ar-SA"/>
              </w:rPr>
              <w:t>。</w:t>
            </w:r>
          </w:p>
        </w:tc>
      </w:tr>
      <w:tr w14:paraId="20E69CF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67" w:hRule="atLeast"/>
          <w:jc w:val="center"/>
        </w:trPr>
        <w:tc>
          <w:tcPr>
            <w:tcW w:w="1012" w:type="dxa"/>
            <w:noWrap w:val="0"/>
            <w:vAlign w:val="center"/>
          </w:tcPr>
          <w:p w14:paraId="051E3878">
            <w:pPr>
              <w:pStyle w:val="14"/>
              <w:keepNext w:val="0"/>
              <w:keepLines w:val="0"/>
              <w:pageBreakBefore w:val="0"/>
              <w:shd w:val="clear" w:color="auto" w:fill="auto"/>
              <w:kinsoku/>
              <w:wordWrap/>
              <w:overflowPunct/>
              <w:topLinePunct w:val="0"/>
              <w:autoSpaceDE/>
              <w:autoSpaceDN/>
              <w:bidi w:val="0"/>
              <w:adjustRightInd/>
              <w:snapToGrid w:val="0"/>
              <w:spacing w:line="240" w:lineRule="auto"/>
              <w:jc w:val="center"/>
              <w:textAlignment w:val="auto"/>
              <w:outlineLvl w:val="9"/>
              <w:rPr>
                <w:rFonts w:hint="eastAsia"/>
                <w:b/>
                <w:bCs w:val="0"/>
                <w:color w:val="000000" w:themeColor="text1"/>
                <w:sz w:val="21"/>
                <w:szCs w:val="21"/>
                <w:highlight w:val="none"/>
                <w:lang w:val="en-US" w:eastAsia="zh-CN"/>
                <w14:textFill>
                  <w14:solidFill>
                    <w14:schemeClr w14:val="tx1"/>
                  </w14:solidFill>
                </w14:textFill>
              </w:rPr>
            </w:pPr>
            <w:r>
              <w:rPr>
                <w:rFonts w:hint="eastAsia"/>
                <w:b/>
                <w:bCs w:val="0"/>
                <w:color w:val="000000" w:themeColor="text1"/>
                <w:sz w:val="21"/>
                <w:szCs w:val="21"/>
                <w:highlight w:val="none"/>
                <w:lang w:val="en-US" w:eastAsia="zh-CN"/>
                <w14:textFill>
                  <w14:solidFill>
                    <w14:schemeClr w14:val="tx1"/>
                  </w14:solidFill>
                </w14:textFill>
              </w:rPr>
              <w:t>7</w:t>
            </w:r>
          </w:p>
        </w:tc>
        <w:tc>
          <w:tcPr>
            <w:tcW w:w="1536" w:type="dxa"/>
            <w:noWrap w:val="0"/>
            <w:vAlign w:val="center"/>
          </w:tcPr>
          <w:p w14:paraId="7EB351B4">
            <w:pPr>
              <w:keepNext w:val="0"/>
              <w:keepLines w:val="0"/>
              <w:pageBreakBefore w:val="0"/>
              <w:widowControl/>
              <w:shd w:val="clear" w:color="auto" w:fill="auto"/>
              <w:kinsoku/>
              <w:wordWrap/>
              <w:overflowPunct/>
              <w:topLinePunct w:val="0"/>
              <w:autoSpaceDE/>
              <w:autoSpaceDN/>
              <w:bidi w:val="0"/>
              <w:adjustRightInd/>
              <w:snapToGrid/>
              <w:spacing w:line="240" w:lineRule="auto"/>
              <w:jc w:val="center"/>
              <w:textAlignment w:val="auto"/>
              <w:outlineLvl w:val="9"/>
              <w:rPr>
                <w:rFonts w:hint="eastAsia"/>
                <w:b/>
                <w:bCs w:val="0"/>
                <w:color w:val="auto"/>
                <w:sz w:val="21"/>
                <w:szCs w:val="21"/>
                <w:highlight w:val="none"/>
                <w:lang w:val="en-US" w:eastAsia="zh-CN"/>
              </w:rPr>
            </w:pPr>
            <w:r>
              <w:rPr>
                <w:rFonts w:hint="eastAsia" w:ascii="宋体" w:hAnsi="宋体" w:eastAsia="宋体" w:cs="宋体"/>
                <w:b/>
                <w:bCs w:val="0"/>
                <w:color w:val="auto"/>
                <w:sz w:val="21"/>
                <w:szCs w:val="21"/>
                <w:highlight w:val="none"/>
                <w:lang w:val="en-US" w:eastAsia="zh-CN"/>
              </w:rPr>
              <w:t>供货</w:t>
            </w:r>
            <w:r>
              <w:rPr>
                <w:rFonts w:hint="eastAsia" w:ascii="宋体" w:hAnsi="宋体" w:eastAsia="宋体" w:cs="宋体"/>
                <w:b/>
                <w:bCs w:val="0"/>
                <w:color w:val="auto"/>
                <w:sz w:val="21"/>
                <w:szCs w:val="21"/>
                <w:highlight w:val="none"/>
                <w:lang w:eastAsia="zh-CN"/>
              </w:rPr>
              <w:t>地点</w:t>
            </w:r>
          </w:p>
        </w:tc>
        <w:tc>
          <w:tcPr>
            <w:tcW w:w="7288" w:type="dxa"/>
            <w:noWrap w:val="0"/>
            <w:vAlign w:val="center"/>
          </w:tcPr>
          <w:p w14:paraId="3FA5E3DE">
            <w:pPr>
              <w:keepNext w:val="0"/>
              <w:keepLines w:val="0"/>
              <w:pageBreakBefore w:val="0"/>
              <w:widowControl/>
              <w:shd w:val="clear" w:color="auto" w:fill="auto"/>
              <w:kinsoku/>
              <w:wordWrap/>
              <w:overflowPunct/>
              <w:topLinePunct w:val="0"/>
              <w:autoSpaceDE/>
              <w:autoSpaceDN/>
              <w:bidi w:val="0"/>
              <w:adjustRightInd/>
              <w:snapToGrid/>
              <w:spacing w:line="240" w:lineRule="auto"/>
              <w:jc w:val="both"/>
              <w:textAlignment w:val="auto"/>
              <w:outlineLvl w:val="9"/>
              <w:rPr>
                <w:rFonts w:hint="eastAsia" w:ascii="Times New Roman" w:hAnsi="Times New Roman" w:eastAsia="宋体" w:cs="Times New Roman"/>
                <w:b/>
                <w:bCs/>
                <w:kern w:val="2"/>
                <w:sz w:val="21"/>
                <w:szCs w:val="21"/>
                <w:lang w:val="en-US" w:eastAsia="zh-CN" w:bidi="ar-SA"/>
              </w:rPr>
            </w:pPr>
            <w:r>
              <w:rPr>
                <w:rFonts w:hint="eastAsia" w:ascii="Times New Roman" w:hAnsi="Times New Roman" w:eastAsia="宋体" w:cs="Times New Roman"/>
                <w:b/>
                <w:bCs/>
                <w:kern w:val="2"/>
                <w:sz w:val="21"/>
                <w:szCs w:val="21"/>
                <w:highlight w:val="yellow"/>
                <w:lang w:val="en-US" w:eastAsia="zh-CN" w:bidi="ar-SA"/>
              </w:rPr>
              <w:t>甲方指定地点</w:t>
            </w:r>
          </w:p>
        </w:tc>
      </w:tr>
      <w:tr w14:paraId="40F8269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04" w:hRule="atLeast"/>
          <w:jc w:val="center"/>
        </w:trPr>
        <w:tc>
          <w:tcPr>
            <w:tcW w:w="1012" w:type="dxa"/>
            <w:noWrap w:val="0"/>
            <w:vAlign w:val="center"/>
          </w:tcPr>
          <w:p w14:paraId="56F4C3EF">
            <w:pPr>
              <w:pStyle w:val="14"/>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b/>
                <w:bCs w:val="0"/>
                <w:color w:val="000000" w:themeColor="text1"/>
                <w:sz w:val="21"/>
                <w:szCs w:val="21"/>
                <w:highlight w:val="none"/>
                <w:lang w:val="en-US" w:eastAsia="zh-CN"/>
                <w14:textFill>
                  <w14:solidFill>
                    <w14:schemeClr w14:val="tx1"/>
                  </w14:solidFill>
                </w14:textFill>
              </w:rPr>
            </w:pPr>
            <w:r>
              <w:rPr>
                <w:rFonts w:hint="eastAsia"/>
                <w:b/>
                <w:bCs w:val="0"/>
                <w:color w:val="000000" w:themeColor="text1"/>
                <w:sz w:val="21"/>
                <w:szCs w:val="21"/>
                <w:highlight w:val="none"/>
                <w:lang w:val="en-US" w:eastAsia="zh-CN"/>
                <w14:textFill>
                  <w14:solidFill>
                    <w14:schemeClr w14:val="tx1"/>
                  </w14:solidFill>
                </w14:textFill>
              </w:rPr>
              <w:t>8</w:t>
            </w:r>
          </w:p>
        </w:tc>
        <w:tc>
          <w:tcPr>
            <w:tcW w:w="1536" w:type="dxa"/>
            <w:noWrap w:val="0"/>
            <w:vAlign w:val="center"/>
          </w:tcPr>
          <w:p w14:paraId="75B9C384">
            <w:pPr>
              <w:keepNext w:val="0"/>
              <w:keepLines w:val="0"/>
              <w:pageBreakBefore w:val="0"/>
              <w:widowControl/>
              <w:shd w:val="clear" w:color="auto" w:fill="auto"/>
              <w:kinsoku/>
              <w:wordWrap/>
              <w:overflowPunct/>
              <w:topLinePunct w:val="0"/>
              <w:autoSpaceDE/>
              <w:autoSpaceDN/>
              <w:bidi w:val="0"/>
              <w:adjustRightInd/>
              <w:snapToGrid/>
              <w:spacing w:line="290" w:lineRule="exact"/>
              <w:jc w:val="center"/>
              <w:textAlignment w:val="auto"/>
              <w:outlineLvl w:val="9"/>
              <w:rPr>
                <w:rFonts w:hint="eastAsia" w:ascii="宋体" w:hAnsi="宋体" w:eastAsia="宋体" w:cs="宋体"/>
                <w:b/>
                <w:bCs w:val="0"/>
                <w:color w:val="auto"/>
                <w:sz w:val="21"/>
                <w:szCs w:val="21"/>
                <w:highlight w:val="none"/>
                <w:lang w:val="en-US" w:eastAsia="zh-CN"/>
              </w:rPr>
            </w:pPr>
            <w:r>
              <w:rPr>
                <w:rFonts w:hint="eastAsia" w:ascii="宋体" w:hAnsi="宋体" w:cs="宋体"/>
                <w:b/>
                <w:bCs w:val="0"/>
                <w:color w:val="auto"/>
                <w:sz w:val="21"/>
                <w:szCs w:val="21"/>
                <w:highlight w:val="none"/>
                <w:lang w:val="en-US" w:eastAsia="zh-CN"/>
              </w:rPr>
              <w:t>服务期</w:t>
            </w:r>
          </w:p>
        </w:tc>
        <w:tc>
          <w:tcPr>
            <w:tcW w:w="7288" w:type="dxa"/>
            <w:noWrap w:val="0"/>
            <w:vAlign w:val="center"/>
          </w:tcPr>
          <w:p w14:paraId="5F678091">
            <w:pPr>
              <w:widowControl/>
              <w:jc w:val="left"/>
              <w:rPr>
                <w:rFonts w:hint="default" w:ascii="Times New Roman" w:hAnsi="Times New Roman" w:eastAsia="宋体" w:cs="Times New Roman"/>
                <w:b/>
                <w:bCs/>
                <w:kern w:val="2"/>
                <w:sz w:val="21"/>
                <w:szCs w:val="21"/>
                <w:lang w:val="en-US" w:eastAsia="zh-CN" w:bidi="ar-SA"/>
              </w:rPr>
            </w:pPr>
            <w:r>
              <w:rPr>
                <w:rFonts w:hint="eastAsia" w:ascii="Times New Roman" w:hAnsi="Times New Roman" w:eastAsia="宋体" w:cs="Times New Roman"/>
                <w:b/>
                <w:bCs/>
                <w:kern w:val="2"/>
                <w:sz w:val="21"/>
                <w:szCs w:val="21"/>
                <w:highlight w:val="yellow"/>
                <w:lang w:val="en-US" w:eastAsia="zh-CN" w:bidi="ar-SA"/>
              </w:rPr>
              <w:t>合同签订生效之日起一年。</w:t>
            </w:r>
          </w:p>
        </w:tc>
      </w:tr>
      <w:tr w14:paraId="21A3C219">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73" w:hRule="atLeast"/>
          <w:jc w:val="center"/>
        </w:trPr>
        <w:tc>
          <w:tcPr>
            <w:tcW w:w="1012" w:type="dxa"/>
            <w:noWrap w:val="0"/>
            <w:vAlign w:val="center"/>
          </w:tcPr>
          <w:p w14:paraId="13152FFD">
            <w:pPr>
              <w:pStyle w:val="14"/>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b/>
                <w:bCs w:val="0"/>
                <w:color w:val="000000" w:themeColor="text1"/>
                <w:sz w:val="21"/>
                <w:szCs w:val="21"/>
                <w:highlight w:val="none"/>
                <w:lang w:val="en-US" w:eastAsia="zh-CN"/>
                <w14:textFill>
                  <w14:solidFill>
                    <w14:schemeClr w14:val="tx1"/>
                  </w14:solidFill>
                </w14:textFill>
              </w:rPr>
            </w:pPr>
            <w:r>
              <w:rPr>
                <w:rFonts w:hint="eastAsia"/>
                <w:b/>
                <w:bCs w:val="0"/>
                <w:color w:val="000000" w:themeColor="text1"/>
                <w:sz w:val="21"/>
                <w:szCs w:val="21"/>
                <w:highlight w:val="none"/>
                <w:lang w:val="en-US" w:eastAsia="zh-CN"/>
                <w14:textFill>
                  <w14:solidFill>
                    <w14:schemeClr w14:val="tx1"/>
                  </w14:solidFill>
                </w14:textFill>
              </w:rPr>
              <w:t>9</w:t>
            </w:r>
          </w:p>
        </w:tc>
        <w:tc>
          <w:tcPr>
            <w:tcW w:w="1536" w:type="dxa"/>
            <w:noWrap w:val="0"/>
            <w:vAlign w:val="center"/>
          </w:tcPr>
          <w:p w14:paraId="1FDCF823">
            <w:pPr>
              <w:keepNext w:val="0"/>
              <w:keepLines w:val="0"/>
              <w:pageBreakBefore w:val="0"/>
              <w:widowControl/>
              <w:shd w:val="clear" w:color="auto" w:fill="auto"/>
              <w:kinsoku/>
              <w:wordWrap/>
              <w:overflowPunct/>
              <w:topLinePunct w:val="0"/>
              <w:autoSpaceDE/>
              <w:autoSpaceDN/>
              <w:bidi w:val="0"/>
              <w:adjustRightInd/>
              <w:spacing w:line="290" w:lineRule="exact"/>
              <w:jc w:val="center"/>
              <w:textAlignment w:val="auto"/>
              <w:rPr>
                <w:rFonts w:hint="eastAsia"/>
                <w:b/>
                <w:bCs w:val="0"/>
                <w:color w:val="auto"/>
                <w:sz w:val="21"/>
                <w:szCs w:val="21"/>
                <w:highlight w:val="none"/>
                <w:lang w:val="en-US" w:eastAsia="zh-CN"/>
              </w:rPr>
            </w:pPr>
            <w:r>
              <w:rPr>
                <w:rFonts w:hint="eastAsia" w:ascii="宋体" w:hAnsi="宋体" w:eastAsia="宋体" w:cs="宋体"/>
                <w:b/>
                <w:bCs w:val="0"/>
                <w:color w:val="auto"/>
                <w:sz w:val="21"/>
                <w:szCs w:val="21"/>
                <w:highlight w:val="none"/>
              </w:rPr>
              <w:t>付款方式</w:t>
            </w:r>
          </w:p>
        </w:tc>
        <w:tc>
          <w:tcPr>
            <w:tcW w:w="7288" w:type="dxa"/>
            <w:noWrap w:val="0"/>
            <w:vAlign w:val="center"/>
          </w:tcPr>
          <w:p w14:paraId="22AFDB1B">
            <w:pPr>
              <w:widowControl/>
              <w:jc w:val="left"/>
              <w:rPr>
                <w:rFonts w:hint="eastAsia" w:ascii="Times New Roman" w:hAnsi="Times New Roman" w:eastAsia="宋体" w:cs="Times New Roman"/>
                <w:b/>
                <w:bCs/>
                <w:kern w:val="2"/>
                <w:sz w:val="21"/>
                <w:szCs w:val="21"/>
                <w:lang w:val="en-US" w:eastAsia="zh-CN" w:bidi="ar-SA"/>
              </w:rPr>
            </w:pPr>
            <w:r>
              <w:rPr>
                <w:rFonts w:hint="eastAsia" w:ascii="宋体" w:hAnsi="宋体" w:cs="宋体"/>
                <w:color w:val="auto"/>
                <w:kern w:val="0"/>
                <w:sz w:val="21"/>
                <w:szCs w:val="21"/>
                <w:highlight w:val="yellow"/>
                <w:lang w:val="en-US" w:eastAsia="zh-CN"/>
              </w:rPr>
              <w:t>具体以甲乙双方签订合同约定</w:t>
            </w:r>
            <w:r>
              <w:rPr>
                <w:rFonts w:hint="eastAsia" w:ascii="Times New Roman" w:hAnsi="Times New Roman" w:eastAsia="宋体" w:cs="Times New Roman"/>
                <w:b/>
                <w:bCs/>
                <w:kern w:val="2"/>
                <w:sz w:val="21"/>
                <w:szCs w:val="21"/>
                <w:highlight w:val="yellow"/>
                <w:lang w:val="en-US" w:eastAsia="zh-CN" w:bidi="ar-SA"/>
              </w:rPr>
              <w:t>。</w:t>
            </w:r>
          </w:p>
        </w:tc>
      </w:tr>
      <w:tr w14:paraId="500862A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08" w:hRule="atLeast"/>
          <w:jc w:val="center"/>
        </w:trPr>
        <w:tc>
          <w:tcPr>
            <w:tcW w:w="1012" w:type="dxa"/>
            <w:noWrap w:val="0"/>
            <w:vAlign w:val="center"/>
          </w:tcPr>
          <w:p w14:paraId="25B196A2">
            <w:pPr>
              <w:pStyle w:val="14"/>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b/>
                <w:bCs w:val="0"/>
                <w:color w:val="000000" w:themeColor="text1"/>
                <w:sz w:val="21"/>
                <w:szCs w:val="21"/>
                <w:highlight w:val="none"/>
                <w:lang w:val="en-US" w:eastAsia="zh-CN"/>
                <w14:textFill>
                  <w14:solidFill>
                    <w14:schemeClr w14:val="tx1"/>
                  </w14:solidFill>
                </w14:textFill>
              </w:rPr>
            </w:pPr>
            <w:r>
              <w:rPr>
                <w:rFonts w:hint="eastAsia"/>
                <w:b/>
                <w:bCs w:val="0"/>
                <w:color w:val="000000" w:themeColor="text1"/>
                <w:sz w:val="21"/>
                <w:szCs w:val="21"/>
                <w:highlight w:val="none"/>
                <w:lang w:val="en-US" w:eastAsia="zh-CN"/>
                <w14:textFill>
                  <w14:solidFill>
                    <w14:schemeClr w14:val="tx1"/>
                  </w14:solidFill>
                </w14:textFill>
              </w:rPr>
              <w:t>10</w:t>
            </w:r>
          </w:p>
        </w:tc>
        <w:tc>
          <w:tcPr>
            <w:tcW w:w="1536" w:type="dxa"/>
            <w:noWrap w:val="0"/>
            <w:vAlign w:val="center"/>
          </w:tcPr>
          <w:p w14:paraId="13A2F416">
            <w:pPr>
              <w:pStyle w:val="14"/>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b/>
                <w:bCs w:val="0"/>
                <w:color w:val="auto"/>
                <w:sz w:val="21"/>
                <w:szCs w:val="21"/>
                <w:highlight w:val="none"/>
                <w:lang w:val="en-US" w:eastAsia="zh-CN"/>
              </w:rPr>
            </w:pPr>
            <w:r>
              <w:rPr>
                <w:rFonts w:hint="eastAsia"/>
                <w:b/>
                <w:bCs w:val="0"/>
                <w:color w:val="auto"/>
                <w:sz w:val="21"/>
                <w:szCs w:val="21"/>
                <w:highlight w:val="none"/>
                <w:lang w:val="en-US" w:eastAsia="zh-CN"/>
              </w:rPr>
              <w:t>招标方式</w:t>
            </w:r>
          </w:p>
        </w:tc>
        <w:tc>
          <w:tcPr>
            <w:tcW w:w="7288" w:type="dxa"/>
            <w:noWrap w:val="0"/>
            <w:vAlign w:val="center"/>
          </w:tcPr>
          <w:p w14:paraId="36D7C3A7">
            <w:pPr>
              <w:pStyle w:val="14"/>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b w:val="0"/>
                <w:bCs/>
                <w:color w:val="auto"/>
                <w:sz w:val="21"/>
                <w:szCs w:val="21"/>
                <w:highlight w:val="none"/>
                <w:lang w:val="en-US" w:eastAsia="zh-CN"/>
              </w:rPr>
            </w:pPr>
            <w:r>
              <w:rPr>
                <w:rFonts w:hint="eastAsia"/>
                <w:b w:val="0"/>
                <w:bCs/>
                <w:color w:val="auto"/>
                <w:sz w:val="21"/>
                <w:szCs w:val="21"/>
                <w:highlight w:val="none"/>
                <w:lang w:val="en-US" w:eastAsia="zh-CN"/>
              </w:rPr>
              <w:t>公开招标</w:t>
            </w:r>
            <w:r>
              <w:rPr>
                <w:rFonts w:hint="eastAsia" w:hAnsi="宋体" w:cs="宋体-18030"/>
                <w:b w:val="0"/>
                <w:bCs/>
                <w:color w:val="auto"/>
                <w:sz w:val="21"/>
                <w:szCs w:val="21"/>
                <w:highlight w:val="none"/>
                <w:lang w:val="en-US" w:eastAsia="zh-CN"/>
              </w:rPr>
              <w:t>(本项目采用网上电子招投标)</w:t>
            </w:r>
            <w:r>
              <w:rPr>
                <w:rFonts w:hint="eastAsia"/>
                <w:b w:val="0"/>
                <w:bCs/>
                <w:color w:val="auto"/>
                <w:sz w:val="21"/>
                <w:szCs w:val="21"/>
                <w:highlight w:val="none"/>
                <w:lang w:val="en-US" w:eastAsia="zh-CN"/>
              </w:rPr>
              <w:t xml:space="preserve">             </w:t>
            </w:r>
          </w:p>
        </w:tc>
      </w:tr>
      <w:tr w14:paraId="507B5DD4">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212" w:hRule="atLeast"/>
          <w:jc w:val="center"/>
        </w:trPr>
        <w:tc>
          <w:tcPr>
            <w:tcW w:w="1012" w:type="dxa"/>
            <w:noWrap w:val="0"/>
            <w:vAlign w:val="center"/>
          </w:tcPr>
          <w:p w14:paraId="0AE0F32C">
            <w:pPr>
              <w:pStyle w:val="14"/>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b/>
                <w:bCs w:val="0"/>
                <w:color w:val="000000" w:themeColor="text1"/>
                <w:sz w:val="21"/>
                <w:szCs w:val="21"/>
                <w:highlight w:val="none"/>
                <w:lang w:val="en-US" w:eastAsia="zh-CN"/>
                <w14:textFill>
                  <w14:solidFill>
                    <w14:schemeClr w14:val="tx1"/>
                  </w14:solidFill>
                </w14:textFill>
              </w:rPr>
            </w:pPr>
            <w:r>
              <w:rPr>
                <w:rFonts w:hint="eastAsia"/>
                <w:b/>
                <w:bCs w:val="0"/>
                <w:color w:val="000000" w:themeColor="text1"/>
                <w:sz w:val="21"/>
                <w:szCs w:val="21"/>
                <w:highlight w:val="none"/>
                <w:lang w:val="en-US" w:eastAsia="zh-CN"/>
                <w14:textFill>
                  <w14:solidFill>
                    <w14:schemeClr w14:val="tx1"/>
                  </w14:solidFill>
                </w14:textFill>
              </w:rPr>
              <w:t>11</w:t>
            </w:r>
          </w:p>
        </w:tc>
        <w:tc>
          <w:tcPr>
            <w:tcW w:w="1536" w:type="dxa"/>
            <w:noWrap w:val="0"/>
            <w:vAlign w:val="center"/>
          </w:tcPr>
          <w:p w14:paraId="431D48BA">
            <w:pPr>
              <w:pStyle w:val="14"/>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b/>
                <w:bCs w:val="0"/>
                <w:color w:val="auto"/>
                <w:sz w:val="21"/>
                <w:szCs w:val="21"/>
                <w:highlight w:val="none"/>
                <w:lang w:val="en-US" w:eastAsia="zh-CN"/>
              </w:rPr>
            </w:pPr>
            <w:r>
              <w:rPr>
                <w:rFonts w:hint="eastAsia"/>
                <w:b/>
                <w:bCs w:val="0"/>
                <w:color w:val="auto"/>
                <w:sz w:val="21"/>
                <w:szCs w:val="21"/>
                <w:highlight w:val="none"/>
                <w:lang w:val="en-US" w:eastAsia="zh-CN"/>
              </w:rPr>
              <w:t>投标人资格条件及其他要求</w:t>
            </w:r>
          </w:p>
        </w:tc>
        <w:tc>
          <w:tcPr>
            <w:tcW w:w="7288" w:type="dxa"/>
            <w:noWrap w:val="0"/>
            <w:vAlign w:val="center"/>
          </w:tcPr>
          <w:p w14:paraId="44BAA6DF">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lang w:val="en-US" w:eastAsia="zh-CN"/>
              </w:rPr>
            </w:pPr>
            <w:r>
              <w:rPr>
                <w:rFonts w:hint="eastAsia"/>
                <w:lang w:val="en-US" w:eastAsia="zh-CN"/>
              </w:rPr>
              <w:t>1.满足《中华人民共和国政府采购法》第二十二条规定；</w:t>
            </w:r>
          </w:p>
          <w:p w14:paraId="746DFB6A">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lang w:val="en-US" w:eastAsia="zh-CN"/>
              </w:rPr>
            </w:pPr>
            <w:r>
              <w:rPr>
                <w:rFonts w:hint="eastAsia"/>
                <w:lang w:val="en-US" w:eastAsia="zh-CN"/>
              </w:rPr>
              <w:t>2.落实政府采购政策需满足的资格要求：</w:t>
            </w:r>
            <w:r>
              <w:rPr>
                <w:rFonts w:hint="eastAsia" w:ascii="宋体" w:hAnsi="宋体" w:cs="宋体"/>
                <w:sz w:val="21"/>
                <w:szCs w:val="21"/>
                <w:lang w:eastAsia="zh-CN"/>
              </w:rPr>
              <w:t>不专门面向中小企业；</w:t>
            </w:r>
          </w:p>
          <w:p w14:paraId="00293C1E">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lang w:val="en-US" w:eastAsia="zh-CN"/>
              </w:rPr>
            </w:pPr>
            <w:r>
              <w:rPr>
                <w:rFonts w:hint="eastAsia"/>
                <w:lang w:val="en-US" w:eastAsia="zh-CN"/>
              </w:rPr>
              <w:t>3.本项目的特定资格要求：</w:t>
            </w:r>
          </w:p>
          <w:p w14:paraId="2B006FDB">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color w:val="0000FF"/>
                <w:sz w:val="21"/>
                <w:szCs w:val="21"/>
              </w:rPr>
            </w:pPr>
            <w:r>
              <w:rPr>
                <w:rFonts w:hint="eastAsia" w:ascii="宋体" w:hAnsi="宋体" w:eastAsia="宋体" w:cs="宋体"/>
                <w:color w:val="0000FF"/>
                <w:sz w:val="21"/>
                <w:szCs w:val="21"/>
                <w:lang w:eastAsia="zh-CN"/>
              </w:rPr>
              <w:t>（</w:t>
            </w:r>
            <w:r>
              <w:rPr>
                <w:rFonts w:hint="eastAsia" w:ascii="宋体" w:hAnsi="宋体" w:eastAsia="宋体" w:cs="宋体"/>
                <w:color w:val="0000FF"/>
                <w:sz w:val="21"/>
                <w:szCs w:val="21"/>
                <w:lang w:val="en-US" w:eastAsia="zh-CN"/>
              </w:rPr>
              <w:t>1</w:t>
            </w:r>
            <w:r>
              <w:rPr>
                <w:rFonts w:hint="eastAsia" w:ascii="宋体" w:hAnsi="宋体" w:eastAsia="宋体" w:cs="宋体"/>
                <w:color w:val="0000FF"/>
                <w:sz w:val="21"/>
                <w:szCs w:val="21"/>
                <w:lang w:eastAsia="zh-CN"/>
              </w:rPr>
              <w:t>）</w:t>
            </w:r>
            <w:r>
              <w:rPr>
                <w:rFonts w:hint="eastAsia" w:ascii="宋体" w:hAnsi="宋体" w:eastAsia="宋体" w:cs="宋体"/>
                <w:color w:val="0000FF"/>
                <w:sz w:val="21"/>
                <w:szCs w:val="21"/>
              </w:rPr>
              <w:t>具备三证合一营业执照副本；</w:t>
            </w:r>
          </w:p>
          <w:p w14:paraId="22A64ED0">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color w:val="0000FF"/>
                <w:sz w:val="21"/>
                <w:szCs w:val="21"/>
              </w:rPr>
            </w:pPr>
            <w:r>
              <w:rPr>
                <w:rFonts w:hint="eastAsia" w:ascii="宋体" w:hAnsi="宋体" w:eastAsia="宋体" w:cs="宋体"/>
                <w:color w:val="0000FF"/>
                <w:sz w:val="21"/>
                <w:szCs w:val="21"/>
                <w:lang w:eastAsia="zh-CN"/>
              </w:rPr>
              <w:t>（</w:t>
            </w:r>
            <w:r>
              <w:rPr>
                <w:rFonts w:hint="eastAsia" w:ascii="宋体" w:hAnsi="宋体" w:eastAsia="宋体" w:cs="宋体"/>
                <w:color w:val="0000FF"/>
                <w:sz w:val="21"/>
                <w:szCs w:val="21"/>
                <w:lang w:val="en-US" w:eastAsia="zh-CN"/>
              </w:rPr>
              <w:t>2</w:t>
            </w:r>
            <w:r>
              <w:rPr>
                <w:rFonts w:hint="eastAsia" w:ascii="宋体" w:hAnsi="宋体" w:eastAsia="宋体" w:cs="宋体"/>
                <w:color w:val="0000FF"/>
                <w:sz w:val="21"/>
                <w:szCs w:val="21"/>
                <w:lang w:eastAsia="zh-CN"/>
              </w:rPr>
              <w:t>）</w:t>
            </w:r>
            <w:r>
              <w:rPr>
                <w:rFonts w:hint="eastAsia" w:ascii="宋体" w:hAnsi="宋体" w:eastAsia="宋体" w:cs="宋体"/>
                <w:color w:val="0000FF"/>
                <w:sz w:val="21"/>
                <w:szCs w:val="21"/>
              </w:rPr>
              <w:t>法定代表人投标需提供法定代表人资格证明书，委托代理人投标需提供法定代表人授权委托书；</w:t>
            </w:r>
          </w:p>
          <w:p w14:paraId="0A581589">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color w:val="0000FF"/>
                <w:sz w:val="21"/>
                <w:szCs w:val="21"/>
              </w:rPr>
            </w:pPr>
            <w:r>
              <w:rPr>
                <w:rFonts w:hint="eastAsia" w:ascii="宋体" w:hAnsi="宋体" w:eastAsia="宋体" w:cs="宋体"/>
                <w:color w:val="0000FF"/>
                <w:sz w:val="21"/>
                <w:szCs w:val="21"/>
                <w:lang w:eastAsia="zh-CN"/>
              </w:rPr>
              <w:t>（</w:t>
            </w:r>
            <w:r>
              <w:rPr>
                <w:rFonts w:hint="eastAsia" w:ascii="宋体" w:hAnsi="宋体" w:eastAsia="宋体" w:cs="宋体"/>
                <w:color w:val="0000FF"/>
                <w:sz w:val="21"/>
                <w:szCs w:val="21"/>
                <w:lang w:val="en-US" w:eastAsia="zh-CN"/>
              </w:rPr>
              <w:t>3</w:t>
            </w:r>
            <w:r>
              <w:rPr>
                <w:rFonts w:hint="eastAsia" w:ascii="宋体" w:hAnsi="宋体" w:eastAsia="宋体" w:cs="宋体"/>
                <w:color w:val="0000FF"/>
                <w:sz w:val="21"/>
                <w:szCs w:val="21"/>
                <w:lang w:eastAsia="zh-CN"/>
              </w:rPr>
              <w:t>）</w:t>
            </w:r>
            <w:r>
              <w:rPr>
                <w:rFonts w:hint="eastAsia" w:ascii="宋体" w:hAnsi="宋体" w:cs="宋体"/>
                <w:color w:val="0000FF"/>
                <w:sz w:val="21"/>
                <w:szCs w:val="21"/>
                <w:lang w:eastAsia="zh-CN"/>
              </w:rPr>
              <w:t>投标企业须提供投标人（被授权在职人员）近6个月内任何1月已依法缴纳社会保险的凭据（依法不需要缴纳社会保障资金的供应商，应提供相应证明文件，新成立企业需提供资信证明）</w:t>
            </w:r>
            <w:r>
              <w:rPr>
                <w:rFonts w:hint="eastAsia" w:ascii="宋体" w:hAnsi="宋体" w:eastAsia="宋体" w:cs="宋体"/>
                <w:color w:val="0000FF"/>
                <w:sz w:val="21"/>
                <w:szCs w:val="21"/>
              </w:rPr>
              <w:t>；</w:t>
            </w:r>
          </w:p>
          <w:p w14:paraId="253C8B3D">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color w:val="0000FF"/>
                <w:sz w:val="21"/>
                <w:szCs w:val="21"/>
              </w:rPr>
            </w:pPr>
            <w:r>
              <w:rPr>
                <w:rFonts w:hint="eastAsia" w:ascii="宋体" w:hAnsi="宋体" w:eastAsia="宋体" w:cs="宋体"/>
                <w:color w:val="0000FF"/>
                <w:sz w:val="21"/>
                <w:szCs w:val="21"/>
                <w:lang w:eastAsia="zh-CN"/>
              </w:rPr>
              <w:t>（</w:t>
            </w:r>
            <w:r>
              <w:rPr>
                <w:rFonts w:hint="eastAsia" w:ascii="宋体" w:hAnsi="宋体" w:eastAsia="宋体" w:cs="宋体"/>
                <w:color w:val="0000FF"/>
                <w:sz w:val="21"/>
                <w:szCs w:val="21"/>
                <w:lang w:val="en-US" w:eastAsia="zh-CN"/>
              </w:rPr>
              <w:t>4</w:t>
            </w:r>
            <w:r>
              <w:rPr>
                <w:rFonts w:hint="eastAsia" w:ascii="宋体" w:hAnsi="宋体" w:eastAsia="宋体" w:cs="宋体"/>
                <w:color w:val="0000FF"/>
                <w:sz w:val="21"/>
                <w:szCs w:val="21"/>
                <w:lang w:eastAsia="zh-CN"/>
              </w:rPr>
              <w:t>）</w:t>
            </w:r>
            <w:r>
              <w:rPr>
                <w:rFonts w:hint="eastAsia" w:ascii="宋体" w:hAnsi="宋体" w:cs="宋体"/>
                <w:color w:val="0000FF"/>
                <w:sz w:val="21"/>
                <w:szCs w:val="21"/>
                <w:lang w:eastAsia="zh-CN"/>
              </w:rPr>
              <w:t>参加采购活动前三年内未被</w:t>
            </w:r>
            <w:r>
              <w:rPr>
                <w:rFonts w:hint="eastAsia" w:ascii="宋体" w:hAnsi="宋体" w:eastAsia="宋体" w:cs="宋体"/>
                <w:color w:val="0000FF"/>
                <w:sz w:val="21"/>
                <w:szCs w:val="21"/>
                <w:lang w:eastAsia="zh-CN"/>
              </w:rPr>
              <w:t>“信用中国”（www.creditchina.gov.cn）、中国政府采购网（www.ccgp.gov.cn）列入失信被执行人、重大税收违法案件当事人名单、政府采购严重违法失信行为记录名单</w:t>
            </w:r>
            <w:r>
              <w:rPr>
                <w:rFonts w:hint="eastAsia" w:ascii="宋体" w:hAnsi="宋体" w:eastAsia="宋体" w:cs="宋体"/>
                <w:color w:val="0000FF"/>
                <w:sz w:val="21"/>
                <w:szCs w:val="21"/>
              </w:rPr>
              <w:t xml:space="preserve">。 </w:t>
            </w:r>
          </w:p>
          <w:p w14:paraId="40F37F15">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lang w:val="en-US" w:eastAsia="zh-CN"/>
              </w:rPr>
            </w:pPr>
            <w:r>
              <w:rPr>
                <w:rFonts w:hint="eastAsia" w:ascii="宋体" w:hAnsi="宋体" w:eastAsia="宋体" w:cs="宋体"/>
                <w:color w:val="0000FF"/>
                <w:sz w:val="21"/>
                <w:szCs w:val="21"/>
              </w:rPr>
              <w:t>（5）在中华人民共和国境内注册的，经中国保险监督管理委员会批准，具有人身保险业务经营资格；</w:t>
            </w:r>
          </w:p>
        </w:tc>
      </w:tr>
      <w:tr w14:paraId="4648F550">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00" w:hRule="atLeast"/>
          <w:jc w:val="center"/>
        </w:trPr>
        <w:tc>
          <w:tcPr>
            <w:tcW w:w="1012" w:type="dxa"/>
            <w:noWrap w:val="0"/>
            <w:vAlign w:val="center"/>
          </w:tcPr>
          <w:p w14:paraId="65FDB695">
            <w:pPr>
              <w:pStyle w:val="14"/>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b/>
                <w:bCs w:val="0"/>
                <w:color w:val="000000" w:themeColor="text1"/>
                <w:sz w:val="21"/>
                <w:szCs w:val="21"/>
                <w:highlight w:val="none"/>
                <w:lang w:val="en-US" w:eastAsia="zh-CN"/>
                <w14:textFill>
                  <w14:solidFill>
                    <w14:schemeClr w14:val="tx1"/>
                  </w14:solidFill>
                </w14:textFill>
              </w:rPr>
            </w:pPr>
            <w:r>
              <w:rPr>
                <w:rFonts w:hint="eastAsia"/>
                <w:b/>
                <w:bCs w:val="0"/>
                <w:color w:val="000000" w:themeColor="text1"/>
                <w:sz w:val="21"/>
                <w:szCs w:val="21"/>
                <w:highlight w:val="none"/>
                <w:lang w:val="en-US" w:eastAsia="zh-CN"/>
                <w14:textFill>
                  <w14:solidFill>
                    <w14:schemeClr w14:val="tx1"/>
                  </w14:solidFill>
                </w14:textFill>
              </w:rPr>
              <w:t>12</w:t>
            </w:r>
          </w:p>
        </w:tc>
        <w:tc>
          <w:tcPr>
            <w:tcW w:w="1536" w:type="dxa"/>
            <w:noWrap w:val="0"/>
            <w:vAlign w:val="center"/>
          </w:tcPr>
          <w:p w14:paraId="3006887D">
            <w:pPr>
              <w:pStyle w:val="14"/>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b/>
                <w:bCs w:val="0"/>
                <w:color w:val="auto"/>
                <w:sz w:val="21"/>
                <w:szCs w:val="21"/>
                <w:highlight w:val="none"/>
                <w:lang w:val="en-US" w:eastAsia="zh-CN"/>
              </w:rPr>
            </w:pPr>
            <w:r>
              <w:rPr>
                <w:rFonts w:hint="eastAsia"/>
                <w:b/>
                <w:bCs w:val="0"/>
                <w:color w:val="auto"/>
                <w:sz w:val="21"/>
                <w:szCs w:val="21"/>
                <w:highlight w:val="none"/>
                <w:lang w:val="en-US" w:eastAsia="zh-CN"/>
              </w:rPr>
              <w:t>踏勘现场</w:t>
            </w:r>
          </w:p>
        </w:tc>
        <w:tc>
          <w:tcPr>
            <w:tcW w:w="7288" w:type="dxa"/>
            <w:noWrap w:val="0"/>
            <w:vAlign w:val="center"/>
          </w:tcPr>
          <w:p w14:paraId="093964B6">
            <w:pPr>
              <w:pStyle w:val="14"/>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b w:val="0"/>
                <w:bCs/>
                <w:color w:val="auto"/>
                <w:sz w:val="21"/>
                <w:szCs w:val="21"/>
                <w:highlight w:val="none"/>
                <w:lang w:val="en-US" w:eastAsia="zh-CN"/>
              </w:rPr>
            </w:pPr>
            <w:r>
              <w:rPr>
                <w:rFonts w:hint="eastAsia"/>
                <w:b w:val="0"/>
                <w:bCs/>
                <w:color w:val="auto"/>
                <w:sz w:val="21"/>
                <w:szCs w:val="21"/>
                <w:highlight w:val="none"/>
                <w:lang w:val="en-US" w:eastAsia="zh-CN"/>
              </w:rPr>
              <w:t>不组织,投标人自行组织踏勘现场。</w:t>
            </w:r>
          </w:p>
        </w:tc>
      </w:tr>
      <w:tr w14:paraId="68CA3460">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50" w:hRule="atLeast"/>
          <w:jc w:val="center"/>
        </w:trPr>
        <w:tc>
          <w:tcPr>
            <w:tcW w:w="1012" w:type="dxa"/>
            <w:noWrap w:val="0"/>
            <w:vAlign w:val="center"/>
          </w:tcPr>
          <w:p w14:paraId="2828A9CE">
            <w:pPr>
              <w:pStyle w:val="14"/>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b/>
                <w:bCs w:val="0"/>
                <w:color w:val="auto"/>
                <w:sz w:val="21"/>
                <w:szCs w:val="21"/>
                <w:highlight w:val="none"/>
                <w:lang w:val="en-US" w:eastAsia="zh-CN"/>
              </w:rPr>
            </w:pPr>
            <w:r>
              <w:rPr>
                <w:rFonts w:hint="eastAsia"/>
                <w:b/>
                <w:bCs w:val="0"/>
                <w:color w:val="auto"/>
                <w:sz w:val="21"/>
                <w:szCs w:val="21"/>
                <w:highlight w:val="none"/>
                <w:lang w:val="en-US" w:eastAsia="zh-CN"/>
              </w:rPr>
              <w:t>13</w:t>
            </w:r>
          </w:p>
        </w:tc>
        <w:tc>
          <w:tcPr>
            <w:tcW w:w="1536" w:type="dxa"/>
            <w:noWrap w:val="0"/>
            <w:vAlign w:val="center"/>
          </w:tcPr>
          <w:p w14:paraId="5553A828">
            <w:pPr>
              <w:pStyle w:val="14"/>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b/>
                <w:bCs w:val="0"/>
                <w:color w:val="auto"/>
                <w:sz w:val="21"/>
                <w:szCs w:val="21"/>
                <w:highlight w:val="none"/>
                <w:lang w:val="en-US" w:eastAsia="zh-CN"/>
              </w:rPr>
            </w:pPr>
            <w:r>
              <w:rPr>
                <w:rFonts w:hint="eastAsia"/>
                <w:b/>
                <w:bCs w:val="0"/>
                <w:color w:val="auto"/>
                <w:sz w:val="21"/>
                <w:szCs w:val="21"/>
                <w:highlight w:val="none"/>
                <w:lang w:val="en-US" w:eastAsia="zh-CN"/>
              </w:rPr>
              <w:t>投标预备会</w:t>
            </w:r>
          </w:p>
        </w:tc>
        <w:tc>
          <w:tcPr>
            <w:tcW w:w="7288" w:type="dxa"/>
            <w:noWrap w:val="0"/>
            <w:vAlign w:val="center"/>
          </w:tcPr>
          <w:p w14:paraId="2501CE55">
            <w:pPr>
              <w:pStyle w:val="14"/>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b w:val="0"/>
                <w:bCs/>
                <w:color w:val="auto"/>
                <w:sz w:val="21"/>
                <w:szCs w:val="21"/>
                <w:highlight w:val="none"/>
                <w:lang w:val="en-US" w:eastAsia="zh-CN"/>
              </w:rPr>
            </w:pPr>
            <w:r>
              <w:rPr>
                <w:rFonts w:hint="eastAsia"/>
                <w:b w:val="0"/>
                <w:bCs/>
                <w:color w:val="auto"/>
                <w:sz w:val="21"/>
                <w:szCs w:val="21"/>
                <w:highlight w:val="none"/>
                <w:lang w:val="en-US" w:eastAsia="zh-CN"/>
              </w:rPr>
              <w:t>不召开</w:t>
            </w:r>
          </w:p>
        </w:tc>
      </w:tr>
      <w:tr w14:paraId="7E15529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97" w:hRule="atLeast"/>
          <w:jc w:val="center"/>
        </w:trPr>
        <w:tc>
          <w:tcPr>
            <w:tcW w:w="1012" w:type="dxa"/>
            <w:noWrap w:val="0"/>
            <w:vAlign w:val="center"/>
          </w:tcPr>
          <w:p w14:paraId="614839DD">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b/>
                <w:bCs w:val="0"/>
                <w:color w:val="auto"/>
                <w:sz w:val="21"/>
                <w:szCs w:val="21"/>
                <w:highlight w:val="none"/>
                <w:lang w:val="en-US" w:eastAsia="zh-CN"/>
              </w:rPr>
            </w:pPr>
            <w:r>
              <w:rPr>
                <w:rFonts w:hint="eastAsia" w:ascii="宋体" w:cs="宋体"/>
                <w:b/>
                <w:bCs w:val="0"/>
                <w:color w:val="auto"/>
                <w:sz w:val="21"/>
                <w:szCs w:val="21"/>
                <w:highlight w:val="none"/>
                <w:lang w:val="en-US" w:eastAsia="zh-CN"/>
              </w:rPr>
              <w:t>14</w:t>
            </w:r>
          </w:p>
        </w:tc>
        <w:tc>
          <w:tcPr>
            <w:tcW w:w="1536" w:type="dxa"/>
            <w:noWrap w:val="0"/>
            <w:vAlign w:val="center"/>
          </w:tcPr>
          <w:p w14:paraId="3EA81B8A">
            <w:pPr>
              <w:pStyle w:val="14"/>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b/>
                <w:bCs w:val="0"/>
                <w:color w:val="auto"/>
                <w:sz w:val="21"/>
                <w:szCs w:val="21"/>
                <w:highlight w:val="none"/>
                <w:lang w:val="en-US" w:eastAsia="zh-CN"/>
              </w:rPr>
            </w:pPr>
            <w:r>
              <w:rPr>
                <w:rFonts w:hint="eastAsia"/>
                <w:b/>
                <w:bCs w:val="0"/>
                <w:color w:val="auto"/>
                <w:sz w:val="21"/>
                <w:szCs w:val="21"/>
                <w:highlight w:val="none"/>
                <w:lang w:val="en-US" w:eastAsia="zh-CN"/>
              </w:rPr>
              <w:t>联合体投标</w:t>
            </w:r>
          </w:p>
        </w:tc>
        <w:tc>
          <w:tcPr>
            <w:tcW w:w="7288" w:type="dxa"/>
            <w:noWrap w:val="0"/>
            <w:vAlign w:val="center"/>
          </w:tcPr>
          <w:p w14:paraId="4BB084DC">
            <w:pPr>
              <w:keepNext w:val="0"/>
              <w:keepLines w:val="0"/>
              <w:pageBreakBefore w:val="0"/>
              <w:shd w:val="clear" w:color="auto" w:fill="auto"/>
              <w:kinsoku/>
              <w:wordWrap/>
              <w:overflowPunct/>
              <w:topLinePunct w:val="0"/>
              <w:autoSpaceDE/>
              <w:autoSpaceDN/>
              <w:bidi w:val="0"/>
              <w:adjustRightInd/>
              <w:spacing w:line="360" w:lineRule="auto"/>
              <w:textAlignment w:val="auto"/>
              <w:rPr>
                <w:rFonts w:hint="eastAsia" w:ascii="宋体" w:hAnsi="宋体" w:eastAsia="宋体" w:cs="宋体"/>
                <w:b w:val="0"/>
                <w:bCs/>
                <w:color w:val="auto"/>
                <w:sz w:val="21"/>
                <w:szCs w:val="21"/>
                <w:highlight w:val="none"/>
              </w:rPr>
            </w:pPr>
            <w:r>
              <w:rPr>
                <w:rFonts w:hint="eastAsia" w:hAnsi="宋体" w:eastAsia="宋体" w:cs="宋体"/>
                <w:b w:val="0"/>
                <w:bCs/>
                <w:color w:val="auto"/>
                <w:sz w:val="21"/>
                <w:szCs w:val="21"/>
                <w:highlight w:val="none"/>
                <w:lang w:eastAsia="zh-CN"/>
              </w:rPr>
              <w:t>☑</w:t>
            </w:r>
            <w:r>
              <w:rPr>
                <w:rFonts w:hint="eastAsia" w:ascii="宋体" w:hAnsi="宋体" w:eastAsia="宋体" w:cs="宋体"/>
                <w:b w:val="0"/>
                <w:bCs/>
                <w:color w:val="auto"/>
                <w:sz w:val="21"/>
                <w:szCs w:val="21"/>
                <w:highlight w:val="none"/>
              </w:rPr>
              <w:t>不接受</w:t>
            </w:r>
          </w:p>
          <w:p w14:paraId="5E18DA60">
            <w:pPr>
              <w:pStyle w:val="14"/>
              <w:keepNext w:val="0"/>
              <w:keepLines w:val="0"/>
              <w:pageBreakBefore w:val="0"/>
              <w:shd w:val="clear" w:color="auto" w:fill="auto"/>
              <w:kinsoku/>
              <w:wordWrap/>
              <w:overflowPunct/>
              <w:topLinePunct w:val="0"/>
              <w:autoSpaceDE/>
              <w:autoSpaceDN/>
              <w:bidi w:val="0"/>
              <w:adjustRightInd/>
              <w:snapToGrid w:val="0"/>
              <w:spacing w:line="360" w:lineRule="auto"/>
              <w:textAlignment w:val="auto"/>
              <w:outlineLvl w:val="9"/>
              <w:rPr>
                <w:rFonts w:hint="eastAsia"/>
                <w:b w:val="0"/>
                <w:bCs/>
                <w:color w:val="auto"/>
                <w:sz w:val="21"/>
                <w:szCs w:val="21"/>
                <w:highlight w:val="none"/>
                <w:lang w:val="en-US" w:eastAsia="zh-CN"/>
              </w:rPr>
            </w:pPr>
            <w:r>
              <w:rPr>
                <w:rFonts w:hint="eastAsia" w:hAnsi="宋体" w:eastAsia="宋体" w:cs="宋体"/>
                <w:b w:val="0"/>
                <w:bCs/>
                <w:color w:val="auto"/>
                <w:sz w:val="21"/>
                <w:szCs w:val="21"/>
                <w:highlight w:val="none"/>
                <w:lang w:eastAsia="zh-CN"/>
              </w:rPr>
              <w:t>□</w:t>
            </w:r>
            <w:r>
              <w:rPr>
                <w:rFonts w:hint="eastAsia" w:ascii="宋体" w:hAnsi="宋体" w:eastAsia="宋体" w:cs="宋体"/>
                <w:b w:val="0"/>
                <w:bCs/>
                <w:color w:val="auto"/>
                <w:sz w:val="21"/>
                <w:szCs w:val="21"/>
                <w:highlight w:val="none"/>
              </w:rPr>
              <w:t>接受，联合体投标的须在投标文件中提供联合体协议书，联合体所有成员不得超过2家，联合体的任何一方均不得再与其他投标单位联合。</w:t>
            </w:r>
          </w:p>
        </w:tc>
      </w:tr>
      <w:tr w14:paraId="608122B2">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97" w:hRule="atLeast"/>
          <w:jc w:val="center"/>
        </w:trPr>
        <w:tc>
          <w:tcPr>
            <w:tcW w:w="1012" w:type="dxa"/>
            <w:noWrap w:val="0"/>
            <w:vAlign w:val="center"/>
          </w:tcPr>
          <w:p w14:paraId="774C6107">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ascii="宋体" w:eastAsia="宋体" w:cs="宋体"/>
                <w:b/>
                <w:bCs w:val="0"/>
                <w:color w:val="auto"/>
                <w:sz w:val="21"/>
                <w:szCs w:val="21"/>
                <w:highlight w:val="none"/>
                <w:lang w:val="en-US" w:eastAsia="zh-CN"/>
              </w:rPr>
            </w:pPr>
            <w:r>
              <w:rPr>
                <w:rFonts w:hint="eastAsia" w:ascii="宋体" w:cs="宋体"/>
                <w:b/>
                <w:bCs w:val="0"/>
                <w:color w:val="auto"/>
                <w:sz w:val="21"/>
                <w:szCs w:val="21"/>
                <w:highlight w:val="none"/>
                <w:lang w:val="en-US" w:eastAsia="zh-CN"/>
              </w:rPr>
              <w:t>15</w:t>
            </w:r>
          </w:p>
        </w:tc>
        <w:tc>
          <w:tcPr>
            <w:tcW w:w="1536" w:type="dxa"/>
            <w:noWrap w:val="0"/>
            <w:vAlign w:val="center"/>
          </w:tcPr>
          <w:p w14:paraId="67BE1BD2">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b/>
                <w:bCs w:val="0"/>
                <w:color w:val="auto"/>
                <w:sz w:val="21"/>
                <w:szCs w:val="21"/>
                <w:highlight w:val="none"/>
              </w:rPr>
            </w:pPr>
            <w:r>
              <w:rPr>
                <w:rFonts w:hint="eastAsia" w:ascii="宋体"/>
                <w:b/>
                <w:bCs w:val="0"/>
                <w:color w:val="auto"/>
                <w:sz w:val="21"/>
                <w:szCs w:val="21"/>
                <w:highlight w:val="none"/>
              </w:rPr>
              <w:t>招标代理费</w:t>
            </w:r>
          </w:p>
        </w:tc>
        <w:tc>
          <w:tcPr>
            <w:tcW w:w="7288" w:type="dxa"/>
            <w:noWrap w:val="0"/>
            <w:vAlign w:val="center"/>
          </w:tcPr>
          <w:p w14:paraId="7920C32F">
            <w:pPr>
              <w:keepNext w:val="0"/>
              <w:keepLines w:val="0"/>
              <w:pageBreakBefore w:val="0"/>
              <w:shd w:val="clear" w:color="auto" w:fill="auto"/>
              <w:kinsoku/>
              <w:wordWrap/>
              <w:overflowPunct/>
              <w:topLinePunct w:val="0"/>
              <w:autoSpaceDE/>
              <w:autoSpaceDN/>
              <w:bidi w:val="0"/>
              <w:adjustRightInd/>
              <w:snapToGrid w:val="0"/>
              <w:spacing w:line="360" w:lineRule="auto"/>
              <w:textAlignment w:val="auto"/>
              <w:outlineLvl w:val="9"/>
              <w:rPr>
                <w:rFonts w:hint="eastAsia" w:ascii="宋体" w:hAnsi="宋体"/>
                <w:b w:val="0"/>
                <w:bCs/>
                <w:color w:val="auto"/>
                <w:sz w:val="21"/>
                <w:szCs w:val="21"/>
                <w:highlight w:val="none"/>
              </w:rPr>
            </w:pPr>
          </w:p>
        </w:tc>
      </w:tr>
      <w:tr w14:paraId="1AF8C55A">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1" w:hRule="atLeast"/>
          <w:jc w:val="center"/>
        </w:trPr>
        <w:tc>
          <w:tcPr>
            <w:tcW w:w="1012" w:type="dxa"/>
            <w:noWrap w:val="0"/>
            <w:vAlign w:val="center"/>
          </w:tcPr>
          <w:p w14:paraId="24FBE142">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b/>
                <w:bCs w:val="0"/>
                <w:color w:val="auto"/>
                <w:sz w:val="21"/>
                <w:szCs w:val="21"/>
                <w:highlight w:val="none"/>
                <w:lang w:val="en-US" w:eastAsia="zh-CN"/>
              </w:rPr>
            </w:pPr>
            <w:r>
              <w:rPr>
                <w:rFonts w:hint="eastAsia" w:ascii="宋体" w:cs="宋体"/>
                <w:b/>
                <w:bCs w:val="0"/>
                <w:color w:val="auto"/>
                <w:sz w:val="21"/>
                <w:szCs w:val="21"/>
                <w:highlight w:val="none"/>
                <w:lang w:val="en-US" w:eastAsia="zh-CN"/>
              </w:rPr>
              <w:t>17</w:t>
            </w:r>
          </w:p>
        </w:tc>
        <w:tc>
          <w:tcPr>
            <w:tcW w:w="1536" w:type="dxa"/>
            <w:noWrap w:val="0"/>
            <w:vAlign w:val="center"/>
          </w:tcPr>
          <w:p w14:paraId="639483C7">
            <w:pPr>
              <w:pStyle w:val="14"/>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b/>
                <w:bCs w:val="0"/>
                <w:color w:val="auto"/>
                <w:sz w:val="21"/>
                <w:szCs w:val="21"/>
                <w:highlight w:val="none"/>
                <w:lang w:val="en-US" w:eastAsia="zh-CN"/>
              </w:rPr>
            </w:pPr>
            <w:r>
              <w:rPr>
                <w:b/>
                <w:bCs w:val="0"/>
                <w:color w:val="auto"/>
                <w:sz w:val="21"/>
                <w:szCs w:val="21"/>
                <w:highlight w:val="none"/>
                <w:lang w:val="en-US" w:eastAsia="zh-CN"/>
              </w:rPr>
              <w:t>投标有效期</w:t>
            </w:r>
          </w:p>
        </w:tc>
        <w:tc>
          <w:tcPr>
            <w:tcW w:w="7288" w:type="dxa"/>
            <w:noWrap w:val="0"/>
            <w:vAlign w:val="center"/>
          </w:tcPr>
          <w:p w14:paraId="4F97D5FC">
            <w:pPr>
              <w:pStyle w:val="14"/>
              <w:keepNext w:val="0"/>
              <w:keepLines w:val="0"/>
              <w:pageBreakBefore w:val="0"/>
              <w:shd w:val="clear" w:color="auto" w:fill="auto"/>
              <w:kinsoku/>
              <w:wordWrap/>
              <w:overflowPunct/>
              <w:topLinePunct w:val="0"/>
              <w:autoSpaceDE/>
              <w:autoSpaceDN/>
              <w:bidi w:val="0"/>
              <w:adjustRightInd/>
              <w:snapToGrid w:val="0"/>
              <w:spacing w:line="360" w:lineRule="auto"/>
              <w:textAlignment w:val="auto"/>
              <w:outlineLvl w:val="9"/>
              <w:rPr>
                <w:rFonts w:hint="eastAsia"/>
                <w:b w:val="0"/>
                <w:bCs/>
                <w:color w:val="auto"/>
                <w:sz w:val="21"/>
                <w:szCs w:val="21"/>
                <w:highlight w:val="none"/>
                <w:lang w:val="en-US" w:eastAsia="zh-CN"/>
              </w:rPr>
            </w:pPr>
            <w:r>
              <w:rPr>
                <w:rFonts w:hint="eastAsia"/>
                <w:b/>
                <w:bCs w:val="0"/>
                <w:color w:val="auto"/>
                <w:sz w:val="21"/>
                <w:szCs w:val="21"/>
                <w:highlight w:val="none"/>
                <w:lang w:val="en-US" w:eastAsia="zh-CN"/>
              </w:rPr>
              <w:t>投标有效期为</w:t>
            </w:r>
            <w:r>
              <w:rPr>
                <w:rFonts w:hint="eastAsia"/>
                <w:b/>
                <w:bCs w:val="0"/>
                <w:color w:val="000000" w:themeColor="text1"/>
                <w:sz w:val="21"/>
                <w:szCs w:val="21"/>
                <w:highlight w:val="none"/>
                <w:u w:val="single"/>
                <w:lang w:val="en-US" w:eastAsia="zh-CN"/>
                <w14:textFill>
                  <w14:solidFill>
                    <w14:schemeClr w14:val="tx1"/>
                  </w14:solidFill>
                </w14:textFill>
              </w:rPr>
              <w:t xml:space="preserve"> </w:t>
            </w:r>
            <w:r>
              <w:rPr>
                <w:rFonts w:hint="eastAsia" w:ascii="Times New Roman" w:hAnsi="Times New Roman" w:eastAsia="宋体" w:cs="Times New Roman"/>
                <w:b/>
                <w:bCs w:val="0"/>
                <w:color w:val="000000" w:themeColor="text1"/>
                <w:kern w:val="2"/>
                <w:sz w:val="22"/>
                <w:szCs w:val="28"/>
                <w:u w:val="single"/>
                <w:lang w:val="en-US" w:eastAsia="zh-CN" w:bidi="ar-SA"/>
                <w14:textFill>
                  <w14:solidFill>
                    <w14:schemeClr w14:val="tx1"/>
                  </w14:solidFill>
                </w14:textFill>
              </w:rPr>
              <w:t>60</w:t>
            </w:r>
            <w:r>
              <w:rPr>
                <w:rFonts w:hint="eastAsia" w:ascii="Times New Roman" w:hAnsi="Times New Roman" w:eastAsia="宋体" w:cs="Times New Roman"/>
                <w:b/>
                <w:bCs w:val="0"/>
                <w:color w:val="000000"/>
                <w:kern w:val="2"/>
                <w:sz w:val="22"/>
                <w:szCs w:val="28"/>
                <w:u w:val="single"/>
                <w:lang w:val="en-US" w:eastAsia="zh-CN" w:bidi="ar-SA"/>
              </w:rPr>
              <w:t xml:space="preserve"> 日历</w:t>
            </w:r>
            <w:r>
              <w:rPr>
                <w:rFonts w:hint="eastAsia"/>
                <w:b/>
                <w:bCs w:val="0"/>
                <w:color w:val="auto"/>
                <w:sz w:val="21"/>
                <w:szCs w:val="21"/>
                <w:highlight w:val="none"/>
                <w:lang w:val="en-US" w:eastAsia="zh-CN"/>
              </w:rPr>
              <w:t>天（从投标截止之日算起）。在此期限内，凡符合本采购文件要求的投标文件均保持有效。</w:t>
            </w:r>
          </w:p>
        </w:tc>
      </w:tr>
      <w:tr w14:paraId="3AD41696">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1" w:hRule="atLeast"/>
          <w:jc w:val="center"/>
        </w:trPr>
        <w:tc>
          <w:tcPr>
            <w:tcW w:w="1012" w:type="dxa"/>
            <w:noWrap w:val="0"/>
            <w:vAlign w:val="center"/>
          </w:tcPr>
          <w:p w14:paraId="14419FBE">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ascii="宋体" w:cs="宋体"/>
                <w:b/>
                <w:bCs w:val="0"/>
                <w:color w:val="auto"/>
                <w:sz w:val="21"/>
                <w:szCs w:val="21"/>
                <w:highlight w:val="none"/>
                <w:lang w:val="en-US" w:eastAsia="zh-CN"/>
              </w:rPr>
            </w:pPr>
            <w:r>
              <w:rPr>
                <w:rFonts w:hint="eastAsia" w:ascii="宋体" w:cs="宋体"/>
                <w:b/>
                <w:bCs w:val="0"/>
                <w:color w:val="auto"/>
                <w:sz w:val="21"/>
                <w:szCs w:val="21"/>
                <w:highlight w:val="none"/>
                <w:lang w:val="en-US" w:eastAsia="zh-CN"/>
              </w:rPr>
              <w:t>18</w:t>
            </w:r>
          </w:p>
        </w:tc>
        <w:tc>
          <w:tcPr>
            <w:tcW w:w="1536" w:type="dxa"/>
            <w:noWrap w:val="0"/>
            <w:vAlign w:val="center"/>
          </w:tcPr>
          <w:p w14:paraId="6103555F">
            <w:pPr>
              <w:pStyle w:val="14"/>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b/>
                <w:bCs w:val="0"/>
                <w:szCs w:val="21"/>
              </w:rPr>
            </w:pPr>
            <w:r>
              <w:rPr>
                <w:rFonts w:hint="eastAsia" w:ascii="宋体"/>
                <w:b/>
                <w:bCs w:val="0"/>
                <w:szCs w:val="21"/>
              </w:rPr>
              <w:t>投标保证金</w:t>
            </w:r>
          </w:p>
        </w:tc>
        <w:tc>
          <w:tcPr>
            <w:tcW w:w="7288" w:type="dxa"/>
            <w:noWrap w:val="0"/>
            <w:vAlign w:val="center"/>
          </w:tcPr>
          <w:p w14:paraId="13C471A5">
            <w:pPr>
              <w:snapToGrid w:val="0"/>
              <w:spacing w:line="290" w:lineRule="exact"/>
              <w:rPr>
                <w:rFonts w:hint="eastAsia" w:ascii="宋体" w:hAnsi="宋体" w:cs="宋体-18030"/>
                <w:b w:val="0"/>
                <w:bCs/>
                <w:szCs w:val="21"/>
              </w:rPr>
            </w:pPr>
            <w:r>
              <w:rPr>
                <w:rFonts w:hint="eastAsia" w:ascii="宋体" w:hAnsi="宋体" w:cs="宋体-18030"/>
                <w:b w:val="0"/>
                <w:bCs/>
                <w:szCs w:val="21"/>
              </w:rPr>
              <w:t>投标保证金交纳方式：投标保证金应当以支票、汇票、本票、网上银行支付或者金融机构、担保机构出具的保函等非现金形式交纳。</w:t>
            </w:r>
          </w:p>
          <w:p w14:paraId="15175B65">
            <w:pPr>
              <w:pStyle w:val="14"/>
              <w:keepNext w:val="0"/>
              <w:keepLines w:val="0"/>
              <w:pageBreakBefore w:val="0"/>
              <w:shd w:val="clear" w:color="auto" w:fill="auto"/>
              <w:kinsoku/>
              <w:wordWrap/>
              <w:overflowPunct/>
              <w:topLinePunct w:val="0"/>
              <w:autoSpaceDE/>
              <w:autoSpaceDN/>
              <w:bidi w:val="0"/>
              <w:adjustRightInd/>
              <w:snapToGrid w:val="0"/>
              <w:spacing w:line="360" w:lineRule="auto"/>
              <w:textAlignment w:val="auto"/>
              <w:outlineLvl w:val="9"/>
              <w:rPr>
                <w:rFonts w:hint="eastAsia" w:ascii="宋体" w:hAnsi="宋体" w:cs="宋体-18030"/>
                <w:b w:val="0"/>
                <w:bCs/>
                <w:szCs w:val="21"/>
              </w:rPr>
            </w:pPr>
            <w:r>
              <w:rPr>
                <w:rFonts w:hint="eastAsia" w:ascii="宋体" w:hAnsi="宋体" w:cs="宋体-18030"/>
                <w:b/>
                <w:bCs w:val="0"/>
                <w:szCs w:val="21"/>
              </w:rPr>
              <w:t>投标保证金的金额：</w:t>
            </w:r>
            <w:r>
              <w:rPr>
                <w:rFonts w:hint="eastAsia" w:hAnsi="宋体" w:cs="宋体-18030"/>
                <w:b/>
                <w:bCs w:val="0"/>
                <w:szCs w:val="21"/>
                <w:highlight w:val="yellow"/>
                <w:lang w:val="en-US" w:eastAsia="zh-CN"/>
              </w:rPr>
              <w:t>15000.00</w:t>
            </w:r>
            <w:r>
              <w:rPr>
                <w:rFonts w:hint="eastAsia" w:ascii="宋体" w:hAnsi="宋体" w:cs="宋体-18030"/>
                <w:b/>
                <w:bCs w:val="0"/>
                <w:szCs w:val="21"/>
                <w:highlight w:val="yellow"/>
              </w:rPr>
              <w:t>元（</w:t>
            </w:r>
            <w:r>
              <w:rPr>
                <w:rFonts w:hint="eastAsia" w:hAnsi="宋体" w:cs="宋体-18030"/>
                <w:b/>
                <w:bCs w:val="0"/>
                <w:szCs w:val="21"/>
                <w:highlight w:val="yellow"/>
                <w:lang w:eastAsia="zh-CN"/>
              </w:rPr>
              <w:t>壹万伍仟元整</w:t>
            </w:r>
            <w:r>
              <w:rPr>
                <w:rFonts w:hint="eastAsia" w:ascii="宋体" w:hAnsi="宋体" w:cs="宋体-18030"/>
                <w:b/>
                <w:bCs w:val="0"/>
                <w:szCs w:val="21"/>
                <w:highlight w:val="yellow"/>
              </w:rPr>
              <w:t>）</w:t>
            </w:r>
          </w:p>
        </w:tc>
      </w:tr>
      <w:tr w14:paraId="5D7C026A">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075" w:hRule="atLeast"/>
          <w:jc w:val="center"/>
        </w:trPr>
        <w:tc>
          <w:tcPr>
            <w:tcW w:w="1012" w:type="dxa"/>
            <w:noWrap w:val="0"/>
            <w:vAlign w:val="center"/>
          </w:tcPr>
          <w:p w14:paraId="0EC0881C">
            <w:pPr>
              <w:pStyle w:val="14"/>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b/>
                <w:bCs w:val="0"/>
                <w:color w:val="auto"/>
                <w:sz w:val="21"/>
                <w:szCs w:val="21"/>
                <w:highlight w:val="none"/>
                <w:lang w:val="en-US" w:eastAsia="zh-CN"/>
              </w:rPr>
            </w:pPr>
            <w:r>
              <w:rPr>
                <w:rFonts w:hint="eastAsia"/>
                <w:b/>
                <w:bCs w:val="0"/>
                <w:color w:val="auto"/>
                <w:sz w:val="21"/>
                <w:szCs w:val="21"/>
                <w:highlight w:val="none"/>
                <w:lang w:val="en-US" w:eastAsia="zh-CN"/>
              </w:rPr>
              <w:t>19</w:t>
            </w:r>
          </w:p>
        </w:tc>
        <w:tc>
          <w:tcPr>
            <w:tcW w:w="1536" w:type="dxa"/>
            <w:tcBorders>
              <w:bottom w:val="single" w:color="auto" w:sz="4" w:space="0"/>
            </w:tcBorders>
            <w:noWrap w:val="0"/>
            <w:vAlign w:val="center"/>
          </w:tcPr>
          <w:p w14:paraId="67BA846C">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b/>
                <w:bCs w:val="0"/>
                <w:color w:val="auto"/>
                <w:sz w:val="21"/>
                <w:szCs w:val="21"/>
                <w:highlight w:val="none"/>
              </w:rPr>
            </w:pPr>
            <w:r>
              <w:rPr>
                <w:rFonts w:hint="eastAsia" w:ascii="宋体" w:hAnsi="宋体"/>
                <w:b/>
                <w:bCs w:val="0"/>
                <w:color w:val="000000"/>
                <w:sz w:val="21"/>
                <w:szCs w:val="21"/>
                <w:lang w:eastAsia="zh-CN"/>
              </w:rPr>
              <w:t>投标保证金</w:t>
            </w:r>
          </w:p>
        </w:tc>
        <w:tc>
          <w:tcPr>
            <w:tcW w:w="7288" w:type="dxa"/>
            <w:tcBorders>
              <w:bottom w:val="single" w:color="auto" w:sz="4" w:space="0"/>
            </w:tcBorders>
            <w:noWrap w:val="0"/>
            <w:vAlign w:val="top"/>
          </w:tcPr>
          <w:p w14:paraId="5A09ECF0">
            <w:pPr>
              <w:shd w:val="clear" w:color="auto" w:fill="auto"/>
              <w:spacing w:line="360" w:lineRule="auto"/>
              <w:jc w:val="left"/>
              <w:rPr>
                <w:rFonts w:hint="eastAsia" w:ascii="宋体" w:hAnsi="Courier New" w:eastAsia="宋体" w:cs="Times New Roman"/>
                <w:color w:val="auto"/>
                <w:kern w:val="2"/>
                <w:sz w:val="21"/>
                <w:szCs w:val="21"/>
                <w:highlight w:val="none"/>
                <w:lang w:val="en-US" w:eastAsia="zh-CN" w:bidi="ar-SA"/>
              </w:rPr>
            </w:pPr>
            <w:r>
              <w:rPr>
                <w:rFonts w:hint="eastAsia" w:ascii="宋体" w:hAnsi="Courier New" w:eastAsia="宋体" w:cs="Times New Roman"/>
                <w:color w:val="auto"/>
                <w:kern w:val="2"/>
                <w:sz w:val="21"/>
                <w:szCs w:val="21"/>
                <w:highlight w:val="none"/>
                <w:lang w:val="en-US" w:eastAsia="zh-CN" w:bidi="ar-SA"/>
              </w:rPr>
              <w:t>政府采购投标保证金要求：</w:t>
            </w:r>
          </w:p>
          <w:p w14:paraId="1788B36A">
            <w:pPr>
              <w:shd w:val="clear" w:color="auto" w:fill="auto"/>
              <w:spacing w:line="360" w:lineRule="auto"/>
              <w:jc w:val="left"/>
              <w:rPr>
                <w:rFonts w:hint="eastAsia" w:ascii="宋体" w:hAnsi="Courier New" w:eastAsia="宋体" w:cs="Times New Roman"/>
                <w:color w:val="auto"/>
                <w:kern w:val="2"/>
                <w:sz w:val="21"/>
                <w:szCs w:val="21"/>
                <w:highlight w:val="none"/>
                <w:lang w:val="en-US" w:eastAsia="zh-CN" w:bidi="ar-SA"/>
              </w:rPr>
            </w:pPr>
            <w:r>
              <w:rPr>
                <w:rFonts w:hint="eastAsia" w:ascii="宋体" w:hAnsi="Courier New" w:eastAsia="宋体" w:cs="Times New Roman"/>
                <w:color w:val="auto"/>
                <w:kern w:val="2"/>
                <w:sz w:val="21"/>
                <w:szCs w:val="21"/>
                <w:highlight w:val="none"/>
                <w:lang w:val="en-US" w:eastAsia="zh-CN" w:bidi="ar-SA"/>
              </w:rPr>
              <w:t>投标保证金交纳方式：投标保证金应当以支票、汇票、本票、网上银行支付或者金融机构、担保机构出具的保函等非现金形式交纳。</w:t>
            </w:r>
          </w:p>
          <w:p w14:paraId="799E5BD0">
            <w:pPr>
              <w:shd w:val="clear" w:color="auto" w:fill="auto"/>
              <w:spacing w:line="360" w:lineRule="auto"/>
              <w:jc w:val="left"/>
              <w:rPr>
                <w:rFonts w:hint="eastAsia" w:ascii="宋体" w:hAnsi="Courier New" w:eastAsia="宋体" w:cs="Times New Roman"/>
                <w:color w:val="auto"/>
                <w:kern w:val="2"/>
                <w:sz w:val="21"/>
                <w:szCs w:val="21"/>
                <w:highlight w:val="none"/>
                <w:lang w:val="en-US" w:eastAsia="zh-CN" w:bidi="ar-SA"/>
              </w:rPr>
            </w:pPr>
            <w:r>
              <w:rPr>
                <w:rFonts w:hint="eastAsia" w:ascii="宋体" w:hAnsi="Courier New" w:eastAsia="宋体" w:cs="Times New Roman"/>
                <w:color w:val="auto"/>
                <w:kern w:val="2"/>
                <w:sz w:val="21"/>
                <w:szCs w:val="21"/>
                <w:highlight w:val="none"/>
                <w:lang w:val="en-US" w:eastAsia="zh-CN" w:bidi="ar-SA"/>
              </w:rPr>
              <w:t>投标保证金的金额：15000.00元（壹万伍仟元整）</w:t>
            </w:r>
          </w:p>
          <w:p w14:paraId="4F2F54F8">
            <w:pPr>
              <w:shd w:val="clear" w:color="auto" w:fill="auto"/>
              <w:spacing w:line="360" w:lineRule="auto"/>
              <w:jc w:val="left"/>
              <w:rPr>
                <w:rFonts w:hint="eastAsia" w:ascii="宋体" w:hAnsi="Courier New" w:eastAsia="宋体" w:cs="Times New Roman"/>
                <w:color w:val="auto"/>
                <w:kern w:val="2"/>
                <w:sz w:val="21"/>
                <w:szCs w:val="21"/>
                <w:highlight w:val="none"/>
                <w:lang w:val="en-US" w:eastAsia="zh-CN" w:bidi="ar-SA"/>
              </w:rPr>
            </w:pPr>
            <w:r>
              <w:rPr>
                <w:rFonts w:hint="eastAsia" w:ascii="宋体" w:hAnsi="Courier New" w:eastAsia="宋体" w:cs="Times New Roman"/>
                <w:color w:val="auto"/>
                <w:kern w:val="2"/>
                <w:sz w:val="21"/>
                <w:szCs w:val="21"/>
                <w:highlight w:val="none"/>
                <w:lang w:val="en-US" w:eastAsia="zh-CN" w:bidi="ar-SA"/>
              </w:rPr>
              <w:t>投标保证金交纳要求：</w:t>
            </w:r>
          </w:p>
          <w:p w14:paraId="4088F246">
            <w:pPr>
              <w:keepNext w:val="0"/>
              <w:keepLines w:val="0"/>
              <w:pageBreakBefore w:val="0"/>
              <w:shd w:val="clear" w:color="auto" w:fill="auto"/>
              <w:kinsoku/>
              <w:wordWrap/>
              <w:overflowPunct/>
              <w:topLinePunct w:val="0"/>
              <w:autoSpaceDE/>
              <w:autoSpaceDN/>
              <w:bidi w:val="0"/>
              <w:adjustRightInd/>
              <w:snapToGrid w:val="0"/>
              <w:spacing w:line="290" w:lineRule="exact"/>
              <w:ind w:firstLine="213" w:firstLineChars="100"/>
              <w:textAlignment w:val="auto"/>
              <w:outlineLvl w:val="9"/>
              <w:rPr>
                <w:rFonts w:hint="eastAsia" w:ascii="宋体" w:hAnsi="宋体"/>
                <w:color w:val="auto"/>
                <w:sz w:val="21"/>
                <w:szCs w:val="21"/>
                <w:highlight w:val="none"/>
              </w:rPr>
            </w:pPr>
            <w:r>
              <w:rPr>
                <w:rFonts w:hint="eastAsia" w:ascii="宋体" w:hAnsi="宋体"/>
                <w:color w:val="auto"/>
                <w:sz w:val="21"/>
                <w:szCs w:val="21"/>
                <w:highlight w:val="none"/>
              </w:rPr>
              <w:t>1、投标保证金以电汇、网银等转账形式提交的，应在投标截止时间</w:t>
            </w:r>
            <w:r>
              <w:rPr>
                <w:rFonts w:hint="eastAsia" w:ascii="宋体" w:hAnsi="宋体"/>
                <w:color w:val="auto"/>
                <w:sz w:val="21"/>
                <w:szCs w:val="21"/>
                <w:highlight w:val="yellow"/>
                <w:lang w:eastAsia="zh-CN"/>
              </w:rPr>
              <w:t>2025年4月28日10:30（北京时间）</w:t>
            </w:r>
            <w:r>
              <w:rPr>
                <w:rFonts w:hint="eastAsia" w:ascii="宋体" w:hAnsi="宋体"/>
                <w:color w:val="auto"/>
                <w:sz w:val="21"/>
                <w:szCs w:val="21"/>
                <w:highlight w:val="none"/>
              </w:rPr>
              <w:t>（北京时间）前以总公司的基本账户一次性汇入指定账户（以到账时间为准），不接受现金及任何个人汇款。确认到账后，持法定代表人授权委托书、社保证明（委托代理人必须为参加本单位社保的在职工作人员）委托代理人近</w:t>
            </w:r>
            <w:r>
              <w:rPr>
                <w:rFonts w:hint="eastAsia" w:ascii="宋体" w:hAnsi="宋体"/>
                <w:color w:val="auto"/>
                <w:sz w:val="21"/>
                <w:szCs w:val="21"/>
                <w:highlight w:val="none"/>
                <w:lang w:val="en-US" w:eastAsia="zh-CN"/>
              </w:rPr>
              <w:t>1</w:t>
            </w:r>
            <w:r>
              <w:rPr>
                <w:rFonts w:hint="eastAsia" w:ascii="宋体" w:hAnsi="宋体"/>
                <w:color w:val="auto"/>
                <w:sz w:val="21"/>
                <w:szCs w:val="21"/>
                <w:highlight w:val="none"/>
              </w:rPr>
              <w:t>个月的社保证明，银行电子回单、持银行交款单、基本户开户许可证原件（基本存款账户信息原件）</w:t>
            </w:r>
            <w:r>
              <w:rPr>
                <w:rFonts w:hint="eastAsia" w:ascii="宋体" w:hAnsi="宋体"/>
                <w:color w:val="auto"/>
                <w:sz w:val="21"/>
                <w:szCs w:val="21"/>
                <w:highlight w:val="none"/>
                <w:lang w:val="en-US" w:eastAsia="zh-CN"/>
              </w:rPr>
              <w:t>乌恰县政务服务和</w:t>
            </w:r>
            <w:r>
              <w:rPr>
                <w:rFonts w:hint="eastAsia" w:ascii="宋体" w:hAnsi="宋体"/>
                <w:color w:val="auto"/>
                <w:sz w:val="21"/>
                <w:szCs w:val="21"/>
                <w:highlight w:val="none"/>
              </w:rPr>
              <w:t>公共资源</w:t>
            </w:r>
            <w:r>
              <w:rPr>
                <w:rFonts w:hint="eastAsia" w:ascii="宋体" w:hAnsi="宋体"/>
                <w:color w:val="auto"/>
                <w:sz w:val="21"/>
                <w:szCs w:val="21"/>
                <w:highlight w:val="none"/>
                <w:lang w:val="en-US" w:eastAsia="zh-CN"/>
              </w:rPr>
              <w:t>交易中心</w:t>
            </w:r>
            <w:r>
              <w:rPr>
                <w:rFonts w:hint="eastAsia" w:ascii="宋体" w:hAnsi="宋体"/>
                <w:color w:val="auto"/>
                <w:sz w:val="21"/>
                <w:szCs w:val="21"/>
                <w:highlight w:val="none"/>
              </w:rPr>
              <w:t>二楼换取票据或根据信息下载保证金收据即可，项目开具的票据收据原件</w:t>
            </w:r>
            <w:r>
              <w:rPr>
                <w:rFonts w:hint="eastAsia" w:ascii="宋体" w:hAnsi="宋体"/>
                <w:color w:val="auto"/>
                <w:sz w:val="21"/>
                <w:szCs w:val="21"/>
                <w:highlight w:val="none"/>
                <w:lang w:eastAsia="zh-CN"/>
              </w:rPr>
              <w:t>须扫描上传</w:t>
            </w:r>
            <w:r>
              <w:rPr>
                <w:rFonts w:hint="eastAsia" w:ascii="宋体" w:hAnsi="宋体"/>
                <w:color w:val="auto"/>
                <w:sz w:val="21"/>
                <w:szCs w:val="21"/>
                <w:highlight w:val="none"/>
              </w:rPr>
              <w:t>，标书内附</w:t>
            </w:r>
            <w:r>
              <w:rPr>
                <w:rFonts w:hint="eastAsia" w:ascii="宋体" w:hAnsi="宋体"/>
                <w:color w:val="auto"/>
                <w:sz w:val="21"/>
                <w:szCs w:val="21"/>
                <w:highlight w:val="none"/>
                <w:lang w:eastAsia="zh-CN"/>
              </w:rPr>
              <w:t>有</w:t>
            </w:r>
            <w:r>
              <w:rPr>
                <w:rFonts w:hint="eastAsia" w:ascii="宋体" w:hAnsi="宋体"/>
                <w:color w:val="auto"/>
                <w:sz w:val="21"/>
                <w:szCs w:val="21"/>
                <w:highlight w:val="none"/>
              </w:rPr>
              <w:t>此票据收据。</w:t>
            </w:r>
          </w:p>
          <w:p w14:paraId="23B34FFF">
            <w:pPr>
              <w:keepNext w:val="0"/>
              <w:keepLines w:val="0"/>
              <w:pageBreakBefore w:val="0"/>
              <w:shd w:val="clear" w:color="auto" w:fill="auto"/>
              <w:kinsoku/>
              <w:wordWrap/>
              <w:overflowPunct/>
              <w:topLinePunct w:val="0"/>
              <w:autoSpaceDE/>
              <w:autoSpaceDN/>
              <w:bidi w:val="0"/>
              <w:adjustRightInd/>
              <w:snapToGrid w:val="0"/>
              <w:spacing w:line="290" w:lineRule="exact"/>
              <w:ind w:firstLine="213" w:firstLineChars="100"/>
              <w:textAlignment w:val="auto"/>
              <w:outlineLvl w:val="9"/>
              <w:rPr>
                <w:rFonts w:hint="eastAsia" w:ascii="宋体" w:hAnsi="宋体"/>
                <w:color w:val="auto"/>
                <w:sz w:val="21"/>
                <w:szCs w:val="21"/>
                <w:highlight w:val="none"/>
              </w:rPr>
            </w:pPr>
            <w:r>
              <w:rPr>
                <w:rFonts w:hint="eastAsia" w:ascii="宋体" w:hAnsi="宋体"/>
                <w:color w:val="auto"/>
                <w:sz w:val="21"/>
                <w:szCs w:val="21"/>
                <w:highlight w:val="none"/>
              </w:rPr>
              <w:t>2、投标保证金以保函等票据形式提交的，需注明项目名称及单位名称，银行保函（电子保函）的有效期与投标有效期一致。需提供基本户开户行 出具的银行保函，</w:t>
            </w:r>
            <w:r>
              <w:rPr>
                <w:rFonts w:hint="eastAsia" w:ascii="宋体" w:hAnsi="宋体"/>
                <w:color w:val="auto"/>
                <w:sz w:val="21"/>
                <w:szCs w:val="21"/>
                <w:highlight w:val="none"/>
                <w:lang w:eastAsia="zh-CN"/>
              </w:rPr>
              <w:t>响应文件</w:t>
            </w:r>
            <w:r>
              <w:rPr>
                <w:rFonts w:hint="eastAsia" w:ascii="宋体" w:hAnsi="宋体"/>
                <w:color w:val="auto"/>
                <w:sz w:val="21"/>
                <w:szCs w:val="21"/>
                <w:highlight w:val="none"/>
              </w:rPr>
              <w:t>内附此保函原件电子件。</w:t>
            </w:r>
          </w:p>
          <w:p w14:paraId="570A100F">
            <w:pPr>
              <w:keepNext w:val="0"/>
              <w:keepLines w:val="0"/>
              <w:pageBreakBefore w:val="0"/>
              <w:shd w:val="clear" w:color="auto" w:fill="auto"/>
              <w:kinsoku/>
              <w:wordWrap/>
              <w:overflowPunct/>
              <w:topLinePunct w:val="0"/>
              <w:autoSpaceDE/>
              <w:autoSpaceDN/>
              <w:bidi w:val="0"/>
              <w:adjustRightInd/>
              <w:snapToGrid w:val="0"/>
              <w:spacing w:line="290" w:lineRule="exact"/>
              <w:ind w:firstLine="213" w:firstLineChars="100"/>
              <w:textAlignment w:val="auto"/>
              <w:outlineLvl w:val="9"/>
              <w:rPr>
                <w:rFonts w:hint="eastAsia" w:ascii="宋体" w:hAnsi="宋体"/>
                <w:color w:val="auto"/>
                <w:sz w:val="21"/>
                <w:szCs w:val="21"/>
                <w:highlight w:val="none"/>
              </w:rPr>
            </w:pPr>
            <w:r>
              <w:rPr>
                <w:rFonts w:hint="eastAsia" w:ascii="宋体" w:hAnsi="宋体"/>
                <w:color w:val="auto"/>
                <w:sz w:val="21"/>
                <w:szCs w:val="21"/>
                <w:highlight w:val="none"/>
              </w:rPr>
              <w:t>3、有效投标保证金成功交纳后，截止开标时间，供应商无正当理由不参加该项目投标且不递交弃标函，投标保证金不予退还。</w:t>
            </w:r>
          </w:p>
          <w:p w14:paraId="535DF938">
            <w:pPr>
              <w:keepNext w:val="0"/>
              <w:keepLines w:val="0"/>
              <w:pageBreakBefore w:val="0"/>
              <w:shd w:val="clear" w:color="auto" w:fill="auto"/>
              <w:kinsoku/>
              <w:wordWrap/>
              <w:overflowPunct/>
              <w:topLinePunct w:val="0"/>
              <w:autoSpaceDE/>
              <w:autoSpaceDN/>
              <w:bidi w:val="0"/>
              <w:adjustRightInd/>
              <w:snapToGrid w:val="0"/>
              <w:spacing w:line="290" w:lineRule="exact"/>
              <w:ind w:firstLine="213" w:firstLineChars="100"/>
              <w:textAlignment w:val="auto"/>
              <w:outlineLvl w:val="9"/>
              <w:rPr>
                <w:rFonts w:hint="eastAsia" w:ascii="宋体" w:hAnsi="宋体"/>
                <w:b/>
                <w:bCs/>
                <w:color w:val="FF0000"/>
                <w:sz w:val="21"/>
                <w:szCs w:val="21"/>
                <w:highlight w:val="none"/>
              </w:rPr>
            </w:pPr>
          </w:p>
          <w:p w14:paraId="2FB89074">
            <w:pPr>
              <w:keepNext w:val="0"/>
              <w:keepLines w:val="0"/>
              <w:pageBreakBefore w:val="0"/>
              <w:shd w:val="clear" w:color="auto" w:fill="auto"/>
              <w:kinsoku/>
              <w:wordWrap/>
              <w:overflowPunct/>
              <w:topLinePunct w:val="0"/>
              <w:autoSpaceDE/>
              <w:autoSpaceDN/>
              <w:bidi w:val="0"/>
              <w:adjustRightInd/>
              <w:snapToGrid w:val="0"/>
              <w:spacing w:line="290" w:lineRule="exact"/>
              <w:ind w:firstLine="213" w:firstLineChars="100"/>
              <w:textAlignment w:val="auto"/>
              <w:outlineLvl w:val="9"/>
              <w:rPr>
                <w:rFonts w:hint="eastAsia" w:ascii="宋体" w:hAnsi="宋体"/>
                <w:b/>
                <w:bCs/>
                <w:color w:val="FF0000"/>
                <w:sz w:val="21"/>
                <w:szCs w:val="21"/>
                <w:highlight w:val="none"/>
              </w:rPr>
            </w:pPr>
            <w:r>
              <w:rPr>
                <w:rFonts w:hint="eastAsia" w:ascii="宋体" w:hAnsi="宋体"/>
                <w:b/>
                <w:bCs/>
                <w:color w:val="FF0000"/>
                <w:sz w:val="21"/>
                <w:szCs w:val="21"/>
                <w:highlight w:val="none"/>
              </w:rPr>
              <w:t>户  名：</w:t>
            </w:r>
            <w:r>
              <w:rPr>
                <w:rFonts w:hint="eastAsia" w:ascii="宋体" w:hAnsi="宋体"/>
                <w:b/>
                <w:bCs/>
                <w:color w:val="FF0000"/>
                <w:sz w:val="21"/>
                <w:szCs w:val="21"/>
                <w:highlight w:val="none"/>
                <w:lang w:val="en-US" w:eastAsia="zh-CN"/>
              </w:rPr>
              <w:t>乌恰</w:t>
            </w:r>
            <w:r>
              <w:rPr>
                <w:rFonts w:hint="eastAsia" w:ascii="宋体" w:hAnsi="宋体"/>
                <w:b/>
                <w:bCs/>
                <w:color w:val="FF0000"/>
                <w:sz w:val="21"/>
                <w:szCs w:val="21"/>
                <w:highlight w:val="none"/>
              </w:rPr>
              <w:t>县政务服务和公共资源交易中心</w:t>
            </w:r>
          </w:p>
          <w:p w14:paraId="0B56DC78">
            <w:pPr>
              <w:keepNext w:val="0"/>
              <w:keepLines w:val="0"/>
              <w:pageBreakBefore w:val="0"/>
              <w:shd w:val="clear" w:color="auto" w:fill="auto"/>
              <w:kinsoku/>
              <w:wordWrap/>
              <w:overflowPunct/>
              <w:topLinePunct w:val="0"/>
              <w:autoSpaceDE/>
              <w:autoSpaceDN/>
              <w:bidi w:val="0"/>
              <w:adjustRightInd/>
              <w:snapToGrid w:val="0"/>
              <w:spacing w:line="290" w:lineRule="exact"/>
              <w:ind w:firstLine="213" w:firstLineChars="100"/>
              <w:textAlignment w:val="auto"/>
              <w:outlineLvl w:val="9"/>
              <w:rPr>
                <w:rFonts w:hint="default" w:ascii="宋体" w:hAnsi="宋体" w:eastAsia="宋体"/>
                <w:b/>
                <w:bCs/>
                <w:color w:val="FF0000"/>
                <w:sz w:val="21"/>
                <w:szCs w:val="21"/>
                <w:highlight w:val="none"/>
                <w:lang w:val="en-US" w:eastAsia="zh-CN"/>
              </w:rPr>
            </w:pPr>
            <w:r>
              <w:rPr>
                <w:rFonts w:hint="eastAsia" w:ascii="宋体" w:hAnsi="宋体"/>
                <w:b/>
                <w:bCs/>
                <w:color w:val="FF0000"/>
                <w:sz w:val="21"/>
                <w:szCs w:val="21"/>
                <w:highlight w:val="none"/>
              </w:rPr>
              <w:t>账  号：</w:t>
            </w:r>
            <w:r>
              <w:rPr>
                <w:rFonts w:hint="eastAsia" w:ascii="宋体" w:hAnsi="宋体"/>
                <w:b/>
                <w:bCs/>
                <w:color w:val="FF0000"/>
                <w:sz w:val="21"/>
                <w:szCs w:val="21"/>
                <w:highlight w:val="none"/>
                <w:lang w:val="en-US" w:eastAsia="zh-CN"/>
              </w:rPr>
              <w:t>30470101040018134</w:t>
            </w:r>
          </w:p>
          <w:p w14:paraId="2A1AF4C1">
            <w:pPr>
              <w:keepNext w:val="0"/>
              <w:keepLines w:val="0"/>
              <w:pageBreakBefore w:val="0"/>
              <w:shd w:val="clear" w:color="auto" w:fill="auto"/>
              <w:kinsoku/>
              <w:wordWrap/>
              <w:overflowPunct/>
              <w:topLinePunct w:val="0"/>
              <w:autoSpaceDE/>
              <w:autoSpaceDN/>
              <w:bidi w:val="0"/>
              <w:adjustRightInd/>
              <w:snapToGrid w:val="0"/>
              <w:spacing w:line="290" w:lineRule="exact"/>
              <w:ind w:firstLine="213" w:firstLineChars="100"/>
              <w:textAlignment w:val="auto"/>
              <w:outlineLvl w:val="9"/>
              <w:rPr>
                <w:rFonts w:hint="eastAsia" w:ascii="宋体" w:hAnsi="宋体"/>
                <w:b/>
                <w:bCs/>
                <w:color w:val="auto"/>
                <w:sz w:val="21"/>
                <w:szCs w:val="21"/>
                <w:highlight w:val="none"/>
              </w:rPr>
            </w:pPr>
            <w:r>
              <w:rPr>
                <w:rFonts w:hint="eastAsia" w:ascii="宋体" w:hAnsi="宋体"/>
                <w:b/>
                <w:bCs/>
                <w:color w:val="auto"/>
                <w:sz w:val="21"/>
                <w:szCs w:val="21"/>
                <w:highlight w:val="none"/>
              </w:rPr>
              <w:t>行  名：中国农业银行</w:t>
            </w:r>
            <w:r>
              <w:rPr>
                <w:rFonts w:hint="eastAsia" w:ascii="宋体" w:hAnsi="宋体"/>
                <w:b/>
                <w:bCs/>
                <w:color w:val="auto"/>
                <w:sz w:val="21"/>
                <w:szCs w:val="21"/>
                <w:highlight w:val="none"/>
                <w:lang w:val="en-US" w:eastAsia="zh-CN"/>
              </w:rPr>
              <w:t>乌恰</w:t>
            </w:r>
            <w:r>
              <w:rPr>
                <w:rFonts w:hint="eastAsia" w:ascii="宋体" w:hAnsi="宋体"/>
                <w:b/>
                <w:bCs/>
                <w:color w:val="auto"/>
                <w:sz w:val="21"/>
                <w:szCs w:val="21"/>
                <w:highlight w:val="none"/>
              </w:rPr>
              <w:t>县支行 </w:t>
            </w:r>
          </w:p>
          <w:p w14:paraId="56E9E585">
            <w:pPr>
              <w:keepNext w:val="0"/>
              <w:keepLines w:val="0"/>
              <w:pageBreakBefore w:val="0"/>
              <w:shd w:val="clear" w:color="auto" w:fill="auto"/>
              <w:kinsoku/>
              <w:wordWrap/>
              <w:overflowPunct/>
              <w:topLinePunct w:val="0"/>
              <w:autoSpaceDE/>
              <w:autoSpaceDN/>
              <w:bidi w:val="0"/>
              <w:adjustRightInd/>
              <w:snapToGrid w:val="0"/>
              <w:spacing w:line="290" w:lineRule="exact"/>
              <w:ind w:firstLine="213" w:firstLineChars="100"/>
              <w:textAlignment w:val="auto"/>
              <w:outlineLvl w:val="9"/>
              <w:rPr>
                <w:rFonts w:hint="eastAsia" w:ascii="宋体" w:hAnsi="宋体"/>
                <w:b/>
                <w:bCs/>
                <w:color w:val="auto"/>
                <w:sz w:val="21"/>
                <w:szCs w:val="21"/>
                <w:highlight w:val="none"/>
              </w:rPr>
            </w:pPr>
            <w:r>
              <w:rPr>
                <w:rFonts w:hint="eastAsia" w:ascii="宋体" w:hAnsi="宋体"/>
                <w:b/>
                <w:bCs/>
                <w:color w:val="auto"/>
                <w:sz w:val="21"/>
                <w:szCs w:val="21"/>
                <w:highlight w:val="none"/>
              </w:rPr>
              <w:t>联 系 人：唐</w:t>
            </w:r>
            <w:r>
              <w:rPr>
                <w:rFonts w:hint="eastAsia" w:ascii="宋体" w:hAnsi="宋体"/>
                <w:b/>
                <w:bCs/>
                <w:color w:val="auto"/>
                <w:sz w:val="21"/>
                <w:szCs w:val="21"/>
                <w:highlight w:val="none"/>
                <w:lang w:val="en-US" w:eastAsia="zh-CN"/>
              </w:rPr>
              <w:t>先生</w:t>
            </w:r>
            <w:r>
              <w:rPr>
                <w:rFonts w:hint="eastAsia" w:ascii="宋体" w:hAnsi="宋体"/>
                <w:b/>
                <w:bCs/>
                <w:color w:val="auto"/>
                <w:sz w:val="21"/>
                <w:szCs w:val="21"/>
                <w:highlight w:val="none"/>
              </w:rPr>
              <w:t> </w:t>
            </w:r>
          </w:p>
          <w:p w14:paraId="03F79865">
            <w:pPr>
              <w:keepNext w:val="0"/>
              <w:keepLines w:val="0"/>
              <w:pageBreakBefore w:val="0"/>
              <w:shd w:val="clear" w:color="auto" w:fill="auto"/>
              <w:kinsoku/>
              <w:wordWrap/>
              <w:overflowPunct/>
              <w:topLinePunct w:val="0"/>
              <w:autoSpaceDE/>
              <w:autoSpaceDN/>
              <w:bidi w:val="0"/>
              <w:adjustRightInd/>
              <w:snapToGrid w:val="0"/>
              <w:spacing w:line="290" w:lineRule="exact"/>
              <w:ind w:firstLine="213" w:firstLineChars="100"/>
              <w:textAlignment w:val="auto"/>
              <w:outlineLvl w:val="9"/>
              <w:rPr>
                <w:rFonts w:hint="eastAsia" w:ascii="宋体" w:hAnsi="宋体"/>
                <w:b/>
                <w:bCs/>
                <w:color w:val="auto"/>
                <w:sz w:val="21"/>
                <w:szCs w:val="21"/>
                <w:highlight w:val="none"/>
              </w:rPr>
            </w:pPr>
            <w:r>
              <w:rPr>
                <w:rFonts w:hint="eastAsia" w:ascii="宋体" w:hAnsi="宋体"/>
                <w:b/>
                <w:bCs/>
                <w:color w:val="auto"/>
                <w:sz w:val="21"/>
                <w:szCs w:val="21"/>
                <w:highlight w:val="none"/>
              </w:rPr>
              <w:t>电   话：15509080607</w:t>
            </w:r>
          </w:p>
          <w:p w14:paraId="329BE244">
            <w:pPr>
              <w:keepNext w:val="0"/>
              <w:keepLines w:val="0"/>
              <w:pageBreakBefore w:val="0"/>
              <w:shd w:val="clear" w:color="auto" w:fill="auto"/>
              <w:kinsoku/>
              <w:wordWrap/>
              <w:overflowPunct/>
              <w:topLinePunct w:val="0"/>
              <w:autoSpaceDE/>
              <w:autoSpaceDN/>
              <w:bidi w:val="0"/>
              <w:adjustRightInd/>
              <w:snapToGrid w:val="0"/>
              <w:spacing w:line="290" w:lineRule="exact"/>
              <w:ind w:firstLine="213" w:firstLineChars="100"/>
              <w:textAlignment w:val="auto"/>
              <w:outlineLvl w:val="9"/>
              <w:rPr>
                <w:rFonts w:hint="eastAsia" w:ascii="宋体" w:hAnsi="宋体"/>
                <w:b/>
                <w:bCs/>
                <w:color w:val="auto"/>
                <w:sz w:val="21"/>
                <w:szCs w:val="21"/>
                <w:highlight w:val="none"/>
              </w:rPr>
            </w:pPr>
            <w:r>
              <w:rPr>
                <w:rFonts w:hint="eastAsia" w:ascii="宋体" w:hAnsi="宋体"/>
                <w:b/>
                <w:bCs/>
                <w:color w:val="auto"/>
                <w:sz w:val="21"/>
                <w:szCs w:val="21"/>
                <w:highlight w:val="none"/>
              </w:rPr>
              <w:t>（备注：必须写清楚某某公司某某项目保证金）</w:t>
            </w:r>
          </w:p>
          <w:p w14:paraId="5B5ACC8E">
            <w:pPr>
              <w:keepNext w:val="0"/>
              <w:keepLines w:val="0"/>
              <w:pageBreakBefore w:val="0"/>
              <w:shd w:val="clear" w:color="auto" w:fill="auto"/>
              <w:kinsoku/>
              <w:wordWrap/>
              <w:overflowPunct/>
              <w:topLinePunct w:val="0"/>
              <w:autoSpaceDE/>
              <w:autoSpaceDN/>
              <w:bidi w:val="0"/>
              <w:adjustRightInd/>
              <w:snapToGrid w:val="0"/>
              <w:spacing w:line="290" w:lineRule="exact"/>
              <w:ind w:firstLine="213" w:firstLineChars="100"/>
              <w:textAlignment w:val="auto"/>
              <w:outlineLvl w:val="9"/>
              <w:rPr>
                <w:rFonts w:hint="eastAsia" w:ascii="宋体" w:hAnsi="宋体"/>
                <w:b/>
                <w:bCs/>
                <w:color w:val="auto"/>
                <w:sz w:val="21"/>
                <w:szCs w:val="21"/>
                <w:highlight w:val="none"/>
              </w:rPr>
            </w:pPr>
            <w:r>
              <w:rPr>
                <w:rFonts w:hint="eastAsia" w:ascii="宋体" w:hAnsi="宋体"/>
                <w:b/>
                <w:bCs/>
                <w:color w:val="auto"/>
                <w:sz w:val="21"/>
                <w:szCs w:val="21"/>
                <w:highlight w:val="none"/>
              </w:rPr>
              <w:t>投标保证金退还：（1）中标单位由授权委托人持授权委托书、授权委托人近</w:t>
            </w:r>
            <w:r>
              <w:rPr>
                <w:rFonts w:hint="eastAsia" w:ascii="宋体" w:hAnsi="宋体"/>
                <w:b/>
                <w:bCs/>
                <w:color w:val="auto"/>
                <w:sz w:val="21"/>
                <w:szCs w:val="21"/>
                <w:highlight w:val="none"/>
                <w:lang w:val="en-US" w:eastAsia="zh-CN"/>
              </w:rPr>
              <w:t>1</w:t>
            </w:r>
            <w:r>
              <w:rPr>
                <w:rFonts w:hint="eastAsia" w:ascii="宋体" w:hAnsi="宋体"/>
                <w:b/>
                <w:bCs/>
                <w:color w:val="auto"/>
                <w:sz w:val="21"/>
                <w:szCs w:val="21"/>
                <w:highlight w:val="none"/>
              </w:rPr>
              <w:t>个月社保</w:t>
            </w:r>
          </w:p>
          <w:p w14:paraId="69EBA045">
            <w:pPr>
              <w:keepNext w:val="0"/>
              <w:keepLines w:val="0"/>
              <w:pageBreakBefore w:val="0"/>
              <w:shd w:val="clear" w:color="auto" w:fill="auto"/>
              <w:kinsoku/>
              <w:wordWrap/>
              <w:overflowPunct/>
              <w:topLinePunct w:val="0"/>
              <w:autoSpaceDE/>
              <w:autoSpaceDN/>
              <w:bidi w:val="0"/>
              <w:adjustRightInd/>
              <w:snapToGrid w:val="0"/>
              <w:spacing w:line="290" w:lineRule="exact"/>
              <w:ind w:firstLine="213" w:firstLineChars="100"/>
              <w:textAlignment w:val="auto"/>
              <w:outlineLvl w:val="9"/>
              <w:rPr>
                <w:rFonts w:hint="eastAsia" w:ascii="宋体" w:hAnsi="宋体"/>
                <w:b/>
                <w:bCs/>
                <w:color w:val="auto"/>
                <w:sz w:val="21"/>
                <w:szCs w:val="21"/>
                <w:highlight w:val="none"/>
              </w:rPr>
            </w:pPr>
            <w:r>
              <w:rPr>
                <w:rFonts w:hint="eastAsia" w:ascii="宋体" w:hAnsi="宋体"/>
                <w:b/>
                <w:bCs/>
                <w:color w:val="auto"/>
                <w:sz w:val="21"/>
                <w:szCs w:val="21"/>
                <w:highlight w:val="none"/>
              </w:rPr>
              <w:t>（委托代理人必须为参加本单位社保的在职工作人员）、合同和票据收据原件5日内办理</w:t>
            </w:r>
            <w:r>
              <w:rPr>
                <w:rFonts w:hint="eastAsia" w:ascii="宋体" w:hAnsi="宋体"/>
                <w:b/>
                <w:bCs/>
                <w:color w:val="auto"/>
                <w:sz w:val="21"/>
                <w:szCs w:val="21"/>
                <w:highlight w:val="none"/>
                <w:lang w:eastAsia="zh-CN"/>
              </w:rPr>
              <w:t>；</w:t>
            </w:r>
            <w:r>
              <w:rPr>
                <w:rFonts w:hint="eastAsia" w:ascii="宋体" w:hAnsi="宋体"/>
                <w:b/>
                <w:bCs/>
                <w:color w:val="auto"/>
                <w:sz w:val="21"/>
                <w:szCs w:val="21"/>
                <w:highlight w:val="none"/>
              </w:rPr>
              <w:t xml:space="preserve">（2）未中标单位由授权委托人持授权委托书、授权委托人社保和票据收据原件5日内办理; </w:t>
            </w:r>
          </w:p>
          <w:p w14:paraId="6386D133">
            <w:pPr>
              <w:spacing w:line="360" w:lineRule="auto"/>
              <w:rPr>
                <w:rFonts w:hint="eastAsia" w:ascii="宋体" w:hAnsi="宋体" w:cs="宋体-18030"/>
                <w:b w:val="0"/>
                <w:bCs/>
                <w:color w:val="auto"/>
                <w:sz w:val="21"/>
                <w:szCs w:val="21"/>
                <w:highlight w:val="none"/>
              </w:rPr>
            </w:pPr>
            <w:r>
              <w:rPr>
                <w:rFonts w:hint="eastAsia" w:ascii="宋体" w:hAnsi="宋体"/>
                <w:b/>
                <w:bCs/>
                <w:color w:val="auto"/>
                <w:sz w:val="21"/>
                <w:szCs w:val="21"/>
                <w:highlight w:val="none"/>
              </w:rPr>
              <w:t>（3）因投标单位自身原因耽搁领取，超过退还时限，不承担延后退还责任。</w:t>
            </w:r>
          </w:p>
        </w:tc>
      </w:tr>
      <w:tr w14:paraId="54B555BA">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24" w:hRule="atLeast"/>
          <w:jc w:val="center"/>
        </w:trPr>
        <w:tc>
          <w:tcPr>
            <w:tcW w:w="1012" w:type="dxa"/>
            <w:noWrap w:val="0"/>
            <w:vAlign w:val="center"/>
          </w:tcPr>
          <w:p w14:paraId="66C40639">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b/>
                <w:bCs w:val="0"/>
                <w:color w:val="auto"/>
                <w:sz w:val="21"/>
                <w:szCs w:val="21"/>
                <w:highlight w:val="none"/>
                <w:lang w:val="en-US" w:eastAsia="zh-CN"/>
              </w:rPr>
            </w:pPr>
            <w:r>
              <w:rPr>
                <w:rFonts w:hint="eastAsia" w:ascii="宋体" w:cs="宋体"/>
                <w:b/>
                <w:bCs w:val="0"/>
                <w:color w:val="auto"/>
                <w:sz w:val="21"/>
                <w:szCs w:val="21"/>
                <w:highlight w:val="none"/>
                <w:lang w:val="en-US" w:eastAsia="zh-CN"/>
              </w:rPr>
              <w:t>20</w:t>
            </w:r>
          </w:p>
        </w:tc>
        <w:tc>
          <w:tcPr>
            <w:tcW w:w="1536" w:type="dxa"/>
            <w:noWrap w:val="0"/>
            <w:vAlign w:val="center"/>
          </w:tcPr>
          <w:p w14:paraId="422E1ECA">
            <w:pPr>
              <w:pStyle w:val="14"/>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b/>
                <w:bCs w:val="0"/>
                <w:color w:val="auto"/>
                <w:sz w:val="21"/>
                <w:szCs w:val="21"/>
                <w:highlight w:val="none"/>
                <w:lang w:val="en-US" w:eastAsia="zh-CN"/>
              </w:rPr>
            </w:pPr>
            <w:r>
              <w:rPr>
                <w:rFonts w:hint="eastAsia"/>
                <w:b/>
                <w:bCs w:val="0"/>
                <w:color w:val="auto"/>
                <w:sz w:val="21"/>
                <w:szCs w:val="21"/>
                <w:highlight w:val="none"/>
                <w:lang w:val="en-US" w:eastAsia="zh-CN"/>
              </w:rPr>
              <w:t>投标文件形式</w:t>
            </w:r>
          </w:p>
        </w:tc>
        <w:tc>
          <w:tcPr>
            <w:tcW w:w="7288" w:type="dxa"/>
            <w:noWrap w:val="0"/>
            <w:vAlign w:val="center"/>
          </w:tcPr>
          <w:p w14:paraId="4BF45E44">
            <w:pPr>
              <w:pStyle w:val="14"/>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b w:val="0"/>
                <w:bCs/>
                <w:color w:val="auto"/>
                <w:sz w:val="21"/>
                <w:szCs w:val="21"/>
                <w:highlight w:val="none"/>
                <w:lang w:val="en-US" w:eastAsia="zh-CN"/>
              </w:rPr>
            </w:pPr>
            <w:r>
              <w:rPr>
                <w:rFonts w:hint="eastAsia"/>
                <w:b w:val="0"/>
                <w:bCs/>
                <w:color w:val="auto"/>
                <w:sz w:val="21"/>
                <w:szCs w:val="21"/>
                <w:highlight w:val="none"/>
                <w:lang w:val="en-US" w:eastAsia="zh-CN"/>
              </w:rPr>
              <w:t>电子投标文件包括“电子加密投标文件”，在投标文件编制完成后同时生成。</w:t>
            </w:r>
          </w:p>
          <w:p w14:paraId="5828A2AA">
            <w:pPr>
              <w:pStyle w:val="14"/>
              <w:keepNext w:val="0"/>
              <w:keepLines w:val="0"/>
              <w:pageBreakBefore w:val="0"/>
              <w:shd w:val="clear" w:color="auto" w:fill="auto"/>
              <w:kinsoku/>
              <w:wordWrap/>
              <w:overflowPunct/>
              <w:topLinePunct w:val="0"/>
              <w:autoSpaceDE/>
              <w:autoSpaceDN/>
              <w:bidi w:val="0"/>
              <w:adjustRightInd/>
              <w:snapToGrid w:val="0"/>
              <w:spacing w:line="360" w:lineRule="auto"/>
              <w:textAlignment w:val="auto"/>
              <w:outlineLvl w:val="9"/>
              <w:rPr>
                <w:rFonts w:hint="eastAsia"/>
                <w:b w:val="0"/>
                <w:bCs/>
                <w:color w:val="auto"/>
                <w:sz w:val="21"/>
                <w:szCs w:val="21"/>
                <w:highlight w:val="none"/>
                <w:lang w:val="en-US" w:eastAsia="zh-CN"/>
              </w:rPr>
            </w:pPr>
            <w:r>
              <w:rPr>
                <w:rFonts w:hint="eastAsia"/>
                <w:b w:val="0"/>
                <w:bCs/>
                <w:color w:val="auto"/>
                <w:sz w:val="21"/>
                <w:szCs w:val="21"/>
                <w:highlight w:val="none"/>
                <w:lang w:val="en-US" w:eastAsia="zh-CN"/>
              </w:rPr>
              <w:t>1、“电子加密投标文件”是指通过“政采云电子交易客户端”完成投标文件编制后生成并加密的数据电文形式的投标文件。</w:t>
            </w:r>
          </w:p>
        </w:tc>
      </w:tr>
      <w:tr w14:paraId="3272D669">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090" w:hRule="atLeast"/>
          <w:jc w:val="center"/>
        </w:trPr>
        <w:tc>
          <w:tcPr>
            <w:tcW w:w="1012" w:type="dxa"/>
            <w:noWrap w:val="0"/>
            <w:vAlign w:val="center"/>
          </w:tcPr>
          <w:p w14:paraId="6C6C98B6">
            <w:pPr>
              <w:keepNext w:val="0"/>
              <w:keepLines w:val="0"/>
              <w:pageBreakBefore w:val="0"/>
              <w:shd w:val="clear" w:color="auto" w:fill="auto"/>
              <w:kinsoku/>
              <w:wordWrap/>
              <w:overflowPunct/>
              <w:topLinePunct w:val="0"/>
              <w:autoSpaceDE/>
              <w:autoSpaceDN/>
              <w:bidi w:val="0"/>
              <w:adjustRightInd/>
              <w:snapToGrid w:val="0"/>
              <w:spacing w:line="290" w:lineRule="exact"/>
              <w:ind w:left="-78" w:leftChars="-37" w:right="-95" w:rightChars="-45"/>
              <w:jc w:val="center"/>
              <w:textAlignment w:val="auto"/>
              <w:outlineLvl w:val="9"/>
              <w:rPr>
                <w:rFonts w:hint="default" w:ascii="宋体" w:eastAsia="宋体" w:cs="宋体"/>
                <w:b/>
                <w:bCs w:val="0"/>
                <w:color w:val="auto"/>
                <w:sz w:val="21"/>
                <w:szCs w:val="21"/>
                <w:highlight w:val="none"/>
                <w:lang w:val="en-US" w:eastAsia="zh-CN"/>
              </w:rPr>
            </w:pPr>
            <w:r>
              <w:rPr>
                <w:rFonts w:hint="eastAsia" w:ascii="宋体" w:cs="宋体"/>
                <w:b/>
                <w:bCs w:val="0"/>
                <w:color w:val="auto"/>
                <w:sz w:val="21"/>
                <w:szCs w:val="21"/>
                <w:highlight w:val="none"/>
                <w:lang w:val="en-US" w:eastAsia="zh-CN"/>
              </w:rPr>
              <w:t>21</w:t>
            </w:r>
          </w:p>
        </w:tc>
        <w:tc>
          <w:tcPr>
            <w:tcW w:w="1536" w:type="dxa"/>
            <w:noWrap w:val="0"/>
            <w:vAlign w:val="center"/>
          </w:tcPr>
          <w:p w14:paraId="61F01AD0">
            <w:pPr>
              <w:pStyle w:val="14"/>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eastAsia="宋体" w:cs="宋体"/>
                <w:b/>
                <w:bCs w:val="0"/>
                <w:color w:val="auto"/>
                <w:sz w:val="21"/>
                <w:szCs w:val="21"/>
                <w:highlight w:val="none"/>
              </w:rPr>
            </w:pPr>
            <w:r>
              <w:rPr>
                <w:rFonts w:hint="eastAsia" w:ascii="宋体" w:hAnsi="宋体" w:eastAsia="宋体" w:cs="宋体"/>
                <w:b/>
                <w:bCs w:val="0"/>
                <w:color w:val="auto"/>
                <w:sz w:val="21"/>
                <w:szCs w:val="21"/>
                <w:highlight w:val="none"/>
                <w:lang w:bidi="zh-CN"/>
              </w:rPr>
              <w:t>投标文件的上传和递交</w:t>
            </w:r>
          </w:p>
        </w:tc>
        <w:tc>
          <w:tcPr>
            <w:tcW w:w="7288" w:type="dxa"/>
            <w:noWrap w:val="0"/>
            <w:vAlign w:val="center"/>
          </w:tcPr>
          <w:p w14:paraId="5DFC523D">
            <w:pPr>
              <w:pStyle w:val="14"/>
              <w:keepNext w:val="0"/>
              <w:keepLines w:val="0"/>
              <w:pageBreakBefore w:val="0"/>
              <w:shd w:val="clear" w:color="auto" w:fill="auto"/>
              <w:kinsoku/>
              <w:wordWrap/>
              <w:overflowPunct/>
              <w:topLinePunct w:val="0"/>
              <w:autoSpaceDE/>
              <w:autoSpaceDN/>
              <w:bidi w:val="0"/>
              <w:adjustRightInd/>
              <w:snapToGrid w:val="0"/>
              <w:spacing w:line="360" w:lineRule="auto"/>
              <w:textAlignment w:val="auto"/>
              <w:outlineLvl w:val="9"/>
              <w:rPr>
                <w:rFonts w:hint="eastAsia"/>
                <w:b w:val="0"/>
                <w:bCs/>
                <w:color w:val="auto"/>
                <w:sz w:val="21"/>
                <w:szCs w:val="21"/>
                <w:highlight w:val="none"/>
                <w:u w:val="single" w:color="auto"/>
                <w:lang w:val="en-US" w:eastAsia="zh-CN"/>
              </w:rPr>
            </w:pPr>
            <w:r>
              <w:rPr>
                <w:rFonts w:hint="eastAsia"/>
                <w:b w:val="0"/>
                <w:bCs/>
                <w:color w:val="auto"/>
                <w:sz w:val="21"/>
                <w:szCs w:val="21"/>
                <w:highlight w:val="none"/>
                <w:lang w:val="en-US" w:eastAsia="zh-CN"/>
              </w:rPr>
              <w:t>1.电子加密投标文件：投标文件制作完成并生成加密标书，在投标截止时间前，供应商需将加密的投标文件上传至政采云平台，</w:t>
            </w:r>
            <w:r>
              <w:rPr>
                <w:rFonts w:hint="eastAsia"/>
                <w:b w:val="0"/>
                <w:bCs/>
                <w:color w:val="auto"/>
                <w:sz w:val="21"/>
                <w:szCs w:val="21"/>
                <w:highlight w:val="none"/>
                <w:u w:val="single" w:color="auto"/>
                <w:lang w:val="en-US" w:eastAsia="zh-CN"/>
              </w:rPr>
              <w:t>在开标时间开始后，待采购组织机构发出解密通知后30分钟内解密投标文件。</w:t>
            </w:r>
          </w:p>
          <w:p w14:paraId="14756EB6">
            <w:pPr>
              <w:pStyle w:val="14"/>
              <w:keepNext w:val="0"/>
              <w:keepLines w:val="0"/>
              <w:pageBreakBefore w:val="0"/>
              <w:shd w:val="clear" w:color="auto" w:fill="auto"/>
              <w:kinsoku/>
              <w:wordWrap/>
              <w:overflowPunct/>
              <w:topLinePunct w:val="0"/>
              <w:autoSpaceDE/>
              <w:autoSpaceDN/>
              <w:bidi w:val="0"/>
              <w:adjustRightInd/>
              <w:snapToGrid w:val="0"/>
              <w:spacing w:line="360" w:lineRule="auto"/>
              <w:textAlignment w:val="auto"/>
              <w:outlineLvl w:val="9"/>
              <w:rPr>
                <w:rFonts w:hint="eastAsia"/>
                <w:b w:val="0"/>
                <w:bCs/>
                <w:color w:val="auto"/>
                <w:sz w:val="21"/>
                <w:szCs w:val="21"/>
                <w:highlight w:val="none"/>
                <w:lang w:val="en-US" w:eastAsia="zh-CN"/>
              </w:rPr>
            </w:pPr>
            <w:r>
              <w:rPr>
                <w:rFonts w:hint="eastAsia"/>
                <w:b w:val="0"/>
                <w:bCs/>
                <w:color w:val="auto"/>
                <w:sz w:val="21"/>
                <w:szCs w:val="21"/>
                <w:highlight w:val="none"/>
                <w:lang w:val="en-US" w:eastAsia="zh-CN"/>
              </w:rPr>
              <w:t>a.供应商未能在投标截止时间前成功上传电子加密投标文件的投标无效。</w:t>
            </w:r>
          </w:p>
          <w:p w14:paraId="04991483">
            <w:pPr>
              <w:pStyle w:val="14"/>
              <w:keepNext w:val="0"/>
              <w:keepLines w:val="0"/>
              <w:pageBreakBefore w:val="0"/>
              <w:shd w:val="clear" w:color="auto" w:fill="auto"/>
              <w:kinsoku/>
              <w:wordWrap/>
              <w:overflowPunct/>
              <w:topLinePunct w:val="0"/>
              <w:autoSpaceDE/>
              <w:autoSpaceDN/>
              <w:bidi w:val="0"/>
              <w:adjustRightInd/>
              <w:snapToGrid w:val="0"/>
              <w:spacing w:line="360" w:lineRule="auto"/>
              <w:textAlignment w:val="auto"/>
              <w:outlineLvl w:val="9"/>
              <w:rPr>
                <w:rFonts w:hint="eastAsia"/>
                <w:b w:val="0"/>
                <w:bCs/>
                <w:color w:val="auto"/>
                <w:sz w:val="21"/>
                <w:szCs w:val="21"/>
                <w:highlight w:val="none"/>
                <w:lang w:val="en-US" w:eastAsia="zh-CN"/>
              </w:rPr>
            </w:pPr>
            <w:r>
              <w:rPr>
                <w:rFonts w:hint="eastAsia"/>
                <w:b w:val="0"/>
                <w:bCs/>
                <w:color w:val="auto"/>
                <w:sz w:val="21"/>
                <w:szCs w:val="21"/>
                <w:highlight w:val="none"/>
                <w:lang w:val="en-US" w:eastAsia="zh-CN"/>
              </w:rPr>
              <w:t>b.供应商成功上传电子加密投标文件后，可自行打印投标文件接收回执。</w:t>
            </w:r>
          </w:p>
        </w:tc>
      </w:tr>
      <w:tr w14:paraId="517C2959">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917" w:hRule="atLeast"/>
          <w:jc w:val="center"/>
        </w:trPr>
        <w:tc>
          <w:tcPr>
            <w:tcW w:w="1012" w:type="dxa"/>
            <w:noWrap w:val="0"/>
            <w:vAlign w:val="center"/>
          </w:tcPr>
          <w:p w14:paraId="39C1883D">
            <w:pPr>
              <w:keepNext w:val="0"/>
              <w:keepLines w:val="0"/>
              <w:pageBreakBefore w:val="0"/>
              <w:shd w:val="clear" w:color="auto" w:fill="auto"/>
              <w:kinsoku/>
              <w:wordWrap/>
              <w:overflowPunct/>
              <w:topLinePunct w:val="0"/>
              <w:autoSpaceDE/>
              <w:autoSpaceDN/>
              <w:bidi w:val="0"/>
              <w:adjustRightInd/>
              <w:snapToGrid w:val="0"/>
              <w:spacing w:line="290" w:lineRule="exact"/>
              <w:ind w:left="-78" w:leftChars="-37" w:right="-95" w:rightChars="-45"/>
              <w:jc w:val="center"/>
              <w:textAlignment w:val="auto"/>
              <w:outlineLvl w:val="9"/>
              <w:rPr>
                <w:rFonts w:hint="default" w:ascii="宋体" w:eastAsia="宋体" w:cs="宋体"/>
                <w:b/>
                <w:bCs w:val="0"/>
                <w:color w:val="auto"/>
                <w:sz w:val="21"/>
                <w:szCs w:val="21"/>
                <w:highlight w:val="none"/>
                <w:lang w:val="en-US" w:eastAsia="zh-CN"/>
              </w:rPr>
            </w:pPr>
            <w:r>
              <w:rPr>
                <w:rFonts w:hint="eastAsia" w:ascii="宋体" w:cs="宋体"/>
                <w:b/>
                <w:bCs w:val="0"/>
                <w:color w:val="auto"/>
                <w:sz w:val="21"/>
                <w:szCs w:val="21"/>
                <w:highlight w:val="none"/>
                <w:lang w:val="en-US" w:eastAsia="zh-CN"/>
              </w:rPr>
              <w:t>22</w:t>
            </w:r>
          </w:p>
        </w:tc>
        <w:tc>
          <w:tcPr>
            <w:tcW w:w="1536" w:type="dxa"/>
            <w:noWrap w:val="0"/>
            <w:vAlign w:val="center"/>
          </w:tcPr>
          <w:p w14:paraId="6225EB43">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b/>
                <w:bCs w:val="0"/>
                <w:color w:val="auto"/>
                <w:sz w:val="21"/>
                <w:szCs w:val="21"/>
                <w:highlight w:val="none"/>
              </w:rPr>
            </w:pPr>
            <w:r>
              <w:rPr>
                <w:rFonts w:hint="eastAsia" w:ascii="宋体"/>
                <w:b/>
                <w:bCs w:val="0"/>
                <w:color w:val="auto"/>
                <w:sz w:val="21"/>
                <w:szCs w:val="21"/>
                <w:highlight w:val="none"/>
                <w:lang w:eastAsia="zh-CN"/>
              </w:rPr>
              <w:t>投标截止</w:t>
            </w:r>
            <w:r>
              <w:rPr>
                <w:rFonts w:hint="eastAsia" w:ascii="宋体"/>
                <w:b/>
                <w:bCs w:val="0"/>
                <w:color w:val="auto"/>
                <w:sz w:val="21"/>
                <w:szCs w:val="21"/>
                <w:highlight w:val="none"/>
              </w:rPr>
              <w:t>时间及地点</w:t>
            </w:r>
          </w:p>
        </w:tc>
        <w:tc>
          <w:tcPr>
            <w:tcW w:w="7288" w:type="dxa"/>
            <w:noWrap w:val="0"/>
            <w:vAlign w:val="center"/>
          </w:tcPr>
          <w:p w14:paraId="38D74460">
            <w:pPr>
              <w:keepNext w:val="0"/>
              <w:keepLines w:val="0"/>
              <w:pageBreakBefore w:val="0"/>
              <w:shd w:val="clear" w:color="auto" w:fill="auto"/>
              <w:kinsoku/>
              <w:wordWrap/>
              <w:overflowPunct/>
              <w:topLinePunct w:val="0"/>
              <w:autoSpaceDE/>
              <w:autoSpaceDN/>
              <w:bidi w:val="0"/>
              <w:adjustRightInd/>
              <w:snapToGrid w:val="0"/>
              <w:spacing w:line="360" w:lineRule="auto"/>
              <w:ind w:firstLine="18" w:firstLineChars="9"/>
              <w:textAlignment w:val="auto"/>
              <w:outlineLvl w:val="9"/>
              <w:rPr>
                <w:rFonts w:hint="eastAsia"/>
                <w:b w:val="0"/>
                <w:bCs/>
                <w:color w:val="auto"/>
                <w:sz w:val="21"/>
                <w:szCs w:val="21"/>
                <w:highlight w:val="yellow"/>
              </w:rPr>
            </w:pPr>
            <w:r>
              <w:rPr>
                <w:rFonts w:hint="eastAsia" w:ascii="Times New Roman" w:hAnsi="Times New Roman" w:cs="Times New Roman"/>
                <w:b w:val="0"/>
                <w:bCs/>
                <w:color w:val="auto"/>
                <w:sz w:val="21"/>
                <w:szCs w:val="21"/>
                <w:highlight w:val="yellow"/>
                <w:lang w:eastAsia="zh-CN"/>
              </w:rPr>
              <w:t>投标截止</w:t>
            </w:r>
            <w:r>
              <w:rPr>
                <w:rFonts w:hint="eastAsia" w:ascii="Times New Roman" w:hAnsi="Times New Roman" w:cs="Times New Roman"/>
                <w:b w:val="0"/>
                <w:bCs/>
                <w:color w:val="auto"/>
                <w:sz w:val="21"/>
                <w:szCs w:val="21"/>
                <w:highlight w:val="yellow"/>
              </w:rPr>
              <w:t>时间：</w:t>
            </w:r>
            <w:r>
              <w:rPr>
                <w:rFonts w:hint="eastAsia"/>
                <w:b w:val="0"/>
                <w:bCs/>
                <w:color w:val="auto"/>
                <w:sz w:val="21"/>
                <w:szCs w:val="21"/>
                <w:highlight w:val="yellow"/>
                <w:lang w:val="en-US" w:eastAsia="zh-CN"/>
              </w:rPr>
              <w:t>2025年4月28日10:30（北京时间）</w:t>
            </w:r>
          </w:p>
          <w:p w14:paraId="6721B34A">
            <w:pPr>
              <w:keepNext w:val="0"/>
              <w:keepLines w:val="0"/>
              <w:pageBreakBefore w:val="0"/>
              <w:shd w:val="clear" w:color="auto" w:fill="auto"/>
              <w:kinsoku/>
              <w:wordWrap/>
              <w:overflowPunct/>
              <w:topLinePunct w:val="0"/>
              <w:autoSpaceDE/>
              <w:autoSpaceDN/>
              <w:bidi w:val="0"/>
              <w:adjustRightInd/>
              <w:snapToGrid w:val="0"/>
              <w:spacing w:line="360" w:lineRule="auto"/>
              <w:ind w:firstLine="18" w:firstLineChars="9"/>
              <w:textAlignment w:val="auto"/>
              <w:outlineLvl w:val="9"/>
              <w:rPr>
                <w:rFonts w:hint="eastAsia"/>
                <w:b w:val="0"/>
                <w:bCs/>
                <w:color w:val="auto"/>
                <w:sz w:val="21"/>
                <w:szCs w:val="21"/>
                <w:highlight w:val="none"/>
              </w:rPr>
            </w:pPr>
            <w:r>
              <w:rPr>
                <w:rFonts w:hint="eastAsia"/>
                <w:b w:val="0"/>
                <w:bCs/>
                <w:color w:val="auto"/>
                <w:sz w:val="21"/>
                <w:szCs w:val="21"/>
                <w:highlight w:val="none"/>
                <w:lang w:eastAsia="zh-CN"/>
              </w:rPr>
              <w:t>投标</w:t>
            </w:r>
            <w:r>
              <w:rPr>
                <w:rFonts w:hint="eastAsia"/>
                <w:b w:val="0"/>
                <w:bCs/>
                <w:color w:val="auto"/>
                <w:sz w:val="21"/>
                <w:szCs w:val="21"/>
                <w:highlight w:val="none"/>
              </w:rPr>
              <w:t>地点：</w:t>
            </w:r>
            <w:r>
              <w:rPr>
                <w:rFonts w:hint="eastAsia"/>
                <w:b w:val="0"/>
                <w:bCs/>
                <w:color w:val="auto"/>
                <w:sz w:val="21"/>
                <w:szCs w:val="21"/>
                <w:highlight w:val="none"/>
                <w:lang w:eastAsia="zh-CN"/>
              </w:rPr>
              <w:t>新疆</w:t>
            </w:r>
            <w:r>
              <w:rPr>
                <w:rFonts w:hint="eastAsia"/>
                <w:b w:val="0"/>
                <w:bCs/>
                <w:color w:val="auto"/>
                <w:sz w:val="21"/>
                <w:szCs w:val="21"/>
                <w:highlight w:val="none"/>
              </w:rPr>
              <w:t>政府采购云平台（www.zcygov.cn）</w:t>
            </w:r>
          </w:p>
        </w:tc>
      </w:tr>
      <w:tr w14:paraId="0D222079">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7" w:hRule="atLeast"/>
          <w:jc w:val="center"/>
        </w:trPr>
        <w:tc>
          <w:tcPr>
            <w:tcW w:w="1012" w:type="dxa"/>
            <w:noWrap w:val="0"/>
            <w:vAlign w:val="center"/>
          </w:tcPr>
          <w:p w14:paraId="6BAEDC98">
            <w:pPr>
              <w:pStyle w:val="14"/>
              <w:keepNext w:val="0"/>
              <w:keepLines w:val="0"/>
              <w:pageBreakBefore w:val="0"/>
              <w:shd w:val="clear" w:color="auto" w:fill="auto"/>
              <w:kinsoku/>
              <w:wordWrap/>
              <w:overflowPunct/>
              <w:topLinePunct w:val="0"/>
              <w:autoSpaceDE/>
              <w:autoSpaceDN/>
              <w:bidi w:val="0"/>
              <w:adjustRightInd/>
              <w:snapToGrid w:val="0"/>
              <w:spacing w:line="290" w:lineRule="exact"/>
              <w:ind w:left="-78" w:leftChars="-37" w:right="-95" w:rightChars="-45"/>
              <w:jc w:val="center"/>
              <w:textAlignment w:val="auto"/>
              <w:outlineLvl w:val="9"/>
              <w:rPr>
                <w:rFonts w:hint="default" w:ascii="宋体" w:eastAsia="宋体" w:cs="宋体"/>
                <w:b/>
                <w:bCs w:val="0"/>
                <w:color w:val="auto"/>
                <w:sz w:val="21"/>
                <w:szCs w:val="21"/>
                <w:highlight w:val="none"/>
                <w:lang w:val="en-US" w:eastAsia="zh-CN"/>
              </w:rPr>
            </w:pPr>
            <w:r>
              <w:rPr>
                <w:rFonts w:hint="eastAsia"/>
                <w:b/>
                <w:bCs w:val="0"/>
                <w:color w:val="auto"/>
                <w:sz w:val="21"/>
                <w:szCs w:val="21"/>
                <w:highlight w:val="none"/>
                <w:lang w:val="en-US" w:eastAsia="zh-CN"/>
              </w:rPr>
              <w:t>23</w:t>
            </w:r>
          </w:p>
        </w:tc>
        <w:tc>
          <w:tcPr>
            <w:tcW w:w="1536" w:type="dxa"/>
            <w:noWrap w:val="0"/>
            <w:vAlign w:val="center"/>
          </w:tcPr>
          <w:p w14:paraId="4FAB75ED">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b/>
                <w:bCs w:val="0"/>
                <w:color w:val="auto"/>
                <w:sz w:val="21"/>
                <w:szCs w:val="21"/>
                <w:highlight w:val="none"/>
              </w:rPr>
            </w:pPr>
            <w:r>
              <w:rPr>
                <w:rFonts w:hint="eastAsia" w:ascii="宋体"/>
                <w:b/>
                <w:bCs w:val="0"/>
                <w:color w:val="auto"/>
                <w:sz w:val="21"/>
                <w:szCs w:val="21"/>
                <w:highlight w:val="none"/>
              </w:rPr>
              <w:t>开标时间及地点</w:t>
            </w:r>
          </w:p>
        </w:tc>
        <w:tc>
          <w:tcPr>
            <w:tcW w:w="7288" w:type="dxa"/>
            <w:noWrap w:val="0"/>
            <w:vAlign w:val="center"/>
          </w:tcPr>
          <w:p w14:paraId="732DCA3C">
            <w:pPr>
              <w:pStyle w:val="4"/>
              <w:numPr>
                <w:ilvl w:val="1"/>
                <w:numId w:val="0"/>
              </w:numPr>
              <w:bidi w:val="0"/>
              <w:rPr>
                <w:rFonts w:hint="eastAsia"/>
                <w:b w:val="0"/>
                <w:bCs/>
                <w:color w:val="auto"/>
                <w:sz w:val="21"/>
                <w:szCs w:val="21"/>
                <w:highlight w:val="yellow"/>
              </w:rPr>
            </w:pPr>
            <w:r>
              <w:rPr>
                <w:rFonts w:hint="eastAsia"/>
                <w:b w:val="0"/>
                <w:bCs/>
                <w:color w:val="auto"/>
                <w:sz w:val="21"/>
                <w:szCs w:val="21"/>
                <w:highlight w:val="yellow"/>
              </w:rPr>
              <w:t>开标时间：</w:t>
            </w:r>
            <w:r>
              <w:rPr>
                <w:rFonts w:hint="eastAsia"/>
                <w:b w:val="0"/>
                <w:bCs/>
                <w:color w:val="auto"/>
                <w:sz w:val="21"/>
                <w:szCs w:val="21"/>
                <w:highlight w:val="yellow"/>
                <w:lang w:val="en-US" w:eastAsia="zh-CN"/>
              </w:rPr>
              <w:t>2025年4月28日10:30（北京时间）</w:t>
            </w:r>
          </w:p>
          <w:p w14:paraId="677A6F72">
            <w:pPr>
              <w:keepNext w:val="0"/>
              <w:keepLines w:val="0"/>
              <w:pageBreakBefore w:val="0"/>
              <w:shd w:val="clear" w:color="auto" w:fill="auto"/>
              <w:kinsoku/>
              <w:wordWrap/>
              <w:overflowPunct/>
              <w:topLinePunct w:val="0"/>
              <w:autoSpaceDE/>
              <w:autoSpaceDN/>
              <w:bidi w:val="0"/>
              <w:adjustRightInd/>
              <w:snapToGrid w:val="0"/>
              <w:spacing w:line="360" w:lineRule="auto"/>
              <w:ind w:firstLine="18" w:firstLineChars="9"/>
              <w:textAlignment w:val="auto"/>
              <w:outlineLvl w:val="9"/>
              <w:rPr>
                <w:rFonts w:hint="eastAsia"/>
                <w:b w:val="0"/>
                <w:bCs/>
                <w:color w:val="auto"/>
                <w:sz w:val="21"/>
                <w:szCs w:val="21"/>
                <w:highlight w:val="none"/>
              </w:rPr>
            </w:pPr>
            <w:r>
              <w:rPr>
                <w:rFonts w:hint="eastAsia"/>
                <w:b w:val="0"/>
                <w:bCs/>
                <w:color w:val="auto"/>
                <w:sz w:val="21"/>
                <w:szCs w:val="21"/>
                <w:highlight w:val="none"/>
              </w:rPr>
              <w:t>开标地点：在</w:t>
            </w:r>
            <w:r>
              <w:rPr>
                <w:rFonts w:hint="eastAsia"/>
                <w:b w:val="0"/>
                <w:bCs/>
                <w:color w:val="auto"/>
                <w:sz w:val="21"/>
                <w:szCs w:val="21"/>
                <w:highlight w:val="none"/>
                <w:lang w:eastAsia="zh-CN"/>
              </w:rPr>
              <w:t>新疆</w:t>
            </w:r>
            <w:r>
              <w:rPr>
                <w:rFonts w:hint="eastAsia"/>
                <w:b w:val="0"/>
                <w:bCs/>
                <w:color w:val="auto"/>
                <w:sz w:val="21"/>
                <w:szCs w:val="21"/>
                <w:highlight w:val="none"/>
              </w:rPr>
              <w:t>政府采购云平台（www.zcygov.cn）上开启投标文件</w:t>
            </w:r>
          </w:p>
        </w:tc>
      </w:tr>
      <w:tr w14:paraId="01EBB4F5">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05" w:hRule="atLeast"/>
          <w:jc w:val="center"/>
        </w:trPr>
        <w:tc>
          <w:tcPr>
            <w:tcW w:w="1012" w:type="dxa"/>
            <w:noWrap w:val="0"/>
            <w:vAlign w:val="center"/>
          </w:tcPr>
          <w:p w14:paraId="557FF151">
            <w:pPr>
              <w:pStyle w:val="14"/>
              <w:keepNext w:val="0"/>
              <w:keepLines w:val="0"/>
              <w:pageBreakBefore w:val="0"/>
              <w:shd w:val="clear" w:color="auto" w:fill="auto"/>
              <w:kinsoku/>
              <w:wordWrap/>
              <w:overflowPunct/>
              <w:topLinePunct w:val="0"/>
              <w:autoSpaceDE/>
              <w:autoSpaceDN/>
              <w:bidi w:val="0"/>
              <w:adjustRightInd/>
              <w:snapToGrid w:val="0"/>
              <w:spacing w:line="290" w:lineRule="exact"/>
              <w:ind w:left="-78" w:leftChars="-37" w:right="-95" w:rightChars="-45"/>
              <w:jc w:val="center"/>
              <w:textAlignment w:val="auto"/>
              <w:outlineLvl w:val="9"/>
              <w:rPr>
                <w:rFonts w:hint="default"/>
                <w:b/>
                <w:bCs w:val="0"/>
                <w:color w:val="auto"/>
                <w:sz w:val="21"/>
                <w:szCs w:val="21"/>
                <w:highlight w:val="none"/>
                <w:lang w:val="en-US" w:eastAsia="zh-CN"/>
              </w:rPr>
            </w:pPr>
            <w:r>
              <w:rPr>
                <w:rFonts w:hint="eastAsia"/>
                <w:b/>
                <w:bCs w:val="0"/>
                <w:color w:val="auto"/>
                <w:sz w:val="21"/>
                <w:szCs w:val="21"/>
                <w:highlight w:val="none"/>
                <w:lang w:val="en-US" w:eastAsia="zh-CN"/>
              </w:rPr>
              <w:t>24</w:t>
            </w:r>
          </w:p>
        </w:tc>
        <w:tc>
          <w:tcPr>
            <w:tcW w:w="1536" w:type="dxa"/>
            <w:noWrap w:val="0"/>
            <w:vAlign w:val="center"/>
          </w:tcPr>
          <w:p w14:paraId="245638B8">
            <w:pPr>
              <w:pStyle w:val="14"/>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b/>
                <w:bCs w:val="0"/>
                <w:color w:val="auto"/>
                <w:sz w:val="21"/>
                <w:szCs w:val="21"/>
                <w:highlight w:val="none"/>
                <w:lang w:val="en-US" w:eastAsia="zh-CN"/>
              </w:rPr>
            </w:pPr>
            <w:r>
              <w:rPr>
                <w:rFonts w:hint="eastAsia"/>
                <w:b/>
                <w:bCs w:val="0"/>
                <w:color w:val="auto"/>
                <w:sz w:val="21"/>
                <w:szCs w:val="21"/>
                <w:highlight w:val="none"/>
                <w:lang w:val="en-US" w:eastAsia="zh-CN"/>
              </w:rPr>
              <w:t>评标委员会的组建</w:t>
            </w:r>
          </w:p>
        </w:tc>
        <w:tc>
          <w:tcPr>
            <w:tcW w:w="7288" w:type="dxa"/>
            <w:noWrap w:val="0"/>
            <w:vAlign w:val="top"/>
          </w:tcPr>
          <w:p w14:paraId="47FBCFB4">
            <w:pPr>
              <w:pStyle w:val="14"/>
              <w:keepNext w:val="0"/>
              <w:keepLines w:val="0"/>
              <w:pageBreakBefore w:val="0"/>
              <w:shd w:val="clear" w:color="auto" w:fill="auto"/>
              <w:kinsoku/>
              <w:wordWrap/>
              <w:overflowPunct/>
              <w:topLinePunct w:val="0"/>
              <w:autoSpaceDE/>
              <w:autoSpaceDN/>
              <w:bidi w:val="0"/>
              <w:adjustRightInd/>
              <w:snapToGrid w:val="0"/>
              <w:spacing w:line="360" w:lineRule="auto"/>
              <w:textAlignment w:val="auto"/>
              <w:outlineLvl w:val="9"/>
              <w:rPr>
                <w:rFonts w:hint="eastAsia"/>
                <w:b w:val="0"/>
                <w:bCs/>
                <w:color w:val="auto"/>
                <w:sz w:val="21"/>
                <w:szCs w:val="21"/>
                <w:highlight w:val="none"/>
                <w:lang w:val="en-US" w:eastAsia="zh-CN"/>
              </w:rPr>
            </w:pPr>
            <w:r>
              <w:rPr>
                <w:rFonts w:hint="eastAsia"/>
                <w:b w:val="0"/>
                <w:bCs/>
                <w:color w:val="auto"/>
                <w:sz w:val="21"/>
                <w:szCs w:val="21"/>
                <w:highlight w:val="none"/>
                <w:lang w:val="en-US" w:eastAsia="zh-CN"/>
              </w:rPr>
              <w:t>评标委员会由招标人依法组建；</w:t>
            </w:r>
          </w:p>
          <w:p w14:paraId="0E3A0364">
            <w:pPr>
              <w:pStyle w:val="14"/>
              <w:keepNext w:val="0"/>
              <w:keepLines w:val="0"/>
              <w:pageBreakBefore w:val="0"/>
              <w:shd w:val="clear" w:color="auto" w:fill="auto"/>
              <w:kinsoku/>
              <w:wordWrap/>
              <w:overflowPunct/>
              <w:topLinePunct w:val="0"/>
              <w:autoSpaceDE/>
              <w:autoSpaceDN/>
              <w:bidi w:val="0"/>
              <w:adjustRightInd/>
              <w:snapToGrid w:val="0"/>
              <w:spacing w:line="360" w:lineRule="auto"/>
              <w:textAlignment w:val="auto"/>
              <w:outlineLvl w:val="9"/>
              <w:rPr>
                <w:rFonts w:hint="eastAsia"/>
                <w:b w:val="0"/>
                <w:bCs/>
                <w:color w:val="auto"/>
                <w:sz w:val="21"/>
                <w:szCs w:val="21"/>
                <w:highlight w:val="none"/>
                <w:lang w:val="en-US" w:eastAsia="zh-CN"/>
              </w:rPr>
            </w:pPr>
            <w:r>
              <w:rPr>
                <w:rFonts w:hint="eastAsia"/>
                <w:b w:val="0"/>
                <w:bCs/>
                <w:color w:val="auto"/>
                <w:sz w:val="21"/>
                <w:szCs w:val="21"/>
                <w:highlight w:val="none"/>
                <w:lang w:val="en-US" w:eastAsia="zh-CN"/>
              </w:rPr>
              <w:t>评标专家确定方式：专家评委由招标人在开标前48小时内从政采云专家库中随机抽取。</w:t>
            </w:r>
          </w:p>
        </w:tc>
      </w:tr>
      <w:tr w14:paraId="1CD2E442">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77" w:hRule="atLeast"/>
          <w:jc w:val="center"/>
        </w:trPr>
        <w:tc>
          <w:tcPr>
            <w:tcW w:w="1012" w:type="dxa"/>
            <w:noWrap w:val="0"/>
            <w:vAlign w:val="center"/>
          </w:tcPr>
          <w:p w14:paraId="06AEF6EF">
            <w:pPr>
              <w:pStyle w:val="14"/>
              <w:keepNext w:val="0"/>
              <w:keepLines w:val="0"/>
              <w:pageBreakBefore w:val="0"/>
              <w:shd w:val="clear" w:color="auto" w:fill="auto"/>
              <w:kinsoku/>
              <w:wordWrap/>
              <w:overflowPunct/>
              <w:topLinePunct w:val="0"/>
              <w:autoSpaceDE/>
              <w:autoSpaceDN/>
              <w:bidi w:val="0"/>
              <w:adjustRightInd/>
              <w:snapToGrid w:val="0"/>
              <w:spacing w:line="290" w:lineRule="exact"/>
              <w:ind w:left="-78" w:leftChars="-37" w:right="-95" w:rightChars="-45"/>
              <w:jc w:val="center"/>
              <w:textAlignment w:val="auto"/>
              <w:outlineLvl w:val="9"/>
              <w:rPr>
                <w:rFonts w:hint="default"/>
                <w:b/>
                <w:bCs w:val="0"/>
                <w:color w:val="auto"/>
                <w:sz w:val="21"/>
                <w:szCs w:val="21"/>
                <w:highlight w:val="none"/>
                <w:lang w:val="en-US" w:eastAsia="zh-CN"/>
              </w:rPr>
            </w:pPr>
            <w:r>
              <w:rPr>
                <w:rFonts w:hint="eastAsia"/>
                <w:b/>
                <w:bCs w:val="0"/>
                <w:color w:val="auto"/>
                <w:sz w:val="21"/>
                <w:szCs w:val="21"/>
                <w:highlight w:val="none"/>
                <w:lang w:val="en-US" w:eastAsia="zh-CN"/>
              </w:rPr>
              <w:t>25</w:t>
            </w:r>
          </w:p>
        </w:tc>
        <w:tc>
          <w:tcPr>
            <w:tcW w:w="1536" w:type="dxa"/>
            <w:noWrap w:val="0"/>
            <w:vAlign w:val="center"/>
          </w:tcPr>
          <w:p w14:paraId="5F5BBDFA">
            <w:pPr>
              <w:pStyle w:val="14"/>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b/>
                <w:bCs w:val="0"/>
                <w:color w:val="auto"/>
                <w:sz w:val="21"/>
                <w:szCs w:val="21"/>
                <w:highlight w:val="none"/>
                <w:lang w:val="en-US" w:eastAsia="zh-CN"/>
              </w:rPr>
            </w:pPr>
            <w:r>
              <w:rPr>
                <w:rFonts w:hint="eastAsia"/>
                <w:b/>
                <w:bCs w:val="0"/>
                <w:color w:val="auto"/>
                <w:sz w:val="21"/>
                <w:szCs w:val="21"/>
                <w:highlight w:val="none"/>
                <w:lang w:val="en-US" w:eastAsia="zh-CN"/>
              </w:rPr>
              <w:t>是否授权评标委员会确定中标候选人</w:t>
            </w:r>
          </w:p>
        </w:tc>
        <w:tc>
          <w:tcPr>
            <w:tcW w:w="7288" w:type="dxa"/>
            <w:noWrap w:val="0"/>
            <w:vAlign w:val="center"/>
          </w:tcPr>
          <w:p w14:paraId="42CE1D9E">
            <w:pPr>
              <w:pStyle w:val="14"/>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b w:val="0"/>
                <w:bCs/>
                <w:color w:val="auto"/>
                <w:sz w:val="21"/>
                <w:szCs w:val="21"/>
                <w:highlight w:val="none"/>
                <w:lang w:val="en-US" w:eastAsia="zh-CN"/>
              </w:rPr>
            </w:pPr>
            <w:r>
              <w:rPr>
                <w:rFonts w:hint="eastAsia" w:hAnsi="宋体"/>
                <w:b w:val="0"/>
                <w:bCs/>
                <w:color w:val="auto"/>
                <w:sz w:val="21"/>
                <w:szCs w:val="21"/>
                <w:highlight w:val="none"/>
                <w:lang w:val="en-US" w:eastAsia="zh-CN"/>
              </w:rPr>
              <w:t>是，评标委员会推荐3名中标候选人。</w:t>
            </w:r>
          </w:p>
        </w:tc>
      </w:tr>
      <w:tr w14:paraId="36BFAEF1">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77" w:hRule="atLeast"/>
          <w:jc w:val="center"/>
        </w:trPr>
        <w:tc>
          <w:tcPr>
            <w:tcW w:w="1012" w:type="dxa"/>
            <w:noWrap w:val="0"/>
            <w:vAlign w:val="center"/>
          </w:tcPr>
          <w:p w14:paraId="1FDFA309">
            <w:pPr>
              <w:keepNext w:val="0"/>
              <w:keepLines w:val="0"/>
              <w:pageBreakBefore w:val="0"/>
              <w:shd w:val="clear" w:color="auto" w:fill="auto"/>
              <w:kinsoku/>
              <w:wordWrap/>
              <w:overflowPunct/>
              <w:topLinePunct w:val="0"/>
              <w:autoSpaceDE/>
              <w:autoSpaceDN/>
              <w:bidi w:val="0"/>
              <w:adjustRightInd/>
              <w:snapToGrid w:val="0"/>
              <w:spacing w:line="290" w:lineRule="exact"/>
              <w:ind w:left="-78" w:leftChars="-37" w:right="-95" w:rightChars="-45"/>
              <w:jc w:val="center"/>
              <w:textAlignment w:val="auto"/>
              <w:outlineLvl w:val="9"/>
              <w:rPr>
                <w:rFonts w:hint="default"/>
                <w:b/>
                <w:bCs w:val="0"/>
                <w:color w:val="auto"/>
                <w:sz w:val="21"/>
                <w:szCs w:val="21"/>
                <w:highlight w:val="none"/>
                <w:lang w:val="en-US" w:eastAsia="zh-CN"/>
              </w:rPr>
            </w:pPr>
            <w:r>
              <w:rPr>
                <w:rFonts w:hint="eastAsia" w:ascii="宋体" w:cs="宋体"/>
                <w:b/>
                <w:bCs w:val="0"/>
                <w:color w:val="auto"/>
                <w:sz w:val="21"/>
                <w:szCs w:val="21"/>
                <w:highlight w:val="none"/>
                <w:lang w:val="en-US" w:eastAsia="zh-CN"/>
              </w:rPr>
              <w:t>26</w:t>
            </w:r>
          </w:p>
        </w:tc>
        <w:tc>
          <w:tcPr>
            <w:tcW w:w="1536" w:type="dxa"/>
            <w:noWrap w:val="0"/>
            <w:vAlign w:val="center"/>
          </w:tcPr>
          <w:p w14:paraId="07C0B8BB">
            <w:pPr>
              <w:pStyle w:val="14"/>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b/>
                <w:bCs w:val="0"/>
                <w:color w:val="auto"/>
                <w:sz w:val="21"/>
                <w:szCs w:val="21"/>
                <w:highlight w:val="none"/>
                <w:lang w:val="en-US" w:eastAsia="zh-CN"/>
              </w:rPr>
            </w:pPr>
            <w:r>
              <w:rPr>
                <w:rFonts w:hint="eastAsia"/>
                <w:b/>
                <w:bCs w:val="0"/>
                <w:color w:val="auto"/>
                <w:sz w:val="21"/>
                <w:szCs w:val="21"/>
                <w:highlight w:val="none"/>
                <w:lang w:val="en-US" w:eastAsia="zh-CN"/>
              </w:rPr>
              <w:t>中标候选人公示媒介</w:t>
            </w:r>
          </w:p>
        </w:tc>
        <w:tc>
          <w:tcPr>
            <w:tcW w:w="7288" w:type="dxa"/>
            <w:noWrap w:val="0"/>
            <w:vAlign w:val="center"/>
          </w:tcPr>
          <w:p w14:paraId="1F2B2F6E">
            <w:pPr>
              <w:pStyle w:val="14"/>
              <w:keepNext w:val="0"/>
              <w:keepLines w:val="0"/>
              <w:pageBreakBefore w:val="0"/>
              <w:shd w:val="clear" w:color="auto" w:fill="auto"/>
              <w:kinsoku/>
              <w:wordWrap/>
              <w:overflowPunct/>
              <w:topLinePunct w:val="0"/>
              <w:autoSpaceDE/>
              <w:autoSpaceDN/>
              <w:bidi w:val="0"/>
              <w:adjustRightInd/>
              <w:snapToGrid w:val="0"/>
              <w:spacing w:line="290" w:lineRule="exact"/>
              <w:jc w:val="both"/>
              <w:textAlignment w:val="auto"/>
              <w:outlineLvl w:val="9"/>
              <w:rPr>
                <w:rFonts w:hint="eastAsia"/>
                <w:b w:val="0"/>
                <w:bCs/>
                <w:color w:val="auto"/>
                <w:sz w:val="21"/>
                <w:szCs w:val="21"/>
                <w:highlight w:val="none"/>
                <w:lang w:val="en-US" w:eastAsia="zh-CN"/>
              </w:rPr>
            </w:pPr>
            <w:r>
              <w:rPr>
                <w:rFonts w:hint="eastAsia" w:ascii="Times New Roman" w:hAnsi="Times New Roman" w:eastAsia="宋体" w:cs="Times New Roman"/>
                <w:b w:val="0"/>
                <w:bCs/>
                <w:color w:val="auto"/>
                <w:kern w:val="2"/>
                <w:sz w:val="21"/>
                <w:szCs w:val="21"/>
                <w:highlight w:val="none"/>
                <w:u w:val="none"/>
                <w:lang w:val="en-US" w:eastAsia="zh-CN" w:bidi="ar-SA"/>
              </w:rPr>
              <w:t>新疆政府采购网</w:t>
            </w:r>
            <w:r>
              <w:rPr>
                <w:rFonts w:hint="eastAsia" w:ascii="Times New Roman" w:hAnsi="Times New Roman" w:cs="Times New Roman"/>
                <w:b w:val="0"/>
                <w:bCs/>
                <w:color w:val="auto"/>
                <w:kern w:val="2"/>
                <w:sz w:val="21"/>
                <w:szCs w:val="21"/>
                <w:highlight w:val="none"/>
                <w:u w:val="none"/>
                <w:lang w:val="en-US" w:eastAsia="zh-CN" w:bidi="ar-SA"/>
              </w:rPr>
              <w:t>、</w:t>
            </w:r>
            <w:r>
              <w:rPr>
                <w:rFonts w:hint="eastAsia" w:ascii="Times New Roman" w:hAnsi="Times New Roman" w:eastAsia="宋体" w:cs="Times New Roman"/>
                <w:b w:val="0"/>
                <w:bCs/>
                <w:color w:val="auto"/>
                <w:kern w:val="2"/>
                <w:sz w:val="21"/>
                <w:szCs w:val="21"/>
                <w:highlight w:val="none"/>
                <w:u w:val="none"/>
                <w:lang w:val="en-US" w:eastAsia="zh-CN" w:bidi="ar-SA"/>
              </w:rPr>
              <w:t>克州公共资源交易</w:t>
            </w:r>
            <w:r>
              <w:rPr>
                <w:rFonts w:hint="eastAsia" w:ascii="Times New Roman" w:cs="Times New Roman"/>
                <w:b w:val="0"/>
                <w:bCs/>
                <w:color w:val="auto"/>
                <w:kern w:val="2"/>
                <w:sz w:val="21"/>
                <w:szCs w:val="21"/>
                <w:highlight w:val="none"/>
                <w:u w:val="none"/>
                <w:lang w:val="en-US" w:eastAsia="zh-CN" w:bidi="ar-SA"/>
              </w:rPr>
              <w:t>中心</w:t>
            </w:r>
            <w:r>
              <w:rPr>
                <w:rFonts w:hint="eastAsia" w:ascii="Times New Roman" w:hAnsi="Times New Roman" w:eastAsia="宋体" w:cs="Times New Roman"/>
                <w:b w:val="0"/>
                <w:bCs/>
                <w:color w:val="auto"/>
                <w:kern w:val="2"/>
                <w:sz w:val="21"/>
                <w:szCs w:val="21"/>
                <w:highlight w:val="none"/>
                <w:u w:val="none"/>
                <w:lang w:val="en-US" w:eastAsia="zh-CN" w:bidi="ar-SA"/>
              </w:rPr>
              <w:t>网，公示期为一个工作日。</w:t>
            </w:r>
          </w:p>
        </w:tc>
      </w:tr>
      <w:tr w14:paraId="596E8A35">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190" w:hRule="atLeast"/>
          <w:jc w:val="center"/>
        </w:trPr>
        <w:tc>
          <w:tcPr>
            <w:tcW w:w="1012" w:type="dxa"/>
            <w:noWrap w:val="0"/>
            <w:vAlign w:val="center"/>
          </w:tcPr>
          <w:p w14:paraId="4B5276E4">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ascii="宋体" w:eastAsia="宋体" w:cs="宋体"/>
                <w:b/>
                <w:bCs w:val="0"/>
                <w:color w:val="auto"/>
                <w:sz w:val="21"/>
                <w:szCs w:val="21"/>
                <w:highlight w:val="none"/>
                <w:lang w:val="en-US" w:eastAsia="zh-CN"/>
              </w:rPr>
            </w:pPr>
            <w:r>
              <w:rPr>
                <w:rFonts w:hint="eastAsia" w:ascii="宋体" w:cs="宋体"/>
                <w:b/>
                <w:bCs w:val="0"/>
                <w:color w:val="auto"/>
                <w:sz w:val="21"/>
                <w:szCs w:val="21"/>
                <w:highlight w:val="none"/>
                <w:lang w:val="en-US" w:eastAsia="zh-CN"/>
              </w:rPr>
              <w:t>27</w:t>
            </w:r>
          </w:p>
        </w:tc>
        <w:tc>
          <w:tcPr>
            <w:tcW w:w="1536" w:type="dxa"/>
            <w:noWrap w:val="0"/>
            <w:vAlign w:val="center"/>
          </w:tcPr>
          <w:p w14:paraId="0554C1E3">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b/>
                <w:bCs w:val="0"/>
                <w:color w:val="auto"/>
                <w:sz w:val="21"/>
                <w:szCs w:val="21"/>
                <w:highlight w:val="none"/>
              </w:rPr>
            </w:pPr>
            <w:r>
              <w:rPr>
                <w:rFonts w:hint="eastAsia" w:ascii="宋体"/>
                <w:b/>
                <w:bCs w:val="0"/>
                <w:color w:val="auto"/>
                <w:sz w:val="21"/>
                <w:szCs w:val="21"/>
                <w:highlight w:val="none"/>
              </w:rPr>
              <w:t>履约担保</w:t>
            </w:r>
          </w:p>
        </w:tc>
        <w:tc>
          <w:tcPr>
            <w:tcW w:w="7288" w:type="dxa"/>
            <w:noWrap w:val="0"/>
            <w:vAlign w:val="top"/>
          </w:tcPr>
          <w:p w14:paraId="5772C54F">
            <w:pPr>
              <w:keepNext w:val="0"/>
              <w:keepLines w:val="0"/>
              <w:pageBreakBefore w:val="0"/>
              <w:numPr>
                <w:ilvl w:val="0"/>
                <w:numId w:val="3"/>
              </w:numPr>
              <w:shd w:val="clear" w:color="auto" w:fill="auto"/>
              <w:kinsoku/>
              <w:wordWrap/>
              <w:overflowPunct/>
              <w:topLinePunct w:val="0"/>
              <w:autoSpaceDE/>
              <w:autoSpaceDN/>
              <w:bidi w:val="0"/>
              <w:adjustRightInd/>
              <w:snapToGrid w:val="0"/>
              <w:spacing w:line="360" w:lineRule="auto"/>
              <w:textAlignment w:val="auto"/>
              <w:outlineLvl w:val="9"/>
              <w:rPr>
                <w:rFonts w:hint="eastAsia"/>
                <w:b w:val="0"/>
                <w:bCs/>
                <w:lang w:val="en-US" w:eastAsia="zh-CN"/>
              </w:rPr>
            </w:pPr>
            <w:r>
              <w:rPr>
                <w:rFonts w:hint="eastAsia"/>
                <w:b w:val="0"/>
                <w:bCs/>
                <w:lang w:val="en-US" w:eastAsia="zh-CN"/>
              </w:rPr>
              <w:t>中标供应商在合同签订后5个工作日内</w:t>
            </w:r>
            <w:r>
              <w:rPr>
                <w:rFonts w:hint="eastAsia"/>
                <w:b w:val="0"/>
                <w:bCs/>
                <w:color w:val="auto"/>
                <w:highlight w:val="none"/>
                <w:lang w:val="en-US" w:eastAsia="zh-CN"/>
              </w:rPr>
              <w:t>向采购人交纳</w:t>
            </w:r>
            <w:r>
              <w:rPr>
                <w:rFonts w:hint="eastAsia"/>
                <w:b w:val="0"/>
                <w:bCs/>
                <w:color w:val="auto"/>
                <w:highlight w:val="yellow"/>
                <w:lang w:val="en-US" w:eastAsia="zh-CN"/>
              </w:rPr>
              <w:t>不超过中标价10%</w:t>
            </w:r>
            <w:r>
              <w:rPr>
                <w:rFonts w:hint="eastAsia"/>
                <w:b w:val="0"/>
                <w:bCs/>
                <w:color w:val="auto"/>
                <w:highlight w:val="none"/>
                <w:lang w:val="en-US" w:eastAsia="zh-CN"/>
              </w:rPr>
              <w:t>的履约保证金</w:t>
            </w:r>
            <w:r>
              <w:rPr>
                <w:rFonts w:hint="eastAsia"/>
                <w:b w:val="0"/>
                <w:bCs/>
                <w:lang w:val="en-US" w:eastAsia="zh-CN"/>
              </w:rPr>
              <w:t>（本项目履约保证金接收保函形式；若以电汇、银行转账方式提交的，必须转到采购人的指定账户），如果中标供应商在建设期内没有涉及采购人的应付而未付金额或违约行为，采购人在项目验收合格后或提前终止合同后全额无息退还履约保证金。</w:t>
            </w:r>
          </w:p>
          <w:p w14:paraId="2E56BAB3">
            <w:pPr>
              <w:shd w:val="clear" w:color="auto" w:fill="auto"/>
              <w:spacing w:line="440" w:lineRule="exact"/>
              <w:jc w:val="left"/>
              <w:rPr>
                <w:rFonts w:hint="eastAsia" w:ascii="宋体"/>
                <w:b w:val="0"/>
                <w:bCs/>
                <w:color w:val="auto"/>
                <w:szCs w:val="21"/>
                <w:highlight w:val="none"/>
                <w:lang w:val="en-US" w:eastAsia="zh-CN"/>
              </w:rPr>
            </w:pPr>
            <w:r>
              <w:rPr>
                <w:rFonts w:hint="eastAsia" w:ascii="宋体" w:hAnsi="Times New Roman" w:eastAsia="宋体" w:cs="宋体"/>
                <w:b w:val="0"/>
                <w:bCs/>
                <w:color w:val="auto"/>
                <w:kern w:val="0"/>
                <w:sz w:val="21"/>
                <w:szCs w:val="21"/>
                <w:highlight w:val="none"/>
                <w:u w:val="none" w:color="000000"/>
                <w:lang w:val="en-US" w:eastAsia="zh-CN" w:bidi="ar-SA"/>
              </w:rPr>
              <w:t>2、</w:t>
            </w:r>
            <w:r>
              <w:rPr>
                <w:rFonts w:hint="eastAsia" w:ascii="宋体"/>
                <w:b w:val="0"/>
                <w:bCs/>
                <w:color w:val="auto"/>
                <w:szCs w:val="21"/>
                <w:highlight w:val="none"/>
                <w:lang w:val="en-US" w:eastAsia="zh-CN"/>
              </w:rPr>
              <w:t>签订合同后，如中标供应商不按合同约定履约的，履约保证金不予退还，履约保证金不足以赔偿损失的，按实际损失赔偿。</w:t>
            </w:r>
          </w:p>
          <w:p w14:paraId="38C3F55F">
            <w:pPr>
              <w:shd w:val="clear" w:color="auto" w:fill="auto"/>
              <w:spacing w:line="440" w:lineRule="exact"/>
              <w:jc w:val="left"/>
              <w:rPr>
                <w:rFonts w:hint="eastAsia"/>
                <w:b w:val="0"/>
                <w:bCs/>
                <w:lang w:val="en-US" w:eastAsia="zh-CN"/>
              </w:rPr>
            </w:pPr>
            <w:r>
              <w:rPr>
                <w:rFonts w:hint="eastAsia" w:ascii="宋体"/>
                <w:b w:val="0"/>
                <w:bCs/>
                <w:color w:val="auto"/>
                <w:szCs w:val="21"/>
                <w:highlight w:val="none"/>
                <w:lang w:val="en-US" w:eastAsia="zh-CN"/>
              </w:rPr>
              <w:t>3、如果中标供应商在供货期内没有涉及采购人的应付而未付金额或违约行为，采购人在项目验收合格后或提前终止合同后全额无息退还履约保证金。</w:t>
            </w:r>
          </w:p>
        </w:tc>
      </w:tr>
      <w:tr w14:paraId="692E6F12">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625" w:hRule="atLeast"/>
          <w:jc w:val="center"/>
        </w:trPr>
        <w:tc>
          <w:tcPr>
            <w:tcW w:w="1012" w:type="dxa"/>
            <w:noWrap w:val="0"/>
            <w:vAlign w:val="center"/>
          </w:tcPr>
          <w:p w14:paraId="21D4D5D9">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ascii="宋体" w:hAnsi="宋体" w:eastAsia="宋体" w:cs="宋体"/>
                <w:b/>
                <w:bCs w:val="0"/>
                <w:color w:val="auto"/>
                <w:sz w:val="21"/>
                <w:szCs w:val="21"/>
                <w:highlight w:val="none"/>
                <w:lang w:val="en-US" w:eastAsia="zh-CN"/>
              </w:rPr>
            </w:pPr>
            <w:r>
              <w:rPr>
                <w:rFonts w:hint="eastAsia" w:ascii="宋体" w:hAnsi="宋体" w:cs="宋体"/>
                <w:b/>
                <w:bCs w:val="0"/>
                <w:color w:val="auto"/>
                <w:sz w:val="21"/>
                <w:szCs w:val="21"/>
                <w:highlight w:val="none"/>
                <w:lang w:val="en-US" w:eastAsia="zh-CN"/>
              </w:rPr>
              <w:t>28</w:t>
            </w:r>
          </w:p>
        </w:tc>
        <w:tc>
          <w:tcPr>
            <w:tcW w:w="1536" w:type="dxa"/>
            <w:noWrap w:val="0"/>
            <w:vAlign w:val="center"/>
          </w:tcPr>
          <w:p w14:paraId="4C39DE3B">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cs="宋体"/>
                <w:b/>
                <w:bCs w:val="0"/>
                <w:color w:val="auto"/>
                <w:sz w:val="21"/>
                <w:szCs w:val="21"/>
                <w:highlight w:val="none"/>
                <w:lang w:eastAsia="zh-CN"/>
              </w:rPr>
            </w:pPr>
            <w:r>
              <w:rPr>
                <w:rFonts w:hint="eastAsia" w:ascii="宋体" w:hAnsi="宋体" w:cs="宋体"/>
                <w:b/>
                <w:bCs w:val="0"/>
                <w:color w:val="auto"/>
                <w:sz w:val="21"/>
                <w:szCs w:val="21"/>
                <w:highlight w:val="none"/>
                <w:lang w:eastAsia="zh-CN"/>
              </w:rPr>
              <w:t>招标</w:t>
            </w:r>
            <w:r>
              <w:rPr>
                <w:rFonts w:hint="eastAsia" w:ascii="宋体" w:hAnsi="宋体" w:cs="宋体"/>
                <w:b/>
                <w:bCs w:val="0"/>
                <w:color w:val="auto"/>
                <w:sz w:val="21"/>
                <w:szCs w:val="21"/>
                <w:highlight w:val="none"/>
              </w:rPr>
              <w:t>文件领取</w:t>
            </w:r>
          </w:p>
        </w:tc>
        <w:tc>
          <w:tcPr>
            <w:tcW w:w="7288" w:type="dxa"/>
            <w:noWrap w:val="0"/>
            <w:vAlign w:val="top"/>
          </w:tcPr>
          <w:p w14:paraId="28EBC6E6">
            <w:pPr>
              <w:keepNext w:val="0"/>
              <w:keepLines w:val="0"/>
              <w:pageBreakBefore w:val="0"/>
              <w:shd w:val="clear" w:color="auto" w:fill="auto"/>
              <w:kinsoku/>
              <w:wordWrap/>
              <w:overflowPunct/>
              <w:topLinePunct w:val="0"/>
              <w:autoSpaceDE/>
              <w:autoSpaceDN/>
              <w:bidi w:val="0"/>
              <w:adjustRightInd/>
              <w:snapToGrid w:val="0"/>
              <w:spacing w:line="360" w:lineRule="auto"/>
              <w:textAlignment w:val="auto"/>
              <w:outlineLvl w:val="9"/>
              <w:rPr>
                <w:rFonts w:hint="eastAsia" w:ascii="宋体" w:hAnsi="宋体" w:cs="宋体"/>
                <w:b w:val="0"/>
                <w:bCs/>
                <w:color w:val="auto"/>
                <w:sz w:val="21"/>
                <w:szCs w:val="21"/>
                <w:highlight w:val="yellow"/>
              </w:rPr>
            </w:pPr>
            <w:r>
              <w:rPr>
                <w:rFonts w:hint="eastAsia" w:ascii="宋体" w:hAnsi="宋体" w:cs="宋体"/>
                <w:b w:val="0"/>
                <w:bCs/>
                <w:color w:val="auto"/>
                <w:sz w:val="21"/>
                <w:szCs w:val="21"/>
                <w:highlight w:val="yellow"/>
              </w:rPr>
              <w:t>时间：</w:t>
            </w:r>
            <w:r>
              <w:rPr>
                <w:rFonts w:hint="eastAsia" w:ascii="宋体" w:hAnsi="宋体" w:cs="宋体"/>
                <w:b w:val="0"/>
                <w:bCs/>
                <w:color w:val="auto"/>
                <w:sz w:val="21"/>
                <w:szCs w:val="21"/>
                <w:highlight w:val="yellow"/>
                <w:lang w:eastAsia="zh-CN"/>
              </w:rPr>
              <w:t>2025年4月7日至2025年4月14日，每天上午10:00至14:00，下午16:00至19:30（北京时间，法定节假日除外）</w:t>
            </w:r>
          </w:p>
          <w:p w14:paraId="43FF250F">
            <w:pPr>
              <w:keepNext w:val="0"/>
              <w:keepLines w:val="0"/>
              <w:pageBreakBefore w:val="0"/>
              <w:shd w:val="clear" w:color="auto" w:fill="auto"/>
              <w:kinsoku/>
              <w:wordWrap/>
              <w:overflowPunct/>
              <w:topLinePunct w:val="0"/>
              <w:autoSpaceDE/>
              <w:autoSpaceDN/>
              <w:bidi w:val="0"/>
              <w:adjustRightInd/>
              <w:snapToGrid w:val="0"/>
              <w:spacing w:line="360" w:lineRule="auto"/>
              <w:textAlignment w:val="auto"/>
              <w:outlineLvl w:val="9"/>
              <w:rPr>
                <w:rFonts w:hint="eastAsia" w:ascii="宋体" w:hAnsi="宋体" w:cs="宋体"/>
                <w:b w:val="0"/>
                <w:bCs/>
                <w:color w:val="auto"/>
                <w:sz w:val="21"/>
                <w:szCs w:val="21"/>
                <w:highlight w:val="none"/>
              </w:rPr>
            </w:pPr>
            <w:r>
              <w:rPr>
                <w:rFonts w:hint="eastAsia" w:ascii="宋体" w:hAnsi="宋体" w:cs="宋体"/>
                <w:b w:val="0"/>
                <w:bCs/>
                <w:color w:val="auto"/>
                <w:sz w:val="21"/>
                <w:szCs w:val="21"/>
                <w:highlight w:val="none"/>
              </w:rPr>
              <w:t>地点：供应商登陆政采云平台http://www.zcygov.cn/，在线申请获取招标文件（登录政府采购云平台 → 项目采购 → 获取招标文件→申请，审核通过后可下载招标文件，如有操作性问题，可与政采云在线客服进行咨询，咨询电话：</w:t>
            </w:r>
            <w:r>
              <w:rPr>
                <w:rFonts w:hint="eastAsia" w:ascii="宋体" w:hAnsi="宋体" w:cs="宋体"/>
                <w:b w:val="0"/>
                <w:bCs/>
                <w:color w:val="auto"/>
                <w:sz w:val="21"/>
                <w:szCs w:val="21"/>
                <w:highlight w:val="none"/>
                <w:lang w:eastAsia="zh-CN"/>
              </w:rPr>
              <w:t>95763</w:t>
            </w:r>
            <w:r>
              <w:rPr>
                <w:rFonts w:hint="eastAsia" w:ascii="宋体" w:hAnsi="宋体" w:cs="宋体"/>
                <w:b w:val="0"/>
                <w:bCs/>
                <w:color w:val="auto"/>
                <w:sz w:val="21"/>
                <w:szCs w:val="21"/>
                <w:highlight w:val="none"/>
              </w:rPr>
              <w:t>）。</w:t>
            </w:r>
          </w:p>
          <w:p w14:paraId="16BD748E">
            <w:pPr>
              <w:keepNext w:val="0"/>
              <w:keepLines w:val="0"/>
              <w:pageBreakBefore w:val="0"/>
              <w:shd w:val="clear" w:color="auto" w:fill="auto"/>
              <w:kinsoku/>
              <w:wordWrap/>
              <w:overflowPunct/>
              <w:topLinePunct w:val="0"/>
              <w:autoSpaceDE/>
              <w:autoSpaceDN/>
              <w:bidi w:val="0"/>
              <w:adjustRightInd/>
              <w:snapToGrid w:val="0"/>
              <w:spacing w:line="360" w:lineRule="auto"/>
              <w:textAlignment w:val="auto"/>
              <w:outlineLvl w:val="9"/>
              <w:rPr>
                <w:rFonts w:hint="eastAsia" w:ascii="宋体" w:hAnsi="宋体" w:cs="宋体"/>
                <w:b w:val="0"/>
                <w:bCs/>
                <w:color w:val="auto"/>
                <w:sz w:val="21"/>
                <w:szCs w:val="21"/>
                <w:highlight w:val="none"/>
              </w:rPr>
            </w:pPr>
            <w:r>
              <w:rPr>
                <w:rFonts w:hint="eastAsia" w:ascii="宋体" w:hAnsi="宋体" w:cs="宋体"/>
                <w:b w:val="0"/>
                <w:bCs/>
                <w:color w:val="auto"/>
                <w:sz w:val="21"/>
                <w:szCs w:val="21"/>
                <w:highlight w:val="none"/>
              </w:rPr>
              <w:t>方式：（1）线上获取（登录政府采购云平台 → 项目采购 → 获取招标文件→ 申请，审核通过后可下载招标文件）。本次招标不提供纸质版招标文件。</w:t>
            </w:r>
          </w:p>
          <w:p w14:paraId="03DDA24F">
            <w:pPr>
              <w:keepNext w:val="0"/>
              <w:keepLines w:val="0"/>
              <w:pageBreakBefore w:val="0"/>
              <w:shd w:val="clear" w:color="auto" w:fill="auto"/>
              <w:kinsoku/>
              <w:wordWrap/>
              <w:overflowPunct/>
              <w:topLinePunct w:val="0"/>
              <w:autoSpaceDE/>
              <w:autoSpaceDN/>
              <w:bidi w:val="0"/>
              <w:adjustRightInd/>
              <w:snapToGrid w:val="0"/>
              <w:spacing w:line="360" w:lineRule="auto"/>
              <w:textAlignment w:val="auto"/>
              <w:outlineLvl w:val="9"/>
              <w:rPr>
                <w:rFonts w:hint="eastAsia" w:ascii="宋体" w:hAnsi="宋体" w:cs="宋体"/>
                <w:b w:val="0"/>
                <w:bCs/>
                <w:color w:val="auto"/>
                <w:sz w:val="21"/>
                <w:szCs w:val="21"/>
                <w:highlight w:val="none"/>
              </w:rPr>
            </w:pPr>
            <w:r>
              <w:rPr>
                <w:rFonts w:hint="eastAsia" w:ascii="宋体" w:hAnsi="宋体" w:cs="宋体"/>
                <w:b w:val="0"/>
                <w:bCs/>
                <w:color w:val="auto"/>
                <w:sz w:val="21"/>
                <w:szCs w:val="21"/>
                <w:highlight w:val="none"/>
              </w:rPr>
              <w:t>（2）供应商获取招标文件前应注册成为政府采购云平台正式供应商。</w:t>
            </w:r>
          </w:p>
        </w:tc>
      </w:tr>
      <w:tr w14:paraId="49A1A7EC">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1012" w:type="dxa"/>
            <w:vMerge w:val="restart"/>
            <w:noWrap w:val="0"/>
            <w:vAlign w:val="center"/>
          </w:tcPr>
          <w:p w14:paraId="54BDA6A1">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cs="宋体"/>
                <w:b/>
                <w:bCs w:val="0"/>
                <w:color w:val="auto"/>
                <w:sz w:val="21"/>
                <w:szCs w:val="21"/>
                <w:highlight w:val="none"/>
                <w:lang w:val="en-US" w:eastAsia="zh-CN"/>
              </w:rPr>
            </w:pPr>
          </w:p>
          <w:p w14:paraId="7D0E5752">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cs="宋体"/>
                <w:b/>
                <w:bCs w:val="0"/>
                <w:color w:val="auto"/>
                <w:sz w:val="21"/>
                <w:szCs w:val="21"/>
                <w:highlight w:val="none"/>
                <w:lang w:val="en-US" w:eastAsia="zh-CN"/>
              </w:rPr>
            </w:pPr>
          </w:p>
          <w:p w14:paraId="5C1DACAA">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cs="宋体"/>
                <w:b/>
                <w:bCs w:val="0"/>
                <w:color w:val="auto"/>
                <w:sz w:val="21"/>
                <w:szCs w:val="21"/>
                <w:highlight w:val="none"/>
                <w:lang w:val="en-US" w:eastAsia="zh-CN"/>
              </w:rPr>
            </w:pPr>
          </w:p>
          <w:p w14:paraId="36B4E59E">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cs="宋体"/>
                <w:b/>
                <w:bCs w:val="0"/>
                <w:color w:val="auto"/>
                <w:sz w:val="21"/>
                <w:szCs w:val="21"/>
                <w:highlight w:val="none"/>
                <w:lang w:val="en-US" w:eastAsia="zh-CN"/>
              </w:rPr>
            </w:pPr>
          </w:p>
          <w:p w14:paraId="77AC04F2">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cs="宋体"/>
                <w:b/>
                <w:bCs w:val="0"/>
                <w:color w:val="auto"/>
                <w:sz w:val="21"/>
                <w:szCs w:val="21"/>
                <w:highlight w:val="none"/>
                <w:lang w:val="en-US" w:eastAsia="zh-CN"/>
              </w:rPr>
            </w:pPr>
          </w:p>
          <w:p w14:paraId="41136682">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cs="宋体"/>
                <w:b/>
                <w:bCs w:val="0"/>
                <w:color w:val="auto"/>
                <w:sz w:val="21"/>
                <w:szCs w:val="21"/>
                <w:highlight w:val="none"/>
                <w:lang w:val="en-US" w:eastAsia="zh-CN"/>
              </w:rPr>
            </w:pPr>
          </w:p>
          <w:p w14:paraId="5474EC88">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cs="宋体"/>
                <w:b/>
                <w:bCs w:val="0"/>
                <w:color w:val="auto"/>
                <w:sz w:val="21"/>
                <w:szCs w:val="21"/>
                <w:highlight w:val="none"/>
                <w:lang w:val="en-US" w:eastAsia="zh-CN"/>
              </w:rPr>
            </w:pPr>
          </w:p>
          <w:p w14:paraId="3B96C3B6">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cs="宋体"/>
                <w:b/>
                <w:bCs w:val="0"/>
                <w:color w:val="auto"/>
                <w:sz w:val="21"/>
                <w:szCs w:val="21"/>
                <w:highlight w:val="none"/>
                <w:lang w:val="en-US" w:eastAsia="zh-CN"/>
              </w:rPr>
            </w:pPr>
          </w:p>
          <w:p w14:paraId="19A8E2FC">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cs="宋体"/>
                <w:b/>
                <w:bCs w:val="0"/>
                <w:color w:val="auto"/>
                <w:sz w:val="21"/>
                <w:szCs w:val="21"/>
                <w:highlight w:val="none"/>
                <w:lang w:val="en-US" w:eastAsia="zh-CN"/>
              </w:rPr>
            </w:pPr>
          </w:p>
          <w:p w14:paraId="54FF00C7">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cs="宋体"/>
                <w:b/>
                <w:bCs w:val="0"/>
                <w:color w:val="auto"/>
                <w:sz w:val="21"/>
                <w:szCs w:val="21"/>
                <w:highlight w:val="none"/>
                <w:lang w:val="en-US" w:eastAsia="zh-CN"/>
              </w:rPr>
            </w:pPr>
          </w:p>
          <w:p w14:paraId="70264723">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cs="宋体"/>
                <w:b/>
                <w:bCs w:val="0"/>
                <w:color w:val="auto"/>
                <w:sz w:val="21"/>
                <w:szCs w:val="21"/>
                <w:highlight w:val="none"/>
                <w:lang w:val="en-US" w:eastAsia="zh-CN"/>
              </w:rPr>
            </w:pPr>
          </w:p>
          <w:p w14:paraId="0D95AC44">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cs="宋体"/>
                <w:b/>
                <w:bCs w:val="0"/>
                <w:color w:val="auto"/>
                <w:sz w:val="21"/>
                <w:szCs w:val="21"/>
                <w:highlight w:val="none"/>
                <w:lang w:val="en-US" w:eastAsia="zh-CN"/>
              </w:rPr>
            </w:pPr>
          </w:p>
          <w:p w14:paraId="0AC11A12">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cs="宋体"/>
                <w:b/>
                <w:bCs w:val="0"/>
                <w:color w:val="auto"/>
                <w:sz w:val="21"/>
                <w:szCs w:val="21"/>
                <w:highlight w:val="none"/>
                <w:lang w:val="en-US" w:eastAsia="zh-CN"/>
              </w:rPr>
            </w:pPr>
          </w:p>
          <w:p w14:paraId="60081B9A">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cs="宋体"/>
                <w:b/>
                <w:bCs w:val="0"/>
                <w:color w:val="auto"/>
                <w:sz w:val="21"/>
                <w:szCs w:val="21"/>
                <w:highlight w:val="none"/>
                <w:lang w:val="en-US" w:eastAsia="zh-CN"/>
              </w:rPr>
            </w:pPr>
          </w:p>
          <w:p w14:paraId="6B436534">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cs="宋体"/>
                <w:b/>
                <w:bCs w:val="0"/>
                <w:color w:val="auto"/>
                <w:sz w:val="21"/>
                <w:szCs w:val="21"/>
                <w:highlight w:val="none"/>
                <w:lang w:val="en-US" w:eastAsia="zh-CN"/>
              </w:rPr>
            </w:pPr>
          </w:p>
          <w:p w14:paraId="387B08BE">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cs="宋体"/>
                <w:b/>
                <w:bCs w:val="0"/>
                <w:color w:val="auto"/>
                <w:sz w:val="21"/>
                <w:szCs w:val="21"/>
                <w:highlight w:val="none"/>
                <w:lang w:val="en-US" w:eastAsia="zh-CN"/>
              </w:rPr>
            </w:pPr>
          </w:p>
          <w:p w14:paraId="755F0AD3">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cs="宋体"/>
                <w:b/>
                <w:bCs w:val="0"/>
                <w:color w:val="auto"/>
                <w:sz w:val="21"/>
                <w:szCs w:val="21"/>
                <w:highlight w:val="none"/>
                <w:lang w:val="en-US" w:eastAsia="zh-CN"/>
              </w:rPr>
            </w:pPr>
          </w:p>
          <w:p w14:paraId="545DD0E1">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cs="宋体"/>
                <w:b/>
                <w:bCs w:val="0"/>
                <w:color w:val="auto"/>
                <w:sz w:val="21"/>
                <w:szCs w:val="21"/>
                <w:highlight w:val="none"/>
                <w:lang w:val="en-US" w:eastAsia="zh-CN"/>
              </w:rPr>
            </w:pPr>
          </w:p>
          <w:p w14:paraId="1AC1610C">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cs="宋体"/>
                <w:b/>
                <w:bCs w:val="0"/>
                <w:color w:val="auto"/>
                <w:sz w:val="21"/>
                <w:szCs w:val="21"/>
                <w:highlight w:val="none"/>
                <w:lang w:val="en-US" w:eastAsia="zh-CN"/>
              </w:rPr>
            </w:pPr>
          </w:p>
          <w:p w14:paraId="0069A1D7">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cs="宋体"/>
                <w:b/>
                <w:bCs w:val="0"/>
                <w:color w:val="auto"/>
                <w:sz w:val="21"/>
                <w:szCs w:val="21"/>
                <w:highlight w:val="none"/>
                <w:lang w:val="en-US" w:eastAsia="zh-CN"/>
              </w:rPr>
            </w:pPr>
          </w:p>
          <w:p w14:paraId="7C2940F4">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cs="宋体"/>
                <w:b/>
                <w:bCs w:val="0"/>
                <w:color w:val="auto"/>
                <w:sz w:val="21"/>
                <w:szCs w:val="21"/>
                <w:highlight w:val="none"/>
                <w:lang w:val="en-US" w:eastAsia="zh-CN"/>
              </w:rPr>
            </w:pPr>
          </w:p>
          <w:p w14:paraId="4F13472B">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cs="宋体"/>
                <w:b/>
                <w:bCs w:val="0"/>
                <w:color w:val="auto"/>
                <w:sz w:val="21"/>
                <w:szCs w:val="21"/>
                <w:highlight w:val="none"/>
                <w:lang w:val="en-US" w:eastAsia="zh-CN"/>
              </w:rPr>
            </w:pPr>
          </w:p>
          <w:p w14:paraId="3BE7145A">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cs="宋体"/>
                <w:b/>
                <w:bCs w:val="0"/>
                <w:color w:val="auto"/>
                <w:sz w:val="21"/>
                <w:szCs w:val="21"/>
                <w:highlight w:val="none"/>
                <w:lang w:val="en-US" w:eastAsia="zh-CN"/>
              </w:rPr>
            </w:pPr>
          </w:p>
          <w:p w14:paraId="47428AAF">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ascii="宋体" w:hAnsi="宋体" w:cs="宋体"/>
                <w:b/>
                <w:bCs w:val="0"/>
                <w:color w:val="auto"/>
                <w:sz w:val="21"/>
                <w:szCs w:val="21"/>
                <w:highlight w:val="none"/>
                <w:lang w:val="en-US" w:eastAsia="zh-CN"/>
              </w:rPr>
            </w:pPr>
            <w:r>
              <w:rPr>
                <w:rFonts w:hint="eastAsia" w:ascii="宋体" w:hAnsi="宋体" w:cs="宋体"/>
                <w:b/>
                <w:bCs w:val="0"/>
                <w:color w:val="auto"/>
                <w:sz w:val="21"/>
                <w:szCs w:val="21"/>
                <w:highlight w:val="none"/>
                <w:lang w:val="en-US" w:eastAsia="zh-CN"/>
              </w:rPr>
              <w:t>29</w:t>
            </w:r>
          </w:p>
        </w:tc>
        <w:tc>
          <w:tcPr>
            <w:tcW w:w="1536" w:type="dxa"/>
            <w:vMerge w:val="restart"/>
            <w:noWrap w:val="0"/>
            <w:vAlign w:val="center"/>
          </w:tcPr>
          <w:p w14:paraId="3D204A9B">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b/>
                <w:bCs w:val="0"/>
                <w:color w:val="auto"/>
                <w:sz w:val="21"/>
                <w:szCs w:val="21"/>
                <w:highlight w:val="none"/>
                <w:lang w:eastAsia="zh-CN"/>
              </w:rPr>
            </w:pPr>
          </w:p>
          <w:p w14:paraId="5D226B92">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b/>
                <w:bCs w:val="0"/>
                <w:color w:val="auto"/>
                <w:sz w:val="21"/>
                <w:szCs w:val="21"/>
                <w:highlight w:val="none"/>
                <w:lang w:eastAsia="zh-CN"/>
              </w:rPr>
            </w:pPr>
          </w:p>
          <w:p w14:paraId="6E11BB3F">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b/>
                <w:bCs w:val="0"/>
                <w:color w:val="auto"/>
                <w:sz w:val="21"/>
                <w:szCs w:val="21"/>
                <w:highlight w:val="none"/>
                <w:lang w:eastAsia="zh-CN"/>
              </w:rPr>
            </w:pPr>
          </w:p>
          <w:p w14:paraId="73F7817E">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b/>
                <w:bCs w:val="0"/>
                <w:color w:val="auto"/>
                <w:sz w:val="21"/>
                <w:szCs w:val="21"/>
                <w:highlight w:val="none"/>
                <w:lang w:eastAsia="zh-CN"/>
              </w:rPr>
            </w:pPr>
          </w:p>
          <w:p w14:paraId="7B5480BE">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b/>
                <w:bCs w:val="0"/>
                <w:color w:val="auto"/>
                <w:sz w:val="21"/>
                <w:szCs w:val="21"/>
                <w:highlight w:val="none"/>
                <w:lang w:eastAsia="zh-CN"/>
              </w:rPr>
            </w:pPr>
          </w:p>
          <w:p w14:paraId="0C9C1882">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b/>
                <w:bCs w:val="0"/>
                <w:color w:val="auto"/>
                <w:sz w:val="21"/>
                <w:szCs w:val="21"/>
                <w:highlight w:val="none"/>
                <w:lang w:eastAsia="zh-CN"/>
              </w:rPr>
            </w:pPr>
          </w:p>
          <w:p w14:paraId="0949B0C7">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b/>
                <w:bCs w:val="0"/>
                <w:color w:val="auto"/>
                <w:sz w:val="21"/>
                <w:szCs w:val="21"/>
                <w:highlight w:val="none"/>
                <w:lang w:eastAsia="zh-CN"/>
              </w:rPr>
            </w:pPr>
          </w:p>
          <w:p w14:paraId="444D383E">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b/>
                <w:bCs w:val="0"/>
                <w:color w:val="auto"/>
                <w:sz w:val="21"/>
                <w:szCs w:val="21"/>
                <w:highlight w:val="none"/>
                <w:lang w:eastAsia="zh-CN"/>
              </w:rPr>
            </w:pPr>
          </w:p>
          <w:p w14:paraId="3015F068">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b/>
                <w:bCs w:val="0"/>
                <w:color w:val="auto"/>
                <w:sz w:val="21"/>
                <w:szCs w:val="21"/>
                <w:highlight w:val="none"/>
                <w:lang w:eastAsia="zh-CN"/>
              </w:rPr>
            </w:pPr>
          </w:p>
          <w:p w14:paraId="13355805">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b/>
                <w:bCs w:val="0"/>
                <w:color w:val="auto"/>
                <w:sz w:val="21"/>
                <w:szCs w:val="21"/>
                <w:highlight w:val="none"/>
                <w:lang w:eastAsia="zh-CN"/>
              </w:rPr>
            </w:pPr>
          </w:p>
          <w:p w14:paraId="4E6A6EA0">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b/>
                <w:bCs w:val="0"/>
                <w:color w:val="auto"/>
                <w:sz w:val="21"/>
                <w:szCs w:val="21"/>
                <w:highlight w:val="none"/>
                <w:lang w:eastAsia="zh-CN"/>
              </w:rPr>
            </w:pPr>
          </w:p>
          <w:p w14:paraId="3513484D">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b/>
                <w:bCs w:val="0"/>
                <w:color w:val="auto"/>
                <w:sz w:val="21"/>
                <w:szCs w:val="21"/>
                <w:highlight w:val="none"/>
                <w:lang w:eastAsia="zh-CN"/>
              </w:rPr>
            </w:pPr>
          </w:p>
          <w:p w14:paraId="42498CBA">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b/>
                <w:bCs w:val="0"/>
                <w:color w:val="auto"/>
                <w:sz w:val="21"/>
                <w:szCs w:val="21"/>
                <w:highlight w:val="none"/>
                <w:lang w:eastAsia="zh-CN"/>
              </w:rPr>
            </w:pPr>
          </w:p>
          <w:p w14:paraId="3B2B8A10">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b/>
                <w:bCs w:val="0"/>
                <w:color w:val="auto"/>
                <w:sz w:val="21"/>
                <w:szCs w:val="21"/>
                <w:highlight w:val="none"/>
                <w:lang w:eastAsia="zh-CN"/>
              </w:rPr>
            </w:pPr>
          </w:p>
          <w:p w14:paraId="3FB34581">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b/>
                <w:bCs w:val="0"/>
                <w:color w:val="auto"/>
                <w:sz w:val="21"/>
                <w:szCs w:val="21"/>
                <w:highlight w:val="none"/>
                <w:lang w:eastAsia="zh-CN"/>
              </w:rPr>
            </w:pPr>
          </w:p>
          <w:p w14:paraId="6E728044">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b/>
                <w:bCs w:val="0"/>
                <w:color w:val="auto"/>
                <w:sz w:val="21"/>
                <w:szCs w:val="21"/>
                <w:highlight w:val="none"/>
                <w:lang w:eastAsia="zh-CN"/>
              </w:rPr>
            </w:pPr>
          </w:p>
          <w:p w14:paraId="7B949543">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b/>
                <w:bCs w:val="0"/>
                <w:color w:val="auto"/>
                <w:sz w:val="21"/>
                <w:szCs w:val="21"/>
                <w:highlight w:val="none"/>
                <w:lang w:eastAsia="zh-CN"/>
              </w:rPr>
            </w:pPr>
          </w:p>
          <w:p w14:paraId="70114681">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b/>
                <w:bCs w:val="0"/>
                <w:color w:val="auto"/>
                <w:sz w:val="21"/>
                <w:szCs w:val="21"/>
                <w:highlight w:val="none"/>
                <w:lang w:eastAsia="zh-CN"/>
              </w:rPr>
            </w:pPr>
          </w:p>
          <w:p w14:paraId="777C4D96">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b/>
                <w:bCs w:val="0"/>
                <w:color w:val="auto"/>
                <w:sz w:val="21"/>
                <w:szCs w:val="21"/>
                <w:highlight w:val="none"/>
                <w:lang w:eastAsia="zh-CN"/>
              </w:rPr>
            </w:pPr>
          </w:p>
          <w:p w14:paraId="7A77AD8D">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b/>
                <w:bCs w:val="0"/>
                <w:color w:val="auto"/>
                <w:sz w:val="21"/>
                <w:szCs w:val="21"/>
                <w:highlight w:val="none"/>
                <w:lang w:eastAsia="zh-CN"/>
              </w:rPr>
            </w:pPr>
          </w:p>
          <w:p w14:paraId="051E7D4A">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b/>
                <w:bCs w:val="0"/>
                <w:color w:val="auto"/>
                <w:sz w:val="21"/>
                <w:szCs w:val="21"/>
                <w:highlight w:val="none"/>
                <w:lang w:eastAsia="zh-CN"/>
              </w:rPr>
            </w:pPr>
          </w:p>
          <w:p w14:paraId="6F721FC1">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b/>
                <w:bCs w:val="0"/>
                <w:color w:val="auto"/>
                <w:sz w:val="21"/>
                <w:szCs w:val="21"/>
                <w:highlight w:val="none"/>
                <w:lang w:eastAsia="zh-CN"/>
              </w:rPr>
            </w:pPr>
          </w:p>
          <w:p w14:paraId="26053C78">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b/>
                <w:bCs w:val="0"/>
                <w:color w:val="auto"/>
                <w:sz w:val="21"/>
                <w:szCs w:val="21"/>
                <w:highlight w:val="none"/>
                <w:lang w:eastAsia="zh-CN"/>
              </w:rPr>
            </w:pPr>
          </w:p>
          <w:p w14:paraId="17687AE0">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b/>
                <w:bCs w:val="0"/>
                <w:color w:val="auto"/>
                <w:sz w:val="21"/>
                <w:szCs w:val="21"/>
                <w:highlight w:val="none"/>
                <w:lang w:eastAsia="zh-CN"/>
              </w:rPr>
            </w:pPr>
            <w:r>
              <w:rPr>
                <w:rFonts w:hint="eastAsia" w:ascii="宋体" w:hAnsi="宋体"/>
                <w:b/>
                <w:bCs w:val="0"/>
                <w:color w:val="auto"/>
                <w:sz w:val="21"/>
                <w:szCs w:val="21"/>
                <w:highlight w:val="none"/>
                <w:lang w:eastAsia="zh-CN"/>
              </w:rPr>
              <w:t>重要说明</w:t>
            </w:r>
          </w:p>
        </w:tc>
        <w:tc>
          <w:tcPr>
            <w:tcW w:w="7288" w:type="dxa"/>
            <w:noWrap w:val="0"/>
            <w:vAlign w:val="top"/>
          </w:tcPr>
          <w:p w14:paraId="4E239C5A">
            <w:pPr>
              <w:keepNext w:val="0"/>
              <w:keepLines w:val="0"/>
              <w:pageBreakBefore w:val="0"/>
              <w:shd w:val="clear" w:color="auto" w:fill="auto"/>
              <w:kinsoku/>
              <w:wordWrap/>
              <w:overflowPunct/>
              <w:topLinePunct w:val="0"/>
              <w:autoSpaceDE/>
              <w:autoSpaceDN/>
              <w:bidi w:val="0"/>
              <w:adjustRightInd/>
              <w:snapToGrid w:val="0"/>
              <w:spacing w:line="360" w:lineRule="auto"/>
              <w:jc w:val="left"/>
              <w:textAlignment w:val="auto"/>
              <w:outlineLvl w:val="9"/>
              <w:rPr>
                <w:rFonts w:hint="eastAsia" w:ascii="宋体" w:hAnsi="宋体" w:cs="宋体"/>
                <w:b w:val="0"/>
                <w:bCs/>
                <w:color w:val="auto"/>
                <w:sz w:val="21"/>
                <w:szCs w:val="21"/>
                <w:highlight w:val="none"/>
              </w:rPr>
            </w:pPr>
            <w:r>
              <w:rPr>
                <w:rFonts w:hint="eastAsia" w:ascii="宋体" w:hAnsi="宋体" w:cs="宋体"/>
                <w:b w:val="0"/>
                <w:bCs/>
                <w:color w:val="auto"/>
                <w:sz w:val="21"/>
                <w:szCs w:val="21"/>
                <w:highlight w:val="none"/>
              </w:rPr>
              <w:t>1.本项目采用全流程不见面电子开评标，投标供应商需要使用CA加密设备，供应商可通过新疆数字证书认证中心官网（https://www.xjca.com.cn/）或下载“新疆政务通”APP自行进行申领。</w:t>
            </w:r>
          </w:p>
          <w:p w14:paraId="16DDA3EB">
            <w:pPr>
              <w:keepNext w:val="0"/>
              <w:keepLines w:val="0"/>
              <w:pageBreakBefore w:val="0"/>
              <w:shd w:val="clear" w:color="auto" w:fill="auto"/>
              <w:kinsoku/>
              <w:wordWrap/>
              <w:overflowPunct/>
              <w:topLinePunct w:val="0"/>
              <w:autoSpaceDE/>
              <w:autoSpaceDN/>
              <w:bidi w:val="0"/>
              <w:adjustRightInd/>
              <w:snapToGrid w:val="0"/>
              <w:spacing w:line="360" w:lineRule="auto"/>
              <w:jc w:val="left"/>
              <w:textAlignment w:val="auto"/>
              <w:outlineLvl w:val="9"/>
              <w:rPr>
                <w:rFonts w:hint="eastAsia" w:ascii="宋体" w:hAnsi="宋体" w:cs="宋体"/>
                <w:b w:val="0"/>
                <w:bCs/>
                <w:color w:val="auto"/>
                <w:sz w:val="21"/>
                <w:szCs w:val="21"/>
                <w:highlight w:val="none"/>
              </w:rPr>
            </w:pPr>
            <w:r>
              <w:rPr>
                <w:rFonts w:hint="eastAsia" w:ascii="宋体" w:hAnsi="宋体" w:cs="宋体"/>
                <w:b w:val="0"/>
                <w:bCs/>
                <w:color w:val="auto"/>
                <w:sz w:val="21"/>
                <w:szCs w:val="21"/>
                <w:highlight w:val="none"/>
              </w:rPr>
              <w:t>2.本项目实行网上投标，采用加密电子投标文件(供应商须使用CA加密设备通过政采云电子投标客户端制作投标文件)。若供应商参与投标，自行承担投标一切费用。</w:t>
            </w:r>
          </w:p>
          <w:p w14:paraId="5C33C227">
            <w:pPr>
              <w:keepNext w:val="0"/>
              <w:keepLines w:val="0"/>
              <w:pageBreakBefore w:val="0"/>
              <w:shd w:val="clear" w:color="auto" w:fill="auto"/>
              <w:kinsoku/>
              <w:wordWrap/>
              <w:overflowPunct/>
              <w:topLinePunct w:val="0"/>
              <w:autoSpaceDE/>
              <w:autoSpaceDN/>
              <w:bidi w:val="0"/>
              <w:adjustRightInd/>
              <w:snapToGrid w:val="0"/>
              <w:spacing w:line="360" w:lineRule="auto"/>
              <w:jc w:val="left"/>
              <w:textAlignment w:val="auto"/>
              <w:outlineLvl w:val="9"/>
              <w:rPr>
                <w:rFonts w:hint="eastAsia" w:ascii="宋体" w:hAnsi="宋体" w:cs="宋体"/>
                <w:b w:val="0"/>
                <w:bCs/>
                <w:color w:val="auto"/>
                <w:sz w:val="21"/>
                <w:szCs w:val="21"/>
                <w:highlight w:val="none"/>
              </w:rPr>
            </w:pPr>
            <w:r>
              <w:rPr>
                <w:rFonts w:hint="eastAsia" w:ascii="宋体" w:hAnsi="宋体" w:cs="宋体"/>
                <w:b w:val="0"/>
                <w:bCs/>
                <w:color w:val="auto"/>
                <w:sz w:val="21"/>
                <w:szCs w:val="21"/>
                <w:highlight w:val="none"/>
              </w:rPr>
              <w:t>3.</w:t>
            </w:r>
            <w:r>
              <w:rPr>
                <w:rFonts w:hint="eastAsia" w:ascii="宋体" w:hAnsi="宋体" w:eastAsia="宋体" w:cs="宋体"/>
                <w:b w:val="0"/>
                <w:bCs/>
                <w:color w:val="auto"/>
                <w:sz w:val="21"/>
                <w:szCs w:val="21"/>
                <w:highlight w:val="none"/>
              </w:rPr>
              <w:t>各供应商在开标前应确保成为新疆维吾尔自治区政府采购网正式注册入库供应商，</w:t>
            </w:r>
            <w:r>
              <w:rPr>
                <w:rFonts w:hint="eastAsia" w:ascii="宋体" w:hAnsi="宋体" w:eastAsia="宋体" w:cs="宋体"/>
                <w:b w:val="0"/>
                <w:bCs/>
                <w:sz w:val="21"/>
                <w:szCs w:val="21"/>
              </w:rPr>
              <w:t>（已在政采云平台其他省份入驻的供应商无须重复注册）</w:t>
            </w:r>
            <w:r>
              <w:rPr>
                <w:rFonts w:hint="eastAsia" w:ascii="宋体" w:hAnsi="宋体" w:eastAsia="宋体" w:cs="宋体"/>
                <w:b w:val="0"/>
                <w:bCs/>
                <w:color w:val="auto"/>
                <w:sz w:val="21"/>
                <w:szCs w:val="21"/>
                <w:highlight w:val="none"/>
              </w:rPr>
              <w:t>并完成CA数字证书申领。因未注册入库、未办理CA数字证书等原因造成无法投标或投标失败等后果由供应商自行承担。</w:t>
            </w:r>
          </w:p>
          <w:p w14:paraId="6E7BBED4">
            <w:pPr>
              <w:keepNext w:val="0"/>
              <w:keepLines w:val="0"/>
              <w:pageBreakBefore w:val="0"/>
              <w:shd w:val="clear" w:color="auto" w:fill="auto"/>
              <w:kinsoku/>
              <w:wordWrap/>
              <w:overflowPunct/>
              <w:topLinePunct w:val="0"/>
              <w:autoSpaceDE/>
              <w:autoSpaceDN/>
              <w:bidi w:val="0"/>
              <w:adjustRightInd/>
              <w:snapToGrid w:val="0"/>
              <w:spacing w:line="360" w:lineRule="auto"/>
              <w:jc w:val="left"/>
              <w:textAlignment w:val="auto"/>
              <w:outlineLvl w:val="9"/>
              <w:rPr>
                <w:rFonts w:hint="eastAsia" w:ascii="宋体" w:hAnsi="宋体" w:cs="宋体"/>
                <w:b w:val="0"/>
                <w:bCs/>
                <w:color w:val="auto"/>
                <w:sz w:val="21"/>
                <w:szCs w:val="21"/>
                <w:highlight w:val="none"/>
              </w:rPr>
            </w:pPr>
            <w:r>
              <w:rPr>
                <w:rFonts w:hint="eastAsia" w:ascii="宋体" w:hAnsi="宋体" w:cs="宋体"/>
                <w:b w:val="0"/>
                <w:bCs/>
                <w:color w:val="auto"/>
                <w:sz w:val="21"/>
                <w:szCs w:val="21"/>
                <w:highlight w:val="none"/>
              </w:rPr>
              <w:t>4.供应商将政采云电子交易客户端下载、安装完成后，可通过账号密码或CA登录客户端进行投标文件制作。在使用政采云投标客户端时，建议使用WIN7+64位及以上操作系统。客户端请至新疆政府采购网（http://www.ccgp-xinjiang.gov.cn/）下载专区查看，如有问题可拨打政采云客户服务热线</w:t>
            </w:r>
            <w:r>
              <w:rPr>
                <w:rFonts w:hint="eastAsia" w:ascii="宋体" w:hAnsi="宋体" w:cs="宋体"/>
                <w:b w:val="0"/>
                <w:bCs/>
                <w:color w:val="auto"/>
                <w:sz w:val="21"/>
                <w:szCs w:val="21"/>
                <w:highlight w:val="none"/>
                <w:lang w:eastAsia="zh-CN"/>
              </w:rPr>
              <w:t>95763</w:t>
            </w:r>
            <w:r>
              <w:rPr>
                <w:rFonts w:hint="eastAsia" w:ascii="宋体" w:hAnsi="宋体" w:cs="宋体"/>
                <w:b w:val="0"/>
                <w:bCs/>
                <w:color w:val="auto"/>
                <w:sz w:val="21"/>
                <w:szCs w:val="21"/>
                <w:highlight w:val="none"/>
              </w:rPr>
              <w:t>进行咨询。</w:t>
            </w:r>
          </w:p>
          <w:p w14:paraId="0FFB9947">
            <w:pPr>
              <w:keepNext w:val="0"/>
              <w:keepLines w:val="0"/>
              <w:pageBreakBefore w:val="0"/>
              <w:shd w:val="clear" w:color="auto" w:fill="auto"/>
              <w:kinsoku/>
              <w:wordWrap/>
              <w:overflowPunct/>
              <w:topLinePunct w:val="0"/>
              <w:autoSpaceDE/>
              <w:autoSpaceDN/>
              <w:bidi w:val="0"/>
              <w:adjustRightInd/>
              <w:snapToGrid w:val="0"/>
              <w:spacing w:line="360" w:lineRule="auto"/>
              <w:jc w:val="left"/>
              <w:textAlignment w:val="auto"/>
              <w:outlineLvl w:val="9"/>
              <w:rPr>
                <w:rFonts w:hint="eastAsia" w:ascii="宋体" w:hAnsi="宋体" w:cs="宋体"/>
                <w:b w:val="0"/>
                <w:bCs/>
                <w:color w:val="auto"/>
                <w:sz w:val="21"/>
                <w:szCs w:val="21"/>
                <w:highlight w:val="none"/>
              </w:rPr>
            </w:pPr>
            <w:r>
              <w:rPr>
                <w:rFonts w:hint="eastAsia" w:ascii="宋体" w:hAnsi="宋体" w:cs="宋体"/>
                <w:b w:val="0"/>
                <w:bCs/>
                <w:color w:val="auto"/>
                <w:sz w:val="21"/>
                <w:szCs w:val="21"/>
                <w:highlight w:val="none"/>
              </w:rPr>
              <w:t>5.供应商在开标时须使用制作加密电子投标文件所使用的CA锁及电脑，电脑须提前配置好浏览器（建议使用谷歌浏览器），以便开标时解锁。</w:t>
            </w:r>
          </w:p>
          <w:p w14:paraId="7E796C42">
            <w:pPr>
              <w:keepNext w:val="0"/>
              <w:keepLines w:val="0"/>
              <w:pageBreakBefore w:val="0"/>
              <w:shd w:val="clear" w:color="auto" w:fill="auto"/>
              <w:kinsoku/>
              <w:wordWrap/>
              <w:overflowPunct/>
              <w:topLinePunct w:val="0"/>
              <w:autoSpaceDE/>
              <w:autoSpaceDN/>
              <w:bidi w:val="0"/>
              <w:adjustRightInd/>
              <w:snapToGrid w:val="0"/>
              <w:spacing w:line="360" w:lineRule="auto"/>
              <w:jc w:val="left"/>
              <w:textAlignment w:val="auto"/>
              <w:outlineLvl w:val="9"/>
              <w:rPr>
                <w:rFonts w:hint="eastAsia" w:ascii="宋体" w:hAnsi="宋体" w:eastAsia="宋体" w:cs="宋体"/>
                <w:b w:val="0"/>
                <w:bCs/>
                <w:color w:val="auto"/>
                <w:sz w:val="21"/>
                <w:szCs w:val="21"/>
                <w:highlight w:val="none"/>
                <w:lang w:eastAsia="zh-CN"/>
              </w:rPr>
            </w:pPr>
            <w:r>
              <w:rPr>
                <w:rFonts w:hint="eastAsia" w:ascii="宋体" w:hAnsi="宋体" w:cs="宋体"/>
                <w:b w:val="0"/>
                <w:bCs/>
                <w:color w:val="auto"/>
                <w:sz w:val="21"/>
                <w:szCs w:val="21"/>
                <w:highlight w:val="none"/>
              </w:rPr>
              <w:t>6.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w:t>
            </w:r>
            <w:r>
              <w:rPr>
                <w:rFonts w:hint="eastAsia" w:ascii="宋体" w:hAnsi="宋体" w:cs="宋体"/>
                <w:b w:val="0"/>
                <w:bCs/>
                <w:color w:val="auto"/>
                <w:sz w:val="21"/>
                <w:szCs w:val="21"/>
                <w:highlight w:val="none"/>
                <w:lang w:eastAsia="zh-CN"/>
              </w:rPr>
              <w:t>。</w:t>
            </w:r>
          </w:p>
          <w:p w14:paraId="1E5E5748">
            <w:pPr>
              <w:keepNext w:val="0"/>
              <w:keepLines w:val="0"/>
              <w:pageBreakBefore w:val="0"/>
              <w:shd w:val="clear" w:color="auto" w:fill="auto"/>
              <w:kinsoku/>
              <w:wordWrap/>
              <w:overflowPunct/>
              <w:topLinePunct w:val="0"/>
              <w:autoSpaceDE/>
              <w:autoSpaceDN/>
              <w:bidi w:val="0"/>
              <w:adjustRightInd/>
              <w:snapToGrid w:val="0"/>
              <w:spacing w:line="360" w:lineRule="auto"/>
              <w:jc w:val="left"/>
              <w:textAlignment w:val="auto"/>
              <w:outlineLvl w:val="9"/>
              <w:rPr>
                <w:rFonts w:hint="eastAsia" w:ascii="宋体" w:hAnsi="宋体" w:cs="宋体"/>
                <w:b w:val="0"/>
                <w:bCs/>
                <w:color w:val="auto"/>
                <w:sz w:val="21"/>
                <w:szCs w:val="21"/>
                <w:highlight w:val="none"/>
              </w:rPr>
            </w:pPr>
            <w:r>
              <w:rPr>
                <w:rFonts w:hint="eastAsia" w:ascii="宋体" w:hAnsi="宋体" w:cs="宋体"/>
                <w:b w:val="0"/>
                <w:bCs/>
                <w:color w:val="auto"/>
                <w:sz w:val="21"/>
                <w:szCs w:val="21"/>
                <w:highlight w:val="none"/>
              </w:rPr>
              <w:t>7.为了保证开评标顺利进行，政采云线上开标功能完全实现，供应商开标所使用的电脑设备须具有视频及语音功能。</w:t>
            </w:r>
          </w:p>
        </w:tc>
      </w:tr>
      <w:tr w14:paraId="11F0F5AD">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350" w:hRule="atLeast"/>
          <w:jc w:val="center"/>
        </w:trPr>
        <w:tc>
          <w:tcPr>
            <w:tcW w:w="1012" w:type="dxa"/>
            <w:vMerge w:val="continue"/>
            <w:noWrap w:val="0"/>
            <w:vAlign w:val="center"/>
          </w:tcPr>
          <w:p w14:paraId="463A1C76">
            <w:pPr>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ascii="宋体" w:hAnsi="宋体"/>
                <w:b/>
                <w:bCs w:val="0"/>
                <w:color w:val="auto"/>
                <w:sz w:val="21"/>
                <w:szCs w:val="21"/>
                <w:highlight w:val="none"/>
                <w:lang w:eastAsia="zh-CN"/>
              </w:rPr>
            </w:pPr>
          </w:p>
        </w:tc>
        <w:tc>
          <w:tcPr>
            <w:tcW w:w="1536" w:type="dxa"/>
            <w:vMerge w:val="continue"/>
            <w:noWrap w:val="0"/>
            <w:vAlign w:val="center"/>
          </w:tcPr>
          <w:p w14:paraId="07077BF7">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b/>
                <w:bCs w:val="0"/>
                <w:color w:val="auto"/>
                <w:sz w:val="21"/>
                <w:szCs w:val="21"/>
                <w:highlight w:val="none"/>
                <w:lang w:eastAsia="zh-CN"/>
              </w:rPr>
            </w:pPr>
          </w:p>
        </w:tc>
        <w:tc>
          <w:tcPr>
            <w:tcW w:w="7288" w:type="dxa"/>
            <w:noWrap w:val="0"/>
            <w:vAlign w:val="top"/>
          </w:tcPr>
          <w:p w14:paraId="77964B68">
            <w:pPr>
              <w:keepNext w:val="0"/>
              <w:keepLines w:val="0"/>
              <w:pageBreakBefore w:val="0"/>
              <w:widowControl w:val="0"/>
              <w:shd w:val="clear" w:color="auto" w:fill="auto"/>
              <w:kinsoku/>
              <w:wordWrap/>
              <w:overflowPunct/>
              <w:topLinePunct w:val="0"/>
              <w:autoSpaceDE/>
              <w:autoSpaceDN/>
              <w:bidi w:val="0"/>
              <w:adjustRightInd/>
              <w:snapToGrid w:val="0"/>
              <w:spacing w:line="360" w:lineRule="auto"/>
              <w:ind w:firstLine="426" w:firstLineChars="200"/>
              <w:textAlignment w:val="auto"/>
              <w:outlineLvl w:val="9"/>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（1）电子招投标：本项目以数据电文形式，依托“政府采购云平台（www.zcygov.cn）”进行招投标活动。</w:t>
            </w:r>
          </w:p>
          <w:p w14:paraId="41AE949D">
            <w:pPr>
              <w:keepNext w:val="0"/>
              <w:keepLines w:val="0"/>
              <w:pageBreakBefore w:val="0"/>
              <w:widowControl w:val="0"/>
              <w:shd w:val="clear" w:color="auto" w:fill="auto"/>
              <w:kinsoku/>
              <w:wordWrap/>
              <w:overflowPunct/>
              <w:topLinePunct w:val="0"/>
              <w:autoSpaceDE/>
              <w:autoSpaceDN/>
              <w:bidi w:val="0"/>
              <w:adjustRightInd/>
              <w:snapToGrid w:val="0"/>
              <w:spacing w:line="360" w:lineRule="auto"/>
              <w:ind w:firstLine="426" w:firstLineChars="200"/>
              <w:textAlignment w:val="auto"/>
              <w:outlineLvl w:val="9"/>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（2）投标准备：注册账号--点击“商家入驻”，进行政府采购供应商资料填写；申领CA数字证书---申领流程详见“</w:t>
            </w:r>
            <w:r>
              <w:rPr>
                <w:rFonts w:hint="eastAsia" w:ascii="宋体" w:hAnsi="宋体" w:eastAsia="宋体" w:cs="宋体"/>
                <w:b w:val="0"/>
                <w:bCs/>
                <w:color w:val="auto"/>
                <w:sz w:val="21"/>
                <w:szCs w:val="21"/>
                <w:highlight w:val="none"/>
                <w:lang w:eastAsia="zh-CN"/>
              </w:rPr>
              <w:t>新疆</w:t>
            </w:r>
            <w:r>
              <w:rPr>
                <w:rFonts w:hint="eastAsia" w:ascii="宋体" w:hAnsi="宋体" w:eastAsia="宋体" w:cs="宋体"/>
                <w:b w:val="0"/>
                <w:bCs/>
                <w:color w:val="auto"/>
                <w:sz w:val="21"/>
                <w:szCs w:val="21"/>
                <w:highlight w:val="none"/>
              </w:rPr>
              <w:t>政府采购网-下载专区-电子交易客户端-CA驱动和申领流程”；安装“政采云电子交易客户端”----前往“</w:t>
            </w:r>
            <w:r>
              <w:rPr>
                <w:rFonts w:hint="eastAsia" w:ascii="宋体" w:hAnsi="宋体" w:eastAsia="宋体" w:cs="宋体"/>
                <w:b w:val="0"/>
                <w:bCs/>
                <w:color w:val="auto"/>
                <w:sz w:val="21"/>
                <w:szCs w:val="21"/>
                <w:highlight w:val="none"/>
                <w:lang w:eastAsia="zh-CN"/>
              </w:rPr>
              <w:t>新疆</w:t>
            </w:r>
            <w:r>
              <w:rPr>
                <w:rFonts w:hint="eastAsia" w:ascii="宋体" w:hAnsi="宋体" w:eastAsia="宋体" w:cs="宋体"/>
                <w:b w:val="0"/>
                <w:bCs/>
                <w:color w:val="auto"/>
                <w:sz w:val="21"/>
                <w:szCs w:val="21"/>
                <w:highlight w:val="none"/>
              </w:rPr>
              <w:t>政府采购网-下载专区-电子交易客户端”进行下载并安装。</w:t>
            </w:r>
          </w:p>
          <w:p w14:paraId="5663C838">
            <w:pPr>
              <w:snapToGrid w:val="0"/>
              <w:spacing w:line="360" w:lineRule="auto"/>
              <w:ind w:firstLine="426" w:firstLineChars="200"/>
              <w:rPr>
                <w:rFonts w:hint="eastAsia" w:ascii="宋体" w:hAnsi="宋体" w:cs="宋体"/>
                <w:b w:val="0"/>
                <w:bCs/>
                <w:szCs w:val="21"/>
              </w:rPr>
            </w:pPr>
            <w:r>
              <w:rPr>
                <w:rFonts w:hint="eastAsia" w:ascii="宋体" w:hAnsi="宋体" w:cs="宋体"/>
                <w:b w:val="0"/>
                <w:bCs/>
                <w:szCs w:val="21"/>
              </w:rPr>
              <w:t>（</w:t>
            </w:r>
            <w:r>
              <w:rPr>
                <w:rFonts w:hint="eastAsia" w:ascii="宋体" w:hAnsi="宋体" w:cs="宋体"/>
                <w:b w:val="0"/>
                <w:bCs/>
                <w:szCs w:val="21"/>
                <w:lang w:val="en-US" w:eastAsia="zh-CN"/>
              </w:rPr>
              <w:t>3</w:t>
            </w:r>
            <w:r>
              <w:rPr>
                <w:rFonts w:hint="eastAsia" w:ascii="宋体" w:hAnsi="宋体" w:cs="宋体"/>
                <w:b w:val="0"/>
                <w:bCs/>
                <w:szCs w:val="21"/>
              </w:rPr>
              <w:t>）投标文件的制作：在“政采云电子交易客户端”中完成“填写基本信息”、“导入投标文件”、“标书关联”、“标书检查”、“电子签名”、“生成电子标书”等操作。</w:t>
            </w:r>
          </w:p>
          <w:p w14:paraId="5714773F">
            <w:pPr>
              <w:snapToGrid w:val="0"/>
              <w:spacing w:line="360" w:lineRule="auto"/>
              <w:ind w:firstLine="426" w:firstLineChars="200"/>
              <w:rPr>
                <w:rFonts w:hint="eastAsia" w:ascii="宋体" w:hAnsi="宋体" w:eastAsia="宋体" w:cs="宋体"/>
                <w:b w:val="0"/>
                <w:bCs/>
                <w:color w:val="auto"/>
                <w:sz w:val="21"/>
                <w:szCs w:val="21"/>
                <w:highlight w:val="yellow"/>
                <w:lang w:eastAsia="zh-CN"/>
              </w:rPr>
            </w:pPr>
            <w:r>
              <w:rPr>
                <w:rFonts w:hint="eastAsia" w:ascii="宋体" w:hAnsi="宋体" w:cs="宋体"/>
                <w:b w:val="0"/>
                <w:bCs/>
                <w:szCs w:val="21"/>
              </w:rPr>
              <w:t>（</w:t>
            </w:r>
            <w:r>
              <w:rPr>
                <w:rFonts w:hint="eastAsia" w:ascii="宋体" w:hAnsi="宋体" w:cs="宋体"/>
                <w:b w:val="0"/>
                <w:bCs/>
                <w:szCs w:val="21"/>
                <w:lang w:val="en-US" w:eastAsia="zh-CN"/>
              </w:rPr>
              <w:t>4</w:t>
            </w:r>
            <w:r>
              <w:rPr>
                <w:rFonts w:hint="eastAsia" w:ascii="宋体" w:hAnsi="宋体" w:cs="宋体"/>
                <w:b w:val="0"/>
                <w:bCs/>
                <w:szCs w:val="21"/>
              </w:rPr>
              <w:t>）投标文件的传输递交：供应商在投标截止时间前将加密的投标文件上传至政府采购云平台</w:t>
            </w:r>
            <w:r>
              <w:rPr>
                <w:rFonts w:hint="eastAsia" w:ascii="宋体" w:hAnsi="宋体" w:cs="宋体"/>
                <w:b w:val="0"/>
                <w:bCs/>
                <w:szCs w:val="21"/>
                <w:lang w:eastAsia="zh-CN"/>
              </w:rPr>
              <w:t>。</w:t>
            </w:r>
          </w:p>
          <w:p w14:paraId="5C753302">
            <w:pPr>
              <w:keepNext w:val="0"/>
              <w:keepLines w:val="0"/>
              <w:pageBreakBefore w:val="0"/>
              <w:widowControl w:val="0"/>
              <w:shd w:val="clear" w:color="auto" w:fill="auto"/>
              <w:kinsoku/>
              <w:wordWrap/>
              <w:overflowPunct/>
              <w:topLinePunct w:val="0"/>
              <w:autoSpaceDE/>
              <w:autoSpaceDN/>
              <w:bidi w:val="0"/>
              <w:adjustRightInd/>
              <w:snapToGrid w:val="0"/>
              <w:spacing w:line="360" w:lineRule="auto"/>
              <w:ind w:firstLine="426" w:firstLineChars="200"/>
              <w:textAlignment w:val="auto"/>
              <w:outlineLvl w:val="9"/>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w:t>
            </w:r>
            <w:r>
              <w:rPr>
                <w:rFonts w:hint="eastAsia" w:ascii="宋体" w:hAnsi="宋体" w:eastAsia="宋体" w:cs="宋体"/>
                <w:b w:val="0"/>
                <w:bCs/>
                <w:color w:val="auto"/>
                <w:sz w:val="21"/>
                <w:szCs w:val="21"/>
                <w:highlight w:val="none"/>
                <w:lang w:val="en-US" w:eastAsia="zh-CN"/>
              </w:rPr>
              <w:t>5</w:t>
            </w:r>
            <w:r>
              <w:rPr>
                <w:rFonts w:hint="eastAsia" w:ascii="宋体" w:hAnsi="宋体" w:eastAsia="宋体" w:cs="宋体"/>
                <w:b w:val="0"/>
                <w:bCs/>
                <w:color w:val="auto"/>
                <w:sz w:val="21"/>
                <w:szCs w:val="21"/>
                <w:highlight w:val="none"/>
              </w:rPr>
              <w:t>）投标文件的解密：供应商按照平台提示和采购文件的规定在半小时内完成在线解密。</w:t>
            </w:r>
          </w:p>
          <w:p w14:paraId="56B590E5">
            <w:pPr>
              <w:keepNext w:val="0"/>
              <w:keepLines w:val="0"/>
              <w:pageBreakBefore w:val="0"/>
              <w:widowControl w:val="0"/>
              <w:shd w:val="clear" w:color="auto" w:fill="auto"/>
              <w:kinsoku/>
              <w:wordWrap/>
              <w:overflowPunct/>
              <w:topLinePunct w:val="0"/>
              <w:autoSpaceDE/>
              <w:autoSpaceDN/>
              <w:bidi w:val="0"/>
              <w:adjustRightInd/>
              <w:snapToGrid w:val="0"/>
              <w:spacing w:line="360" w:lineRule="auto"/>
              <w:ind w:firstLine="426" w:firstLineChars="200"/>
              <w:textAlignment w:val="auto"/>
              <w:outlineLvl w:val="9"/>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w:t>
            </w:r>
            <w:r>
              <w:rPr>
                <w:rFonts w:hint="eastAsia" w:ascii="宋体" w:hAnsi="宋体" w:eastAsia="宋体" w:cs="宋体"/>
                <w:b w:val="0"/>
                <w:bCs/>
                <w:color w:val="auto"/>
                <w:sz w:val="21"/>
                <w:szCs w:val="21"/>
                <w:highlight w:val="none"/>
                <w:lang w:val="en-US" w:eastAsia="zh-CN"/>
              </w:rPr>
              <w:t>6</w:t>
            </w:r>
            <w:r>
              <w:rPr>
                <w:rFonts w:hint="eastAsia" w:ascii="宋体" w:hAnsi="宋体" w:eastAsia="宋体" w:cs="宋体"/>
                <w:b w:val="0"/>
                <w:bCs/>
                <w:color w:val="auto"/>
                <w:sz w:val="21"/>
                <w:szCs w:val="21"/>
                <w:highlight w:val="none"/>
              </w:rPr>
              <w:t>）具体操作指南：详见政采云平台“服务中心-帮助文档-项目采购-操作流程-电子招投标-政府采购项目电子交易管理操作指南-供应商”。</w:t>
            </w:r>
          </w:p>
          <w:p w14:paraId="745FA5B6">
            <w:pPr>
              <w:keepNext w:val="0"/>
              <w:keepLines w:val="0"/>
              <w:pageBreakBefore w:val="0"/>
              <w:widowControl w:val="0"/>
              <w:shd w:val="clear" w:color="auto" w:fill="auto"/>
              <w:kinsoku/>
              <w:wordWrap/>
              <w:overflowPunct/>
              <w:topLinePunct w:val="0"/>
              <w:autoSpaceDE/>
              <w:autoSpaceDN/>
              <w:bidi w:val="0"/>
              <w:adjustRightInd/>
              <w:snapToGrid w:val="0"/>
              <w:spacing w:line="360" w:lineRule="auto"/>
              <w:ind w:firstLine="426" w:firstLineChars="200"/>
              <w:textAlignment w:val="auto"/>
              <w:outlineLvl w:val="9"/>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w:t>
            </w:r>
            <w:r>
              <w:rPr>
                <w:rFonts w:hint="eastAsia" w:ascii="宋体" w:hAnsi="宋体" w:eastAsia="宋体" w:cs="宋体"/>
                <w:b w:val="0"/>
                <w:bCs/>
                <w:color w:val="auto"/>
                <w:sz w:val="21"/>
                <w:szCs w:val="21"/>
                <w:highlight w:val="none"/>
                <w:lang w:val="en-US" w:eastAsia="zh-CN"/>
              </w:rPr>
              <w:t>7</w:t>
            </w:r>
            <w:r>
              <w:rPr>
                <w:rFonts w:hint="eastAsia" w:ascii="宋体" w:hAnsi="宋体" w:eastAsia="宋体" w:cs="宋体"/>
                <w:b w:val="0"/>
                <w:bCs/>
                <w:color w:val="auto"/>
                <w:sz w:val="21"/>
                <w:szCs w:val="21"/>
                <w:highlight w:val="none"/>
              </w:rPr>
              <w:t>）供应商在进行上述操作时，如遇技术问题可登录政采云（https://</w:t>
            </w:r>
            <w:r>
              <w:rPr>
                <w:rFonts w:hint="eastAsia" w:ascii="宋体" w:hAnsi="宋体" w:eastAsia="宋体" w:cs="宋体"/>
                <w:b w:val="0"/>
                <w:bCs/>
                <w:color w:val="auto"/>
                <w:sz w:val="21"/>
                <w:szCs w:val="21"/>
                <w:highlight w:val="none"/>
              </w:rPr>
              <w:fldChar w:fldCharType="begin"/>
            </w:r>
            <w:r>
              <w:rPr>
                <w:rFonts w:hint="eastAsia" w:ascii="宋体" w:hAnsi="宋体" w:eastAsia="宋体" w:cs="宋体"/>
                <w:b w:val="0"/>
                <w:bCs/>
                <w:color w:val="auto"/>
                <w:sz w:val="21"/>
                <w:szCs w:val="21"/>
                <w:highlight w:val="none"/>
              </w:rPr>
              <w:instrText xml:space="preserve">HYPERLINK "http://www.zcygov.cn/" \h</w:instrText>
            </w:r>
            <w:r>
              <w:rPr>
                <w:rFonts w:hint="eastAsia" w:ascii="宋体" w:hAnsi="宋体" w:eastAsia="宋体" w:cs="宋体"/>
                <w:b w:val="0"/>
                <w:bCs/>
                <w:color w:val="auto"/>
                <w:sz w:val="21"/>
                <w:szCs w:val="21"/>
                <w:highlight w:val="none"/>
              </w:rPr>
              <w:fldChar w:fldCharType="separate"/>
            </w:r>
            <w:r>
              <w:rPr>
                <w:rFonts w:hint="eastAsia" w:ascii="宋体" w:hAnsi="宋体" w:eastAsia="宋体" w:cs="宋体"/>
                <w:b w:val="0"/>
                <w:bCs/>
                <w:color w:val="auto"/>
                <w:sz w:val="21"/>
                <w:szCs w:val="21"/>
                <w:highlight w:val="none"/>
              </w:rPr>
              <w:t>www.zcygov.cn/</w:t>
            </w:r>
            <w:r>
              <w:rPr>
                <w:rFonts w:hint="eastAsia" w:ascii="宋体" w:hAnsi="宋体" w:eastAsia="宋体" w:cs="宋体"/>
                <w:b w:val="0"/>
                <w:bCs/>
                <w:color w:val="auto"/>
                <w:sz w:val="21"/>
                <w:szCs w:val="21"/>
                <w:highlight w:val="none"/>
              </w:rPr>
              <w:fldChar w:fldCharType="end"/>
            </w:r>
            <w:r>
              <w:rPr>
                <w:rFonts w:hint="eastAsia" w:ascii="宋体" w:hAnsi="宋体" w:eastAsia="宋体" w:cs="宋体"/>
                <w:b w:val="0"/>
                <w:bCs/>
                <w:color w:val="auto"/>
                <w:sz w:val="21"/>
                <w:szCs w:val="21"/>
                <w:highlight w:val="none"/>
              </w:rPr>
              <w:t xml:space="preserve">），点击右侧咨询小采，获取采小蜜智能服务管家帮助，或拨打政采云服务热线 </w:t>
            </w:r>
            <w:r>
              <w:rPr>
                <w:rFonts w:hint="eastAsia" w:ascii="宋体" w:hAnsi="宋体" w:eastAsia="宋体" w:cs="宋体"/>
                <w:b w:val="0"/>
                <w:bCs/>
                <w:color w:val="auto"/>
                <w:sz w:val="21"/>
                <w:szCs w:val="21"/>
                <w:highlight w:val="none"/>
                <w:lang w:eastAsia="zh-CN"/>
              </w:rPr>
              <w:t>95763</w:t>
            </w:r>
            <w:r>
              <w:rPr>
                <w:rFonts w:hint="eastAsia" w:ascii="宋体" w:hAnsi="宋体" w:eastAsia="宋体" w:cs="宋体"/>
                <w:b w:val="0"/>
                <w:bCs/>
                <w:color w:val="auto"/>
                <w:sz w:val="21"/>
                <w:szCs w:val="21"/>
                <w:highlight w:val="none"/>
              </w:rPr>
              <w:t xml:space="preserve"> 获取热线服务帮助。</w:t>
            </w:r>
          </w:p>
          <w:p w14:paraId="0AD11DA4">
            <w:pPr>
              <w:pStyle w:val="7"/>
              <w:keepNext w:val="0"/>
              <w:keepLines w:val="0"/>
              <w:pageBreakBefore w:val="0"/>
              <w:widowControl w:val="0"/>
              <w:shd w:val="clear" w:color="auto" w:fill="auto"/>
              <w:kinsoku/>
              <w:wordWrap/>
              <w:overflowPunct/>
              <w:topLinePunct w:val="0"/>
              <w:autoSpaceDE/>
              <w:autoSpaceDN/>
              <w:bidi w:val="0"/>
              <w:adjustRightInd/>
              <w:snapToGrid w:val="0"/>
              <w:spacing w:line="360" w:lineRule="auto"/>
              <w:ind w:firstLine="426" w:firstLineChars="200"/>
              <w:textAlignment w:val="auto"/>
              <w:outlineLvl w:val="9"/>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温馨提醒：供应商应提前上传，以便在上传时遇到技术问题，有充足的时间请教平台的技术人员。</w:t>
            </w:r>
          </w:p>
          <w:p w14:paraId="21DA3017">
            <w:pPr>
              <w:keepNext w:val="0"/>
              <w:keepLines w:val="0"/>
              <w:pageBreakBefore w:val="0"/>
              <w:widowControl w:val="0"/>
              <w:shd w:val="clear" w:color="auto" w:fill="auto"/>
              <w:kinsoku/>
              <w:wordWrap/>
              <w:overflowPunct/>
              <w:topLinePunct w:val="0"/>
              <w:autoSpaceDE/>
              <w:autoSpaceDN/>
              <w:bidi w:val="0"/>
              <w:adjustRightInd/>
              <w:snapToGrid w:val="0"/>
              <w:spacing w:line="360" w:lineRule="auto"/>
              <w:textAlignment w:val="auto"/>
              <w:outlineLvl w:val="9"/>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2、供应商认为采购文件使自己的权益受到损害的，可以自收到采购文件之日（采购文件公告期限届满之前收到采购文件的，以完成获取采购文件申请后下载采购文件的时间为准）或者采购文件公告期限届满之日（公告发布后的第6个工作日）起7个工作日内且应当在采购响应截止时间之前，以书面形式一次性向采购人和采购代理机构提出同一环节的质疑。否则，被质疑人可不予接受。质疑供应商对采购人、采购代理机构的答复不满意或者采购人、采购代理机构未在规定的时间内作出答复的，可以在答复期满后十五个工作日内向同级政府采购监督管理部门投诉。质疑函范本、投诉书范本请到</w:t>
            </w:r>
            <w:r>
              <w:rPr>
                <w:rFonts w:hint="eastAsia" w:ascii="宋体" w:hAnsi="宋体" w:eastAsia="宋体" w:cs="宋体"/>
                <w:b w:val="0"/>
                <w:bCs/>
                <w:color w:val="auto"/>
                <w:sz w:val="21"/>
                <w:szCs w:val="21"/>
                <w:highlight w:val="none"/>
                <w:lang w:eastAsia="zh-CN"/>
              </w:rPr>
              <w:t>中国</w:t>
            </w:r>
            <w:r>
              <w:rPr>
                <w:rFonts w:hint="eastAsia" w:ascii="宋体" w:hAnsi="宋体" w:eastAsia="宋体" w:cs="宋体"/>
                <w:b w:val="0"/>
                <w:bCs/>
                <w:color w:val="auto"/>
                <w:sz w:val="21"/>
                <w:szCs w:val="21"/>
                <w:highlight w:val="none"/>
              </w:rPr>
              <w:t>政府采购网下载专区下载。未按规定获取采购文件或逾期提出的不予受理、答复。</w:t>
            </w:r>
          </w:p>
        </w:tc>
      </w:tr>
      <w:tr w14:paraId="544E4F1D">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306" w:hRule="atLeast"/>
          <w:jc w:val="center"/>
        </w:trPr>
        <w:tc>
          <w:tcPr>
            <w:tcW w:w="1012" w:type="dxa"/>
            <w:noWrap w:val="0"/>
            <w:vAlign w:val="center"/>
          </w:tcPr>
          <w:p w14:paraId="1C2FE9B6">
            <w:pPr>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ascii="宋体" w:hAnsi="宋体"/>
                <w:b/>
                <w:bCs w:val="0"/>
                <w:color w:val="auto"/>
                <w:sz w:val="21"/>
                <w:szCs w:val="21"/>
                <w:highlight w:val="none"/>
                <w:lang w:val="en-US" w:eastAsia="zh-CN"/>
              </w:rPr>
            </w:pPr>
          </w:p>
        </w:tc>
        <w:tc>
          <w:tcPr>
            <w:tcW w:w="1536" w:type="dxa"/>
            <w:noWrap w:val="0"/>
            <w:vAlign w:val="center"/>
          </w:tcPr>
          <w:p w14:paraId="33116C4C">
            <w:pPr>
              <w:shd w:val="clear" w:color="auto" w:fill="auto"/>
              <w:spacing w:line="360" w:lineRule="auto"/>
              <w:jc w:val="center"/>
              <w:rPr>
                <w:rFonts w:hint="default" w:ascii="宋体" w:hAnsi="宋体" w:eastAsia="宋体" w:cs="宋体"/>
                <w:b/>
                <w:bCs w:val="0"/>
                <w:color w:val="000000"/>
                <w:szCs w:val="21"/>
                <w:highlight w:val="yellow"/>
                <w:lang w:val="en-US" w:eastAsia="zh-CN"/>
              </w:rPr>
            </w:pPr>
            <w:r>
              <w:rPr>
                <w:rFonts w:hint="eastAsia" w:ascii="仿宋" w:hAnsi="仿宋" w:eastAsia="仿宋" w:cs="仿宋"/>
                <w:b w:val="0"/>
                <w:bCs w:val="0"/>
                <w:color w:val="auto"/>
                <w:sz w:val="24"/>
                <w:szCs w:val="24"/>
                <w:highlight w:val="yellow"/>
                <w:lang w:val="en-US" w:eastAsia="zh-CN"/>
              </w:rPr>
              <w:t>行业划分</w:t>
            </w:r>
          </w:p>
        </w:tc>
        <w:tc>
          <w:tcPr>
            <w:tcW w:w="7288" w:type="dxa"/>
            <w:noWrap w:val="0"/>
            <w:vAlign w:val="center"/>
          </w:tcPr>
          <w:p w14:paraId="38833E47">
            <w:pPr>
              <w:shd w:val="clear" w:color="auto" w:fill="auto"/>
              <w:spacing w:line="360" w:lineRule="auto"/>
              <w:jc w:val="left"/>
              <w:rPr>
                <w:rFonts w:hint="eastAsia" w:ascii="宋体" w:hAnsi="宋体" w:eastAsia="仿宋" w:cs="宋体"/>
                <w:b w:val="0"/>
                <w:bCs/>
                <w:color w:val="000000"/>
                <w:szCs w:val="21"/>
                <w:highlight w:val="yellow"/>
                <w:lang w:eastAsia="zh-CN"/>
              </w:rPr>
            </w:pPr>
            <w:r>
              <w:rPr>
                <w:rFonts w:hint="eastAsia" w:ascii="仿宋" w:hAnsi="仿宋" w:eastAsia="仿宋" w:cs="仿宋"/>
                <w:b w:val="0"/>
                <w:bCs w:val="0"/>
                <w:color w:val="auto"/>
                <w:sz w:val="24"/>
                <w:szCs w:val="24"/>
                <w:highlight w:val="yellow"/>
                <w:lang w:val="en-US" w:eastAsia="zh-CN"/>
              </w:rPr>
              <w:t>本采购项目所属行业：</w:t>
            </w:r>
            <w:r>
              <w:rPr>
                <w:rFonts w:hint="eastAsia" w:ascii="仿宋" w:hAnsi="仿宋" w:eastAsia="仿宋" w:cs="仿宋"/>
                <w:b w:val="0"/>
                <w:bCs w:val="0"/>
                <w:color w:val="auto"/>
                <w:sz w:val="24"/>
                <w:szCs w:val="24"/>
                <w:highlight w:val="yellow"/>
                <w:u w:val="single"/>
                <w:lang w:val="en-US" w:eastAsia="zh-CN"/>
              </w:rPr>
              <w:t>其他未列明行业</w:t>
            </w:r>
          </w:p>
        </w:tc>
      </w:tr>
      <w:tr w14:paraId="693C5BC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306" w:hRule="atLeast"/>
          <w:jc w:val="center"/>
        </w:trPr>
        <w:tc>
          <w:tcPr>
            <w:tcW w:w="1012" w:type="dxa"/>
            <w:noWrap w:val="0"/>
            <w:vAlign w:val="center"/>
          </w:tcPr>
          <w:p w14:paraId="555A55A0">
            <w:pPr>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default" w:ascii="宋体" w:hAnsi="宋体"/>
                <w:b/>
                <w:bCs w:val="0"/>
                <w:color w:val="auto"/>
                <w:sz w:val="21"/>
                <w:szCs w:val="21"/>
                <w:highlight w:val="none"/>
                <w:lang w:val="en-US" w:eastAsia="zh-CN"/>
              </w:rPr>
            </w:pPr>
            <w:r>
              <w:rPr>
                <w:rFonts w:hint="eastAsia" w:ascii="宋体" w:hAnsi="宋体"/>
                <w:b/>
                <w:bCs w:val="0"/>
                <w:color w:val="auto"/>
                <w:sz w:val="21"/>
                <w:szCs w:val="21"/>
                <w:highlight w:val="none"/>
                <w:lang w:val="en-US" w:eastAsia="zh-CN"/>
              </w:rPr>
              <w:t>30</w:t>
            </w:r>
          </w:p>
        </w:tc>
        <w:tc>
          <w:tcPr>
            <w:tcW w:w="1536" w:type="dxa"/>
            <w:noWrap w:val="0"/>
            <w:vAlign w:val="center"/>
          </w:tcPr>
          <w:p w14:paraId="40CD6A41">
            <w:pPr>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ascii="仿宋" w:hAnsi="仿宋" w:eastAsia="仿宋" w:cs="仿宋"/>
                <w:b w:val="0"/>
                <w:bCs w:val="0"/>
                <w:color w:val="auto"/>
                <w:sz w:val="24"/>
                <w:szCs w:val="24"/>
                <w:highlight w:val="yellow"/>
                <w:lang w:val="en-US" w:eastAsia="zh-CN"/>
              </w:rPr>
            </w:pPr>
            <w:r>
              <w:rPr>
                <w:rFonts w:hint="eastAsia" w:ascii="宋体" w:hAnsi="宋体" w:eastAsia="宋体" w:cs="宋体"/>
                <w:color w:val="auto"/>
                <w:sz w:val="21"/>
                <w:szCs w:val="21"/>
                <w:highlight w:val="none"/>
                <w:lang w:val="en-US" w:eastAsia="zh-CN"/>
              </w:rPr>
              <w:t>中小微企业政策文件说明</w:t>
            </w:r>
          </w:p>
        </w:tc>
        <w:tc>
          <w:tcPr>
            <w:tcW w:w="7288" w:type="dxa"/>
            <w:noWrap w:val="0"/>
            <w:vAlign w:val="top"/>
          </w:tcPr>
          <w:p w14:paraId="5E9D2BBC">
            <w:pPr>
              <w:keepNext w:val="0"/>
              <w:keepLines w:val="0"/>
              <w:pageBreakBefore w:val="0"/>
              <w:widowControl w:val="0"/>
              <w:shd w:val="clear" w:color="auto" w:fill="auto"/>
              <w:kinsoku/>
              <w:wordWrap/>
              <w:overflowPunct/>
              <w:topLinePunct w:val="0"/>
              <w:autoSpaceDE/>
              <w:autoSpaceDN/>
              <w:bidi w:val="0"/>
              <w:adjustRightInd/>
              <w:snapToGrid w:val="0"/>
              <w:spacing w:line="290" w:lineRule="exact"/>
              <w:textAlignment w:val="auto"/>
              <w:outlineLvl w:val="9"/>
              <w:rPr>
                <w:rFonts w:hint="eastAsia" w:ascii="仿宋" w:hAnsi="仿宋" w:eastAsia="仿宋" w:cs="仿宋"/>
                <w:b w:val="0"/>
                <w:bCs w:val="0"/>
                <w:color w:val="auto"/>
                <w:sz w:val="24"/>
                <w:szCs w:val="24"/>
                <w:highlight w:val="yellow"/>
                <w:lang w:val="en-US" w:eastAsia="zh-CN"/>
              </w:rPr>
            </w:pPr>
            <w:r>
              <w:rPr>
                <w:rFonts w:hint="eastAsia" w:ascii="宋体" w:hAnsi="宋体" w:cs="宋体"/>
                <w:color w:val="auto"/>
                <w:sz w:val="21"/>
                <w:szCs w:val="21"/>
                <w:highlight w:val="yellow"/>
                <w:lang w:val="en-US" w:eastAsia="zh-CN"/>
              </w:rPr>
              <w:t>（</w:t>
            </w:r>
            <w:bookmarkStart w:id="156" w:name="_GoBack"/>
            <w:bookmarkEnd w:id="156"/>
            <w:r>
              <w:rPr>
                <w:rFonts w:hint="eastAsia" w:ascii="宋体" w:hAnsi="宋体" w:eastAsia="宋体" w:cs="宋体"/>
                <w:color w:val="auto"/>
                <w:sz w:val="21"/>
                <w:szCs w:val="21"/>
                <w:highlight w:val="yellow"/>
                <w:lang w:val="en-US" w:eastAsia="zh-CN"/>
              </w:rPr>
              <w:t>1）支持中小企业发展：给予小型和微型企业产品的价格10%-20%的扣除（工程项目为3%~5%），用扣除后的价格参与评审，</w:t>
            </w:r>
            <w:r>
              <w:rPr>
                <w:rFonts w:hint="eastAsia" w:ascii="宋体" w:hAnsi="宋体" w:eastAsia="宋体" w:cs="宋体"/>
                <w:color w:val="FF0000"/>
                <w:sz w:val="21"/>
                <w:szCs w:val="21"/>
                <w:highlight w:val="yellow"/>
                <w:lang w:val="en-US" w:eastAsia="zh-CN"/>
              </w:rPr>
              <w:t>本项目具体扣除比例为</w:t>
            </w:r>
            <w:r>
              <w:rPr>
                <w:rFonts w:hint="eastAsia" w:ascii="宋体" w:hAnsi="宋体" w:cs="宋体"/>
                <w:color w:val="FF0000"/>
                <w:sz w:val="21"/>
                <w:szCs w:val="21"/>
                <w:highlight w:val="yellow"/>
                <w:lang w:val="en-US" w:eastAsia="zh-CN"/>
              </w:rPr>
              <w:t>10</w:t>
            </w:r>
            <w:r>
              <w:rPr>
                <w:rFonts w:hint="eastAsia" w:ascii="宋体" w:hAnsi="宋体" w:eastAsia="宋体" w:cs="宋体"/>
                <w:color w:val="FF0000"/>
                <w:sz w:val="21"/>
                <w:szCs w:val="21"/>
                <w:highlight w:val="yellow"/>
                <w:lang w:val="en-US" w:eastAsia="zh-CN"/>
              </w:rPr>
              <w:t>%</w:t>
            </w:r>
            <w:r>
              <w:rPr>
                <w:rFonts w:hint="eastAsia" w:ascii="宋体" w:hAnsi="宋体" w:eastAsia="宋体" w:cs="宋体"/>
                <w:color w:val="auto"/>
                <w:sz w:val="21"/>
                <w:szCs w:val="21"/>
                <w:highlight w:val="yellow"/>
                <w:lang w:val="en-US" w:eastAsia="zh-CN"/>
              </w:rPr>
              <w:t>。用扣除后的价格参与评审。残疾人福利性单位视同小型、微型企业，享受同等价格扣除，但同时属于残疾人福利性单位和小微企业的，不重复价格扣除。（2）不符合上述适用情形的投标人无需提供上述声明函件。</w:t>
            </w:r>
          </w:p>
        </w:tc>
      </w:tr>
      <w:tr w14:paraId="1F3B974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41" w:hRule="atLeast"/>
          <w:jc w:val="center"/>
        </w:trPr>
        <w:tc>
          <w:tcPr>
            <w:tcW w:w="1012" w:type="dxa"/>
            <w:noWrap w:val="0"/>
            <w:vAlign w:val="center"/>
          </w:tcPr>
          <w:p w14:paraId="299406AB">
            <w:pPr>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b/>
                <w:bCs w:val="0"/>
                <w:color w:val="auto"/>
                <w:sz w:val="21"/>
                <w:szCs w:val="21"/>
                <w:highlight w:val="none"/>
              </w:rPr>
            </w:pPr>
            <w:r>
              <w:rPr>
                <w:rFonts w:hint="eastAsia"/>
                <w:b/>
                <w:bCs w:val="0"/>
                <w:color w:val="auto"/>
                <w:sz w:val="21"/>
                <w:szCs w:val="21"/>
                <w:highlight w:val="none"/>
              </w:rPr>
              <w:t>备注</w:t>
            </w:r>
            <w:r>
              <w:rPr>
                <w:rFonts w:hint="eastAsia"/>
                <w:b/>
                <w:bCs w:val="0"/>
                <w:color w:val="auto"/>
                <w:sz w:val="21"/>
                <w:szCs w:val="21"/>
                <w:highlight w:val="none"/>
                <w:lang w:eastAsia="zh-CN"/>
              </w:rPr>
              <w:t>：</w:t>
            </w:r>
          </w:p>
        </w:tc>
        <w:tc>
          <w:tcPr>
            <w:tcW w:w="8824" w:type="dxa"/>
            <w:gridSpan w:val="2"/>
            <w:noWrap w:val="0"/>
            <w:vAlign w:val="center"/>
          </w:tcPr>
          <w:p w14:paraId="58F584CA">
            <w:pPr>
              <w:numPr>
                <w:ilvl w:val="0"/>
                <w:numId w:val="0"/>
              </w:numPr>
              <w:spacing w:line="400" w:lineRule="exact"/>
              <w:jc w:val="left"/>
              <w:rPr>
                <w:rFonts w:hint="eastAsia" w:ascii="Times New Roman" w:hAnsi="Times New Roman" w:eastAsia="宋体" w:cs="Times New Roman"/>
                <w:b/>
                <w:bCs w:val="0"/>
                <w:color w:val="auto"/>
                <w:kern w:val="2"/>
                <w:sz w:val="21"/>
                <w:szCs w:val="21"/>
                <w:highlight w:val="none"/>
                <w:lang w:val="en-US" w:eastAsia="zh-CN" w:bidi="ar-SA"/>
              </w:rPr>
            </w:pPr>
            <w:r>
              <w:rPr>
                <w:rFonts w:hint="eastAsia" w:ascii="Times New Roman" w:hAnsi="Times New Roman" w:cs="Times New Roman"/>
                <w:b/>
                <w:bCs w:val="0"/>
                <w:color w:val="auto"/>
                <w:kern w:val="2"/>
                <w:sz w:val="21"/>
                <w:szCs w:val="21"/>
                <w:highlight w:val="none"/>
                <w:lang w:val="en-US" w:eastAsia="zh-CN" w:bidi="ar-SA"/>
              </w:rPr>
              <w:t>1、</w:t>
            </w:r>
            <w:r>
              <w:rPr>
                <w:rFonts w:hint="eastAsia" w:ascii="Times New Roman" w:hAnsi="Times New Roman" w:eastAsia="宋体" w:cs="Times New Roman"/>
                <w:b/>
                <w:bCs w:val="0"/>
                <w:color w:val="auto"/>
                <w:kern w:val="2"/>
                <w:sz w:val="21"/>
                <w:szCs w:val="21"/>
                <w:highlight w:val="none"/>
                <w:lang w:val="en-US" w:eastAsia="zh-CN" w:bidi="ar-SA"/>
              </w:rPr>
              <w:t>着重提醒各投标人注意，并认真查看招标文件中的每一个条款及要求，因误读招标文</w:t>
            </w:r>
          </w:p>
          <w:p w14:paraId="0266B82B">
            <w:pPr>
              <w:numPr>
                <w:ilvl w:val="0"/>
                <w:numId w:val="0"/>
              </w:numPr>
              <w:spacing w:line="400" w:lineRule="exact"/>
              <w:jc w:val="left"/>
              <w:rPr>
                <w:rFonts w:hint="eastAsia" w:ascii="Times New Roman" w:hAnsi="Times New Roman" w:eastAsia="宋体" w:cs="Times New Roman"/>
                <w:b/>
                <w:bCs w:val="0"/>
                <w:color w:val="auto"/>
                <w:kern w:val="2"/>
                <w:sz w:val="21"/>
                <w:szCs w:val="21"/>
                <w:highlight w:val="none"/>
                <w:lang w:val="en-US" w:eastAsia="zh-CN" w:bidi="ar-SA"/>
              </w:rPr>
            </w:pPr>
            <w:r>
              <w:rPr>
                <w:rFonts w:hint="eastAsia" w:ascii="Times New Roman" w:hAnsi="Times New Roman" w:eastAsia="宋体" w:cs="Times New Roman"/>
                <w:b/>
                <w:bCs w:val="0"/>
                <w:color w:val="auto"/>
                <w:kern w:val="2"/>
                <w:sz w:val="21"/>
                <w:szCs w:val="21"/>
                <w:highlight w:val="none"/>
                <w:lang w:val="en-US" w:eastAsia="zh-CN" w:bidi="ar-SA"/>
              </w:rPr>
              <w:t>件而造成的后果，招标人概不负责。</w:t>
            </w:r>
          </w:p>
          <w:p w14:paraId="67AD1F2E">
            <w:pPr>
              <w:numPr>
                <w:ilvl w:val="0"/>
                <w:numId w:val="0"/>
              </w:numPr>
              <w:spacing w:line="400" w:lineRule="exact"/>
              <w:jc w:val="left"/>
              <w:rPr>
                <w:rFonts w:hint="eastAsia" w:ascii="Times New Roman" w:hAnsi="Times New Roman" w:eastAsia="宋体" w:cs="Times New Roman"/>
                <w:b/>
                <w:bCs w:val="0"/>
                <w:color w:val="auto"/>
                <w:kern w:val="2"/>
                <w:sz w:val="21"/>
                <w:szCs w:val="21"/>
                <w:highlight w:val="none"/>
                <w:lang w:val="en-US" w:eastAsia="zh-CN" w:bidi="ar-SA"/>
              </w:rPr>
            </w:pPr>
            <w:r>
              <w:rPr>
                <w:rFonts w:hint="eastAsia" w:ascii="Times New Roman" w:hAnsi="Times New Roman" w:cs="Times New Roman"/>
                <w:b/>
                <w:bCs w:val="0"/>
                <w:color w:val="auto"/>
                <w:kern w:val="2"/>
                <w:sz w:val="21"/>
                <w:szCs w:val="21"/>
                <w:highlight w:val="none"/>
                <w:lang w:val="en-US" w:eastAsia="zh-CN" w:bidi="ar-SA"/>
              </w:rPr>
              <w:t>2、</w:t>
            </w:r>
            <w:r>
              <w:rPr>
                <w:rFonts w:hint="eastAsia" w:ascii="Times New Roman" w:hAnsi="Times New Roman" w:eastAsia="宋体" w:cs="Times New Roman"/>
                <w:b/>
                <w:bCs w:val="0"/>
                <w:color w:val="auto"/>
                <w:kern w:val="2"/>
                <w:sz w:val="21"/>
                <w:szCs w:val="21"/>
                <w:highlight w:val="none"/>
                <w:lang w:val="en-US" w:eastAsia="zh-CN" w:bidi="ar-SA"/>
              </w:rPr>
              <w:t>除法律、法规和规章规定外，招标文件中用“拒绝”、“不接受”、“无效”、“不得”等文字规定，对其中任何一条的偏离，在评审时将其视为无效文件。未用上述文字规定或符</w:t>
            </w:r>
          </w:p>
          <w:p w14:paraId="58E8F5A2">
            <w:pPr>
              <w:numPr>
                <w:ilvl w:val="0"/>
                <w:numId w:val="0"/>
              </w:numPr>
              <w:spacing w:line="400" w:lineRule="exact"/>
              <w:jc w:val="left"/>
              <w:rPr>
                <w:rFonts w:hint="eastAsia" w:ascii="Times New Roman" w:hAnsi="Times New Roman" w:eastAsia="宋体" w:cs="Times New Roman"/>
                <w:b/>
                <w:bCs w:val="0"/>
                <w:color w:val="auto"/>
                <w:kern w:val="2"/>
                <w:sz w:val="21"/>
                <w:szCs w:val="21"/>
                <w:highlight w:val="none"/>
                <w:lang w:val="en-US" w:eastAsia="zh-CN" w:bidi="ar-SA"/>
              </w:rPr>
            </w:pPr>
            <w:r>
              <w:rPr>
                <w:rFonts w:hint="eastAsia" w:ascii="Times New Roman" w:hAnsi="Times New Roman" w:eastAsia="宋体" w:cs="Times New Roman"/>
                <w:b/>
                <w:bCs w:val="0"/>
                <w:color w:val="auto"/>
                <w:kern w:val="2"/>
                <w:sz w:val="21"/>
                <w:szCs w:val="21"/>
                <w:highlight w:val="none"/>
                <w:lang w:val="en-US" w:eastAsia="zh-CN" w:bidi="ar-SA"/>
              </w:rPr>
              <w:t>号标注的条款为非实质性要求条款(即一般条款)。</w:t>
            </w:r>
          </w:p>
          <w:p w14:paraId="681DF54F">
            <w:pPr>
              <w:numPr>
                <w:ilvl w:val="0"/>
                <w:numId w:val="0"/>
              </w:numPr>
              <w:spacing w:line="400" w:lineRule="exact"/>
              <w:ind w:leftChars="0"/>
              <w:jc w:val="left"/>
              <w:rPr>
                <w:rFonts w:hint="eastAsia" w:ascii="Times New Roman" w:hAnsi="Times New Roman" w:eastAsia="宋体" w:cs="Times New Roman"/>
                <w:b/>
                <w:bCs w:val="0"/>
                <w:color w:val="auto"/>
                <w:kern w:val="2"/>
                <w:sz w:val="21"/>
                <w:szCs w:val="21"/>
                <w:highlight w:val="none"/>
                <w:lang w:val="en-US" w:eastAsia="zh-CN" w:bidi="ar-SA"/>
              </w:rPr>
            </w:pPr>
            <w:r>
              <w:rPr>
                <w:rFonts w:hint="eastAsia" w:ascii="Times New Roman" w:hAnsi="Times New Roman" w:cs="Times New Roman"/>
                <w:b/>
                <w:bCs w:val="0"/>
                <w:color w:val="auto"/>
                <w:kern w:val="2"/>
                <w:sz w:val="21"/>
                <w:szCs w:val="21"/>
                <w:highlight w:val="none"/>
                <w:lang w:val="en-US" w:eastAsia="zh-CN" w:bidi="ar-SA"/>
              </w:rPr>
              <w:t>3、</w:t>
            </w:r>
            <w:r>
              <w:rPr>
                <w:rFonts w:hint="eastAsia" w:ascii="Times New Roman" w:hAnsi="Times New Roman" w:eastAsia="宋体" w:cs="Times New Roman"/>
                <w:b/>
                <w:bCs w:val="0"/>
                <w:color w:val="auto"/>
                <w:kern w:val="2"/>
                <w:sz w:val="21"/>
                <w:szCs w:val="21"/>
                <w:highlight w:val="none"/>
                <w:lang w:val="en-US" w:eastAsia="zh-CN" w:bidi="ar-SA"/>
              </w:rPr>
              <w:t>除非另有特殊说明，若本招标文件中引用了某一品牌、型号或生产供应商名称，均是指参照该品牌、型号或生产供应商的产品或服务，所引用的品牌、型号或生产供应商不构成对投标的限制。若采用的外文术语与某一供应商或某一产品使用的术语相同，并非表示指定了该供应商或该产品。</w:t>
            </w:r>
          </w:p>
          <w:p w14:paraId="125CD533">
            <w:pPr>
              <w:numPr>
                <w:ilvl w:val="0"/>
                <w:numId w:val="0"/>
              </w:numPr>
              <w:spacing w:line="400" w:lineRule="exact"/>
              <w:ind w:leftChars="0"/>
              <w:jc w:val="left"/>
              <w:rPr>
                <w:rFonts w:hint="eastAsia" w:ascii="Times New Roman" w:hAnsi="Times New Roman" w:eastAsia="宋体" w:cs="Times New Roman"/>
                <w:b/>
                <w:bCs w:val="0"/>
                <w:color w:val="auto"/>
                <w:kern w:val="2"/>
                <w:sz w:val="21"/>
                <w:szCs w:val="21"/>
                <w:highlight w:val="none"/>
                <w:lang w:val="en-US" w:eastAsia="zh-CN" w:bidi="ar-SA"/>
              </w:rPr>
            </w:pPr>
            <w:r>
              <w:rPr>
                <w:rFonts w:hint="eastAsia" w:ascii="Times New Roman" w:hAnsi="Times New Roman" w:cs="Times New Roman"/>
                <w:b/>
                <w:bCs w:val="0"/>
                <w:color w:val="auto"/>
                <w:kern w:val="2"/>
                <w:sz w:val="21"/>
                <w:szCs w:val="21"/>
                <w:highlight w:val="none"/>
                <w:lang w:val="en-US" w:eastAsia="zh-CN" w:bidi="ar-SA"/>
              </w:rPr>
              <w:t>4</w:t>
            </w:r>
            <w:r>
              <w:rPr>
                <w:rFonts w:hint="eastAsia" w:ascii="Times New Roman" w:hAnsi="Times New Roman" w:eastAsia="宋体" w:cs="Times New Roman"/>
                <w:b/>
                <w:bCs w:val="0"/>
                <w:color w:val="auto"/>
                <w:kern w:val="2"/>
                <w:sz w:val="21"/>
                <w:szCs w:val="21"/>
                <w:highlight w:val="none"/>
                <w:lang w:val="en-US" w:eastAsia="zh-CN" w:bidi="ar-SA"/>
              </w:rPr>
              <w:t>、采购人若发现</w:t>
            </w:r>
            <w:r>
              <w:rPr>
                <w:rFonts w:hint="eastAsia" w:ascii="Times New Roman" w:hAnsi="Times New Roman" w:cs="Times New Roman"/>
                <w:b/>
                <w:bCs w:val="0"/>
                <w:color w:val="auto"/>
                <w:kern w:val="2"/>
                <w:sz w:val="21"/>
                <w:szCs w:val="21"/>
                <w:highlight w:val="none"/>
                <w:lang w:val="en-US" w:eastAsia="zh-CN" w:bidi="ar-SA"/>
              </w:rPr>
              <w:t>中标</w:t>
            </w:r>
            <w:r>
              <w:rPr>
                <w:rFonts w:hint="eastAsia" w:ascii="Times New Roman" w:hAnsi="Times New Roman" w:eastAsia="宋体" w:cs="Times New Roman"/>
                <w:b/>
                <w:bCs w:val="0"/>
                <w:color w:val="auto"/>
                <w:kern w:val="2"/>
                <w:sz w:val="21"/>
                <w:szCs w:val="21"/>
                <w:highlight w:val="none"/>
                <w:lang w:val="en-US" w:eastAsia="zh-CN" w:bidi="ar-SA"/>
              </w:rPr>
              <w:t>候选供应商在投标过程中提供虚假证明文件，故意隐瞒公司不良信誉和财务状况，以及其他可能对合同圆满履行造成风险的因素等，则按规定取消其</w:t>
            </w:r>
            <w:r>
              <w:rPr>
                <w:rFonts w:hint="eastAsia" w:ascii="Times New Roman" w:hAnsi="Times New Roman" w:cs="Times New Roman"/>
                <w:b/>
                <w:bCs w:val="0"/>
                <w:color w:val="auto"/>
                <w:kern w:val="2"/>
                <w:sz w:val="21"/>
                <w:szCs w:val="21"/>
                <w:highlight w:val="none"/>
                <w:lang w:val="en-US" w:eastAsia="zh-CN" w:bidi="ar-SA"/>
              </w:rPr>
              <w:t>中标</w:t>
            </w:r>
            <w:r>
              <w:rPr>
                <w:rFonts w:hint="eastAsia" w:ascii="Times New Roman" w:hAnsi="Times New Roman" w:eastAsia="宋体" w:cs="Times New Roman"/>
                <w:b/>
                <w:bCs w:val="0"/>
                <w:color w:val="auto"/>
                <w:kern w:val="2"/>
                <w:sz w:val="21"/>
                <w:szCs w:val="21"/>
                <w:highlight w:val="none"/>
                <w:lang w:val="en-US" w:eastAsia="zh-CN" w:bidi="ar-SA"/>
              </w:rPr>
              <w:t>资格，监管部门依法进行处理。</w:t>
            </w:r>
          </w:p>
          <w:p w14:paraId="0FFEDFF8">
            <w:pPr>
              <w:numPr>
                <w:ilvl w:val="0"/>
                <w:numId w:val="0"/>
              </w:numPr>
              <w:spacing w:line="400" w:lineRule="exact"/>
              <w:ind w:leftChars="0"/>
              <w:jc w:val="left"/>
              <w:rPr>
                <w:rFonts w:hint="eastAsia"/>
              </w:rPr>
            </w:pPr>
            <w:r>
              <w:rPr>
                <w:rFonts w:hint="eastAsia" w:ascii="Times New Roman" w:hAnsi="Times New Roman" w:cs="Times New Roman"/>
                <w:b/>
                <w:bCs w:val="0"/>
                <w:color w:val="auto"/>
                <w:kern w:val="2"/>
                <w:sz w:val="21"/>
                <w:szCs w:val="21"/>
                <w:highlight w:val="none"/>
                <w:lang w:val="en-US" w:eastAsia="zh-CN" w:bidi="ar-SA"/>
              </w:rPr>
              <w:t>5</w:t>
            </w:r>
            <w:r>
              <w:rPr>
                <w:rFonts w:hint="eastAsia" w:ascii="Times New Roman" w:hAnsi="Times New Roman" w:eastAsia="宋体" w:cs="Times New Roman"/>
                <w:b/>
                <w:bCs w:val="0"/>
                <w:color w:val="auto"/>
                <w:kern w:val="2"/>
                <w:sz w:val="21"/>
                <w:szCs w:val="21"/>
                <w:highlight w:val="none"/>
                <w:lang w:val="en-US" w:eastAsia="zh-CN" w:bidi="ar-SA"/>
              </w:rPr>
              <w:t>、投标人使用相同IP地址的，一经发现，相关部门将进一步核实，查实后按串通投标处理。</w:t>
            </w:r>
          </w:p>
        </w:tc>
      </w:tr>
      <w:bookmarkEnd w:id="12"/>
    </w:tbl>
    <w:p w14:paraId="337E999F">
      <w:pPr>
        <w:pageBreakBefore/>
        <w:shd w:val="clear" w:color="auto" w:fill="auto"/>
        <w:spacing w:before="312" w:beforeLines="100" w:after="312" w:afterLines="100" w:line="440" w:lineRule="exact"/>
        <w:ind w:firstLine="283" w:firstLineChars="100"/>
        <w:jc w:val="center"/>
        <w:outlineLvl w:val="1"/>
        <w:rPr>
          <w:rFonts w:hint="eastAsia" w:ascii="宋体"/>
          <w:b/>
          <w:color w:val="auto"/>
          <w:sz w:val="28"/>
          <w:szCs w:val="32"/>
          <w:highlight w:val="none"/>
        </w:rPr>
      </w:pPr>
      <w:r>
        <w:rPr>
          <w:rFonts w:hint="eastAsia" w:ascii="宋体"/>
          <w:b/>
          <w:color w:val="auto"/>
          <w:sz w:val="28"/>
          <w:szCs w:val="28"/>
          <w:highlight w:val="none"/>
        </w:rPr>
        <w:t>二、投标人须知</w:t>
      </w:r>
    </w:p>
    <w:p w14:paraId="4D3D0EC5">
      <w:pPr>
        <w:shd w:val="clear" w:color="auto" w:fill="auto"/>
        <w:spacing w:line="440" w:lineRule="exact"/>
        <w:jc w:val="center"/>
        <w:outlineLvl w:val="2"/>
        <w:rPr>
          <w:rFonts w:hint="eastAsia" w:ascii="宋体"/>
          <w:color w:val="auto"/>
          <w:sz w:val="28"/>
          <w:szCs w:val="28"/>
          <w:highlight w:val="none"/>
        </w:rPr>
      </w:pPr>
      <w:bookmarkStart w:id="14" w:name="_Toc469495724"/>
      <w:r>
        <w:rPr>
          <w:rFonts w:hint="eastAsia" w:ascii="宋体"/>
          <w:b/>
          <w:color w:val="auto"/>
          <w:sz w:val="28"/>
          <w:szCs w:val="28"/>
          <w:highlight w:val="none"/>
        </w:rPr>
        <w:t>（一）</w:t>
      </w:r>
      <w:r>
        <w:rPr>
          <w:rFonts w:hint="eastAsia" w:ascii="宋体"/>
          <w:b/>
          <w:color w:val="auto"/>
          <w:sz w:val="28"/>
          <w:szCs w:val="32"/>
          <w:highlight w:val="none"/>
        </w:rPr>
        <w:t>总  则</w:t>
      </w:r>
      <w:bookmarkEnd w:id="14"/>
    </w:p>
    <w:p w14:paraId="58F016B9">
      <w:pPr>
        <w:shd w:val="clear" w:color="auto" w:fill="auto"/>
        <w:snapToGrid w:val="0"/>
        <w:spacing w:line="440" w:lineRule="exact"/>
        <w:rPr>
          <w:rFonts w:hint="eastAsia" w:ascii="宋体"/>
          <w:b/>
          <w:color w:val="auto"/>
          <w:szCs w:val="21"/>
          <w:highlight w:val="none"/>
        </w:rPr>
      </w:pPr>
      <w:r>
        <w:rPr>
          <w:rFonts w:hint="eastAsia" w:ascii="宋体"/>
          <w:b/>
          <w:color w:val="auto"/>
          <w:szCs w:val="21"/>
          <w:highlight w:val="none"/>
        </w:rPr>
        <w:t>1.项目概况</w:t>
      </w:r>
    </w:p>
    <w:p w14:paraId="2EFD617D">
      <w:pPr>
        <w:shd w:val="clear" w:color="auto" w:fill="auto"/>
        <w:snapToGrid w:val="0"/>
        <w:spacing w:line="440" w:lineRule="exact"/>
        <w:ind w:firstLine="426" w:firstLineChars="200"/>
        <w:rPr>
          <w:rFonts w:hint="eastAsia" w:ascii="宋体"/>
          <w:color w:val="auto"/>
          <w:szCs w:val="21"/>
          <w:highlight w:val="none"/>
          <w:u w:val="single"/>
        </w:rPr>
      </w:pPr>
      <w:r>
        <w:rPr>
          <w:rFonts w:hint="eastAsia" w:ascii="宋体"/>
          <w:color w:val="auto"/>
          <w:szCs w:val="21"/>
          <w:highlight w:val="none"/>
        </w:rPr>
        <w:t>1.1本次招标采购项目名称：见投标人须知前附表。</w:t>
      </w:r>
    </w:p>
    <w:p w14:paraId="2446C710">
      <w:pPr>
        <w:shd w:val="clear" w:color="auto" w:fill="auto"/>
        <w:snapToGrid w:val="0"/>
        <w:spacing w:line="440" w:lineRule="exact"/>
        <w:ind w:firstLine="852" w:firstLineChars="400"/>
        <w:rPr>
          <w:rFonts w:hint="eastAsia" w:ascii="宋体"/>
          <w:color w:val="auto"/>
          <w:szCs w:val="21"/>
          <w:highlight w:val="none"/>
          <w:u w:val="single"/>
        </w:rPr>
      </w:pPr>
      <w:r>
        <w:rPr>
          <w:rFonts w:hint="eastAsia" w:ascii="宋体"/>
          <w:color w:val="auto"/>
          <w:szCs w:val="21"/>
          <w:highlight w:val="none"/>
        </w:rPr>
        <w:t>项目编号：见投标人须知前附表。</w:t>
      </w:r>
    </w:p>
    <w:p w14:paraId="3C6A5906">
      <w:pPr>
        <w:shd w:val="clear" w:color="auto" w:fill="auto"/>
        <w:snapToGrid w:val="0"/>
        <w:spacing w:line="440" w:lineRule="exact"/>
        <w:ind w:firstLine="852" w:firstLineChars="400"/>
        <w:rPr>
          <w:rFonts w:hint="eastAsia" w:ascii="宋体"/>
          <w:color w:val="auto"/>
          <w:szCs w:val="21"/>
          <w:highlight w:val="none"/>
          <w:u w:val="single"/>
        </w:rPr>
      </w:pPr>
      <w:r>
        <w:rPr>
          <w:rFonts w:hint="eastAsia" w:ascii="宋体"/>
          <w:color w:val="auto"/>
          <w:szCs w:val="21"/>
          <w:highlight w:val="none"/>
        </w:rPr>
        <w:t>招标人：见投标人须知前附表。</w:t>
      </w:r>
    </w:p>
    <w:p w14:paraId="0F7DF3EB">
      <w:pPr>
        <w:shd w:val="clear" w:color="auto" w:fill="auto"/>
        <w:snapToGrid w:val="0"/>
        <w:spacing w:line="440" w:lineRule="exact"/>
        <w:ind w:firstLine="852" w:firstLineChars="400"/>
        <w:rPr>
          <w:rFonts w:hint="eastAsia" w:ascii="宋体"/>
          <w:color w:val="auto"/>
          <w:szCs w:val="21"/>
          <w:highlight w:val="none"/>
          <w:u w:val="single"/>
        </w:rPr>
      </w:pPr>
      <w:r>
        <w:rPr>
          <w:rFonts w:hint="eastAsia" w:ascii="宋体"/>
          <w:color w:val="auto"/>
          <w:szCs w:val="21"/>
          <w:highlight w:val="none"/>
        </w:rPr>
        <w:t>供货期（服务周期）：见投标人须知前附表。</w:t>
      </w:r>
    </w:p>
    <w:p w14:paraId="51DB4A07">
      <w:pPr>
        <w:shd w:val="clear" w:color="auto" w:fill="auto"/>
        <w:snapToGrid w:val="0"/>
        <w:spacing w:line="440" w:lineRule="exact"/>
        <w:ind w:firstLine="852" w:firstLineChars="400"/>
        <w:rPr>
          <w:rFonts w:hint="eastAsia" w:ascii="宋体"/>
          <w:color w:val="auto"/>
          <w:szCs w:val="21"/>
          <w:highlight w:val="none"/>
          <w:u w:val="single"/>
        </w:rPr>
      </w:pPr>
      <w:r>
        <w:rPr>
          <w:rFonts w:hint="eastAsia" w:ascii="宋体"/>
          <w:color w:val="auto"/>
          <w:szCs w:val="21"/>
          <w:highlight w:val="none"/>
        </w:rPr>
        <w:t>供货地点：见投标人须知前附表。</w:t>
      </w:r>
    </w:p>
    <w:p w14:paraId="7DE46EF0">
      <w:pPr>
        <w:shd w:val="clear" w:color="auto" w:fill="auto"/>
        <w:snapToGrid w:val="0"/>
        <w:spacing w:line="440" w:lineRule="exact"/>
        <w:ind w:firstLine="426" w:firstLineChars="200"/>
        <w:rPr>
          <w:rFonts w:hint="eastAsia" w:ascii="宋体"/>
          <w:color w:val="auto"/>
          <w:szCs w:val="21"/>
          <w:highlight w:val="none"/>
          <w:u w:val="single"/>
        </w:rPr>
      </w:pPr>
      <w:r>
        <w:rPr>
          <w:rFonts w:hint="eastAsia" w:ascii="宋体"/>
          <w:color w:val="auto"/>
          <w:szCs w:val="21"/>
          <w:highlight w:val="none"/>
        </w:rPr>
        <w:t>1.2招标人及联系人:见投标人须知前附表。</w:t>
      </w:r>
    </w:p>
    <w:p w14:paraId="596F9A36">
      <w:pPr>
        <w:shd w:val="clear" w:color="auto" w:fill="auto"/>
        <w:snapToGrid w:val="0"/>
        <w:spacing w:line="440" w:lineRule="exact"/>
        <w:ind w:firstLine="745" w:firstLineChars="350"/>
        <w:rPr>
          <w:rFonts w:hint="eastAsia" w:ascii="宋体"/>
          <w:color w:val="auto"/>
          <w:szCs w:val="21"/>
          <w:highlight w:val="none"/>
          <w:u w:val="single"/>
        </w:rPr>
      </w:pPr>
      <w:r>
        <w:rPr>
          <w:rFonts w:hint="eastAsia" w:ascii="宋体"/>
          <w:color w:val="auto"/>
          <w:szCs w:val="21"/>
          <w:highlight w:val="none"/>
        </w:rPr>
        <w:t xml:space="preserve"> 代理机构及联系人:见投标人须知前附表。</w:t>
      </w:r>
    </w:p>
    <w:p w14:paraId="24B733CE">
      <w:pPr>
        <w:shd w:val="clear" w:color="auto" w:fill="auto"/>
        <w:snapToGrid w:val="0"/>
        <w:spacing w:line="440" w:lineRule="exact"/>
        <w:ind w:firstLine="426" w:firstLineChars="200"/>
        <w:rPr>
          <w:rFonts w:hint="eastAsia" w:ascii="宋体"/>
          <w:color w:val="auto"/>
          <w:szCs w:val="21"/>
          <w:highlight w:val="none"/>
        </w:rPr>
      </w:pPr>
      <w:r>
        <w:rPr>
          <w:rFonts w:hint="eastAsia" w:ascii="宋体"/>
          <w:color w:val="auto"/>
          <w:szCs w:val="21"/>
          <w:highlight w:val="none"/>
        </w:rPr>
        <w:t>1.3资金来源：见投标人须知前附表。</w:t>
      </w:r>
    </w:p>
    <w:p w14:paraId="2DBA41A1">
      <w:pPr>
        <w:shd w:val="clear" w:color="auto" w:fill="auto"/>
        <w:snapToGrid w:val="0"/>
        <w:spacing w:line="440" w:lineRule="exact"/>
        <w:ind w:firstLine="426" w:firstLineChars="200"/>
        <w:rPr>
          <w:rFonts w:hint="eastAsia" w:ascii="宋体"/>
          <w:color w:val="auto"/>
          <w:szCs w:val="21"/>
          <w:highlight w:val="none"/>
        </w:rPr>
      </w:pPr>
      <w:r>
        <w:rPr>
          <w:rFonts w:hint="eastAsia" w:ascii="宋体"/>
          <w:color w:val="auto"/>
          <w:szCs w:val="21"/>
          <w:highlight w:val="none"/>
        </w:rPr>
        <w:t>1.4本项目预算：见投标人须知前附表。</w:t>
      </w:r>
    </w:p>
    <w:p w14:paraId="3B4081E2">
      <w:pPr>
        <w:shd w:val="clear" w:color="auto" w:fill="auto"/>
        <w:snapToGrid w:val="0"/>
        <w:spacing w:line="440" w:lineRule="exact"/>
        <w:ind w:firstLine="426" w:firstLineChars="200"/>
        <w:rPr>
          <w:rFonts w:hint="eastAsia" w:ascii="宋体"/>
          <w:color w:val="auto"/>
          <w:szCs w:val="21"/>
          <w:highlight w:val="none"/>
        </w:rPr>
      </w:pPr>
      <w:r>
        <w:rPr>
          <w:rFonts w:hint="eastAsia" w:ascii="宋体"/>
          <w:color w:val="auto"/>
          <w:szCs w:val="21"/>
          <w:highlight w:val="none"/>
        </w:rPr>
        <w:t>1.5本项目控制价：见投标人须知前附表。</w:t>
      </w:r>
    </w:p>
    <w:p w14:paraId="01F7A40A">
      <w:pPr>
        <w:shd w:val="clear" w:color="auto" w:fill="auto"/>
        <w:snapToGrid w:val="0"/>
        <w:spacing w:line="440" w:lineRule="exact"/>
        <w:rPr>
          <w:rFonts w:hint="eastAsia" w:ascii="宋体"/>
          <w:b/>
          <w:color w:val="auto"/>
          <w:szCs w:val="21"/>
          <w:highlight w:val="none"/>
        </w:rPr>
      </w:pPr>
      <w:r>
        <w:rPr>
          <w:rFonts w:hint="eastAsia" w:ascii="宋体"/>
          <w:b/>
          <w:color w:val="auto"/>
          <w:szCs w:val="21"/>
          <w:highlight w:val="none"/>
        </w:rPr>
        <w:t>2.招标范围：</w:t>
      </w:r>
    </w:p>
    <w:p w14:paraId="7B13DB83">
      <w:pPr>
        <w:shd w:val="clear" w:color="auto" w:fill="auto"/>
        <w:snapToGrid w:val="0"/>
        <w:spacing w:line="440" w:lineRule="exact"/>
        <w:ind w:firstLine="426" w:firstLineChars="200"/>
        <w:rPr>
          <w:rFonts w:hint="eastAsia" w:ascii="宋体"/>
          <w:color w:val="auto"/>
          <w:szCs w:val="21"/>
          <w:highlight w:val="none"/>
          <w:u w:val="single"/>
        </w:rPr>
      </w:pPr>
      <w:r>
        <w:rPr>
          <w:rFonts w:hint="eastAsia" w:ascii="宋体"/>
          <w:color w:val="auto"/>
          <w:szCs w:val="21"/>
          <w:highlight w:val="none"/>
        </w:rPr>
        <w:t>2.1 采购内容：见投标人须知前附表。</w:t>
      </w:r>
    </w:p>
    <w:p w14:paraId="66E22BCC">
      <w:pPr>
        <w:shd w:val="clear" w:color="auto" w:fill="auto"/>
        <w:snapToGrid w:val="0"/>
        <w:spacing w:line="440" w:lineRule="exact"/>
        <w:ind w:firstLine="426" w:firstLineChars="200"/>
        <w:rPr>
          <w:rFonts w:hint="eastAsia" w:ascii="宋体"/>
          <w:color w:val="auto"/>
          <w:szCs w:val="21"/>
          <w:highlight w:val="none"/>
        </w:rPr>
      </w:pPr>
      <w:r>
        <w:rPr>
          <w:rFonts w:hint="eastAsia" w:ascii="宋体"/>
          <w:color w:val="auto"/>
          <w:szCs w:val="21"/>
          <w:highlight w:val="none"/>
        </w:rPr>
        <w:t>2.2 技术要求：详见</w:t>
      </w:r>
      <w:r>
        <w:rPr>
          <w:rFonts w:hint="eastAsia" w:ascii="宋体"/>
          <w:color w:val="auto"/>
          <w:szCs w:val="21"/>
          <w:highlight w:val="none"/>
          <w:lang w:eastAsia="zh-CN"/>
        </w:rPr>
        <w:t>采购文件</w:t>
      </w:r>
      <w:r>
        <w:rPr>
          <w:rFonts w:hint="eastAsia" w:ascii="宋体"/>
          <w:color w:val="auto"/>
          <w:szCs w:val="21"/>
          <w:highlight w:val="none"/>
        </w:rPr>
        <w:t>第四章采购内容及技术要求。</w:t>
      </w:r>
    </w:p>
    <w:p w14:paraId="49E03BDB">
      <w:pPr>
        <w:shd w:val="clear" w:color="auto" w:fill="auto"/>
        <w:snapToGrid w:val="0"/>
        <w:spacing w:line="440" w:lineRule="exact"/>
        <w:rPr>
          <w:rFonts w:hint="eastAsia" w:ascii="宋体"/>
          <w:b/>
          <w:color w:val="auto"/>
          <w:szCs w:val="21"/>
          <w:highlight w:val="none"/>
        </w:rPr>
      </w:pPr>
      <w:r>
        <w:rPr>
          <w:rFonts w:hint="eastAsia" w:ascii="宋体"/>
          <w:b/>
          <w:color w:val="auto"/>
          <w:szCs w:val="21"/>
          <w:highlight w:val="none"/>
        </w:rPr>
        <w:t>3.标包划分：</w:t>
      </w:r>
    </w:p>
    <w:p w14:paraId="5927259D">
      <w:pPr>
        <w:shd w:val="clear" w:color="auto" w:fill="auto"/>
        <w:snapToGrid w:val="0"/>
        <w:spacing w:line="440" w:lineRule="exact"/>
        <w:ind w:firstLine="426" w:firstLineChars="200"/>
        <w:jc w:val="left"/>
        <w:rPr>
          <w:rFonts w:hint="eastAsia" w:ascii="宋体"/>
          <w:color w:val="auto"/>
          <w:szCs w:val="21"/>
          <w:highlight w:val="none"/>
        </w:rPr>
      </w:pPr>
      <w:r>
        <w:rPr>
          <w:rFonts w:hint="eastAsia" w:ascii="宋体"/>
          <w:color w:val="auto"/>
          <w:szCs w:val="21"/>
          <w:highlight w:val="none"/>
        </w:rPr>
        <w:t>3.1本项目划分：</w:t>
      </w:r>
      <w:r>
        <w:rPr>
          <w:rFonts w:hint="eastAsia" w:ascii="宋体"/>
          <w:color w:val="auto"/>
          <w:szCs w:val="21"/>
          <w:highlight w:val="none"/>
          <w:u w:val="single"/>
        </w:rPr>
        <w:t xml:space="preserve"> </w:t>
      </w:r>
      <w:r>
        <w:rPr>
          <w:rFonts w:hint="eastAsia" w:ascii="宋体"/>
          <w:color w:val="auto"/>
          <w:szCs w:val="21"/>
          <w:highlight w:val="none"/>
          <w:u w:val="single"/>
          <w:lang w:val="en-US" w:eastAsia="zh-CN"/>
        </w:rPr>
        <w:t>1</w:t>
      </w:r>
      <w:r>
        <w:rPr>
          <w:rFonts w:hint="eastAsia" w:ascii="宋体"/>
          <w:color w:val="auto"/>
          <w:szCs w:val="21"/>
          <w:highlight w:val="none"/>
          <w:u w:val="single"/>
        </w:rPr>
        <w:t xml:space="preserve"> </w:t>
      </w:r>
      <w:r>
        <w:rPr>
          <w:rFonts w:hint="eastAsia" w:ascii="宋体"/>
          <w:color w:val="auto"/>
          <w:szCs w:val="21"/>
          <w:highlight w:val="none"/>
        </w:rPr>
        <w:t xml:space="preserve"> </w:t>
      </w:r>
      <w:r>
        <w:rPr>
          <w:rFonts w:hint="eastAsia"/>
          <w:color w:val="auto"/>
          <w:szCs w:val="21"/>
          <w:highlight w:val="none"/>
        </w:rPr>
        <w:t>个标包</w:t>
      </w:r>
      <w:r>
        <w:rPr>
          <w:rFonts w:hint="eastAsia" w:ascii="宋体" w:hAnsi="宋体" w:cs="宋体"/>
          <w:color w:val="auto"/>
          <w:kern w:val="0"/>
          <w:szCs w:val="21"/>
          <w:highlight w:val="none"/>
        </w:rPr>
        <w:t>。</w:t>
      </w:r>
    </w:p>
    <w:p w14:paraId="40C7AFE2">
      <w:pPr>
        <w:shd w:val="clear" w:color="auto" w:fill="auto"/>
        <w:snapToGrid w:val="0"/>
        <w:spacing w:line="440" w:lineRule="exact"/>
        <w:rPr>
          <w:rFonts w:hint="eastAsia" w:ascii="宋体"/>
          <w:b/>
          <w:color w:val="auto"/>
          <w:szCs w:val="21"/>
          <w:highlight w:val="none"/>
        </w:rPr>
      </w:pPr>
      <w:r>
        <w:rPr>
          <w:rFonts w:hint="eastAsia" w:ascii="宋体"/>
          <w:b/>
          <w:color w:val="auto"/>
          <w:szCs w:val="21"/>
          <w:highlight w:val="none"/>
        </w:rPr>
        <w:t>4.招标方式：</w:t>
      </w:r>
    </w:p>
    <w:p w14:paraId="31196E6B">
      <w:pPr>
        <w:shd w:val="clear" w:color="auto" w:fill="auto"/>
        <w:snapToGrid w:val="0"/>
        <w:spacing w:line="440" w:lineRule="exact"/>
        <w:ind w:firstLine="426" w:firstLineChars="200"/>
        <w:rPr>
          <w:rFonts w:hint="eastAsia" w:ascii="宋体"/>
          <w:color w:val="auto"/>
          <w:szCs w:val="21"/>
          <w:highlight w:val="none"/>
        </w:rPr>
      </w:pPr>
      <w:r>
        <w:rPr>
          <w:rFonts w:hint="eastAsia" w:ascii="宋体"/>
          <w:color w:val="auto"/>
          <w:szCs w:val="21"/>
          <w:highlight w:val="none"/>
        </w:rPr>
        <w:t>4.1本项目招标方式：见投标人须知前附表。</w:t>
      </w:r>
    </w:p>
    <w:p w14:paraId="7E4048E1">
      <w:pPr>
        <w:shd w:val="clear" w:color="auto" w:fill="auto"/>
        <w:snapToGrid w:val="0"/>
        <w:spacing w:line="440" w:lineRule="exact"/>
        <w:rPr>
          <w:rFonts w:hint="eastAsia" w:ascii="宋体"/>
          <w:b/>
          <w:color w:val="auto"/>
          <w:szCs w:val="21"/>
          <w:highlight w:val="none"/>
        </w:rPr>
      </w:pPr>
      <w:r>
        <w:rPr>
          <w:rFonts w:hint="eastAsia" w:ascii="宋体"/>
          <w:b/>
          <w:color w:val="auto"/>
          <w:szCs w:val="21"/>
          <w:highlight w:val="none"/>
        </w:rPr>
        <w:t>5.计价方式：</w:t>
      </w:r>
    </w:p>
    <w:p w14:paraId="20FEB2CE">
      <w:pPr>
        <w:shd w:val="clear" w:color="auto" w:fill="auto"/>
        <w:snapToGrid w:val="0"/>
        <w:spacing w:line="440" w:lineRule="exact"/>
        <w:ind w:firstLine="426" w:firstLineChars="200"/>
        <w:rPr>
          <w:rFonts w:hint="eastAsia" w:ascii="宋体"/>
          <w:color w:val="auto"/>
          <w:szCs w:val="21"/>
          <w:highlight w:val="none"/>
        </w:rPr>
      </w:pPr>
      <w:r>
        <w:rPr>
          <w:rFonts w:hint="eastAsia" w:ascii="宋体"/>
          <w:color w:val="auto"/>
          <w:szCs w:val="21"/>
          <w:highlight w:val="none"/>
        </w:rPr>
        <w:t>5.1本次招标项目合同采用</w:t>
      </w:r>
      <w:r>
        <w:rPr>
          <w:rFonts w:hint="eastAsia" w:ascii="宋体"/>
          <w:color w:val="auto"/>
          <w:szCs w:val="21"/>
          <w:highlight w:val="none"/>
          <w:u w:val="single"/>
        </w:rPr>
        <w:t xml:space="preserve">   </w:t>
      </w:r>
      <w:r>
        <w:rPr>
          <w:rFonts w:hint="eastAsia" w:ascii="宋体"/>
          <w:color w:val="auto"/>
          <w:szCs w:val="21"/>
          <w:highlight w:val="none"/>
          <w:u w:val="single"/>
          <w:lang w:eastAsia="zh-CN"/>
        </w:rPr>
        <w:t>总价</w:t>
      </w:r>
      <w:r>
        <w:rPr>
          <w:rFonts w:hint="eastAsia" w:ascii="宋体"/>
          <w:color w:val="auto"/>
          <w:szCs w:val="21"/>
          <w:highlight w:val="none"/>
          <w:u w:val="single"/>
        </w:rPr>
        <w:t xml:space="preserve"> 。</w:t>
      </w:r>
    </w:p>
    <w:p w14:paraId="2A4B349F">
      <w:pPr>
        <w:shd w:val="clear" w:color="auto" w:fill="auto"/>
        <w:snapToGrid w:val="0"/>
        <w:spacing w:line="440" w:lineRule="exact"/>
        <w:rPr>
          <w:rFonts w:hint="eastAsia" w:ascii="宋体"/>
          <w:b/>
          <w:color w:val="auto"/>
          <w:szCs w:val="21"/>
          <w:highlight w:val="none"/>
        </w:rPr>
      </w:pPr>
      <w:r>
        <w:rPr>
          <w:rFonts w:hint="eastAsia" w:ascii="宋体"/>
          <w:b/>
          <w:color w:val="auto"/>
          <w:szCs w:val="21"/>
          <w:highlight w:val="none"/>
        </w:rPr>
        <w:t>6.评标办法：</w:t>
      </w:r>
    </w:p>
    <w:p w14:paraId="3714AFE4">
      <w:pPr>
        <w:shd w:val="clear" w:color="auto" w:fill="auto"/>
        <w:snapToGrid w:val="0"/>
        <w:spacing w:line="440" w:lineRule="exact"/>
        <w:ind w:firstLine="426" w:firstLineChars="200"/>
        <w:rPr>
          <w:rFonts w:hint="eastAsia" w:ascii="宋体"/>
          <w:color w:val="auto"/>
          <w:szCs w:val="21"/>
          <w:highlight w:val="none"/>
        </w:rPr>
      </w:pPr>
      <w:r>
        <w:rPr>
          <w:rFonts w:hint="eastAsia" w:ascii="宋体"/>
          <w:color w:val="auto"/>
          <w:szCs w:val="21"/>
          <w:highlight w:val="none"/>
        </w:rPr>
        <w:t>6.1本次招标评标采用</w:t>
      </w:r>
      <w:r>
        <w:rPr>
          <w:rFonts w:hint="eastAsia" w:ascii="宋体"/>
          <w:color w:val="auto"/>
          <w:szCs w:val="21"/>
          <w:highlight w:val="none"/>
          <w:u w:val="single"/>
        </w:rPr>
        <w:t xml:space="preserve">  </w:t>
      </w:r>
      <w:r>
        <w:rPr>
          <w:rFonts w:hint="eastAsia" w:ascii="宋体"/>
          <w:b/>
          <w:bCs/>
          <w:color w:val="auto"/>
          <w:szCs w:val="21"/>
          <w:highlight w:val="none"/>
          <w:u w:val="single"/>
        </w:rPr>
        <w:t>符合</w:t>
      </w:r>
      <w:r>
        <w:rPr>
          <w:rFonts w:hint="eastAsia" w:ascii="宋体"/>
          <w:b/>
          <w:bCs/>
          <w:color w:val="auto"/>
          <w:szCs w:val="21"/>
          <w:highlight w:val="none"/>
          <w:u w:val="single"/>
          <w:lang w:val="en-US" w:eastAsia="zh-CN"/>
        </w:rPr>
        <w:t>招标</w:t>
      </w:r>
      <w:r>
        <w:rPr>
          <w:rFonts w:hint="eastAsia" w:ascii="宋体"/>
          <w:b/>
          <w:bCs/>
          <w:color w:val="auto"/>
          <w:szCs w:val="21"/>
          <w:highlight w:val="none"/>
          <w:u w:val="single"/>
          <w:lang w:eastAsia="zh-CN"/>
        </w:rPr>
        <w:t>文件</w:t>
      </w:r>
      <w:r>
        <w:rPr>
          <w:rFonts w:hint="eastAsia" w:ascii="宋体"/>
          <w:b/>
          <w:bCs/>
          <w:color w:val="auto"/>
          <w:szCs w:val="21"/>
          <w:highlight w:val="none"/>
          <w:u w:val="single"/>
        </w:rPr>
        <w:t>的综合评分法</w:t>
      </w:r>
      <w:r>
        <w:rPr>
          <w:rFonts w:hint="eastAsia" w:ascii="宋体"/>
          <w:color w:val="auto"/>
          <w:szCs w:val="21"/>
          <w:highlight w:val="none"/>
          <w:u w:val="single"/>
        </w:rPr>
        <w:t xml:space="preserve"> </w:t>
      </w:r>
      <w:r>
        <w:rPr>
          <w:rFonts w:hint="eastAsia" w:ascii="宋体"/>
          <w:color w:val="auto"/>
          <w:szCs w:val="21"/>
          <w:highlight w:val="none"/>
        </w:rPr>
        <w:t>（详见第三章评标办法）</w:t>
      </w:r>
    </w:p>
    <w:p w14:paraId="7AD5F099">
      <w:pPr>
        <w:shd w:val="clear" w:color="auto" w:fill="auto"/>
        <w:snapToGrid w:val="0"/>
        <w:spacing w:line="440" w:lineRule="exact"/>
        <w:rPr>
          <w:rFonts w:hint="eastAsia" w:ascii="宋体"/>
          <w:b/>
          <w:color w:val="auto"/>
          <w:szCs w:val="21"/>
          <w:highlight w:val="none"/>
        </w:rPr>
      </w:pPr>
      <w:r>
        <w:rPr>
          <w:rFonts w:hint="eastAsia" w:ascii="宋体"/>
          <w:b/>
          <w:color w:val="auto"/>
          <w:szCs w:val="21"/>
          <w:highlight w:val="none"/>
        </w:rPr>
        <w:t>7.投标人资格：</w:t>
      </w:r>
    </w:p>
    <w:p w14:paraId="6233734B">
      <w:pPr>
        <w:shd w:val="clear" w:color="auto" w:fill="auto"/>
        <w:snapToGrid w:val="0"/>
        <w:spacing w:line="440" w:lineRule="exact"/>
        <w:ind w:firstLine="426" w:firstLineChars="200"/>
        <w:rPr>
          <w:rFonts w:hint="eastAsia" w:ascii="宋体"/>
          <w:color w:val="auto"/>
          <w:szCs w:val="21"/>
          <w:highlight w:val="none"/>
        </w:rPr>
      </w:pPr>
      <w:r>
        <w:rPr>
          <w:rFonts w:hint="eastAsia" w:ascii="宋体"/>
          <w:color w:val="auto"/>
          <w:szCs w:val="21"/>
          <w:highlight w:val="none"/>
        </w:rPr>
        <w:t>7.1参与采购活动的投标人必须是满足《中华人民共和国政府采购法》规定条件的法人、其他组织或者自然人：</w:t>
      </w:r>
    </w:p>
    <w:p w14:paraId="114A0984">
      <w:pPr>
        <w:shd w:val="clear" w:color="auto" w:fill="auto"/>
        <w:snapToGrid w:val="0"/>
        <w:spacing w:line="440" w:lineRule="exact"/>
        <w:ind w:firstLine="426" w:firstLineChars="200"/>
        <w:rPr>
          <w:rFonts w:hint="eastAsia" w:ascii="宋体"/>
          <w:color w:val="auto"/>
          <w:szCs w:val="21"/>
          <w:highlight w:val="none"/>
        </w:rPr>
      </w:pPr>
      <w:r>
        <w:rPr>
          <w:rFonts w:hint="eastAsia" w:ascii="宋体"/>
          <w:color w:val="auto"/>
          <w:szCs w:val="21"/>
          <w:highlight w:val="none"/>
        </w:rPr>
        <w:t>7.2由于政府采购项目的差异性，投标人在参与具体政府采购项目活动时，应仔细阅读该项目的资质要求,具体见投标人须知前附表。</w:t>
      </w:r>
    </w:p>
    <w:p w14:paraId="42E6381E">
      <w:pPr>
        <w:shd w:val="clear" w:color="auto" w:fill="auto"/>
        <w:snapToGrid w:val="0"/>
        <w:spacing w:line="440" w:lineRule="exact"/>
        <w:ind w:firstLine="426" w:firstLineChars="200"/>
        <w:rPr>
          <w:rFonts w:hint="eastAsia" w:ascii="宋体"/>
          <w:color w:val="auto"/>
          <w:szCs w:val="21"/>
          <w:highlight w:val="none"/>
        </w:rPr>
      </w:pPr>
      <w:r>
        <w:rPr>
          <w:rFonts w:hint="eastAsia" w:ascii="宋体"/>
          <w:color w:val="auto"/>
          <w:szCs w:val="21"/>
          <w:highlight w:val="none"/>
        </w:rPr>
        <w:t>7.3根据电子化政府采购的特点，各供应商在开标前应确保成为新疆维吾尔自治区政府采购网正式注册入库供应商</w:t>
      </w:r>
      <w:r>
        <w:rPr>
          <w:rFonts w:hint="eastAsia" w:ascii="宋体" w:hAnsi="宋体" w:eastAsia="宋体" w:cs="宋体"/>
          <w:sz w:val="21"/>
          <w:szCs w:val="21"/>
        </w:rPr>
        <w:t>（已在政采云平台其他省份入驻的供应商无须重复注册）</w:t>
      </w:r>
      <w:r>
        <w:rPr>
          <w:rFonts w:hint="eastAsia" w:ascii="宋体"/>
          <w:color w:val="auto"/>
          <w:szCs w:val="21"/>
          <w:highlight w:val="none"/>
        </w:rPr>
        <w:t>，并完成CA数字证书申领。因未注册入库、未办理CA数字证书等原因造成无法投标或投标失败等后果由供应商自行承担。</w:t>
      </w:r>
    </w:p>
    <w:p w14:paraId="05851236">
      <w:pPr>
        <w:shd w:val="clear" w:color="auto" w:fill="auto"/>
        <w:snapToGrid w:val="0"/>
        <w:spacing w:line="440" w:lineRule="exact"/>
        <w:ind w:firstLine="426" w:firstLineChars="200"/>
        <w:rPr>
          <w:rFonts w:hint="eastAsia" w:ascii="宋体"/>
          <w:color w:val="auto"/>
          <w:szCs w:val="21"/>
          <w:highlight w:val="none"/>
        </w:rPr>
      </w:pPr>
      <w:r>
        <w:rPr>
          <w:rFonts w:hint="eastAsia" w:ascii="宋体"/>
          <w:color w:val="auto"/>
          <w:szCs w:val="21"/>
          <w:highlight w:val="none"/>
        </w:rPr>
        <w:t>7.4投标人必须确保自己在信息库中注册的信息真实、准确，并保证投标文件中的有关信息与库中的信息相一致。否则，投标人因此蒙受损失，招标人概不负责。</w:t>
      </w:r>
    </w:p>
    <w:p w14:paraId="59AA7DCE">
      <w:pPr>
        <w:shd w:val="clear" w:color="auto" w:fill="auto"/>
        <w:spacing w:line="440" w:lineRule="exact"/>
        <w:rPr>
          <w:rFonts w:hint="eastAsia"/>
          <w:b/>
          <w:color w:val="auto"/>
          <w:szCs w:val="21"/>
          <w:highlight w:val="none"/>
        </w:rPr>
      </w:pPr>
      <w:r>
        <w:rPr>
          <w:rFonts w:hint="eastAsia"/>
          <w:b/>
          <w:color w:val="auto"/>
          <w:szCs w:val="21"/>
          <w:highlight w:val="none"/>
        </w:rPr>
        <w:t>8. 投标费用</w:t>
      </w:r>
    </w:p>
    <w:p w14:paraId="6BE01AE9">
      <w:pPr>
        <w:shd w:val="clear" w:color="auto" w:fill="auto"/>
        <w:snapToGrid w:val="0"/>
        <w:spacing w:line="440" w:lineRule="exact"/>
        <w:ind w:firstLine="426" w:firstLineChars="200"/>
        <w:rPr>
          <w:rFonts w:hint="eastAsia" w:ascii="宋体"/>
          <w:color w:val="auto"/>
          <w:szCs w:val="21"/>
          <w:highlight w:val="none"/>
        </w:rPr>
      </w:pPr>
      <w:r>
        <w:rPr>
          <w:rFonts w:hint="eastAsia" w:ascii="宋体"/>
          <w:color w:val="auto"/>
          <w:szCs w:val="21"/>
          <w:highlight w:val="none"/>
        </w:rPr>
        <w:t>8.1投标人准备和参加投标活动发生的费用自理。</w:t>
      </w:r>
    </w:p>
    <w:p w14:paraId="57F03B7A">
      <w:pPr>
        <w:shd w:val="clear" w:color="auto" w:fill="auto"/>
        <w:spacing w:line="440" w:lineRule="exact"/>
        <w:rPr>
          <w:rFonts w:hint="eastAsia"/>
          <w:b/>
          <w:color w:val="auto"/>
          <w:szCs w:val="21"/>
          <w:highlight w:val="none"/>
        </w:rPr>
      </w:pPr>
      <w:r>
        <w:rPr>
          <w:rFonts w:hint="eastAsia"/>
          <w:b/>
          <w:color w:val="auto"/>
          <w:szCs w:val="21"/>
          <w:highlight w:val="none"/>
        </w:rPr>
        <w:t>9.</w:t>
      </w:r>
      <w:bookmarkStart w:id="15" w:name="_Toc247592876"/>
      <w:bookmarkStart w:id="16" w:name="_Toc247527563"/>
      <w:bookmarkStart w:id="17" w:name="_Toc152042315"/>
      <w:bookmarkStart w:id="18" w:name="_Toc152045539"/>
      <w:bookmarkStart w:id="19" w:name="_Toc144974507"/>
      <w:bookmarkStart w:id="20" w:name="_Toc247513962"/>
      <w:bookmarkStart w:id="21" w:name="_Toc296602429"/>
      <w:r>
        <w:rPr>
          <w:rFonts w:hint="eastAsia"/>
          <w:b/>
          <w:color w:val="auto"/>
          <w:szCs w:val="21"/>
          <w:highlight w:val="none"/>
        </w:rPr>
        <w:t xml:space="preserve"> 踏勘现场</w:t>
      </w:r>
      <w:bookmarkEnd w:id="15"/>
      <w:bookmarkEnd w:id="16"/>
      <w:bookmarkEnd w:id="17"/>
      <w:bookmarkEnd w:id="18"/>
      <w:bookmarkEnd w:id="19"/>
      <w:bookmarkEnd w:id="20"/>
      <w:bookmarkEnd w:id="21"/>
    </w:p>
    <w:p w14:paraId="421159D3">
      <w:pPr>
        <w:shd w:val="clear" w:color="auto" w:fill="auto"/>
        <w:spacing w:line="440" w:lineRule="exact"/>
        <w:ind w:firstLine="414" w:firstLineChars="195"/>
        <w:rPr>
          <w:rFonts w:hint="eastAsia" w:ascii="宋体"/>
          <w:color w:val="auto"/>
          <w:szCs w:val="21"/>
          <w:highlight w:val="none"/>
        </w:rPr>
      </w:pPr>
      <w:r>
        <w:rPr>
          <w:rFonts w:hint="eastAsia" w:ascii="宋体"/>
          <w:color w:val="auto"/>
          <w:szCs w:val="21"/>
          <w:highlight w:val="none"/>
        </w:rPr>
        <w:t>9.1 投标人须知前附表规定组织踏勘现场的，招标人按投标人须知前附表规定的时间、地点组织投标人踏勘项目现场。</w:t>
      </w:r>
      <w:r>
        <w:rPr>
          <w:rFonts w:hint="eastAsia" w:ascii="宋体"/>
          <w:color w:val="auto"/>
          <w:szCs w:val="21"/>
          <w:highlight w:val="none"/>
          <w:lang w:eastAsia="zh-CN"/>
        </w:rPr>
        <w:t>如需踏勘现场，</w:t>
      </w:r>
      <w:r>
        <w:rPr>
          <w:rFonts w:hint="eastAsia"/>
          <w:color w:val="auto"/>
          <w:highlight w:val="none"/>
          <w:lang w:eastAsia="zh-CN"/>
        </w:rPr>
        <w:t>投标人自行踏勘现场的，可咨询本项目采购人或采购代理机构联系人。</w:t>
      </w:r>
      <w:r>
        <w:rPr>
          <w:rFonts w:hint="eastAsia"/>
          <w:b/>
          <w:bCs/>
          <w:color w:val="auto"/>
          <w:highlight w:val="none"/>
          <w:lang w:eastAsia="zh-CN"/>
        </w:rPr>
        <w:t>投标人自行踏勘现场的，可咨询本项目采购人或采购代理机构联系人</w:t>
      </w:r>
      <w:r>
        <w:rPr>
          <w:rFonts w:hint="eastAsia"/>
          <w:b w:val="0"/>
          <w:bCs w:val="0"/>
          <w:color w:val="auto"/>
          <w:highlight w:val="none"/>
          <w:lang w:eastAsia="zh-CN"/>
        </w:rPr>
        <w:t>。</w:t>
      </w:r>
      <w:r>
        <w:rPr>
          <w:rFonts w:hint="eastAsia" w:ascii="宋体"/>
          <w:b w:val="0"/>
          <w:bCs w:val="0"/>
          <w:color w:val="auto"/>
          <w:szCs w:val="21"/>
          <w:highlight w:val="none"/>
        </w:rPr>
        <w:t xml:space="preserve"> </w:t>
      </w:r>
    </w:p>
    <w:p w14:paraId="3EFBCF25">
      <w:pPr>
        <w:shd w:val="clear" w:color="auto" w:fill="auto"/>
        <w:spacing w:line="440" w:lineRule="exact"/>
        <w:ind w:firstLine="414" w:firstLineChars="195"/>
        <w:rPr>
          <w:rFonts w:hint="eastAsia" w:ascii="宋体"/>
          <w:color w:val="auto"/>
          <w:szCs w:val="21"/>
          <w:highlight w:val="none"/>
        </w:rPr>
      </w:pPr>
      <w:r>
        <w:rPr>
          <w:rFonts w:hint="eastAsia" w:ascii="宋体"/>
          <w:color w:val="auto"/>
          <w:szCs w:val="21"/>
          <w:highlight w:val="none"/>
        </w:rPr>
        <w:t>9.2 投标人踏勘现场发生的费用自理。</w:t>
      </w:r>
    </w:p>
    <w:p w14:paraId="0FE402F0">
      <w:pPr>
        <w:shd w:val="clear" w:color="auto" w:fill="auto"/>
        <w:spacing w:line="440" w:lineRule="exact"/>
        <w:ind w:firstLine="414" w:firstLineChars="195"/>
        <w:rPr>
          <w:rFonts w:hint="eastAsia" w:ascii="宋体"/>
          <w:color w:val="auto"/>
          <w:szCs w:val="21"/>
          <w:highlight w:val="none"/>
        </w:rPr>
      </w:pPr>
      <w:r>
        <w:rPr>
          <w:rFonts w:hint="eastAsia" w:ascii="宋体"/>
          <w:color w:val="auto"/>
          <w:szCs w:val="21"/>
          <w:highlight w:val="none"/>
        </w:rPr>
        <w:t>9.3 除招标人的原因外，投标人自行负责在踏勘现场中所发生的人员伤亡和财产损失。</w:t>
      </w:r>
    </w:p>
    <w:p w14:paraId="2DA84244">
      <w:pPr>
        <w:shd w:val="clear" w:color="auto" w:fill="auto"/>
        <w:spacing w:line="440" w:lineRule="exact"/>
        <w:ind w:firstLine="414" w:firstLineChars="195"/>
        <w:rPr>
          <w:rFonts w:hint="eastAsia" w:ascii="宋体"/>
          <w:color w:val="auto"/>
          <w:szCs w:val="21"/>
          <w:highlight w:val="none"/>
        </w:rPr>
      </w:pPr>
      <w:r>
        <w:rPr>
          <w:rFonts w:hint="eastAsia" w:ascii="宋体"/>
          <w:color w:val="auto"/>
          <w:szCs w:val="21"/>
          <w:highlight w:val="none"/>
        </w:rPr>
        <w:t>9.4 招标人在踏勘现场中介绍的场地和相关的周边环境情况，供投标人在编制投标文件时参考，招标人不对投标人据此作出的判断和决策负责。</w:t>
      </w:r>
      <w:bookmarkStart w:id="22" w:name="_Toc144974508"/>
      <w:bookmarkStart w:id="23" w:name="_Toc247592877"/>
      <w:bookmarkStart w:id="24" w:name="_Toc247513963"/>
      <w:bookmarkStart w:id="25" w:name="_Toc152045540"/>
      <w:bookmarkStart w:id="26" w:name="_Toc152042316"/>
      <w:bookmarkStart w:id="27" w:name="_Toc247527564"/>
      <w:bookmarkStart w:id="28" w:name="_Toc296602430"/>
    </w:p>
    <w:p w14:paraId="66DCDFB5">
      <w:pPr>
        <w:shd w:val="clear" w:color="auto" w:fill="auto"/>
        <w:spacing w:line="440" w:lineRule="exact"/>
        <w:rPr>
          <w:rFonts w:hint="eastAsia"/>
          <w:b/>
          <w:color w:val="auto"/>
          <w:szCs w:val="21"/>
          <w:highlight w:val="none"/>
        </w:rPr>
      </w:pPr>
      <w:r>
        <w:rPr>
          <w:rFonts w:hint="eastAsia"/>
          <w:b/>
          <w:color w:val="auto"/>
          <w:szCs w:val="21"/>
          <w:highlight w:val="none"/>
        </w:rPr>
        <w:t>10. 投标预备会</w:t>
      </w:r>
      <w:bookmarkEnd w:id="22"/>
      <w:bookmarkEnd w:id="23"/>
      <w:bookmarkEnd w:id="24"/>
      <w:bookmarkEnd w:id="25"/>
      <w:bookmarkEnd w:id="26"/>
      <w:bookmarkEnd w:id="27"/>
      <w:bookmarkEnd w:id="28"/>
    </w:p>
    <w:p w14:paraId="1780095C">
      <w:pPr>
        <w:shd w:val="clear" w:color="auto" w:fill="auto"/>
        <w:spacing w:line="440" w:lineRule="exact"/>
        <w:ind w:firstLine="414" w:firstLineChars="195"/>
        <w:rPr>
          <w:rFonts w:hint="eastAsia" w:ascii="宋体"/>
          <w:color w:val="auto"/>
          <w:szCs w:val="21"/>
          <w:highlight w:val="none"/>
        </w:rPr>
      </w:pPr>
      <w:r>
        <w:rPr>
          <w:rFonts w:hint="eastAsia" w:ascii="宋体"/>
          <w:color w:val="auto"/>
          <w:szCs w:val="21"/>
          <w:highlight w:val="none"/>
        </w:rPr>
        <w:t>10.1投标人须知前附表规定召开投标预备会的，招标人按投标人须知前附表规定的时间和地点召开投标预备会，澄清投标人提出的问题。</w:t>
      </w:r>
    </w:p>
    <w:p w14:paraId="453FEFD6">
      <w:pPr>
        <w:shd w:val="clear" w:color="auto" w:fill="auto"/>
        <w:spacing w:line="440" w:lineRule="exact"/>
        <w:ind w:firstLine="414" w:firstLineChars="195"/>
        <w:rPr>
          <w:rFonts w:hint="eastAsia" w:ascii="宋体"/>
          <w:color w:val="auto"/>
          <w:szCs w:val="21"/>
          <w:highlight w:val="none"/>
        </w:rPr>
      </w:pPr>
      <w:r>
        <w:rPr>
          <w:rFonts w:hint="eastAsia" w:ascii="宋体"/>
          <w:color w:val="auto"/>
          <w:szCs w:val="21"/>
          <w:highlight w:val="none"/>
        </w:rPr>
        <w:t>10.2投标人应在投标人须知前附表规定的时间前，将提出的问题送达招标人，以便招标人澄清。</w:t>
      </w:r>
    </w:p>
    <w:p w14:paraId="0D32F44F">
      <w:pPr>
        <w:shd w:val="clear" w:color="auto" w:fill="auto"/>
        <w:spacing w:line="440" w:lineRule="exact"/>
        <w:ind w:firstLine="414" w:firstLineChars="195"/>
        <w:rPr>
          <w:rFonts w:hint="eastAsia" w:ascii="宋体"/>
          <w:color w:val="auto"/>
          <w:szCs w:val="21"/>
          <w:highlight w:val="none"/>
        </w:rPr>
      </w:pPr>
      <w:r>
        <w:rPr>
          <w:rFonts w:hint="eastAsia" w:ascii="宋体"/>
          <w:color w:val="auto"/>
          <w:szCs w:val="21"/>
          <w:highlight w:val="none"/>
        </w:rPr>
        <w:t>10.3招标人在投标人须知前附表规定的时间，将对投标人所提的问题进行澄清。该澄清内容为</w:t>
      </w:r>
      <w:r>
        <w:rPr>
          <w:rFonts w:hint="eastAsia" w:ascii="宋体"/>
          <w:color w:val="auto"/>
          <w:szCs w:val="21"/>
          <w:highlight w:val="none"/>
          <w:lang w:eastAsia="zh-CN"/>
        </w:rPr>
        <w:t>采购文件</w:t>
      </w:r>
      <w:r>
        <w:rPr>
          <w:rFonts w:hint="eastAsia" w:ascii="宋体"/>
          <w:color w:val="auto"/>
          <w:szCs w:val="21"/>
          <w:highlight w:val="none"/>
        </w:rPr>
        <w:t>的组成部分。</w:t>
      </w:r>
    </w:p>
    <w:p w14:paraId="3743207B">
      <w:pPr>
        <w:shd w:val="clear" w:color="auto" w:fill="auto"/>
        <w:spacing w:line="440" w:lineRule="exact"/>
        <w:rPr>
          <w:rFonts w:hint="eastAsia"/>
          <w:b/>
          <w:color w:val="auto"/>
          <w:szCs w:val="21"/>
          <w:highlight w:val="none"/>
        </w:rPr>
      </w:pPr>
      <w:r>
        <w:rPr>
          <w:rFonts w:hint="eastAsia"/>
          <w:b/>
          <w:color w:val="auto"/>
          <w:szCs w:val="21"/>
          <w:highlight w:val="none"/>
        </w:rPr>
        <w:t>11. 联合投标</w:t>
      </w:r>
    </w:p>
    <w:p w14:paraId="3E42BC87">
      <w:pPr>
        <w:shd w:val="clear" w:color="auto" w:fill="auto"/>
        <w:spacing w:line="440" w:lineRule="exact"/>
        <w:ind w:firstLine="414" w:firstLineChars="195"/>
        <w:rPr>
          <w:rFonts w:hint="eastAsia" w:ascii="宋体"/>
          <w:color w:val="auto"/>
          <w:szCs w:val="21"/>
          <w:highlight w:val="none"/>
        </w:rPr>
      </w:pPr>
      <w:r>
        <w:rPr>
          <w:rFonts w:hint="eastAsia" w:ascii="宋体"/>
          <w:color w:val="auto"/>
          <w:szCs w:val="21"/>
          <w:highlight w:val="none"/>
        </w:rPr>
        <w:t>11.1 两个以上投标人可以组成一个投标联合体，以一个投标人的身份投标。以联合体形式参加投标的，联合体各方均应当符合《政府采购法》第二十二条规定的条件。招标人根据采购项目的特殊要求规定投标人特定条件的，联合体各方中至少应当有一方符合招标人规定的特定条件。</w:t>
      </w:r>
    </w:p>
    <w:p w14:paraId="17F7A89F">
      <w:pPr>
        <w:shd w:val="clear" w:color="auto" w:fill="auto"/>
        <w:spacing w:line="400" w:lineRule="exact"/>
        <w:ind w:firstLine="414" w:firstLineChars="195"/>
        <w:rPr>
          <w:rFonts w:hint="eastAsia" w:ascii="宋体"/>
          <w:color w:val="auto"/>
          <w:szCs w:val="21"/>
          <w:highlight w:val="none"/>
        </w:rPr>
      </w:pPr>
      <w:r>
        <w:rPr>
          <w:rFonts w:hint="eastAsia" w:ascii="宋体"/>
          <w:color w:val="auto"/>
          <w:szCs w:val="21"/>
          <w:highlight w:val="none"/>
        </w:rPr>
        <w:t>11.2联合体各方之间应当签订共同投标协议，明确约定联合体各方承担的工作和相应的责任，并将共同投标协议连同投标文件一并提交招标人。联合体各方签订共同投标协议后，不得再以自己名义单独在同一项目中投标，也不得组成新的联合体参加同一项目投标。</w:t>
      </w:r>
    </w:p>
    <w:p w14:paraId="2575CA18">
      <w:pPr>
        <w:shd w:val="clear" w:color="auto" w:fill="auto"/>
        <w:spacing w:line="400" w:lineRule="exact"/>
        <w:ind w:firstLine="416" w:firstLineChars="196"/>
        <w:rPr>
          <w:rFonts w:ascii="宋体"/>
          <w:color w:val="auto"/>
          <w:szCs w:val="21"/>
          <w:highlight w:val="none"/>
        </w:rPr>
      </w:pPr>
      <w:r>
        <w:rPr>
          <w:rFonts w:hint="eastAsia" w:ascii="宋体"/>
          <w:color w:val="auto"/>
          <w:szCs w:val="21"/>
          <w:highlight w:val="none"/>
        </w:rPr>
        <w:t>11</w:t>
      </w:r>
      <w:r>
        <w:rPr>
          <w:rFonts w:ascii="宋体"/>
          <w:color w:val="auto"/>
          <w:szCs w:val="21"/>
          <w:highlight w:val="none"/>
        </w:rPr>
        <w:t>.</w:t>
      </w:r>
      <w:r>
        <w:rPr>
          <w:rFonts w:hint="eastAsia" w:ascii="宋体"/>
          <w:color w:val="auto"/>
          <w:szCs w:val="21"/>
          <w:highlight w:val="none"/>
        </w:rPr>
        <w:t>3 联合体应当确定其中一个单位为投标的全权代表，负责参加投标的一切事务，并承担投标及履约中应承担的全部责任与义务。</w:t>
      </w:r>
    </w:p>
    <w:p w14:paraId="391973D6">
      <w:pPr>
        <w:pStyle w:val="12"/>
        <w:shd w:val="clear" w:color="auto" w:fill="auto"/>
        <w:spacing w:after="0" w:line="400" w:lineRule="exact"/>
        <w:ind w:left="0" w:leftChars="0" w:firstLine="430" w:firstLineChars="202"/>
        <w:rPr>
          <w:rFonts w:hint="eastAsia" w:ascii="宋体"/>
          <w:color w:val="auto"/>
          <w:szCs w:val="21"/>
          <w:highlight w:val="none"/>
        </w:rPr>
      </w:pPr>
      <w:r>
        <w:rPr>
          <w:rFonts w:hint="eastAsia" w:ascii="宋体"/>
          <w:color w:val="auto"/>
          <w:szCs w:val="21"/>
          <w:highlight w:val="none"/>
        </w:rPr>
        <w:t>11</w:t>
      </w:r>
      <w:r>
        <w:rPr>
          <w:rFonts w:ascii="宋体"/>
          <w:color w:val="auto"/>
          <w:szCs w:val="21"/>
          <w:highlight w:val="none"/>
        </w:rPr>
        <w:t>.</w:t>
      </w:r>
      <w:r>
        <w:rPr>
          <w:rFonts w:hint="eastAsia" w:ascii="宋体"/>
          <w:color w:val="auto"/>
          <w:szCs w:val="21"/>
          <w:highlight w:val="none"/>
        </w:rPr>
        <w:t>4 联合体各方应当共同与招标人签订采购合同，就采购合同约定的事项对招标人承担连带责任。</w:t>
      </w:r>
    </w:p>
    <w:p w14:paraId="14FA6F6B">
      <w:pPr>
        <w:shd w:val="clear" w:color="auto" w:fill="auto"/>
        <w:spacing w:line="440" w:lineRule="exact"/>
        <w:jc w:val="left"/>
        <w:rPr>
          <w:rFonts w:hint="eastAsia" w:ascii="宋体"/>
          <w:b/>
          <w:color w:val="auto"/>
          <w:szCs w:val="21"/>
          <w:highlight w:val="yellow"/>
        </w:rPr>
      </w:pPr>
      <w:r>
        <w:rPr>
          <w:rFonts w:hint="eastAsia" w:ascii="宋体"/>
          <w:b/>
          <w:color w:val="auto"/>
          <w:szCs w:val="21"/>
          <w:highlight w:val="yellow"/>
        </w:rPr>
        <w:t>12.招标代理费</w:t>
      </w:r>
    </w:p>
    <w:p w14:paraId="7FFD6AD4">
      <w:pPr>
        <w:pStyle w:val="2"/>
        <w:ind w:firstLine="426" w:firstLineChars="200"/>
        <w:rPr>
          <w:rFonts w:hint="eastAsia" w:ascii="宋体" w:hAnsi="Times New Roman" w:eastAsia="宋体" w:cs="Times New Roman"/>
          <w:color w:val="auto"/>
          <w:kern w:val="2"/>
          <w:sz w:val="21"/>
          <w:szCs w:val="21"/>
          <w:highlight w:val="yellow"/>
          <w:lang w:val="en-US" w:eastAsia="zh-CN" w:bidi="ar-SA"/>
        </w:rPr>
      </w:pPr>
      <w:r>
        <w:rPr>
          <w:rFonts w:hint="eastAsia" w:ascii="宋体" w:hAnsi="Times New Roman" w:eastAsia="宋体" w:cs="Times New Roman"/>
          <w:color w:val="auto"/>
          <w:kern w:val="2"/>
          <w:sz w:val="21"/>
          <w:szCs w:val="21"/>
          <w:highlight w:val="yellow"/>
          <w:lang w:val="en-US" w:eastAsia="zh-CN" w:bidi="ar-SA"/>
        </w:rPr>
        <w:t>采购人与代理机构协商收取。</w:t>
      </w:r>
    </w:p>
    <w:p w14:paraId="348CF23A">
      <w:pPr>
        <w:shd w:val="clear" w:color="auto" w:fill="auto"/>
        <w:spacing w:line="440" w:lineRule="exact"/>
        <w:rPr>
          <w:rFonts w:hint="eastAsia"/>
          <w:b/>
          <w:color w:val="auto"/>
          <w:szCs w:val="21"/>
          <w:highlight w:val="none"/>
        </w:rPr>
      </w:pPr>
      <w:r>
        <w:rPr>
          <w:rFonts w:hint="eastAsia"/>
          <w:b/>
          <w:color w:val="auto"/>
          <w:szCs w:val="21"/>
          <w:highlight w:val="none"/>
        </w:rPr>
        <w:t>13.投标人应注意的事项</w:t>
      </w:r>
    </w:p>
    <w:p w14:paraId="04BFFF34">
      <w:pPr>
        <w:shd w:val="clear" w:color="auto" w:fill="auto"/>
        <w:spacing w:line="440" w:lineRule="exact"/>
        <w:ind w:firstLine="426" w:firstLineChars="200"/>
        <w:rPr>
          <w:rFonts w:hint="eastAsia" w:ascii="宋体"/>
          <w:bCs/>
          <w:color w:val="auto"/>
          <w:szCs w:val="21"/>
          <w:highlight w:val="none"/>
        </w:rPr>
      </w:pPr>
      <w:r>
        <w:rPr>
          <w:rFonts w:hint="eastAsia" w:ascii="宋体" w:hAnsi="宋体"/>
          <w:color w:val="auto"/>
          <w:szCs w:val="21"/>
          <w:highlight w:val="none"/>
        </w:rPr>
        <w:t>13.1投标人一旦按规定缴纳了投标保证金并参加投标，即被认为接受了本</w:t>
      </w:r>
      <w:r>
        <w:rPr>
          <w:rFonts w:hint="eastAsia" w:ascii="宋体" w:hAnsi="宋体"/>
          <w:color w:val="auto"/>
          <w:szCs w:val="21"/>
          <w:highlight w:val="none"/>
          <w:lang w:eastAsia="zh-CN"/>
        </w:rPr>
        <w:t>采购</w:t>
      </w:r>
      <w:r>
        <w:rPr>
          <w:rFonts w:hint="eastAsia" w:ascii="宋体" w:hAnsi="宋体"/>
          <w:color w:val="auto"/>
          <w:szCs w:val="21"/>
          <w:highlight w:val="none"/>
        </w:rPr>
        <w:t>文件中的所有条件和规定。投标人必须严格按</w:t>
      </w:r>
      <w:r>
        <w:rPr>
          <w:rFonts w:hint="eastAsia" w:ascii="宋体" w:hAnsi="宋体"/>
          <w:color w:val="auto"/>
          <w:szCs w:val="21"/>
          <w:highlight w:val="none"/>
          <w:lang w:eastAsia="zh-CN"/>
        </w:rPr>
        <w:t>采购文件</w:t>
      </w:r>
      <w:r>
        <w:rPr>
          <w:rFonts w:hint="eastAsia" w:ascii="宋体" w:hAnsi="宋体"/>
          <w:color w:val="auto"/>
          <w:szCs w:val="21"/>
          <w:highlight w:val="none"/>
        </w:rPr>
        <w:t>的要求编制投标文件，投标文件宜编制页码和目录，以便评委审核。否则，由此产生的一切后果由投标人承担。</w:t>
      </w:r>
    </w:p>
    <w:p w14:paraId="7A3B02A3">
      <w:pPr>
        <w:shd w:val="clear" w:color="auto" w:fill="auto"/>
        <w:spacing w:line="440" w:lineRule="exact"/>
        <w:ind w:firstLine="426" w:firstLineChars="200"/>
        <w:rPr>
          <w:rFonts w:hint="eastAsia" w:ascii="宋体"/>
          <w:b/>
          <w:bCs w:val="0"/>
          <w:color w:val="auto"/>
          <w:szCs w:val="21"/>
          <w:highlight w:val="none"/>
        </w:rPr>
      </w:pPr>
      <w:r>
        <w:rPr>
          <w:rFonts w:hint="eastAsia" w:ascii="宋体"/>
          <w:bCs/>
          <w:color w:val="auto"/>
          <w:szCs w:val="21"/>
          <w:highlight w:val="none"/>
        </w:rPr>
        <w:t>13.</w:t>
      </w:r>
      <w:r>
        <w:rPr>
          <w:rFonts w:hint="eastAsia" w:ascii="宋体"/>
          <w:bCs/>
          <w:color w:val="auto"/>
          <w:szCs w:val="21"/>
          <w:highlight w:val="none"/>
          <w:lang w:val="en-US" w:eastAsia="zh-CN"/>
        </w:rPr>
        <w:t>2</w:t>
      </w:r>
      <w:r>
        <w:rPr>
          <w:rFonts w:hint="eastAsia" w:ascii="宋体"/>
          <w:bCs/>
          <w:color w:val="auto"/>
          <w:szCs w:val="21"/>
          <w:highlight w:val="none"/>
        </w:rPr>
        <w:t xml:space="preserve"> 投标人对采购内容中规定的技术参数、规格等要求必须完全响应或优于</w:t>
      </w:r>
      <w:r>
        <w:rPr>
          <w:rFonts w:hint="eastAsia" w:ascii="宋体"/>
          <w:bCs/>
          <w:color w:val="auto"/>
          <w:szCs w:val="21"/>
          <w:highlight w:val="none"/>
          <w:lang w:eastAsia="zh-CN"/>
        </w:rPr>
        <w:t>采购文件</w:t>
      </w:r>
      <w:r>
        <w:rPr>
          <w:rFonts w:hint="eastAsia" w:ascii="宋体"/>
          <w:bCs/>
          <w:color w:val="auto"/>
          <w:szCs w:val="21"/>
          <w:highlight w:val="none"/>
        </w:rPr>
        <w:t>中的要求</w:t>
      </w:r>
      <w:r>
        <w:rPr>
          <w:rFonts w:hint="eastAsia" w:ascii="宋体"/>
          <w:b/>
          <w:bCs w:val="0"/>
          <w:color w:val="auto"/>
          <w:szCs w:val="21"/>
          <w:highlight w:val="none"/>
        </w:rPr>
        <w:t>。</w:t>
      </w:r>
    </w:p>
    <w:p w14:paraId="014EF461">
      <w:pPr>
        <w:shd w:val="clear" w:color="auto" w:fill="auto"/>
        <w:spacing w:line="440" w:lineRule="exact"/>
        <w:ind w:firstLine="416" w:firstLineChars="196"/>
        <w:rPr>
          <w:rFonts w:hint="eastAsia" w:ascii="宋体"/>
          <w:bCs/>
          <w:color w:val="auto"/>
          <w:szCs w:val="21"/>
          <w:highlight w:val="none"/>
        </w:rPr>
      </w:pPr>
      <w:r>
        <w:rPr>
          <w:rFonts w:hint="eastAsia" w:ascii="宋体"/>
          <w:bCs/>
          <w:color w:val="auto"/>
          <w:szCs w:val="21"/>
          <w:highlight w:val="none"/>
        </w:rPr>
        <w:t>13.</w:t>
      </w:r>
      <w:r>
        <w:rPr>
          <w:rFonts w:hint="eastAsia" w:ascii="宋体"/>
          <w:bCs/>
          <w:color w:val="auto"/>
          <w:szCs w:val="21"/>
          <w:highlight w:val="none"/>
          <w:lang w:val="en-US" w:eastAsia="zh-CN"/>
        </w:rPr>
        <w:t>3</w:t>
      </w:r>
      <w:r>
        <w:rPr>
          <w:rFonts w:hint="eastAsia" w:ascii="宋体"/>
          <w:bCs/>
          <w:color w:val="auto"/>
          <w:szCs w:val="21"/>
          <w:highlight w:val="none"/>
        </w:rPr>
        <w:t>所有投标人的投标保证金都应在</w:t>
      </w:r>
      <w:r>
        <w:rPr>
          <w:rFonts w:hint="eastAsia" w:ascii="宋体"/>
          <w:bCs/>
          <w:color w:val="auto"/>
          <w:szCs w:val="21"/>
          <w:highlight w:val="none"/>
          <w:lang w:eastAsia="zh-CN"/>
        </w:rPr>
        <w:t>采购文件</w:t>
      </w:r>
      <w:r>
        <w:rPr>
          <w:rFonts w:hint="eastAsia" w:ascii="宋体"/>
          <w:bCs/>
          <w:color w:val="auto"/>
          <w:szCs w:val="21"/>
          <w:highlight w:val="none"/>
        </w:rPr>
        <w:t>规定的投标保证金缴纳截止日期前缴纳。</w:t>
      </w:r>
    </w:p>
    <w:p w14:paraId="0474069D">
      <w:pPr>
        <w:shd w:val="clear" w:color="auto" w:fill="auto"/>
        <w:spacing w:line="440" w:lineRule="exact"/>
        <w:ind w:firstLine="416" w:firstLineChars="196"/>
        <w:rPr>
          <w:rFonts w:hint="eastAsia" w:ascii="宋体"/>
          <w:bCs/>
          <w:color w:val="auto"/>
          <w:szCs w:val="21"/>
          <w:highlight w:val="none"/>
        </w:rPr>
      </w:pPr>
      <w:r>
        <w:rPr>
          <w:rFonts w:hint="eastAsia" w:ascii="宋体"/>
          <w:bCs/>
          <w:color w:val="auto"/>
          <w:szCs w:val="21"/>
          <w:highlight w:val="none"/>
        </w:rPr>
        <w:t>13.</w:t>
      </w:r>
      <w:r>
        <w:rPr>
          <w:rFonts w:hint="eastAsia" w:ascii="宋体"/>
          <w:bCs/>
          <w:color w:val="auto"/>
          <w:szCs w:val="21"/>
          <w:highlight w:val="none"/>
          <w:lang w:val="en-US" w:eastAsia="zh-CN"/>
        </w:rPr>
        <w:t>4</w:t>
      </w:r>
      <w:r>
        <w:rPr>
          <w:rFonts w:ascii="宋体"/>
          <w:bCs/>
          <w:color w:val="auto"/>
          <w:szCs w:val="21"/>
          <w:highlight w:val="none"/>
        </w:rPr>
        <w:t>单位负责人为同一人或者存在直接控股、管理关系的不同供应商，不得参加同一合同项下的政府采购活动。</w:t>
      </w:r>
      <w:r>
        <w:rPr>
          <w:rFonts w:ascii="宋体" w:hAnsi="宋体" w:cs="宋体"/>
          <w:color w:val="auto"/>
          <w:szCs w:val="21"/>
          <w:highlight w:val="none"/>
        </w:rPr>
        <w:t>为采购项目提供整体设计、规范编制或者项目管理、监理、检测等服务的供应商，不得再参加该采购项目的其他采购活动。</w:t>
      </w:r>
    </w:p>
    <w:p w14:paraId="4AF4C3A5">
      <w:pPr>
        <w:shd w:val="clear" w:color="auto" w:fill="auto"/>
        <w:snapToGrid w:val="0"/>
        <w:spacing w:line="440" w:lineRule="exact"/>
        <w:ind w:firstLine="426" w:firstLineChars="200"/>
        <w:rPr>
          <w:rFonts w:hint="eastAsia" w:ascii="宋体"/>
          <w:color w:val="auto"/>
          <w:szCs w:val="21"/>
          <w:highlight w:val="none"/>
        </w:rPr>
      </w:pPr>
      <w:r>
        <w:rPr>
          <w:rFonts w:hint="eastAsia" w:ascii="宋体"/>
          <w:bCs/>
          <w:color w:val="auto"/>
          <w:szCs w:val="21"/>
          <w:highlight w:val="none"/>
        </w:rPr>
        <w:t>13.</w:t>
      </w:r>
      <w:r>
        <w:rPr>
          <w:rFonts w:hint="eastAsia" w:ascii="宋体"/>
          <w:bCs/>
          <w:color w:val="auto"/>
          <w:szCs w:val="21"/>
          <w:highlight w:val="none"/>
          <w:lang w:val="en-US" w:eastAsia="zh-CN"/>
        </w:rPr>
        <w:t>5</w:t>
      </w:r>
      <w:r>
        <w:rPr>
          <w:rFonts w:hint="eastAsia" w:ascii="宋体"/>
          <w:bCs/>
          <w:color w:val="auto"/>
          <w:szCs w:val="21"/>
          <w:highlight w:val="none"/>
        </w:rPr>
        <w:t>本项目只接受</w:t>
      </w:r>
      <w:r>
        <w:rPr>
          <w:rFonts w:hint="eastAsia" w:ascii="宋体"/>
          <w:color w:val="auto"/>
          <w:szCs w:val="21"/>
          <w:highlight w:val="none"/>
        </w:rPr>
        <w:t>成为新疆维吾尔自治区政府采购网正式注册入库</w:t>
      </w:r>
      <w:r>
        <w:rPr>
          <w:rFonts w:hint="eastAsia" w:ascii="宋体" w:hAnsi="宋体" w:eastAsia="宋体" w:cs="宋体"/>
          <w:sz w:val="21"/>
          <w:szCs w:val="21"/>
        </w:rPr>
        <w:t>（已在政采云平台其他省份入驻的供应商无须重复注册）</w:t>
      </w:r>
      <w:r>
        <w:rPr>
          <w:rFonts w:hint="eastAsia" w:ascii="宋体"/>
          <w:color w:val="auto"/>
          <w:szCs w:val="21"/>
          <w:highlight w:val="none"/>
        </w:rPr>
        <w:t>并完成CA数字证书申领供应商</w:t>
      </w:r>
      <w:r>
        <w:rPr>
          <w:rFonts w:hint="eastAsia" w:ascii="宋体"/>
          <w:color w:val="auto"/>
          <w:szCs w:val="21"/>
          <w:highlight w:val="none"/>
          <w:lang w:eastAsia="zh-CN"/>
        </w:rPr>
        <w:t>参与投标</w:t>
      </w:r>
      <w:r>
        <w:rPr>
          <w:rFonts w:hint="eastAsia" w:ascii="宋体"/>
          <w:color w:val="auto"/>
          <w:szCs w:val="21"/>
          <w:highlight w:val="none"/>
        </w:rPr>
        <w:t>。因未注册入库、未办理CA数字证书等原因造成无法投标或投标失败等后果由供应商自行承担。</w:t>
      </w:r>
    </w:p>
    <w:p w14:paraId="5284BE86">
      <w:pPr>
        <w:shd w:val="clear" w:color="auto" w:fill="auto"/>
        <w:wordWrap w:val="0"/>
        <w:spacing w:line="440" w:lineRule="exact"/>
        <w:ind w:firstLine="426" w:firstLineChars="200"/>
        <w:rPr>
          <w:rFonts w:hint="eastAsia" w:ascii="宋体"/>
          <w:bCs/>
          <w:color w:val="auto"/>
          <w:szCs w:val="21"/>
          <w:highlight w:val="none"/>
        </w:rPr>
      </w:pPr>
      <w:r>
        <w:rPr>
          <w:rFonts w:hint="eastAsia" w:ascii="宋体"/>
          <w:bCs/>
          <w:color w:val="auto"/>
          <w:szCs w:val="21"/>
          <w:highlight w:val="none"/>
        </w:rPr>
        <w:t>13.</w:t>
      </w:r>
      <w:r>
        <w:rPr>
          <w:rFonts w:hint="eastAsia" w:ascii="宋体"/>
          <w:bCs/>
          <w:color w:val="auto"/>
          <w:szCs w:val="21"/>
          <w:highlight w:val="none"/>
          <w:lang w:val="en-US" w:eastAsia="zh-CN"/>
        </w:rPr>
        <w:t>6</w:t>
      </w:r>
      <w:r>
        <w:rPr>
          <w:rFonts w:hint="eastAsia" w:ascii="宋体"/>
          <w:bCs/>
          <w:color w:val="auto"/>
          <w:szCs w:val="21"/>
          <w:highlight w:val="none"/>
        </w:rPr>
        <w:t xml:space="preserve">  投标人被视为充分熟悉本招标项目所在地的与履行合同有关的各种情况，包括但不限于：</w:t>
      </w:r>
    </w:p>
    <w:p w14:paraId="0FD96362">
      <w:pPr>
        <w:shd w:val="clear" w:color="auto" w:fill="auto"/>
        <w:spacing w:line="400" w:lineRule="exact"/>
        <w:ind w:firstLine="319" w:firstLineChars="150"/>
        <w:rPr>
          <w:rFonts w:hint="eastAsia" w:ascii="宋体"/>
          <w:bCs/>
          <w:color w:val="auto"/>
          <w:szCs w:val="21"/>
          <w:highlight w:val="none"/>
        </w:rPr>
      </w:pPr>
      <w:r>
        <w:rPr>
          <w:rFonts w:hint="eastAsia" w:ascii="宋体"/>
          <w:bCs/>
          <w:color w:val="auto"/>
          <w:szCs w:val="21"/>
          <w:highlight w:val="none"/>
        </w:rPr>
        <w:t>（1）国家对本次投标货物和服务的生产、安装调试、验收、维修等有关法律、法规及行业管理标准；</w:t>
      </w:r>
    </w:p>
    <w:p w14:paraId="09504CF4">
      <w:pPr>
        <w:shd w:val="clear" w:color="auto" w:fill="auto"/>
        <w:spacing w:line="400" w:lineRule="exact"/>
        <w:ind w:firstLine="319" w:firstLineChars="150"/>
        <w:rPr>
          <w:rFonts w:hint="eastAsia" w:ascii="宋体"/>
          <w:bCs/>
          <w:color w:val="auto"/>
          <w:szCs w:val="21"/>
          <w:highlight w:val="none"/>
        </w:rPr>
      </w:pPr>
      <w:r>
        <w:rPr>
          <w:rFonts w:hint="eastAsia" w:ascii="宋体"/>
          <w:bCs/>
          <w:color w:val="auto"/>
          <w:szCs w:val="21"/>
          <w:highlight w:val="none"/>
        </w:rPr>
        <w:t>（2）</w:t>
      </w:r>
      <w:r>
        <w:rPr>
          <w:rFonts w:hint="eastAsia" w:ascii="宋体"/>
          <w:bCs/>
          <w:color w:val="auto"/>
          <w:szCs w:val="21"/>
          <w:highlight w:val="none"/>
          <w:lang w:eastAsia="zh-CN"/>
        </w:rPr>
        <w:t>本地区</w:t>
      </w:r>
      <w:r>
        <w:rPr>
          <w:rFonts w:hint="eastAsia" w:ascii="宋体"/>
          <w:bCs/>
          <w:color w:val="auto"/>
          <w:szCs w:val="21"/>
          <w:highlight w:val="none"/>
        </w:rPr>
        <w:t>有关管理部门的相关规定；</w:t>
      </w:r>
    </w:p>
    <w:p w14:paraId="096EC062">
      <w:pPr>
        <w:shd w:val="clear" w:color="auto" w:fill="auto"/>
        <w:spacing w:line="400" w:lineRule="exact"/>
        <w:ind w:firstLine="319" w:firstLineChars="150"/>
        <w:rPr>
          <w:rFonts w:hint="eastAsia" w:ascii="宋体"/>
          <w:bCs/>
          <w:color w:val="auto"/>
          <w:szCs w:val="21"/>
          <w:highlight w:val="none"/>
        </w:rPr>
      </w:pPr>
      <w:r>
        <w:rPr>
          <w:rFonts w:hint="eastAsia" w:ascii="宋体"/>
          <w:bCs/>
          <w:color w:val="auto"/>
          <w:szCs w:val="21"/>
          <w:highlight w:val="none"/>
        </w:rPr>
        <w:t>（3）招标人的相关场地情况、基础建设、电力供应情况及相关设计标准。</w:t>
      </w:r>
    </w:p>
    <w:p w14:paraId="74419CE6">
      <w:pPr>
        <w:shd w:val="clear" w:color="auto" w:fill="auto"/>
        <w:spacing w:line="400" w:lineRule="exact"/>
        <w:ind w:firstLine="319" w:firstLineChars="150"/>
        <w:rPr>
          <w:rFonts w:hint="eastAsia" w:ascii="宋体"/>
          <w:b/>
          <w:color w:val="auto"/>
          <w:sz w:val="28"/>
          <w:szCs w:val="28"/>
          <w:highlight w:val="none"/>
        </w:rPr>
      </w:pPr>
      <w:r>
        <w:rPr>
          <w:rFonts w:hint="eastAsia" w:ascii="宋体"/>
          <w:bCs/>
          <w:color w:val="auto"/>
          <w:szCs w:val="21"/>
          <w:highlight w:val="none"/>
        </w:rPr>
        <w:t>本</w:t>
      </w:r>
      <w:r>
        <w:rPr>
          <w:rFonts w:hint="eastAsia" w:ascii="宋体"/>
          <w:bCs/>
          <w:color w:val="auto"/>
          <w:szCs w:val="21"/>
          <w:highlight w:val="none"/>
          <w:lang w:eastAsia="zh-CN"/>
        </w:rPr>
        <w:t>采购文件</w:t>
      </w:r>
      <w:r>
        <w:rPr>
          <w:rFonts w:hint="eastAsia" w:ascii="宋体"/>
          <w:bCs/>
          <w:color w:val="auto"/>
          <w:szCs w:val="21"/>
          <w:highlight w:val="none"/>
        </w:rPr>
        <w:t>不再对上述情况进行描述。</w:t>
      </w:r>
      <w:bookmarkStart w:id="29" w:name="_Toc469495725"/>
    </w:p>
    <w:p w14:paraId="750C01C3">
      <w:pPr>
        <w:shd w:val="clear" w:color="auto" w:fill="auto"/>
        <w:spacing w:before="312" w:beforeLines="100" w:after="312" w:afterLines="100" w:line="440" w:lineRule="exact"/>
        <w:jc w:val="center"/>
        <w:outlineLvl w:val="2"/>
        <w:rPr>
          <w:rFonts w:hint="eastAsia" w:ascii="宋体" w:eastAsia="宋体"/>
          <w:b/>
          <w:color w:val="auto"/>
          <w:sz w:val="28"/>
          <w:szCs w:val="28"/>
          <w:highlight w:val="none"/>
          <w:lang w:eastAsia="zh-CN"/>
        </w:rPr>
      </w:pPr>
      <w:r>
        <w:rPr>
          <w:rFonts w:hint="eastAsia" w:ascii="宋体"/>
          <w:b/>
          <w:color w:val="auto"/>
          <w:sz w:val="28"/>
          <w:szCs w:val="28"/>
          <w:highlight w:val="none"/>
        </w:rPr>
        <w:t>（二）</w:t>
      </w:r>
      <w:bookmarkEnd w:id="29"/>
      <w:r>
        <w:rPr>
          <w:rFonts w:hint="eastAsia" w:ascii="宋体"/>
          <w:b/>
          <w:color w:val="auto"/>
          <w:sz w:val="28"/>
          <w:szCs w:val="28"/>
          <w:highlight w:val="none"/>
          <w:lang w:eastAsia="zh-CN"/>
        </w:rPr>
        <w:t>招标文件</w:t>
      </w:r>
    </w:p>
    <w:p w14:paraId="1D1D3DB2">
      <w:pPr>
        <w:shd w:val="clear" w:color="auto" w:fill="auto"/>
        <w:spacing w:line="440" w:lineRule="exact"/>
        <w:rPr>
          <w:rFonts w:hint="eastAsia"/>
          <w:b/>
          <w:color w:val="auto"/>
          <w:szCs w:val="21"/>
          <w:highlight w:val="none"/>
        </w:rPr>
      </w:pPr>
      <w:r>
        <w:rPr>
          <w:rFonts w:hint="eastAsia"/>
          <w:b/>
          <w:color w:val="auto"/>
          <w:szCs w:val="21"/>
          <w:highlight w:val="none"/>
          <w:lang w:val="en-US" w:eastAsia="zh-CN"/>
        </w:rPr>
        <w:t>14</w:t>
      </w:r>
      <w:r>
        <w:rPr>
          <w:rFonts w:hint="eastAsia"/>
          <w:b/>
          <w:color w:val="auto"/>
          <w:szCs w:val="21"/>
          <w:highlight w:val="none"/>
        </w:rPr>
        <w:t xml:space="preserve">. </w:t>
      </w:r>
      <w:r>
        <w:rPr>
          <w:rFonts w:hint="eastAsia"/>
          <w:b/>
          <w:color w:val="auto"/>
          <w:szCs w:val="21"/>
          <w:highlight w:val="none"/>
          <w:lang w:eastAsia="zh-CN"/>
        </w:rPr>
        <w:t>采购文件</w:t>
      </w:r>
      <w:r>
        <w:rPr>
          <w:rFonts w:hint="eastAsia"/>
          <w:b/>
          <w:color w:val="auto"/>
          <w:szCs w:val="21"/>
          <w:highlight w:val="none"/>
        </w:rPr>
        <w:t>的编制依据</w:t>
      </w:r>
    </w:p>
    <w:p w14:paraId="59E18537">
      <w:pPr>
        <w:shd w:val="clear" w:color="auto" w:fill="auto"/>
        <w:spacing w:line="440" w:lineRule="exact"/>
        <w:ind w:firstLine="426" w:firstLineChars="200"/>
        <w:rPr>
          <w:rFonts w:hint="eastAsia" w:ascii="宋体"/>
          <w:color w:val="auto"/>
          <w:szCs w:val="21"/>
          <w:highlight w:val="none"/>
        </w:rPr>
      </w:pPr>
      <w:r>
        <w:rPr>
          <w:rFonts w:hint="eastAsia" w:ascii="宋体"/>
          <w:color w:val="auto"/>
          <w:szCs w:val="21"/>
          <w:highlight w:val="none"/>
        </w:rPr>
        <w:t>根据《中华人民共和国政府采购法》、《政府采购货物和服务招标投标管理办法》和《中华人民共和国合同法》</w:t>
      </w:r>
      <w:r>
        <w:rPr>
          <w:rFonts w:hint="eastAsia" w:ascii="宋体"/>
          <w:color w:val="auto"/>
          <w:spacing w:val="-2"/>
          <w:szCs w:val="21"/>
          <w:highlight w:val="none"/>
        </w:rPr>
        <w:t>等相关法律法规和规章及部、省、市级规范性文件的规定，编制本</w:t>
      </w:r>
      <w:r>
        <w:rPr>
          <w:rFonts w:hint="eastAsia" w:ascii="宋体"/>
          <w:color w:val="auto"/>
          <w:spacing w:val="-2"/>
          <w:szCs w:val="21"/>
          <w:highlight w:val="none"/>
          <w:lang w:eastAsia="zh-CN"/>
        </w:rPr>
        <w:t>采购文件</w:t>
      </w:r>
      <w:r>
        <w:rPr>
          <w:rFonts w:hint="eastAsia" w:ascii="宋体"/>
          <w:color w:val="auto"/>
          <w:spacing w:val="-2"/>
          <w:szCs w:val="21"/>
          <w:highlight w:val="none"/>
        </w:rPr>
        <w:t>。</w:t>
      </w:r>
    </w:p>
    <w:p w14:paraId="6E6D78A5">
      <w:pPr>
        <w:shd w:val="clear" w:color="auto" w:fill="auto"/>
        <w:spacing w:line="440" w:lineRule="exact"/>
        <w:rPr>
          <w:rFonts w:hint="eastAsia"/>
          <w:b/>
          <w:color w:val="auto"/>
          <w:szCs w:val="21"/>
          <w:highlight w:val="none"/>
        </w:rPr>
      </w:pPr>
      <w:r>
        <w:rPr>
          <w:rFonts w:hint="eastAsia"/>
          <w:b/>
          <w:color w:val="auto"/>
          <w:szCs w:val="21"/>
          <w:highlight w:val="none"/>
          <w:lang w:val="en-US" w:eastAsia="zh-CN"/>
        </w:rPr>
        <w:t>15</w:t>
      </w:r>
      <w:r>
        <w:rPr>
          <w:rFonts w:hint="eastAsia"/>
          <w:b/>
          <w:color w:val="auto"/>
          <w:szCs w:val="21"/>
          <w:highlight w:val="none"/>
        </w:rPr>
        <w:t xml:space="preserve">. </w:t>
      </w:r>
      <w:r>
        <w:rPr>
          <w:rFonts w:hint="eastAsia"/>
          <w:b/>
          <w:color w:val="auto"/>
          <w:szCs w:val="21"/>
          <w:highlight w:val="none"/>
          <w:lang w:eastAsia="zh-CN"/>
        </w:rPr>
        <w:t>采购文件</w:t>
      </w:r>
      <w:r>
        <w:rPr>
          <w:rFonts w:hint="eastAsia"/>
          <w:b/>
          <w:color w:val="auto"/>
          <w:szCs w:val="21"/>
          <w:highlight w:val="none"/>
        </w:rPr>
        <w:t>的组成</w:t>
      </w:r>
    </w:p>
    <w:p w14:paraId="25920E78">
      <w:pPr>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rPr>
        <w:t>1</w:t>
      </w:r>
      <w:r>
        <w:rPr>
          <w:rFonts w:hint="eastAsia" w:ascii="宋体"/>
          <w:color w:val="auto"/>
          <w:szCs w:val="21"/>
          <w:highlight w:val="none"/>
          <w:lang w:val="en-US" w:eastAsia="zh-CN"/>
        </w:rPr>
        <w:t>5</w:t>
      </w:r>
      <w:r>
        <w:rPr>
          <w:rFonts w:hint="eastAsia" w:ascii="宋体"/>
          <w:color w:val="auto"/>
          <w:szCs w:val="21"/>
          <w:highlight w:val="none"/>
        </w:rPr>
        <w:t xml:space="preserve">.1 </w:t>
      </w:r>
      <w:r>
        <w:rPr>
          <w:rFonts w:hint="eastAsia" w:ascii="宋体"/>
          <w:color w:val="auto"/>
          <w:szCs w:val="21"/>
          <w:highlight w:val="none"/>
          <w:lang w:eastAsia="zh-CN"/>
        </w:rPr>
        <w:t>采购文件</w:t>
      </w:r>
      <w:r>
        <w:rPr>
          <w:rFonts w:hint="eastAsia" w:ascii="宋体"/>
          <w:color w:val="auto"/>
          <w:szCs w:val="21"/>
          <w:highlight w:val="none"/>
        </w:rPr>
        <w:t>包括内容：</w:t>
      </w:r>
    </w:p>
    <w:p w14:paraId="04D81AB2">
      <w:pPr>
        <w:shd w:val="clear" w:color="auto" w:fill="auto"/>
        <w:spacing w:line="440" w:lineRule="exact"/>
        <w:ind w:firstLine="1491" w:firstLineChars="700"/>
        <w:rPr>
          <w:rFonts w:hint="eastAsia" w:ascii="宋体"/>
          <w:color w:val="auto"/>
          <w:szCs w:val="21"/>
          <w:highlight w:val="none"/>
        </w:rPr>
      </w:pPr>
      <w:r>
        <w:rPr>
          <w:rFonts w:hint="eastAsia" w:ascii="宋体"/>
          <w:color w:val="auto"/>
          <w:szCs w:val="21"/>
          <w:highlight w:val="none"/>
        </w:rPr>
        <w:t xml:space="preserve">第一章  </w:t>
      </w:r>
      <w:r>
        <w:rPr>
          <w:rFonts w:hint="eastAsia" w:ascii="宋体"/>
          <w:color w:val="auto"/>
          <w:szCs w:val="21"/>
          <w:highlight w:val="none"/>
          <w:lang w:eastAsia="zh-CN"/>
        </w:rPr>
        <w:t>招</w:t>
      </w:r>
      <w:r>
        <w:rPr>
          <w:rFonts w:hint="eastAsia" w:ascii="宋体"/>
          <w:color w:val="auto"/>
          <w:szCs w:val="21"/>
          <w:highlight w:val="none"/>
        </w:rPr>
        <w:t>标公告</w:t>
      </w:r>
    </w:p>
    <w:p w14:paraId="6FA7BA4A">
      <w:pPr>
        <w:shd w:val="clear" w:color="auto" w:fill="auto"/>
        <w:spacing w:line="440" w:lineRule="exact"/>
        <w:ind w:firstLine="1491" w:firstLineChars="700"/>
        <w:rPr>
          <w:rFonts w:hint="eastAsia" w:ascii="宋体"/>
          <w:color w:val="auto"/>
          <w:szCs w:val="21"/>
          <w:highlight w:val="none"/>
        </w:rPr>
      </w:pPr>
      <w:r>
        <w:rPr>
          <w:rFonts w:hint="eastAsia" w:ascii="宋体"/>
          <w:color w:val="auto"/>
          <w:szCs w:val="21"/>
          <w:highlight w:val="none"/>
        </w:rPr>
        <w:t>第二章  投标须知</w:t>
      </w:r>
    </w:p>
    <w:p w14:paraId="1AF06BFE">
      <w:pPr>
        <w:shd w:val="clear" w:color="auto" w:fill="auto"/>
        <w:spacing w:line="440" w:lineRule="exact"/>
        <w:ind w:firstLine="1491" w:firstLineChars="700"/>
        <w:rPr>
          <w:rFonts w:hint="eastAsia" w:ascii="宋体"/>
          <w:color w:val="auto"/>
          <w:szCs w:val="21"/>
          <w:highlight w:val="none"/>
          <w:lang w:eastAsia="zh-CN"/>
        </w:rPr>
      </w:pPr>
      <w:r>
        <w:rPr>
          <w:rFonts w:hint="eastAsia" w:ascii="宋体"/>
          <w:color w:val="auto"/>
          <w:szCs w:val="21"/>
          <w:highlight w:val="none"/>
        </w:rPr>
        <w:t>第三章  评标办法</w:t>
      </w:r>
    </w:p>
    <w:p w14:paraId="07572F79">
      <w:pPr>
        <w:shd w:val="clear" w:color="auto" w:fill="auto"/>
        <w:spacing w:line="440" w:lineRule="exact"/>
        <w:ind w:firstLine="1491" w:firstLineChars="700"/>
        <w:rPr>
          <w:rFonts w:hint="eastAsia" w:ascii="宋体"/>
          <w:color w:val="auto"/>
          <w:szCs w:val="21"/>
          <w:highlight w:val="none"/>
        </w:rPr>
      </w:pPr>
      <w:r>
        <w:rPr>
          <w:rFonts w:hint="eastAsia" w:ascii="宋体"/>
          <w:color w:val="auto"/>
          <w:szCs w:val="21"/>
          <w:highlight w:val="none"/>
        </w:rPr>
        <w:t>第四章  采购内容及技术要求</w:t>
      </w:r>
    </w:p>
    <w:p w14:paraId="0482E7D8">
      <w:pPr>
        <w:shd w:val="clear" w:color="auto" w:fill="auto"/>
        <w:spacing w:line="440" w:lineRule="exact"/>
        <w:ind w:firstLine="1491" w:firstLineChars="700"/>
        <w:rPr>
          <w:rFonts w:hint="eastAsia" w:ascii="宋体"/>
          <w:color w:val="auto"/>
          <w:szCs w:val="21"/>
          <w:highlight w:val="none"/>
        </w:rPr>
      </w:pPr>
      <w:r>
        <w:rPr>
          <w:rFonts w:hint="eastAsia" w:ascii="宋体"/>
          <w:color w:val="auto"/>
          <w:szCs w:val="21"/>
          <w:highlight w:val="none"/>
        </w:rPr>
        <w:t>第五章  合同条款及格式</w:t>
      </w:r>
    </w:p>
    <w:p w14:paraId="0C0ED341">
      <w:pPr>
        <w:shd w:val="clear" w:color="auto" w:fill="auto"/>
        <w:spacing w:line="440" w:lineRule="exact"/>
        <w:ind w:firstLine="1491" w:firstLineChars="700"/>
        <w:rPr>
          <w:rFonts w:hint="eastAsia" w:ascii="宋体"/>
          <w:color w:val="auto"/>
          <w:szCs w:val="21"/>
          <w:highlight w:val="none"/>
        </w:rPr>
      </w:pPr>
      <w:r>
        <w:rPr>
          <w:rFonts w:hint="eastAsia" w:ascii="宋体"/>
          <w:color w:val="auto"/>
          <w:szCs w:val="21"/>
          <w:highlight w:val="none"/>
        </w:rPr>
        <w:t>第六章  投标文件格式文本</w:t>
      </w:r>
    </w:p>
    <w:p w14:paraId="06D4A5C8">
      <w:pPr>
        <w:shd w:val="clear" w:color="auto" w:fill="auto"/>
        <w:spacing w:line="440" w:lineRule="exact"/>
        <w:ind w:firstLine="1491" w:firstLineChars="700"/>
        <w:rPr>
          <w:rFonts w:hint="eastAsia" w:ascii="宋体"/>
          <w:color w:val="auto"/>
          <w:szCs w:val="21"/>
          <w:highlight w:val="none"/>
        </w:rPr>
      </w:pPr>
      <w:r>
        <w:rPr>
          <w:rFonts w:hint="eastAsia" w:ascii="宋体"/>
          <w:color w:val="auto"/>
          <w:szCs w:val="21"/>
          <w:highlight w:val="none"/>
        </w:rPr>
        <w:t>第七章  招标单位、招标代理机构对本文件的确认</w:t>
      </w:r>
    </w:p>
    <w:p w14:paraId="26A3C7E1">
      <w:pPr>
        <w:shd w:val="clear" w:color="auto" w:fill="auto"/>
        <w:spacing w:line="440" w:lineRule="exact"/>
        <w:rPr>
          <w:rFonts w:hint="eastAsia" w:ascii="宋体"/>
          <w:color w:val="auto"/>
          <w:szCs w:val="21"/>
          <w:highlight w:val="none"/>
        </w:rPr>
      </w:pPr>
      <w:r>
        <w:rPr>
          <w:rFonts w:hint="eastAsia" w:ascii="宋体"/>
          <w:color w:val="auto"/>
          <w:szCs w:val="21"/>
          <w:highlight w:val="none"/>
        </w:rPr>
        <w:t xml:space="preserve">   1</w:t>
      </w:r>
      <w:r>
        <w:rPr>
          <w:rFonts w:hint="eastAsia" w:ascii="宋体"/>
          <w:color w:val="auto"/>
          <w:szCs w:val="21"/>
          <w:highlight w:val="none"/>
          <w:lang w:val="en-US" w:eastAsia="zh-CN"/>
        </w:rPr>
        <w:t>5</w:t>
      </w:r>
      <w:r>
        <w:rPr>
          <w:rFonts w:hint="eastAsia" w:ascii="宋体"/>
          <w:color w:val="auto"/>
          <w:szCs w:val="21"/>
          <w:highlight w:val="none"/>
        </w:rPr>
        <w:t>.2 除1</w:t>
      </w:r>
      <w:r>
        <w:rPr>
          <w:rFonts w:hint="eastAsia" w:ascii="宋体"/>
          <w:color w:val="auto"/>
          <w:szCs w:val="21"/>
          <w:highlight w:val="none"/>
          <w:lang w:val="en-US" w:eastAsia="zh-CN"/>
        </w:rPr>
        <w:t>5</w:t>
      </w:r>
      <w:r>
        <w:rPr>
          <w:rFonts w:hint="eastAsia" w:ascii="宋体"/>
          <w:color w:val="auto"/>
          <w:szCs w:val="21"/>
          <w:highlight w:val="none"/>
        </w:rPr>
        <w:t>.1内容外，招标答疑亦为</w:t>
      </w:r>
      <w:r>
        <w:rPr>
          <w:rFonts w:hint="eastAsia" w:ascii="宋体"/>
          <w:color w:val="auto"/>
          <w:szCs w:val="21"/>
          <w:highlight w:val="none"/>
          <w:lang w:eastAsia="zh-CN"/>
        </w:rPr>
        <w:t>采购文件</w:t>
      </w:r>
      <w:r>
        <w:rPr>
          <w:rFonts w:hint="eastAsia" w:ascii="宋体"/>
          <w:color w:val="auto"/>
          <w:szCs w:val="21"/>
          <w:highlight w:val="none"/>
        </w:rPr>
        <w:t>的组成部分，对招标人和投标人起约束作用。</w:t>
      </w:r>
    </w:p>
    <w:p w14:paraId="167CF10D">
      <w:pPr>
        <w:pStyle w:val="14"/>
        <w:shd w:val="clear" w:color="auto" w:fill="auto"/>
        <w:wordWrap w:val="0"/>
        <w:spacing w:line="400" w:lineRule="exact"/>
        <w:rPr>
          <w:rFonts w:hint="eastAsia"/>
          <w:color w:val="auto"/>
          <w:szCs w:val="21"/>
          <w:highlight w:val="none"/>
          <w:lang w:val="en-US"/>
        </w:rPr>
      </w:pPr>
      <w:r>
        <w:rPr>
          <w:rFonts w:hint="eastAsia"/>
          <w:color w:val="auto"/>
          <w:szCs w:val="21"/>
          <w:highlight w:val="none"/>
        </w:rPr>
        <w:t xml:space="preserve">   1</w:t>
      </w:r>
      <w:r>
        <w:rPr>
          <w:rFonts w:hint="eastAsia"/>
          <w:color w:val="auto"/>
          <w:szCs w:val="21"/>
          <w:highlight w:val="none"/>
          <w:lang w:val="en-US" w:eastAsia="zh-CN"/>
        </w:rPr>
        <w:t>5</w:t>
      </w:r>
      <w:r>
        <w:rPr>
          <w:rFonts w:hint="eastAsia"/>
          <w:color w:val="auto"/>
          <w:szCs w:val="21"/>
          <w:highlight w:val="none"/>
        </w:rPr>
        <w:t>.3</w:t>
      </w:r>
      <w:r>
        <w:rPr>
          <w:rFonts w:hint="eastAsia"/>
          <w:color w:val="auto"/>
          <w:szCs w:val="21"/>
          <w:highlight w:val="none"/>
          <w:u w:val="none" w:color="auto"/>
        </w:rPr>
        <w:t>投标人应仔细阅读和检查</w:t>
      </w:r>
      <w:r>
        <w:rPr>
          <w:rFonts w:hint="eastAsia"/>
          <w:color w:val="auto"/>
          <w:szCs w:val="21"/>
          <w:highlight w:val="none"/>
          <w:u w:val="none" w:color="auto"/>
          <w:lang w:eastAsia="zh-CN"/>
        </w:rPr>
        <w:t>采购文件</w:t>
      </w:r>
      <w:r>
        <w:rPr>
          <w:rFonts w:hint="eastAsia"/>
          <w:color w:val="auto"/>
          <w:szCs w:val="21"/>
          <w:highlight w:val="none"/>
          <w:u w:val="none" w:color="auto"/>
        </w:rPr>
        <w:t>的全部内容。如发现缺页或附件不全，应及时向招标人提出，以便补齐。如有疑问，投标人应在</w:t>
      </w:r>
      <w:r>
        <w:rPr>
          <w:rFonts w:hint="eastAsia" w:ascii="宋体"/>
          <w:color w:val="auto"/>
          <w:szCs w:val="21"/>
          <w:highlight w:val="none"/>
        </w:rPr>
        <w:t>以书面形式一次性向采购人和采购代理机构提出同一环节的质疑</w:t>
      </w:r>
      <w:r>
        <w:rPr>
          <w:rFonts w:hint="eastAsia"/>
          <w:color w:val="auto"/>
          <w:szCs w:val="21"/>
          <w:highlight w:val="none"/>
          <w:u w:val="none" w:color="auto"/>
        </w:rPr>
        <w:t>。</w:t>
      </w:r>
    </w:p>
    <w:p w14:paraId="6A88FC23">
      <w:pPr>
        <w:shd w:val="clear" w:color="auto" w:fill="auto"/>
        <w:wordWrap w:val="0"/>
        <w:spacing w:line="440" w:lineRule="exact"/>
        <w:rPr>
          <w:rFonts w:hint="eastAsia" w:ascii="宋体"/>
          <w:color w:val="auto"/>
          <w:szCs w:val="21"/>
          <w:highlight w:val="none"/>
        </w:rPr>
      </w:pPr>
      <w:r>
        <w:rPr>
          <w:rFonts w:hint="eastAsia" w:ascii="宋体"/>
          <w:color w:val="auto"/>
          <w:szCs w:val="21"/>
          <w:highlight w:val="none"/>
        </w:rPr>
        <w:t xml:space="preserve">   1</w:t>
      </w:r>
      <w:r>
        <w:rPr>
          <w:rFonts w:hint="eastAsia" w:ascii="宋体"/>
          <w:color w:val="auto"/>
          <w:szCs w:val="21"/>
          <w:highlight w:val="none"/>
          <w:lang w:val="en-US" w:eastAsia="zh-CN"/>
        </w:rPr>
        <w:t>5</w:t>
      </w:r>
      <w:r>
        <w:rPr>
          <w:rFonts w:hint="eastAsia" w:ascii="宋体"/>
          <w:color w:val="auto"/>
          <w:szCs w:val="21"/>
          <w:highlight w:val="none"/>
        </w:rPr>
        <w:t>.4供应商认为采购文件使自己的权益受到损害的，可以自收到采购文件之日（采购文件公告期限届满之前收到采购文件的，以完成获取采购文件申请后下载采购文件的时间为准）或者采购文件公告期限届满之日（公告发布后的第6个工作日）起7个工作日内且应当在采购响应截止时间之前，以书面形式一次性向采购人和采购代理机构提出同一环节的质疑。否则，被质疑人可不予接受。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r>
        <w:rPr>
          <w:rFonts w:hint="eastAsia" w:ascii="宋体"/>
          <w:color w:val="auto"/>
          <w:szCs w:val="21"/>
          <w:highlight w:val="none"/>
          <w:lang w:eastAsia="zh-CN"/>
        </w:rPr>
        <w:t>采购文件</w:t>
      </w:r>
      <w:r>
        <w:rPr>
          <w:rFonts w:hint="eastAsia" w:ascii="宋体"/>
          <w:color w:val="auto"/>
          <w:szCs w:val="21"/>
          <w:highlight w:val="none"/>
        </w:rPr>
        <w:t>的澄清将在</w:t>
      </w:r>
      <w:r>
        <w:rPr>
          <w:rFonts w:hint="eastAsia" w:ascii="宋体"/>
          <w:color w:val="auto"/>
          <w:szCs w:val="21"/>
          <w:highlight w:val="none"/>
          <w:lang w:eastAsia="zh-CN"/>
        </w:rPr>
        <w:t>政采云平台“更正公告”栏目予以公告</w:t>
      </w:r>
      <w:r>
        <w:rPr>
          <w:rFonts w:hint="eastAsia" w:ascii="宋体"/>
          <w:color w:val="auto"/>
          <w:szCs w:val="21"/>
          <w:highlight w:val="none"/>
        </w:rPr>
        <w:t>，但不指明澄清问题的来源。如果澄清内容影响投标文件编制的，将相应延长投标截止时间。</w:t>
      </w:r>
    </w:p>
    <w:p w14:paraId="58A7CF4F">
      <w:pPr>
        <w:shd w:val="clear" w:color="auto" w:fill="auto"/>
        <w:spacing w:line="440" w:lineRule="exact"/>
        <w:rPr>
          <w:rFonts w:hint="eastAsia" w:ascii="宋体"/>
          <w:b/>
          <w:bCs/>
          <w:color w:val="auto"/>
          <w:szCs w:val="21"/>
          <w:highlight w:val="none"/>
        </w:rPr>
      </w:pPr>
      <w:r>
        <w:rPr>
          <w:rFonts w:hint="eastAsia" w:ascii="宋体"/>
          <w:b/>
          <w:bCs/>
          <w:color w:val="auto"/>
          <w:szCs w:val="21"/>
          <w:highlight w:val="none"/>
        </w:rPr>
        <w:t>1</w:t>
      </w:r>
      <w:r>
        <w:rPr>
          <w:rFonts w:hint="eastAsia" w:ascii="宋体"/>
          <w:b/>
          <w:bCs/>
          <w:color w:val="auto"/>
          <w:szCs w:val="21"/>
          <w:highlight w:val="none"/>
          <w:lang w:val="en-US" w:eastAsia="zh-CN"/>
        </w:rPr>
        <w:t>6</w:t>
      </w:r>
      <w:r>
        <w:rPr>
          <w:rFonts w:hint="eastAsia" w:ascii="宋体"/>
          <w:b/>
          <w:bCs/>
          <w:color w:val="auto"/>
          <w:szCs w:val="21"/>
          <w:highlight w:val="none"/>
        </w:rPr>
        <w:t xml:space="preserve">. </w:t>
      </w:r>
      <w:r>
        <w:rPr>
          <w:rFonts w:hint="eastAsia" w:ascii="宋体"/>
          <w:b/>
          <w:bCs/>
          <w:color w:val="auto"/>
          <w:szCs w:val="21"/>
          <w:highlight w:val="none"/>
          <w:lang w:eastAsia="zh-CN"/>
        </w:rPr>
        <w:t>采购文件</w:t>
      </w:r>
      <w:r>
        <w:rPr>
          <w:rFonts w:hint="eastAsia" w:ascii="宋体"/>
          <w:b/>
          <w:bCs/>
          <w:color w:val="auto"/>
          <w:szCs w:val="21"/>
          <w:highlight w:val="none"/>
        </w:rPr>
        <w:t>的修改、补充、解释</w:t>
      </w:r>
    </w:p>
    <w:p w14:paraId="46B49E6E">
      <w:pPr>
        <w:shd w:val="clear" w:color="auto" w:fill="auto"/>
        <w:wordWrap w:val="0"/>
        <w:spacing w:line="400" w:lineRule="exact"/>
        <w:ind w:firstLine="319" w:firstLineChars="150"/>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.1</w:t>
      </w:r>
      <w:r>
        <w:rPr>
          <w:rFonts w:hint="eastAsia" w:ascii="宋体" w:hAnsi="宋体"/>
          <w:color w:val="auto"/>
          <w:szCs w:val="21"/>
          <w:highlight w:val="none"/>
          <w:lang w:eastAsia="zh-CN"/>
        </w:rPr>
        <w:t>采购文件</w:t>
      </w:r>
      <w:r>
        <w:rPr>
          <w:rFonts w:hint="eastAsia" w:ascii="宋体" w:hAnsi="宋体"/>
          <w:color w:val="auto"/>
          <w:szCs w:val="21"/>
          <w:highlight w:val="none"/>
        </w:rPr>
        <w:t>发出后，招标人在规定的投标截止时间前可对</w:t>
      </w:r>
      <w:r>
        <w:rPr>
          <w:rFonts w:hint="eastAsia" w:ascii="宋体" w:hAnsi="宋体"/>
          <w:color w:val="auto"/>
          <w:szCs w:val="21"/>
          <w:highlight w:val="none"/>
          <w:lang w:eastAsia="zh-CN"/>
        </w:rPr>
        <w:t>采购文件</w:t>
      </w:r>
      <w:r>
        <w:rPr>
          <w:rFonts w:hint="eastAsia" w:ascii="宋体" w:hAnsi="宋体"/>
          <w:color w:val="auto"/>
          <w:szCs w:val="21"/>
          <w:highlight w:val="none"/>
        </w:rPr>
        <w:t>进行必要的修改和补充，并以</w:t>
      </w:r>
      <w:r>
        <w:rPr>
          <w:rFonts w:hint="eastAsia" w:ascii="宋体" w:hAnsi="宋体"/>
          <w:color w:val="auto"/>
          <w:szCs w:val="21"/>
          <w:highlight w:val="none"/>
          <w:lang w:eastAsia="zh-CN"/>
        </w:rPr>
        <w:t>更正</w:t>
      </w:r>
      <w:r>
        <w:rPr>
          <w:rFonts w:hint="eastAsia" w:ascii="宋体" w:hAnsi="宋体"/>
          <w:color w:val="auto"/>
          <w:szCs w:val="21"/>
          <w:highlight w:val="none"/>
        </w:rPr>
        <w:t>公告形式在</w:t>
      </w:r>
      <w:r>
        <w:rPr>
          <w:rFonts w:hint="eastAsia" w:ascii="宋体" w:hAnsi="宋体"/>
          <w:color w:val="auto"/>
          <w:szCs w:val="21"/>
          <w:highlight w:val="none"/>
          <w:lang w:eastAsia="zh-CN"/>
        </w:rPr>
        <w:t>政采云平台</w:t>
      </w:r>
      <w:r>
        <w:rPr>
          <w:rFonts w:hint="eastAsia" w:ascii="宋体" w:hAnsi="宋体"/>
          <w:color w:val="auto"/>
          <w:szCs w:val="21"/>
          <w:highlight w:val="none"/>
        </w:rPr>
        <w:t xml:space="preserve"> “</w:t>
      </w:r>
      <w:r>
        <w:rPr>
          <w:rFonts w:hint="eastAsia" w:ascii="宋体" w:hAnsi="宋体"/>
          <w:color w:val="auto"/>
          <w:szCs w:val="21"/>
          <w:highlight w:val="none"/>
          <w:lang w:eastAsia="zh-CN"/>
        </w:rPr>
        <w:t>更正公告</w:t>
      </w:r>
      <w:r>
        <w:rPr>
          <w:rFonts w:hint="eastAsia" w:ascii="宋体" w:hAnsi="宋体"/>
          <w:color w:val="auto"/>
          <w:szCs w:val="21"/>
          <w:highlight w:val="none"/>
        </w:rPr>
        <w:t>”栏目予以公告，请各位投标人注意查看有关澄清内容，如不及时查看造成后果由投标人自负。</w:t>
      </w:r>
      <w:r>
        <w:rPr>
          <w:rFonts w:hint="eastAsia" w:ascii="宋体" w:hAnsi="宋体"/>
          <w:color w:val="auto"/>
          <w:szCs w:val="21"/>
          <w:highlight w:val="none"/>
          <w:lang w:eastAsia="zh-CN"/>
        </w:rPr>
        <w:t>采购文件</w:t>
      </w:r>
      <w:r>
        <w:rPr>
          <w:rFonts w:hint="eastAsia" w:ascii="宋体" w:hAnsi="宋体"/>
          <w:color w:val="auto"/>
          <w:szCs w:val="21"/>
          <w:highlight w:val="none"/>
        </w:rPr>
        <w:t>的修改、补充等内容作为</w:t>
      </w:r>
      <w:r>
        <w:rPr>
          <w:rFonts w:hint="eastAsia" w:ascii="宋体" w:hAnsi="宋体"/>
          <w:color w:val="auto"/>
          <w:szCs w:val="21"/>
          <w:highlight w:val="none"/>
          <w:lang w:eastAsia="zh-CN"/>
        </w:rPr>
        <w:t>采购文件</w:t>
      </w:r>
      <w:r>
        <w:rPr>
          <w:rFonts w:hint="eastAsia" w:ascii="宋体" w:hAnsi="宋体"/>
          <w:color w:val="auto"/>
          <w:szCs w:val="21"/>
          <w:highlight w:val="none"/>
        </w:rPr>
        <w:t>的组成部分，具有约束作用。</w:t>
      </w:r>
    </w:p>
    <w:p w14:paraId="10AA7869">
      <w:pPr>
        <w:shd w:val="clear" w:color="auto" w:fill="auto"/>
        <w:wordWrap w:val="0"/>
        <w:spacing w:line="400" w:lineRule="exact"/>
        <w:ind w:firstLine="319" w:firstLineChars="150"/>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 xml:space="preserve">.2 采购代理机构可视采购具体情况对已发出的采购文件进行必要的澄清、修改或者补充。澄清、修改或者补充的内容可能影响投标文件编制的，应当在投标截止时间至少15日前，在原公告发布媒体上发布澄清公告，澄清或者修改的内容为采购文件的组成部分；不足15日的，应当顺延提交投标文件的截止时间。 </w:t>
      </w:r>
    </w:p>
    <w:p w14:paraId="0C5DEDA4">
      <w:pPr>
        <w:shd w:val="clear" w:color="auto" w:fill="auto"/>
        <w:wordWrap w:val="0"/>
        <w:spacing w:line="400" w:lineRule="exact"/>
        <w:ind w:firstLine="426" w:firstLineChars="200"/>
        <w:rPr>
          <w:rFonts w:ascii="宋体" w:hAnsi="宋体"/>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val="en-US" w:eastAsia="zh-CN"/>
        </w:rPr>
        <w:t>6</w:t>
      </w:r>
      <w:r>
        <w:rPr>
          <w:rFonts w:hint="eastAsia" w:ascii="宋体" w:hAnsi="宋体"/>
          <w:bCs/>
          <w:color w:val="auto"/>
          <w:szCs w:val="21"/>
          <w:highlight w:val="none"/>
        </w:rPr>
        <w:t>.</w:t>
      </w:r>
      <w:r>
        <w:rPr>
          <w:rFonts w:hint="eastAsia" w:ascii="宋体" w:hAnsi="宋体"/>
          <w:bCs/>
          <w:color w:val="auto"/>
          <w:szCs w:val="21"/>
          <w:highlight w:val="none"/>
          <w:lang w:val="en-US" w:eastAsia="zh-CN"/>
        </w:rPr>
        <w:t>3</w:t>
      </w:r>
      <w:r>
        <w:rPr>
          <w:rFonts w:hint="eastAsia" w:ascii="宋体" w:hAnsi="宋体"/>
          <w:bCs/>
          <w:color w:val="auto"/>
          <w:szCs w:val="21"/>
          <w:highlight w:val="none"/>
        </w:rPr>
        <w:t xml:space="preserve"> </w:t>
      </w:r>
      <w:r>
        <w:rPr>
          <w:rFonts w:hint="eastAsia" w:ascii="宋体" w:hAnsi="宋体"/>
          <w:color w:val="auto"/>
          <w:szCs w:val="21"/>
          <w:highlight w:val="none"/>
        </w:rPr>
        <w:t>供应商在规定的时间内未对采购文件提出疑问、质疑或要求澄清的，将视其为无异议。</w:t>
      </w:r>
    </w:p>
    <w:p w14:paraId="68DA12BA">
      <w:pPr>
        <w:shd w:val="clear" w:color="auto" w:fill="auto"/>
        <w:spacing w:line="400" w:lineRule="exact"/>
        <w:ind w:firstLine="426" w:firstLineChars="200"/>
        <w:rPr>
          <w:rFonts w:hint="eastAsia"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val="en-US" w:eastAsia="zh-CN"/>
        </w:rPr>
        <w:t>6</w:t>
      </w:r>
      <w:r>
        <w:rPr>
          <w:rFonts w:hint="eastAsia" w:ascii="宋体" w:hAnsi="宋体"/>
          <w:bCs/>
          <w:color w:val="auto"/>
          <w:szCs w:val="21"/>
          <w:highlight w:val="none"/>
        </w:rPr>
        <w:t>.</w:t>
      </w:r>
      <w:r>
        <w:rPr>
          <w:rFonts w:hint="eastAsia" w:ascii="宋体" w:hAnsi="宋体"/>
          <w:bCs/>
          <w:color w:val="auto"/>
          <w:szCs w:val="21"/>
          <w:highlight w:val="none"/>
          <w:lang w:val="en-US" w:eastAsia="zh-CN"/>
        </w:rPr>
        <w:t>4</w:t>
      </w:r>
      <w:r>
        <w:rPr>
          <w:rFonts w:hint="eastAsia" w:ascii="宋体" w:hAnsi="宋体"/>
          <w:bCs/>
          <w:color w:val="auto"/>
          <w:szCs w:val="21"/>
          <w:highlight w:val="none"/>
        </w:rPr>
        <w:t xml:space="preserve"> </w:t>
      </w:r>
      <w:r>
        <w:rPr>
          <w:rFonts w:hint="eastAsia" w:ascii="宋体" w:hAnsi="宋体"/>
          <w:bCs/>
          <w:color w:val="auto"/>
          <w:szCs w:val="21"/>
          <w:highlight w:val="none"/>
          <w:lang w:eastAsia="zh-CN"/>
        </w:rPr>
        <w:t>采购文件</w:t>
      </w:r>
      <w:r>
        <w:rPr>
          <w:rFonts w:hint="eastAsia" w:ascii="宋体" w:hAnsi="宋体"/>
          <w:bCs/>
          <w:color w:val="auto"/>
          <w:szCs w:val="21"/>
          <w:highlight w:val="none"/>
        </w:rPr>
        <w:t>的解释</w:t>
      </w:r>
    </w:p>
    <w:p w14:paraId="0C9BD5F6">
      <w:pPr>
        <w:shd w:val="clear" w:color="auto" w:fill="auto"/>
        <w:spacing w:line="400" w:lineRule="exact"/>
        <w:ind w:firstLine="426" w:firstLineChars="200"/>
        <w:rPr>
          <w:rFonts w:hint="eastAsia" w:ascii="宋体" w:hAnsi="宋体"/>
          <w:color w:val="auto"/>
          <w:szCs w:val="21"/>
          <w:highlight w:val="none"/>
        </w:rPr>
      </w:pPr>
      <w:r>
        <w:rPr>
          <w:rFonts w:hint="eastAsia" w:ascii="宋体" w:hAnsi="宋体"/>
          <w:color w:val="auto"/>
          <w:szCs w:val="21"/>
          <w:highlight w:val="none"/>
        </w:rPr>
        <w:t>本</w:t>
      </w:r>
      <w:r>
        <w:rPr>
          <w:rFonts w:hint="eastAsia" w:ascii="宋体" w:hAnsi="宋体"/>
          <w:color w:val="auto"/>
          <w:szCs w:val="21"/>
          <w:highlight w:val="none"/>
          <w:lang w:eastAsia="zh-CN"/>
        </w:rPr>
        <w:t>采购文件</w:t>
      </w:r>
      <w:r>
        <w:rPr>
          <w:rFonts w:hint="eastAsia" w:ascii="宋体" w:hAnsi="宋体"/>
          <w:color w:val="auto"/>
          <w:szCs w:val="21"/>
          <w:highlight w:val="none"/>
        </w:rPr>
        <w:t>由招标人（或其委托的招标代理机构）负责解释。</w:t>
      </w:r>
    </w:p>
    <w:p w14:paraId="4432F66A">
      <w:pPr>
        <w:shd w:val="clear" w:color="auto" w:fill="auto"/>
        <w:spacing w:line="400" w:lineRule="exact"/>
        <w:rPr>
          <w:rFonts w:ascii="宋体" w:hAnsi="宋体"/>
          <w:b/>
          <w:color w:val="0000FF"/>
          <w:szCs w:val="21"/>
          <w:highlight w:val="none"/>
        </w:rPr>
      </w:pPr>
      <w:r>
        <w:rPr>
          <w:rFonts w:hint="eastAsia"/>
          <w:b/>
          <w:color w:val="auto"/>
          <w:szCs w:val="21"/>
          <w:highlight w:val="none"/>
        </w:rPr>
        <w:t>1</w:t>
      </w:r>
      <w:r>
        <w:rPr>
          <w:rFonts w:hint="eastAsia"/>
          <w:b/>
          <w:color w:val="auto"/>
          <w:szCs w:val="21"/>
          <w:highlight w:val="none"/>
          <w:lang w:val="en-US" w:eastAsia="zh-CN"/>
        </w:rPr>
        <w:t>7</w:t>
      </w:r>
      <w:r>
        <w:rPr>
          <w:rFonts w:hint="eastAsia"/>
          <w:b/>
          <w:color w:val="auto"/>
          <w:szCs w:val="21"/>
          <w:highlight w:val="none"/>
        </w:rPr>
        <w:t xml:space="preserve">. </w:t>
      </w:r>
      <w:r>
        <w:rPr>
          <w:rFonts w:hint="eastAsia" w:ascii="宋体" w:hAnsi="宋体"/>
          <w:b/>
          <w:color w:val="auto"/>
          <w:szCs w:val="21"/>
          <w:highlight w:val="none"/>
          <w:lang w:eastAsia="zh-CN"/>
        </w:rPr>
        <w:t>采购文件</w:t>
      </w:r>
      <w:r>
        <w:rPr>
          <w:rFonts w:hint="eastAsia" w:ascii="宋体" w:hAnsi="宋体"/>
          <w:b/>
          <w:color w:val="auto"/>
          <w:szCs w:val="21"/>
          <w:highlight w:val="none"/>
        </w:rPr>
        <w:t>的发出</w:t>
      </w:r>
    </w:p>
    <w:p w14:paraId="75AD34FA">
      <w:pPr>
        <w:shd w:val="clear" w:color="auto" w:fill="auto"/>
        <w:spacing w:line="400" w:lineRule="exact"/>
        <w:ind w:firstLine="319" w:firstLineChars="150"/>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 xml:space="preserve">.1  </w:t>
      </w:r>
      <w:r>
        <w:rPr>
          <w:rFonts w:hint="eastAsia" w:ascii="宋体" w:hAnsi="宋体"/>
          <w:color w:val="auto"/>
          <w:szCs w:val="21"/>
          <w:highlight w:val="none"/>
          <w:lang w:eastAsia="zh-CN"/>
        </w:rPr>
        <w:t>采购文件</w:t>
      </w:r>
      <w:r>
        <w:rPr>
          <w:rFonts w:hint="eastAsia" w:ascii="宋体" w:hAnsi="宋体"/>
          <w:color w:val="auto"/>
          <w:szCs w:val="21"/>
          <w:highlight w:val="none"/>
        </w:rPr>
        <w:t>、</w:t>
      </w:r>
      <w:r>
        <w:rPr>
          <w:rFonts w:hint="eastAsia" w:ascii="宋体" w:hAnsi="宋体"/>
          <w:color w:val="auto"/>
          <w:szCs w:val="21"/>
          <w:highlight w:val="none"/>
          <w:lang w:eastAsia="zh-CN"/>
        </w:rPr>
        <w:t>采购文件</w:t>
      </w:r>
      <w:r>
        <w:rPr>
          <w:rFonts w:hint="eastAsia" w:ascii="宋体" w:hAnsi="宋体"/>
          <w:color w:val="auto"/>
          <w:szCs w:val="21"/>
          <w:highlight w:val="none"/>
        </w:rPr>
        <w:t>的澄清、修改、补充及招标答疑等均应报</w:t>
      </w:r>
      <w:r>
        <w:rPr>
          <w:rFonts w:hint="eastAsia" w:ascii="宋体" w:hAnsi="宋体"/>
          <w:color w:val="auto"/>
          <w:szCs w:val="21"/>
          <w:highlight w:val="none"/>
          <w:lang w:eastAsia="zh-CN"/>
        </w:rPr>
        <w:t>相关部门</w:t>
      </w:r>
      <w:r>
        <w:rPr>
          <w:rFonts w:hint="eastAsia" w:ascii="宋体" w:hAnsi="宋体"/>
          <w:color w:val="auto"/>
          <w:szCs w:val="21"/>
          <w:highlight w:val="none"/>
        </w:rPr>
        <w:t>备案后，方可发出。</w:t>
      </w:r>
    </w:p>
    <w:p w14:paraId="4D11F797">
      <w:pPr>
        <w:shd w:val="clear" w:color="auto" w:fill="auto"/>
        <w:spacing w:line="440" w:lineRule="exact"/>
        <w:rPr>
          <w:rFonts w:hint="eastAsia" w:ascii="宋体"/>
          <w:color w:val="auto"/>
          <w:szCs w:val="21"/>
          <w:highlight w:val="none"/>
        </w:rPr>
      </w:pPr>
      <w:bookmarkStart w:id="30" w:name="_Toc469495726"/>
      <w:r>
        <w:rPr>
          <w:rFonts w:hint="eastAsia"/>
          <w:b/>
          <w:color w:val="auto"/>
          <w:szCs w:val="21"/>
          <w:highlight w:val="none"/>
        </w:rPr>
        <w:t>1</w:t>
      </w:r>
      <w:r>
        <w:rPr>
          <w:rFonts w:hint="eastAsia"/>
          <w:b/>
          <w:color w:val="auto"/>
          <w:szCs w:val="21"/>
          <w:highlight w:val="none"/>
          <w:lang w:val="en-US" w:eastAsia="zh-CN"/>
        </w:rPr>
        <w:t>8</w:t>
      </w:r>
      <w:r>
        <w:rPr>
          <w:rFonts w:hint="eastAsia"/>
          <w:b/>
          <w:color w:val="auto"/>
          <w:szCs w:val="21"/>
          <w:highlight w:val="none"/>
        </w:rPr>
        <w:t xml:space="preserve">. </w:t>
      </w:r>
      <w:r>
        <w:rPr>
          <w:rFonts w:hint="eastAsia" w:ascii="宋体"/>
          <w:color w:val="auto"/>
          <w:szCs w:val="21"/>
          <w:highlight w:val="none"/>
        </w:rPr>
        <w:t>凡需要设置样品情形时，必须明确是否需要随样品提交检测报告，并明确检测机构的要求、检测内容、</w:t>
      </w:r>
      <w:r>
        <w:rPr>
          <w:rFonts w:hint="eastAsia" w:ascii="宋体"/>
          <w:b w:val="0"/>
          <w:bCs w:val="0"/>
          <w:color w:val="auto"/>
          <w:szCs w:val="21"/>
          <w:highlight w:val="none"/>
        </w:rPr>
        <w:t>中标样品封存</w:t>
      </w:r>
      <w:r>
        <w:rPr>
          <w:rFonts w:hint="eastAsia" w:ascii="宋体"/>
          <w:color w:val="auto"/>
          <w:szCs w:val="21"/>
          <w:highlight w:val="none"/>
        </w:rPr>
        <w:t>等事项。（评标委员会无法判断样品是否合格且样品需要提供给第三方权威检测机构检测的,在投标人提供招标人认可的第三方权威检测机构检测报告后，评标委员会推荐的中标候选人方可生效，采购人或代理机构发布中标结果公告。</w:t>
      </w:r>
    </w:p>
    <w:p w14:paraId="5C696A0F">
      <w:pPr>
        <w:shd w:val="clear" w:color="auto" w:fill="auto"/>
        <w:spacing w:line="400" w:lineRule="exact"/>
        <w:ind w:firstLine="420"/>
        <w:rPr>
          <w:rFonts w:hint="eastAsia" w:ascii="宋体"/>
          <w:color w:val="auto"/>
          <w:szCs w:val="21"/>
          <w:highlight w:val="none"/>
        </w:rPr>
      </w:pPr>
      <w:r>
        <w:rPr>
          <w:rFonts w:hint="eastAsia" w:ascii="宋体"/>
          <w:color w:val="auto"/>
          <w:szCs w:val="21"/>
          <w:highlight w:val="none"/>
          <w:lang w:eastAsia="zh-CN"/>
        </w:rPr>
        <w:t>采购文件</w:t>
      </w:r>
      <w:r>
        <w:rPr>
          <w:rFonts w:hint="eastAsia" w:ascii="宋体"/>
          <w:color w:val="auto"/>
          <w:szCs w:val="21"/>
          <w:highlight w:val="none"/>
        </w:rPr>
        <w:t>中应明确样品送检方式、检测费用支付方法、投标人在规定时间内无法提供第三方权威检测机构检测报告的处理方式。（</w:t>
      </w:r>
      <w:r>
        <w:rPr>
          <w:rFonts w:hint="eastAsia" w:ascii="宋体"/>
          <w:color w:val="auto"/>
          <w:szCs w:val="21"/>
          <w:highlight w:val="none"/>
          <w:lang w:eastAsia="zh-CN"/>
        </w:rPr>
        <w:t>采购人</w:t>
      </w:r>
      <w:r>
        <w:rPr>
          <w:rFonts w:hint="eastAsia" w:ascii="宋体"/>
          <w:color w:val="auto"/>
          <w:szCs w:val="21"/>
          <w:highlight w:val="none"/>
        </w:rPr>
        <w:t>根据项目需求按上述要求自行描述）</w:t>
      </w:r>
    </w:p>
    <w:p w14:paraId="32EB8048">
      <w:pPr>
        <w:shd w:val="clear" w:color="auto" w:fill="auto"/>
        <w:spacing w:before="312" w:beforeLines="100" w:after="312" w:afterLines="100" w:line="440" w:lineRule="exact"/>
        <w:jc w:val="center"/>
        <w:outlineLvl w:val="2"/>
        <w:rPr>
          <w:rFonts w:hint="eastAsia" w:ascii="宋体"/>
          <w:b/>
          <w:color w:val="auto"/>
          <w:sz w:val="28"/>
          <w:szCs w:val="28"/>
          <w:highlight w:val="none"/>
        </w:rPr>
      </w:pPr>
      <w:r>
        <w:rPr>
          <w:rFonts w:hint="eastAsia" w:ascii="宋体"/>
          <w:b/>
          <w:color w:val="auto"/>
          <w:sz w:val="28"/>
          <w:szCs w:val="28"/>
          <w:highlight w:val="none"/>
        </w:rPr>
        <w:t>（三）投标文件的编制</w:t>
      </w:r>
      <w:bookmarkEnd w:id="30"/>
    </w:p>
    <w:p w14:paraId="19D62441">
      <w:pPr>
        <w:shd w:val="clear" w:color="auto" w:fill="auto"/>
        <w:spacing w:line="440" w:lineRule="exact"/>
        <w:rPr>
          <w:rFonts w:hint="eastAsia" w:ascii="宋体" w:cs="宋体"/>
          <w:b/>
          <w:color w:val="auto"/>
          <w:szCs w:val="21"/>
          <w:highlight w:val="none"/>
        </w:rPr>
      </w:pPr>
      <w:r>
        <w:rPr>
          <w:rFonts w:hint="eastAsia"/>
          <w:b/>
          <w:color w:val="auto"/>
          <w:szCs w:val="21"/>
          <w:highlight w:val="none"/>
          <w:lang w:val="en-US" w:eastAsia="zh-CN"/>
        </w:rPr>
        <w:t>19</w:t>
      </w:r>
      <w:r>
        <w:rPr>
          <w:rFonts w:hint="eastAsia"/>
          <w:b/>
          <w:color w:val="auto"/>
          <w:szCs w:val="21"/>
          <w:highlight w:val="none"/>
        </w:rPr>
        <w:t xml:space="preserve">. </w:t>
      </w:r>
      <w:r>
        <w:rPr>
          <w:rFonts w:hint="eastAsia" w:ascii="宋体" w:cs="宋体"/>
          <w:b/>
          <w:color w:val="auto"/>
          <w:szCs w:val="21"/>
          <w:highlight w:val="none"/>
        </w:rPr>
        <w:t>投标的语言及度量衡单位</w:t>
      </w:r>
    </w:p>
    <w:p w14:paraId="4C41D750">
      <w:pPr>
        <w:shd w:val="clear" w:color="auto" w:fill="auto"/>
        <w:spacing w:line="440" w:lineRule="exact"/>
        <w:ind w:firstLine="287" w:firstLineChars="135"/>
        <w:rPr>
          <w:rFonts w:hint="eastAsia" w:ascii="宋体"/>
          <w:color w:val="auto"/>
          <w:szCs w:val="21"/>
          <w:highlight w:val="none"/>
        </w:rPr>
      </w:pPr>
      <w:r>
        <w:rPr>
          <w:rFonts w:hint="eastAsia" w:ascii="宋体"/>
          <w:color w:val="auto"/>
          <w:szCs w:val="21"/>
          <w:highlight w:val="none"/>
          <w:lang w:val="en-US" w:eastAsia="zh-CN"/>
        </w:rPr>
        <w:t>19</w:t>
      </w:r>
      <w:r>
        <w:rPr>
          <w:rFonts w:hint="eastAsia" w:ascii="宋体"/>
          <w:color w:val="auto"/>
          <w:szCs w:val="21"/>
          <w:highlight w:val="none"/>
        </w:rPr>
        <w:t>.1</w:t>
      </w:r>
      <w:r>
        <w:rPr>
          <w:rFonts w:ascii="宋体" w:hAnsi="宋体"/>
          <w:color w:val="auto"/>
          <w:szCs w:val="21"/>
          <w:highlight w:val="none"/>
        </w:rPr>
        <w:t>投标人</w:t>
      </w:r>
      <w:r>
        <w:rPr>
          <w:rFonts w:hint="eastAsia" w:ascii="宋体" w:hAnsi="宋体"/>
          <w:color w:val="auto"/>
          <w:szCs w:val="21"/>
          <w:highlight w:val="none"/>
        </w:rPr>
        <w:t>提交的投标文件、技术文件和资料，以及投标人与招标人就有关投标的所有来往函电均应使用中文。投标文件中若有英文或其他语言文字的资料，应提供相应的中文翻译资料。对不同文本投标文件的解释发生异议的，以中文文本为准。</w:t>
      </w:r>
    </w:p>
    <w:p w14:paraId="3B5DF6CF">
      <w:pPr>
        <w:shd w:val="clear" w:color="auto" w:fill="auto"/>
        <w:spacing w:line="440" w:lineRule="exact"/>
        <w:ind w:firstLine="287" w:firstLineChars="135"/>
        <w:rPr>
          <w:rFonts w:hint="eastAsia" w:ascii="宋体"/>
          <w:color w:val="auto"/>
          <w:szCs w:val="21"/>
          <w:highlight w:val="none"/>
        </w:rPr>
      </w:pPr>
      <w:r>
        <w:rPr>
          <w:rFonts w:hint="eastAsia" w:ascii="宋体"/>
          <w:color w:val="auto"/>
          <w:szCs w:val="21"/>
          <w:highlight w:val="none"/>
          <w:lang w:val="en-US" w:eastAsia="zh-CN"/>
        </w:rPr>
        <w:t>19</w:t>
      </w:r>
      <w:r>
        <w:rPr>
          <w:rFonts w:hint="eastAsia" w:ascii="宋体"/>
          <w:color w:val="auto"/>
          <w:szCs w:val="21"/>
          <w:highlight w:val="none"/>
        </w:rPr>
        <w:t>.2除</w:t>
      </w:r>
      <w:r>
        <w:rPr>
          <w:rFonts w:hint="eastAsia" w:ascii="宋体"/>
          <w:color w:val="auto"/>
          <w:szCs w:val="21"/>
          <w:highlight w:val="none"/>
          <w:lang w:eastAsia="zh-CN"/>
        </w:rPr>
        <w:t>采购文件</w:t>
      </w:r>
      <w:r>
        <w:rPr>
          <w:rFonts w:hint="eastAsia" w:ascii="宋体"/>
          <w:color w:val="auto"/>
          <w:szCs w:val="21"/>
          <w:highlight w:val="none"/>
        </w:rPr>
        <w:t>中另有规定外，投标书所使用的度量衡均须采用法定计量单位。</w:t>
      </w:r>
    </w:p>
    <w:p w14:paraId="476D525D">
      <w:pPr>
        <w:shd w:val="clear" w:color="auto" w:fill="auto"/>
        <w:spacing w:line="400" w:lineRule="exact"/>
        <w:rPr>
          <w:rFonts w:hint="eastAsia" w:ascii="宋体" w:hAnsi="宋体"/>
          <w:b/>
          <w:color w:val="auto"/>
          <w:szCs w:val="21"/>
          <w:highlight w:val="none"/>
        </w:rPr>
      </w:pPr>
      <w:r>
        <w:rPr>
          <w:rFonts w:hint="eastAsia"/>
          <w:b/>
          <w:color w:val="auto"/>
          <w:szCs w:val="21"/>
          <w:highlight w:val="none"/>
        </w:rPr>
        <w:t>2</w:t>
      </w:r>
      <w:r>
        <w:rPr>
          <w:rFonts w:hint="eastAsia"/>
          <w:b/>
          <w:color w:val="auto"/>
          <w:szCs w:val="21"/>
          <w:highlight w:val="none"/>
          <w:lang w:val="en-US" w:eastAsia="zh-CN"/>
        </w:rPr>
        <w:t>0</w:t>
      </w:r>
      <w:r>
        <w:rPr>
          <w:rFonts w:hint="eastAsia"/>
          <w:b/>
          <w:color w:val="auto"/>
          <w:szCs w:val="21"/>
          <w:highlight w:val="none"/>
        </w:rPr>
        <w:t xml:space="preserve">. </w:t>
      </w:r>
      <w:r>
        <w:rPr>
          <w:rFonts w:hint="eastAsia" w:ascii="宋体" w:hAnsi="宋体"/>
          <w:b/>
          <w:color w:val="auto"/>
          <w:szCs w:val="21"/>
          <w:highlight w:val="none"/>
        </w:rPr>
        <w:t>投标文件的组成</w:t>
      </w:r>
    </w:p>
    <w:p w14:paraId="15C89FEF">
      <w:pPr>
        <w:shd w:val="clear" w:color="auto" w:fill="auto"/>
        <w:spacing w:line="400" w:lineRule="exact"/>
        <w:ind w:firstLine="426" w:firstLineChars="200"/>
        <w:rPr>
          <w:rFonts w:hint="eastAsia" w:ascii="宋体"/>
          <w:color w:val="auto"/>
          <w:szCs w:val="21"/>
          <w:highlight w:val="none"/>
        </w:rPr>
      </w:pPr>
      <w:r>
        <w:rPr>
          <w:rFonts w:hint="eastAsia" w:ascii="宋体" w:hAnsi="宋体"/>
          <w:color w:val="auto"/>
          <w:szCs w:val="21"/>
          <w:highlight w:val="none"/>
        </w:rPr>
        <w:t>资格证明文件和商务及技术文件两部分。</w:t>
      </w:r>
    </w:p>
    <w:p w14:paraId="135C1450">
      <w:pPr>
        <w:shd w:val="clear" w:color="auto" w:fill="auto"/>
        <w:spacing w:line="440" w:lineRule="exact"/>
        <w:rPr>
          <w:rFonts w:hint="eastAsia" w:ascii="宋体" w:eastAsia="宋体"/>
          <w:b/>
          <w:color w:val="auto"/>
          <w:sz w:val="24"/>
          <w:szCs w:val="24"/>
          <w:highlight w:val="none"/>
          <w:lang w:eastAsia="zh-CN"/>
        </w:rPr>
      </w:pPr>
      <w:r>
        <w:rPr>
          <w:rFonts w:hint="eastAsia" w:ascii="宋体"/>
          <w:b/>
          <w:bCs w:val="0"/>
          <w:color w:val="auto"/>
          <w:sz w:val="21"/>
          <w:szCs w:val="21"/>
          <w:highlight w:val="none"/>
        </w:rPr>
        <w:t>2</w:t>
      </w:r>
      <w:r>
        <w:rPr>
          <w:rFonts w:hint="eastAsia" w:ascii="宋体"/>
          <w:b/>
          <w:bCs w:val="0"/>
          <w:color w:val="auto"/>
          <w:sz w:val="21"/>
          <w:szCs w:val="21"/>
          <w:highlight w:val="none"/>
          <w:lang w:val="en-US" w:eastAsia="zh-CN"/>
        </w:rPr>
        <w:t>0</w:t>
      </w:r>
      <w:r>
        <w:rPr>
          <w:rFonts w:hint="eastAsia" w:ascii="宋体"/>
          <w:b/>
          <w:bCs w:val="0"/>
          <w:color w:val="auto"/>
          <w:sz w:val="21"/>
          <w:szCs w:val="21"/>
          <w:highlight w:val="none"/>
        </w:rPr>
        <w:t>.1资格证明文件</w:t>
      </w:r>
      <w:r>
        <w:rPr>
          <w:rFonts w:hint="eastAsia" w:ascii="宋体"/>
          <w:b/>
          <w:bCs w:val="0"/>
          <w:color w:val="auto"/>
          <w:sz w:val="21"/>
          <w:szCs w:val="21"/>
          <w:highlight w:val="none"/>
          <w:lang w:eastAsia="zh-CN"/>
        </w:rPr>
        <w:t>（包括但不限于）</w:t>
      </w:r>
    </w:p>
    <w:p w14:paraId="264EA53D">
      <w:pPr>
        <w:shd w:val="clear" w:color="auto" w:fill="auto"/>
        <w:spacing w:line="440" w:lineRule="exact"/>
        <w:ind w:firstLine="312" w:firstLineChars="147"/>
        <w:rPr>
          <w:rFonts w:hint="eastAsia" w:hAnsi="宋体"/>
          <w:color w:val="auto"/>
          <w:szCs w:val="21"/>
          <w:highlight w:val="none"/>
        </w:rPr>
      </w:pPr>
      <w:r>
        <w:rPr>
          <w:rFonts w:hint="eastAsia" w:hAnsi="宋体"/>
          <w:color w:val="auto"/>
          <w:szCs w:val="21"/>
          <w:highlight w:val="none"/>
        </w:rPr>
        <w:t>资格证明</w:t>
      </w:r>
      <w:r>
        <w:rPr>
          <w:rFonts w:hint="eastAsia" w:hAnsi="宋体"/>
          <w:color w:val="auto"/>
          <w:szCs w:val="21"/>
          <w:highlight w:val="none"/>
          <w:lang w:eastAsia="zh-CN"/>
        </w:rPr>
        <w:t>文件</w:t>
      </w:r>
      <w:r>
        <w:rPr>
          <w:rFonts w:hint="eastAsia" w:hAnsi="宋体"/>
          <w:color w:val="auto"/>
          <w:szCs w:val="21"/>
          <w:highlight w:val="none"/>
        </w:rPr>
        <w:t>是证明投标人有资格参加投标和中标后有能力履行合同的文件，这些文件应能满足招标的要求，否则作无效投标处理。</w:t>
      </w:r>
    </w:p>
    <w:p w14:paraId="47DC1378">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 xml:space="preserve"> 1、法人或者非法人组织的营业执照等证明文件复印件（须加盖本单位章）或自然人的身份证明复印件;</w:t>
      </w:r>
    </w:p>
    <w:p w14:paraId="2589CCFD">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2、法定代表人资格证明书</w:t>
      </w:r>
    </w:p>
    <w:p w14:paraId="6F207EB4">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3、法定代表人授权书</w:t>
      </w:r>
    </w:p>
    <w:p w14:paraId="2223CB4C">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4、投标保证金收据或投标担保函；</w:t>
      </w:r>
    </w:p>
    <w:p w14:paraId="752B7055">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5、</w:t>
      </w:r>
      <w:r>
        <w:rPr>
          <w:rFonts w:hint="eastAsia" w:ascii="宋体" w:hAnsi="宋体" w:eastAsia="宋体" w:cs="宋体"/>
          <w:kern w:val="2"/>
          <w:sz w:val="21"/>
          <w:szCs w:val="21"/>
          <w:lang w:val="en-US" w:eastAsia="zh-CN" w:bidi="ar-SA"/>
        </w:rPr>
        <w:t>投标企业须提供投标人（被授权人）</w:t>
      </w:r>
      <w:r>
        <w:rPr>
          <w:rFonts w:hint="eastAsia" w:cs="宋体"/>
          <w:kern w:val="2"/>
          <w:sz w:val="21"/>
          <w:szCs w:val="21"/>
          <w:lang w:val="en-US" w:eastAsia="zh-CN" w:bidi="ar-SA"/>
        </w:rPr>
        <w:t>近6个月内任何1月已依法缴纳社会保险的凭据</w:t>
      </w:r>
      <w:r>
        <w:rPr>
          <w:rFonts w:hint="eastAsia" w:ascii="宋体" w:hAnsi="宋体" w:cs="宋体"/>
          <w:color w:val="0000FF"/>
          <w:sz w:val="21"/>
          <w:szCs w:val="21"/>
          <w:lang w:eastAsia="zh-CN"/>
        </w:rPr>
        <w:t>（被授权在职人员）近6个月内任何1月已依法缴纳社会保险的凭据（依法不需要缴纳社会保障资金的供应商，应提供相应证明文件，新成立企业需提供资信证明）</w:t>
      </w:r>
      <w:r>
        <w:rPr>
          <w:rFonts w:hint="eastAsia" w:ascii="宋体" w:hAnsi="宋体" w:eastAsia="宋体" w:cs="宋体"/>
          <w:kern w:val="2"/>
          <w:sz w:val="21"/>
          <w:szCs w:val="21"/>
          <w:lang w:val="en-US" w:eastAsia="zh-CN" w:bidi="ar-SA"/>
        </w:rPr>
        <w:t>；</w:t>
      </w:r>
    </w:p>
    <w:p w14:paraId="6E496401">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6、参加政府采购活动前3年内在经营活动中没有重大违法记录的书面声明;</w:t>
      </w:r>
    </w:p>
    <w:p w14:paraId="79A184A5">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7、</w:t>
      </w:r>
      <w:r>
        <w:rPr>
          <w:rFonts w:hint="eastAsia" w:ascii="宋体" w:hAnsi="宋体" w:eastAsia="宋体" w:cs="宋体"/>
          <w:kern w:val="2"/>
          <w:sz w:val="21"/>
          <w:szCs w:val="21"/>
          <w:lang w:val="en-US" w:eastAsia="zh-CN" w:bidi="ar-SA"/>
        </w:rPr>
        <w:t>参加采购活动前三年内未被“信用中国”（www.creditchina.gov.cn）、中国政府采购网（www.ccgp.gov.cn）列入失信被执行人、重大税收违法案件当事人名单、政府采购严重违法失信行为记录名单；</w:t>
      </w:r>
    </w:p>
    <w:p w14:paraId="2ABB9B73">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8、</w:t>
      </w:r>
      <w:r>
        <w:rPr>
          <w:rFonts w:hint="eastAsia" w:ascii="宋体" w:hAnsi="宋体" w:cs="宋体"/>
          <w:kern w:val="2"/>
          <w:sz w:val="21"/>
          <w:szCs w:val="21"/>
          <w:lang w:val="en-US" w:eastAsia="zh-CN" w:bidi="ar-SA"/>
        </w:rPr>
        <w:t>在中华人民共和国境内注册的，经中国保险监督管理委员会批准，具有人身保险业务经营资格</w:t>
      </w:r>
      <w:r>
        <w:rPr>
          <w:rFonts w:hint="eastAsia" w:ascii="宋体" w:hAnsi="宋体" w:eastAsia="宋体" w:cs="Times New Roman"/>
          <w:color w:val="auto"/>
          <w:szCs w:val="21"/>
          <w:highlight w:val="none"/>
          <w:lang w:val="en-US" w:eastAsia="zh-CN"/>
        </w:rPr>
        <w:t>；</w:t>
      </w:r>
    </w:p>
    <w:p w14:paraId="34D81569">
      <w:pPr>
        <w:shd w:val="clear" w:color="auto" w:fill="auto"/>
        <w:spacing w:line="440" w:lineRule="exact"/>
        <w:rPr>
          <w:rFonts w:hint="eastAsia" w:ascii="Times New Roman" w:hAnsi="宋体" w:eastAsia="宋体" w:cs="Times New Roman"/>
          <w:color w:val="auto"/>
          <w:sz w:val="21"/>
          <w:szCs w:val="21"/>
          <w:highlight w:val="none"/>
        </w:rPr>
      </w:pPr>
      <w:r>
        <w:rPr>
          <w:rFonts w:hint="eastAsia" w:ascii="宋体" w:hAnsi="宋体" w:cs="宋体"/>
          <w:b/>
          <w:color w:val="auto"/>
          <w:sz w:val="21"/>
          <w:szCs w:val="21"/>
          <w:highlight w:val="none"/>
        </w:rPr>
        <w:t>2</w:t>
      </w:r>
      <w:r>
        <w:rPr>
          <w:rFonts w:hint="eastAsia" w:ascii="宋体" w:hAnsi="宋体" w:cs="宋体"/>
          <w:b/>
          <w:color w:val="auto"/>
          <w:sz w:val="21"/>
          <w:szCs w:val="21"/>
          <w:highlight w:val="none"/>
          <w:lang w:val="en-US" w:eastAsia="zh-CN"/>
        </w:rPr>
        <w:t>0</w:t>
      </w:r>
      <w:r>
        <w:rPr>
          <w:rFonts w:hint="eastAsia" w:ascii="宋体" w:hAnsi="宋体" w:cs="宋体"/>
          <w:b/>
          <w:color w:val="auto"/>
          <w:sz w:val="21"/>
          <w:szCs w:val="21"/>
          <w:highlight w:val="none"/>
        </w:rPr>
        <w:t>.2</w:t>
      </w:r>
      <w:r>
        <w:rPr>
          <w:rFonts w:hint="eastAsia" w:ascii="宋体" w:hAnsi="宋体" w:cs="宋体"/>
          <w:b/>
          <w:color w:val="auto"/>
          <w:sz w:val="21"/>
          <w:szCs w:val="21"/>
          <w:highlight w:val="none"/>
          <w:lang w:val="en-US" w:eastAsia="zh-CN"/>
        </w:rPr>
        <w:t xml:space="preserve"> 商务及技术文件</w:t>
      </w:r>
      <w:r>
        <w:rPr>
          <w:rFonts w:hint="eastAsia" w:ascii="宋体"/>
          <w:b/>
          <w:color w:val="auto"/>
          <w:sz w:val="21"/>
          <w:szCs w:val="21"/>
          <w:highlight w:val="none"/>
          <w:lang w:eastAsia="zh-CN"/>
        </w:rPr>
        <w:t>（包括但不限于）</w:t>
      </w:r>
    </w:p>
    <w:p w14:paraId="0E1DB30C">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1、投标函</w:t>
      </w:r>
    </w:p>
    <w:p w14:paraId="4EE91BFE">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2、开标一览表</w:t>
      </w:r>
    </w:p>
    <w:p w14:paraId="31F21F70">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cs="Times New Roman"/>
          <w:color w:val="auto"/>
          <w:szCs w:val="21"/>
          <w:highlight w:val="none"/>
          <w:lang w:val="en-US" w:eastAsia="zh-CN"/>
        </w:rPr>
        <w:t>3</w:t>
      </w:r>
      <w:r>
        <w:rPr>
          <w:rFonts w:hint="eastAsia" w:ascii="宋体" w:hAnsi="宋体" w:eastAsia="宋体" w:cs="Times New Roman"/>
          <w:color w:val="auto"/>
          <w:szCs w:val="21"/>
          <w:highlight w:val="none"/>
          <w:lang w:val="en-US" w:eastAsia="zh-CN"/>
        </w:rPr>
        <w:t>、投标分项报价表</w:t>
      </w:r>
    </w:p>
    <w:p w14:paraId="1F5721DF">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cs="Times New Roman"/>
          <w:color w:val="auto"/>
          <w:szCs w:val="21"/>
          <w:highlight w:val="none"/>
          <w:lang w:val="en-US" w:eastAsia="zh-CN"/>
        </w:rPr>
        <w:t>4</w:t>
      </w:r>
      <w:r>
        <w:rPr>
          <w:rFonts w:hint="eastAsia" w:ascii="宋体" w:hAnsi="宋体" w:eastAsia="宋体" w:cs="Times New Roman"/>
          <w:color w:val="auto"/>
          <w:szCs w:val="21"/>
          <w:highlight w:val="none"/>
          <w:lang w:val="en-US" w:eastAsia="zh-CN"/>
        </w:rPr>
        <w:t>、技术规格偏离表</w:t>
      </w:r>
    </w:p>
    <w:p w14:paraId="6902701D">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cs="Times New Roman"/>
          <w:color w:val="auto"/>
          <w:szCs w:val="21"/>
          <w:highlight w:val="none"/>
          <w:lang w:val="en-US" w:eastAsia="zh-CN"/>
        </w:rPr>
        <w:t>5</w:t>
      </w:r>
      <w:r>
        <w:rPr>
          <w:rFonts w:hint="eastAsia" w:ascii="宋体" w:hAnsi="宋体" w:eastAsia="宋体" w:cs="Times New Roman"/>
          <w:color w:val="auto"/>
          <w:szCs w:val="21"/>
          <w:highlight w:val="none"/>
          <w:lang w:val="en-US" w:eastAsia="zh-CN"/>
        </w:rPr>
        <w:t>、商务条款偏离表</w:t>
      </w:r>
    </w:p>
    <w:p w14:paraId="50FE5889">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cs="Times New Roman"/>
          <w:color w:val="auto"/>
          <w:szCs w:val="21"/>
          <w:highlight w:val="none"/>
          <w:lang w:val="en-US" w:eastAsia="zh-CN"/>
        </w:rPr>
        <w:t>6</w:t>
      </w:r>
      <w:r>
        <w:rPr>
          <w:rFonts w:hint="eastAsia" w:ascii="宋体" w:hAnsi="宋体" w:eastAsia="宋体" w:cs="Times New Roman"/>
          <w:color w:val="auto"/>
          <w:szCs w:val="21"/>
          <w:highlight w:val="none"/>
          <w:lang w:val="en-US" w:eastAsia="zh-CN"/>
        </w:rPr>
        <w:t>、投标人基本情况表</w:t>
      </w:r>
    </w:p>
    <w:p w14:paraId="41C48A0C">
      <w:pPr>
        <w:shd w:val="clear" w:color="auto" w:fill="auto"/>
        <w:spacing w:line="440" w:lineRule="exact"/>
        <w:ind w:firstLine="287" w:firstLineChars="135"/>
        <w:rPr>
          <w:rFonts w:hint="eastAsia" w:ascii="宋体" w:hAnsi="宋体" w:eastAsia="宋体" w:cs="Times New Roman"/>
          <w:color w:val="0000FF"/>
          <w:szCs w:val="21"/>
          <w:highlight w:val="none"/>
          <w:lang w:val="en-US" w:eastAsia="zh-CN"/>
        </w:rPr>
      </w:pPr>
      <w:r>
        <w:rPr>
          <w:rFonts w:hint="eastAsia" w:ascii="宋体" w:hAnsi="宋体" w:cs="Times New Roman"/>
          <w:color w:val="0000FF"/>
          <w:szCs w:val="21"/>
          <w:highlight w:val="none"/>
          <w:lang w:val="en-US" w:eastAsia="zh-CN"/>
        </w:rPr>
        <w:t>7</w:t>
      </w:r>
      <w:r>
        <w:rPr>
          <w:rFonts w:hint="eastAsia" w:ascii="宋体" w:hAnsi="宋体" w:eastAsia="宋体" w:cs="Times New Roman"/>
          <w:color w:val="0000FF"/>
          <w:szCs w:val="21"/>
          <w:highlight w:val="none"/>
          <w:lang w:val="en-US" w:eastAsia="zh-CN"/>
        </w:rPr>
        <w:t>、</w:t>
      </w:r>
      <w:r>
        <w:rPr>
          <w:rFonts w:hint="eastAsia" w:ascii="宋体" w:hAnsi="宋体" w:cs="Times New Roman"/>
          <w:color w:val="0000FF"/>
          <w:szCs w:val="21"/>
          <w:highlight w:val="none"/>
          <w:lang w:val="en-US" w:eastAsia="zh-CN"/>
        </w:rPr>
        <w:t>近三年（2022年1月1日至今）</w:t>
      </w:r>
      <w:r>
        <w:rPr>
          <w:rFonts w:hint="eastAsia" w:ascii="宋体" w:hAnsi="宋体" w:eastAsia="宋体" w:cs="Times New Roman"/>
          <w:color w:val="0000FF"/>
          <w:szCs w:val="21"/>
          <w:highlight w:val="none"/>
          <w:lang w:val="en-US" w:eastAsia="zh-CN"/>
        </w:rPr>
        <w:t>类似项目业绩表</w:t>
      </w:r>
    </w:p>
    <w:p w14:paraId="175D71C5">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cs="Times New Roman"/>
          <w:color w:val="auto"/>
          <w:szCs w:val="21"/>
          <w:highlight w:val="none"/>
          <w:lang w:val="en-US" w:eastAsia="zh-CN"/>
        </w:rPr>
        <w:t>8</w:t>
      </w:r>
      <w:r>
        <w:rPr>
          <w:rFonts w:hint="eastAsia" w:ascii="宋体" w:hAnsi="宋体" w:eastAsia="宋体" w:cs="Times New Roman"/>
          <w:color w:val="auto"/>
          <w:szCs w:val="21"/>
          <w:highlight w:val="none"/>
          <w:lang w:val="en-US" w:eastAsia="zh-CN"/>
        </w:rPr>
        <w:t>、《残疾人福利性单位声明函》</w:t>
      </w:r>
    </w:p>
    <w:p w14:paraId="0805B867">
      <w:pPr>
        <w:shd w:val="clear" w:color="auto" w:fill="auto"/>
        <w:spacing w:line="440" w:lineRule="exact"/>
        <w:ind w:firstLine="287" w:firstLineChars="135"/>
        <w:rPr>
          <w:rFonts w:hint="eastAsia"/>
          <w:color w:val="auto"/>
          <w:lang w:val="en-US" w:eastAsia="zh-CN"/>
        </w:rPr>
      </w:pPr>
      <w:r>
        <w:rPr>
          <w:rFonts w:hint="eastAsia" w:ascii="宋体" w:hAnsi="宋体" w:cs="Times New Roman"/>
          <w:color w:val="auto"/>
          <w:szCs w:val="21"/>
          <w:highlight w:val="none"/>
          <w:lang w:val="en-US" w:eastAsia="zh-CN"/>
        </w:rPr>
        <w:t>9</w:t>
      </w:r>
      <w:r>
        <w:rPr>
          <w:rFonts w:hint="eastAsia" w:ascii="宋体" w:hAnsi="宋体" w:eastAsia="宋体" w:cs="Times New Roman"/>
          <w:color w:val="auto"/>
          <w:szCs w:val="21"/>
          <w:highlight w:val="none"/>
          <w:lang w:val="en-US" w:eastAsia="zh-CN"/>
        </w:rPr>
        <w:t>、投标人关联单位的说明</w:t>
      </w:r>
    </w:p>
    <w:p w14:paraId="76E46EF0">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1</w:t>
      </w:r>
      <w:r>
        <w:rPr>
          <w:rFonts w:hint="eastAsia" w:ascii="宋体" w:hAnsi="宋体" w:cs="Times New Roman"/>
          <w:color w:val="auto"/>
          <w:szCs w:val="21"/>
          <w:highlight w:val="none"/>
          <w:lang w:val="en-US" w:eastAsia="zh-CN"/>
        </w:rPr>
        <w:t>0</w:t>
      </w:r>
      <w:r>
        <w:rPr>
          <w:rFonts w:hint="eastAsia" w:ascii="宋体" w:hAnsi="宋体" w:eastAsia="宋体" w:cs="Times New Roman"/>
          <w:color w:val="auto"/>
          <w:szCs w:val="21"/>
          <w:highlight w:val="none"/>
          <w:lang w:val="en-US" w:eastAsia="zh-CN"/>
        </w:rPr>
        <w:t>、评分标准和细则中技术部分证明材料</w:t>
      </w:r>
    </w:p>
    <w:p w14:paraId="089B6976">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1</w:t>
      </w:r>
      <w:r>
        <w:rPr>
          <w:rFonts w:hint="eastAsia" w:ascii="宋体" w:hAnsi="宋体" w:cs="Times New Roman"/>
          <w:color w:val="auto"/>
          <w:szCs w:val="21"/>
          <w:highlight w:val="none"/>
          <w:lang w:val="en-US" w:eastAsia="zh-CN"/>
        </w:rPr>
        <w:t>1</w:t>
      </w:r>
      <w:r>
        <w:rPr>
          <w:rFonts w:hint="eastAsia" w:ascii="宋体" w:hAnsi="宋体" w:eastAsia="宋体" w:cs="Times New Roman"/>
          <w:color w:val="auto"/>
          <w:szCs w:val="21"/>
          <w:highlight w:val="none"/>
          <w:lang w:val="en-US" w:eastAsia="zh-CN"/>
        </w:rPr>
        <w:t>、评分标准和细则中技术部分证明材料（格式自拟）</w:t>
      </w:r>
    </w:p>
    <w:p w14:paraId="291D5819">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1</w:t>
      </w:r>
      <w:r>
        <w:rPr>
          <w:rFonts w:hint="eastAsia" w:ascii="宋体" w:hAnsi="宋体" w:cs="Times New Roman"/>
          <w:color w:val="auto"/>
          <w:szCs w:val="21"/>
          <w:highlight w:val="none"/>
          <w:lang w:val="en-US" w:eastAsia="zh-CN"/>
        </w:rPr>
        <w:t>2</w:t>
      </w:r>
      <w:r>
        <w:rPr>
          <w:rFonts w:hint="eastAsia" w:ascii="宋体" w:hAnsi="宋体" w:eastAsia="宋体" w:cs="Times New Roman"/>
          <w:color w:val="auto"/>
          <w:szCs w:val="21"/>
          <w:highlight w:val="none"/>
          <w:lang w:val="en-US" w:eastAsia="zh-CN"/>
        </w:rPr>
        <w:t>、投标人认为有必要提供的其他证明材料（格式自拟）</w:t>
      </w:r>
    </w:p>
    <w:p w14:paraId="65FC712E">
      <w:pPr>
        <w:shd w:val="clear" w:color="auto" w:fill="auto"/>
        <w:spacing w:line="400" w:lineRule="exact"/>
        <w:ind w:firstLine="422" w:firstLineChars="199"/>
        <w:rPr>
          <w:rFonts w:hint="eastAsia" w:ascii="宋体" w:eastAsia="宋体"/>
          <w:color w:val="auto"/>
          <w:szCs w:val="21"/>
          <w:highlight w:val="none"/>
          <w:lang w:eastAsia="zh-CN"/>
        </w:rPr>
      </w:pPr>
      <w:r>
        <w:rPr>
          <w:rFonts w:hint="eastAsia" w:ascii="宋体" w:hAnsi="宋体" w:eastAsia="宋体" w:cs="宋体"/>
          <w:b/>
          <w:color w:val="auto"/>
          <w:kern w:val="0"/>
          <w:szCs w:val="21"/>
          <w:highlight w:val="none"/>
          <w:u w:val="single"/>
        </w:rPr>
        <w:t>注：以上材料须</w:t>
      </w:r>
      <w:r>
        <w:rPr>
          <w:rFonts w:hint="eastAsia" w:ascii="宋体" w:hAnsi="宋体" w:eastAsia="宋体" w:cs="宋体"/>
          <w:b/>
          <w:color w:val="auto"/>
          <w:kern w:val="0"/>
          <w:szCs w:val="21"/>
          <w:highlight w:val="none"/>
          <w:u w:val="single"/>
          <w:lang w:eastAsia="zh-CN"/>
        </w:rPr>
        <w:t>逐页</w:t>
      </w:r>
      <w:r>
        <w:rPr>
          <w:rFonts w:hint="eastAsia" w:ascii="宋体" w:hAnsi="宋体" w:eastAsia="宋体" w:cs="宋体"/>
          <w:b/>
          <w:color w:val="auto"/>
          <w:kern w:val="0"/>
          <w:szCs w:val="21"/>
          <w:highlight w:val="none"/>
          <w:u w:val="single"/>
        </w:rPr>
        <w:t>加盖单位公章</w:t>
      </w:r>
      <w:r>
        <w:rPr>
          <w:rFonts w:hint="eastAsia" w:ascii="宋体" w:hAnsi="宋体" w:eastAsia="宋体" w:cs="宋体"/>
          <w:b/>
          <w:color w:val="auto"/>
          <w:kern w:val="0"/>
          <w:szCs w:val="21"/>
          <w:highlight w:val="none"/>
          <w:u w:val="single"/>
          <w:lang w:eastAsia="zh-CN"/>
        </w:rPr>
        <w:t>。</w:t>
      </w:r>
    </w:p>
    <w:p w14:paraId="7DCDC7DA">
      <w:pPr>
        <w:shd w:val="clear" w:color="auto" w:fill="auto"/>
        <w:spacing w:line="400" w:lineRule="exact"/>
        <w:ind w:firstLine="422" w:firstLineChars="199"/>
        <w:rPr>
          <w:rFonts w:hint="eastAsia" w:ascii="宋体" w:hAnsi="宋体" w:eastAsia="宋体" w:cs="Times New Roman"/>
          <w:color w:val="auto"/>
          <w:szCs w:val="21"/>
          <w:highlight w:val="none"/>
          <w:lang w:eastAsia="zh-CN"/>
        </w:rPr>
      </w:pPr>
      <w:r>
        <w:rPr>
          <w:rFonts w:hint="eastAsia" w:ascii="宋体"/>
          <w:color w:val="auto"/>
          <w:szCs w:val="21"/>
          <w:highlight w:val="none"/>
        </w:rPr>
        <w:t>2</w:t>
      </w:r>
      <w:r>
        <w:rPr>
          <w:rFonts w:hint="eastAsia" w:ascii="宋体"/>
          <w:color w:val="auto"/>
          <w:szCs w:val="21"/>
          <w:highlight w:val="none"/>
          <w:lang w:val="en-US" w:eastAsia="zh-CN"/>
        </w:rPr>
        <w:t>0</w:t>
      </w:r>
      <w:r>
        <w:rPr>
          <w:rFonts w:hint="eastAsia" w:ascii="宋体"/>
          <w:color w:val="auto"/>
          <w:szCs w:val="21"/>
          <w:highlight w:val="none"/>
        </w:rPr>
        <w:t>.</w:t>
      </w:r>
      <w:r>
        <w:rPr>
          <w:rFonts w:hint="eastAsia" w:ascii="宋体"/>
          <w:color w:val="auto"/>
          <w:szCs w:val="21"/>
          <w:highlight w:val="none"/>
          <w:lang w:val="en-US" w:eastAsia="zh-CN"/>
        </w:rPr>
        <w:t>3</w:t>
      </w:r>
      <w:r>
        <w:rPr>
          <w:rFonts w:hint="eastAsia" w:ascii="宋体" w:hAnsi="宋体" w:eastAsia="宋体" w:cs="Times New Roman"/>
          <w:color w:val="auto"/>
          <w:szCs w:val="21"/>
          <w:highlight w:val="none"/>
          <w:lang w:eastAsia="zh-CN"/>
        </w:rPr>
        <w:t>投标文件的要求</w:t>
      </w:r>
    </w:p>
    <w:p w14:paraId="3868759F">
      <w:pPr>
        <w:shd w:val="clear" w:color="auto" w:fill="auto"/>
        <w:spacing w:line="400" w:lineRule="exact"/>
        <w:ind w:firstLine="422" w:firstLineChars="199"/>
        <w:rPr>
          <w:rFonts w:hint="eastAsia" w:ascii="宋体" w:hAnsi="宋体" w:eastAsia="宋体" w:cs="Times New Roman"/>
          <w:color w:val="auto"/>
          <w:szCs w:val="21"/>
          <w:highlight w:val="none"/>
          <w:lang w:eastAsia="zh-CN"/>
        </w:rPr>
      </w:pPr>
      <w:r>
        <w:rPr>
          <w:rFonts w:hint="eastAsia" w:ascii="宋体" w:hAnsi="宋体" w:eastAsia="宋体" w:cs="Times New Roman"/>
          <w:color w:val="auto"/>
          <w:szCs w:val="21"/>
          <w:highlight w:val="none"/>
          <w:lang w:eastAsia="zh-CN"/>
        </w:rPr>
        <w:t>（</w:t>
      </w:r>
      <w:r>
        <w:rPr>
          <w:rFonts w:hint="eastAsia" w:ascii="宋体" w:hAnsi="宋体" w:eastAsia="宋体" w:cs="Times New Roman"/>
          <w:color w:val="auto"/>
          <w:szCs w:val="21"/>
          <w:highlight w:val="none"/>
          <w:lang w:val="en-US" w:eastAsia="zh-CN"/>
        </w:rPr>
        <w:t>1</w:t>
      </w:r>
      <w:r>
        <w:rPr>
          <w:rFonts w:hint="eastAsia" w:ascii="宋体" w:hAnsi="宋体" w:eastAsia="宋体" w:cs="Times New Roman"/>
          <w:color w:val="auto"/>
          <w:szCs w:val="21"/>
          <w:highlight w:val="none"/>
          <w:lang w:eastAsia="zh-CN"/>
        </w:rPr>
        <w:t>）供应商应仔细阅读采购文件的所有内容，按照采购文件的要求详细编制投标文件，所提交的全部资料必须真实有效，并且要保证字迹清晰易于辨认。投标文件应对采购文件实质性内容作出响应，否则按无效标处理。</w:t>
      </w:r>
    </w:p>
    <w:p w14:paraId="36C67079">
      <w:pPr>
        <w:shd w:val="clear" w:color="auto" w:fill="auto"/>
        <w:spacing w:line="400" w:lineRule="exact"/>
        <w:ind w:firstLine="422" w:firstLineChars="199"/>
        <w:rPr>
          <w:rFonts w:hint="eastAsia" w:ascii="宋体" w:hAnsi="宋体" w:eastAsia="宋体" w:cs="Times New Roman"/>
          <w:color w:val="auto"/>
          <w:szCs w:val="21"/>
          <w:highlight w:val="none"/>
          <w:lang w:eastAsia="zh-CN"/>
        </w:rPr>
      </w:pPr>
      <w:r>
        <w:rPr>
          <w:rFonts w:hint="eastAsia" w:ascii="宋体" w:hAnsi="宋体" w:eastAsia="宋体" w:cs="Times New Roman"/>
          <w:color w:val="auto"/>
          <w:szCs w:val="21"/>
          <w:highlight w:val="none"/>
          <w:lang w:eastAsia="zh-CN"/>
        </w:rPr>
        <w:t>（</w:t>
      </w:r>
      <w:r>
        <w:rPr>
          <w:rFonts w:hint="eastAsia" w:ascii="宋体" w:hAnsi="宋体" w:eastAsia="宋体" w:cs="Times New Roman"/>
          <w:color w:val="auto"/>
          <w:szCs w:val="21"/>
          <w:highlight w:val="none"/>
          <w:lang w:val="en-US" w:eastAsia="zh-CN"/>
        </w:rPr>
        <w:t>2</w:t>
      </w:r>
      <w:r>
        <w:rPr>
          <w:rFonts w:hint="eastAsia" w:ascii="宋体" w:hAnsi="宋体" w:eastAsia="宋体" w:cs="Times New Roman"/>
          <w:color w:val="auto"/>
          <w:szCs w:val="21"/>
          <w:highlight w:val="none"/>
          <w:lang w:eastAsia="zh-CN"/>
        </w:rPr>
        <w:t>）投标文件格式应按本采购文件第六章格式要求编制，不得对采购文件格式进行增删更改，否则按无效标处理。</w:t>
      </w:r>
    </w:p>
    <w:p w14:paraId="034B015D">
      <w:pPr>
        <w:shd w:val="clear" w:color="auto" w:fill="auto"/>
        <w:spacing w:line="400" w:lineRule="exact"/>
        <w:ind w:firstLine="422" w:firstLineChars="199"/>
        <w:rPr>
          <w:rFonts w:hint="eastAsia" w:ascii="宋体" w:hAnsi="宋体" w:eastAsia="宋体" w:cs="Times New Roman"/>
          <w:color w:val="auto"/>
          <w:szCs w:val="21"/>
          <w:highlight w:val="none"/>
          <w:lang w:eastAsia="zh-CN"/>
        </w:rPr>
      </w:pPr>
      <w:r>
        <w:rPr>
          <w:rFonts w:hint="eastAsia" w:ascii="宋体" w:hAnsi="宋体" w:eastAsia="宋体" w:cs="Times New Roman"/>
          <w:color w:val="auto"/>
          <w:szCs w:val="21"/>
          <w:highlight w:val="none"/>
          <w:lang w:eastAsia="zh-CN"/>
        </w:rPr>
        <w:t>（</w:t>
      </w:r>
      <w:r>
        <w:rPr>
          <w:rFonts w:hint="eastAsia" w:ascii="宋体" w:hAnsi="宋体" w:eastAsia="宋体" w:cs="Times New Roman"/>
          <w:color w:val="auto"/>
          <w:szCs w:val="21"/>
          <w:highlight w:val="none"/>
          <w:lang w:val="en-US" w:eastAsia="zh-CN"/>
        </w:rPr>
        <w:t>3</w:t>
      </w:r>
      <w:r>
        <w:rPr>
          <w:rFonts w:hint="eastAsia" w:ascii="宋体" w:hAnsi="宋体" w:eastAsia="宋体" w:cs="Times New Roman"/>
          <w:color w:val="auto"/>
          <w:szCs w:val="21"/>
          <w:highlight w:val="none"/>
          <w:lang w:eastAsia="zh-CN"/>
        </w:rPr>
        <w:t xml:space="preserve">）对采购文件格式可更改的例外情况：采购文件第六章附件格式要求中明确规定表格中行数不够用时可按相同格式增加行数，其他一切内容和格式不得更改。 </w:t>
      </w:r>
    </w:p>
    <w:p w14:paraId="406B7468">
      <w:pPr>
        <w:shd w:val="clear" w:color="auto" w:fill="auto"/>
        <w:spacing w:line="400" w:lineRule="exact"/>
        <w:ind w:firstLine="422" w:firstLineChars="199"/>
        <w:rPr>
          <w:rFonts w:hint="eastAsia" w:ascii="宋体" w:hAnsi="宋体" w:eastAsia="宋体" w:cs="Times New Roman"/>
          <w:color w:val="auto"/>
          <w:szCs w:val="21"/>
          <w:highlight w:val="none"/>
          <w:lang w:eastAsia="zh-CN"/>
        </w:rPr>
      </w:pPr>
      <w:r>
        <w:rPr>
          <w:rFonts w:hint="eastAsia" w:ascii="宋体" w:hAnsi="宋体" w:eastAsia="宋体" w:cs="Times New Roman"/>
          <w:color w:val="auto"/>
          <w:szCs w:val="21"/>
          <w:highlight w:val="none"/>
          <w:lang w:eastAsia="zh-CN"/>
        </w:rPr>
        <w:t>（</w:t>
      </w:r>
      <w:r>
        <w:rPr>
          <w:rFonts w:hint="eastAsia" w:ascii="宋体" w:hAnsi="宋体" w:eastAsia="宋体" w:cs="Times New Roman"/>
          <w:color w:val="auto"/>
          <w:szCs w:val="21"/>
          <w:highlight w:val="none"/>
          <w:lang w:val="en-US" w:eastAsia="zh-CN"/>
        </w:rPr>
        <w:t>4</w:t>
      </w:r>
      <w:r>
        <w:rPr>
          <w:rFonts w:hint="eastAsia" w:ascii="宋体" w:hAnsi="宋体" w:eastAsia="宋体" w:cs="Times New Roman"/>
          <w:color w:val="auto"/>
          <w:szCs w:val="21"/>
          <w:highlight w:val="none"/>
          <w:lang w:eastAsia="zh-CN"/>
        </w:rPr>
        <w:t>）投标文件为电子投标文件，电子投标文件按“政采云供应商项目采购-电子招投标操作指南”及本采购文件要求制作、加密传输。</w:t>
      </w:r>
    </w:p>
    <w:p w14:paraId="51AC8D97">
      <w:pPr>
        <w:shd w:val="clear" w:color="auto" w:fill="auto"/>
        <w:spacing w:line="400" w:lineRule="exact"/>
        <w:ind w:firstLine="422" w:firstLineChars="199"/>
        <w:rPr>
          <w:rFonts w:hint="eastAsia" w:ascii="宋体"/>
          <w:color w:val="auto"/>
          <w:szCs w:val="21"/>
          <w:highlight w:val="none"/>
        </w:rPr>
      </w:pPr>
      <w:r>
        <w:rPr>
          <w:rFonts w:hint="eastAsia" w:ascii="宋体" w:hAnsi="宋体" w:eastAsia="宋体" w:cs="Times New Roman"/>
          <w:color w:val="auto"/>
          <w:szCs w:val="21"/>
          <w:highlight w:val="none"/>
          <w:lang w:eastAsia="zh-CN"/>
        </w:rPr>
        <w:t>（</w:t>
      </w:r>
      <w:r>
        <w:rPr>
          <w:rFonts w:hint="eastAsia" w:ascii="宋体" w:hAnsi="宋体" w:eastAsia="宋体" w:cs="Times New Roman"/>
          <w:color w:val="auto"/>
          <w:szCs w:val="21"/>
          <w:highlight w:val="none"/>
          <w:lang w:val="en-US" w:eastAsia="zh-CN"/>
        </w:rPr>
        <w:t>5</w:t>
      </w:r>
      <w:r>
        <w:rPr>
          <w:rFonts w:hint="eastAsia" w:ascii="宋体" w:hAnsi="宋体" w:eastAsia="宋体" w:cs="Times New Roman"/>
          <w:color w:val="auto"/>
          <w:szCs w:val="21"/>
          <w:highlight w:val="none"/>
          <w:lang w:eastAsia="zh-CN"/>
        </w:rPr>
        <w:t>）投标文件未在投标截止时间前完成传输的，视为投标文件撤回；投标文件未按时解密也未提供备份投标文件的，亦视为投标文件撤回。</w:t>
      </w:r>
    </w:p>
    <w:p w14:paraId="56E42B59">
      <w:pPr>
        <w:shd w:val="clear" w:color="auto" w:fill="auto"/>
        <w:spacing w:line="440" w:lineRule="exact"/>
        <w:rPr>
          <w:rFonts w:hint="eastAsia" w:ascii="宋体"/>
          <w:color w:val="auto"/>
          <w:szCs w:val="21"/>
          <w:highlight w:val="none"/>
        </w:rPr>
      </w:pPr>
      <w:r>
        <w:rPr>
          <w:rFonts w:hint="eastAsia" w:ascii="宋体"/>
          <w:b/>
          <w:color w:val="auto"/>
          <w:szCs w:val="21"/>
          <w:highlight w:val="none"/>
        </w:rPr>
        <w:t>2</w:t>
      </w:r>
      <w:r>
        <w:rPr>
          <w:rFonts w:hint="eastAsia" w:ascii="宋体"/>
          <w:b/>
          <w:color w:val="auto"/>
          <w:szCs w:val="21"/>
          <w:highlight w:val="none"/>
          <w:lang w:val="en-US" w:eastAsia="zh-CN"/>
        </w:rPr>
        <w:t>1</w:t>
      </w:r>
      <w:r>
        <w:rPr>
          <w:rFonts w:hint="eastAsia" w:ascii="宋体"/>
          <w:color w:val="auto"/>
          <w:szCs w:val="21"/>
          <w:highlight w:val="none"/>
        </w:rPr>
        <w:t>.</w:t>
      </w:r>
      <w:r>
        <w:rPr>
          <w:rFonts w:hint="eastAsia" w:ascii="宋体"/>
          <w:b/>
          <w:color w:val="auto"/>
          <w:szCs w:val="21"/>
          <w:highlight w:val="none"/>
        </w:rPr>
        <w:t>投标报价</w:t>
      </w:r>
    </w:p>
    <w:p w14:paraId="7690692B">
      <w:pPr>
        <w:shd w:val="clear" w:color="auto" w:fill="auto"/>
        <w:spacing w:line="440" w:lineRule="exact"/>
        <w:ind w:firstLine="426" w:firstLineChars="200"/>
        <w:rPr>
          <w:rFonts w:hint="eastAsia" w:ascii="宋体"/>
          <w:color w:val="auto"/>
          <w:szCs w:val="21"/>
          <w:highlight w:val="none"/>
        </w:rPr>
      </w:pPr>
      <w:r>
        <w:rPr>
          <w:rFonts w:hint="eastAsia" w:ascii="宋体"/>
          <w:color w:val="auto"/>
          <w:szCs w:val="21"/>
          <w:highlight w:val="none"/>
        </w:rPr>
        <w:t>2</w:t>
      </w:r>
      <w:r>
        <w:rPr>
          <w:rFonts w:hint="eastAsia" w:ascii="宋体"/>
          <w:color w:val="auto"/>
          <w:szCs w:val="21"/>
          <w:highlight w:val="none"/>
          <w:lang w:val="en-US" w:eastAsia="zh-CN"/>
        </w:rPr>
        <w:t>1</w:t>
      </w:r>
      <w:r>
        <w:rPr>
          <w:rFonts w:hint="eastAsia" w:ascii="宋体"/>
          <w:color w:val="auto"/>
          <w:szCs w:val="21"/>
          <w:highlight w:val="none"/>
        </w:rPr>
        <w:t>.1投标报价文件中的单价和总价全部采用人民币表示。</w:t>
      </w:r>
    </w:p>
    <w:p w14:paraId="124E7608">
      <w:pPr>
        <w:shd w:val="clear" w:color="auto" w:fill="auto"/>
        <w:spacing w:line="440" w:lineRule="exact"/>
        <w:ind w:firstLine="426" w:firstLineChars="200"/>
        <w:rPr>
          <w:rFonts w:hint="eastAsia" w:ascii="宋体"/>
          <w:color w:val="auto"/>
          <w:szCs w:val="21"/>
          <w:highlight w:val="none"/>
        </w:rPr>
      </w:pPr>
      <w:r>
        <w:rPr>
          <w:rFonts w:hint="eastAsia" w:ascii="宋体"/>
          <w:color w:val="auto"/>
          <w:szCs w:val="21"/>
          <w:highlight w:val="none"/>
        </w:rPr>
        <w:t>2</w:t>
      </w:r>
      <w:r>
        <w:rPr>
          <w:rFonts w:hint="eastAsia" w:ascii="宋体"/>
          <w:color w:val="auto"/>
          <w:szCs w:val="21"/>
          <w:highlight w:val="none"/>
          <w:lang w:val="en-US" w:eastAsia="zh-CN"/>
        </w:rPr>
        <w:t>1</w:t>
      </w:r>
      <w:r>
        <w:rPr>
          <w:rFonts w:hint="eastAsia" w:ascii="宋体"/>
          <w:color w:val="auto"/>
          <w:szCs w:val="21"/>
          <w:highlight w:val="none"/>
        </w:rPr>
        <w:t>.2投标报价表上应清楚标明投标人拟提供</w:t>
      </w:r>
      <w:r>
        <w:rPr>
          <w:rFonts w:hint="eastAsia" w:ascii="宋体"/>
          <w:color w:val="auto"/>
          <w:szCs w:val="21"/>
          <w:highlight w:val="none"/>
          <w:lang w:val="en-US" w:eastAsia="zh-CN"/>
        </w:rPr>
        <w:t>货物（服务）</w:t>
      </w:r>
      <w:r>
        <w:rPr>
          <w:rFonts w:hint="eastAsia" w:ascii="宋体"/>
          <w:color w:val="auto"/>
          <w:szCs w:val="21"/>
          <w:highlight w:val="none"/>
        </w:rPr>
        <w:t>的名称、数量、单价和总价。</w:t>
      </w:r>
    </w:p>
    <w:p w14:paraId="2767245E">
      <w:pPr>
        <w:shd w:val="clear" w:color="auto" w:fill="auto"/>
        <w:spacing w:line="440" w:lineRule="exact"/>
        <w:ind w:firstLine="426" w:firstLineChars="200"/>
        <w:rPr>
          <w:rFonts w:hint="eastAsia" w:ascii="宋体"/>
          <w:color w:val="auto"/>
          <w:szCs w:val="21"/>
          <w:highlight w:val="none"/>
        </w:rPr>
      </w:pPr>
      <w:r>
        <w:rPr>
          <w:rFonts w:hint="eastAsia" w:ascii="宋体"/>
          <w:color w:val="auto"/>
          <w:szCs w:val="21"/>
          <w:highlight w:val="none"/>
        </w:rPr>
        <w:t>2</w:t>
      </w:r>
      <w:r>
        <w:rPr>
          <w:rFonts w:hint="eastAsia" w:ascii="宋体"/>
          <w:color w:val="auto"/>
          <w:szCs w:val="21"/>
          <w:highlight w:val="none"/>
          <w:lang w:val="en-US" w:eastAsia="zh-CN"/>
        </w:rPr>
        <w:t>1</w:t>
      </w:r>
      <w:r>
        <w:rPr>
          <w:rFonts w:hint="eastAsia" w:ascii="宋体"/>
          <w:color w:val="auto"/>
          <w:szCs w:val="21"/>
          <w:highlight w:val="none"/>
        </w:rPr>
        <w:t>.3投标人只允许有一个方案、一个报价。</w:t>
      </w:r>
    </w:p>
    <w:p w14:paraId="5845701F">
      <w:pPr>
        <w:shd w:val="clear" w:color="auto" w:fill="auto"/>
        <w:spacing w:line="440" w:lineRule="exact"/>
        <w:ind w:firstLine="426" w:firstLineChars="200"/>
        <w:rPr>
          <w:rFonts w:hint="eastAsia" w:ascii="宋体"/>
          <w:color w:val="auto"/>
          <w:szCs w:val="21"/>
          <w:highlight w:val="none"/>
        </w:rPr>
      </w:pPr>
      <w:r>
        <w:rPr>
          <w:rFonts w:hint="eastAsia" w:ascii="宋体"/>
          <w:color w:val="auto"/>
          <w:szCs w:val="21"/>
          <w:highlight w:val="none"/>
        </w:rPr>
        <w:t>2</w:t>
      </w:r>
      <w:r>
        <w:rPr>
          <w:rFonts w:hint="eastAsia" w:ascii="宋体"/>
          <w:color w:val="auto"/>
          <w:szCs w:val="21"/>
          <w:highlight w:val="none"/>
          <w:lang w:val="en-US" w:eastAsia="zh-CN"/>
        </w:rPr>
        <w:t>1</w:t>
      </w:r>
      <w:r>
        <w:rPr>
          <w:rFonts w:hint="eastAsia" w:ascii="宋体"/>
          <w:color w:val="auto"/>
          <w:szCs w:val="21"/>
          <w:highlight w:val="none"/>
        </w:rPr>
        <w:t>.4投标人应按“采购内容及技术参数要求”所列</w:t>
      </w:r>
      <w:r>
        <w:rPr>
          <w:rFonts w:hint="eastAsia" w:ascii="宋体"/>
          <w:color w:val="auto"/>
          <w:szCs w:val="21"/>
          <w:highlight w:val="none"/>
          <w:lang w:val="en-US" w:eastAsia="zh-CN"/>
        </w:rPr>
        <w:t>服务</w:t>
      </w:r>
      <w:r>
        <w:rPr>
          <w:rFonts w:hint="eastAsia" w:ascii="宋体"/>
          <w:color w:val="auto"/>
          <w:szCs w:val="21"/>
          <w:highlight w:val="none"/>
        </w:rPr>
        <w:t>逐项进行单价报价，并最终按</w:t>
      </w:r>
      <w:r>
        <w:rPr>
          <w:rFonts w:hint="eastAsia" w:ascii="宋体"/>
          <w:color w:val="auto"/>
          <w:szCs w:val="21"/>
          <w:highlight w:val="none"/>
          <w:lang w:val="en-US" w:eastAsia="zh-CN"/>
        </w:rPr>
        <w:t>服务</w:t>
      </w:r>
      <w:r>
        <w:rPr>
          <w:rFonts w:hint="eastAsia" w:ascii="宋体"/>
          <w:color w:val="auto"/>
          <w:szCs w:val="21"/>
          <w:highlight w:val="none"/>
        </w:rPr>
        <w:t>总量乘以货物单价报总价，不得采用总价下浮的方式进行报价。综合单价包括：设备费、安装费、材料费、辅材费、运输费、管理费、利润、风险费用、代理费、调试、验收、培训及后期服务及国家对中标单位征收的各种税费等所有一切费用，综合单价今后将不作任何调整。</w:t>
      </w:r>
    </w:p>
    <w:p w14:paraId="70395366">
      <w:pPr>
        <w:shd w:val="clear" w:color="auto" w:fill="auto"/>
        <w:spacing w:line="440" w:lineRule="exact"/>
        <w:ind w:firstLine="426" w:firstLineChars="200"/>
        <w:rPr>
          <w:rFonts w:hint="eastAsia" w:ascii="宋体"/>
          <w:color w:val="auto"/>
          <w:szCs w:val="21"/>
          <w:highlight w:val="none"/>
        </w:rPr>
      </w:pPr>
      <w:r>
        <w:rPr>
          <w:rFonts w:hint="eastAsia" w:ascii="宋体"/>
          <w:color w:val="auto"/>
          <w:szCs w:val="21"/>
          <w:highlight w:val="none"/>
        </w:rPr>
        <w:t>2</w:t>
      </w:r>
      <w:r>
        <w:rPr>
          <w:rFonts w:hint="eastAsia" w:ascii="宋体"/>
          <w:color w:val="auto"/>
          <w:szCs w:val="21"/>
          <w:highlight w:val="none"/>
          <w:lang w:val="en-US" w:eastAsia="zh-CN"/>
        </w:rPr>
        <w:t>1</w:t>
      </w:r>
      <w:r>
        <w:rPr>
          <w:rFonts w:hint="eastAsia" w:ascii="宋体"/>
          <w:color w:val="auto"/>
          <w:szCs w:val="21"/>
          <w:highlight w:val="none"/>
        </w:rPr>
        <w:t>.5投标报价的价格是</w:t>
      </w:r>
      <w:r>
        <w:rPr>
          <w:rFonts w:hint="eastAsia" w:ascii="宋体"/>
          <w:color w:val="auto"/>
          <w:szCs w:val="21"/>
          <w:highlight w:val="none"/>
          <w:lang w:val="en-US" w:eastAsia="zh-CN"/>
        </w:rPr>
        <w:t>货物及服务</w:t>
      </w:r>
      <w:r>
        <w:rPr>
          <w:rFonts w:hint="eastAsia" w:ascii="宋体"/>
          <w:color w:val="auto"/>
          <w:szCs w:val="21"/>
          <w:highlight w:val="none"/>
        </w:rPr>
        <w:t>交货地验收价格，其总价即为履行合同的固定总价。</w:t>
      </w:r>
    </w:p>
    <w:p w14:paraId="33203A1D">
      <w:pPr>
        <w:shd w:val="clear" w:color="auto" w:fill="auto"/>
        <w:spacing w:line="440" w:lineRule="exact"/>
        <w:ind w:firstLine="426" w:firstLineChars="200"/>
        <w:rPr>
          <w:rFonts w:hint="eastAsia" w:ascii="宋体"/>
          <w:color w:val="auto"/>
          <w:szCs w:val="21"/>
          <w:highlight w:val="none"/>
        </w:rPr>
      </w:pPr>
      <w:r>
        <w:rPr>
          <w:rFonts w:hint="eastAsia" w:ascii="宋体"/>
          <w:color w:val="auto"/>
          <w:szCs w:val="21"/>
          <w:highlight w:val="none"/>
        </w:rPr>
        <w:t>2</w:t>
      </w:r>
      <w:r>
        <w:rPr>
          <w:rFonts w:hint="eastAsia" w:ascii="宋体"/>
          <w:color w:val="auto"/>
          <w:szCs w:val="21"/>
          <w:highlight w:val="none"/>
          <w:lang w:val="en-US" w:eastAsia="zh-CN"/>
        </w:rPr>
        <w:t>1</w:t>
      </w:r>
      <w:r>
        <w:rPr>
          <w:rFonts w:hint="eastAsia" w:ascii="宋体"/>
          <w:color w:val="auto"/>
          <w:szCs w:val="21"/>
          <w:highlight w:val="none"/>
        </w:rPr>
        <w:t>.6技术要求中规定的安装、调试和培训费用应包括在投标价格中。投标文件报价为含税价，招标人不再为此次招标支付任何费用。</w:t>
      </w:r>
    </w:p>
    <w:p w14:paraId="44552986">
      <w:pPr>
        <w:shd w:val="clear" w:color="auto" w:fill="auto"/>
        <w:spacing w:line="440" w:lineRule="exact"/>
        <w:ind w:firstLine="426" w:firstLineChars="200"/>
        <w:rPr>
          <w:rFonts w:hint="eastAsia" w:ascii="宋体"/>
          <w:color w:val="auto"/>
          <w:szCs w:val="21"/>
          <w:highlight w:val="none"/>
        </w:rPr>
      </w:pPr>
      <w:r>
        <w:rPr>
          <w:rFonts w:hint="eastAsia" w:ascii="宋体"/>
          <w:color w:val="auto"/>
          <w:szCs w:val="21"/>
          <w:highlight w:val="none"/>
        </w:rPr>
        <w:t>2</w:t>
      </w:r>
      <w:r>
        <w:rPr>
          <w:rFonts w:hint="eastAsia" w:ascii="宋体"/>
          <w:color w:val="auto"/>
          <w:szCs w:val="21"/>
          <w:highlight w:val="none"/>
          <w:lang w:val="en-US" w:eastAsia="zh-CN"/>
        </w:rPr>
        <w:t>1</w:t>
      </w:r>
      <w:r>
        <w:rPr>
          <w:rFonts w:hint="eastAsia" w:ascii="宋体"/>
          <w:color w:val="auto"/>
          <w:szCs w:val="21"/>
          <w:highlight w:val="none"/>
        </w:rPr>
        <w:t>.7投标报价应由法定代表人或被授权人签署。</w:t>
      </w:r>
    </w:p>
    <w:p w14:paraId="7BD4B07A">
      <w:pPr>
        <w:shd w:val="clear" w:color="auto" w:fill="auto"/>
        <w:spacing w:line="440" w:lineRule="exact"/>
        <w:ind w:firstLine="426" w:firstLineChars="200"/>
        <w:rPr>
          <w:rFonts w:hint="eastAsia" w:ascii="宋体"/>
          <w:bCs/>
          <w:color w:val="auto"/>
          <w:szCs w:val="21"/>
          <w:highlight w:val="none"/>
        </w:rPr>
      </w:pPr>
      <w:r>
        <w:rPr>
          <w:rFonts w:hint="eastAsia" w:ascii="宋体"/>
          <w:bCs/>
          <w:color w:val="auto"/>
          <w:szCs w:val="21"/>
          <w:highlight w:val="none"/>
        </w:rPr>
        <w:t>2</w:t>
      </w:r>
      <w:r>
        <w:rPr>
          <w:rFonts w:hint="eastAsia" w:ascii="宋体"/>
          <w:bCs/>
          <w:color w:val="auto"/>
          <w:szCs w:val="21"/>
          <w:highlight w:val="none"/>
          <w:lang w:val="en-US" w:eastAsia="zh-CN"/>
        </w:rPr>
        <w:t>1</w:t>
      </w:r>
      <w:r>
        <w:rPr>
          <w:rFonts w:hint="eastAsia" w:ascii="宋体"/>
          <w:bCs/>
          <w:color w:val="auto"/>
          <w:szCs w:val="21"/>
          <w:highlight w:val="none"/>
        </w:rPr>
        <w:t>.8</w:t>
      </w:r>
      <w:r>
        <w:rPr>
          <w:rFonts w:hint="eastAsia" w:ascii="宋体" w:hAnsi="宋体"/>
          <w:b/>
          <w:color w:val="auto"/>
          <w:szCs w:val="21"/>
          <w:highlight w:val="none"/>
        </w:rPr>
        <w:t>投标人投标总报价，不得高于本次招标设置的最高限价，</w:t>
      </w:r>
      <w:r>
        <w:rPr>
          <w:rFonts w:hint="eastAsia" w:ascii="宋体" w:hAnsi="宋体"/>
          <w:b/>
          <w:bCs/>
          <w:color w:val="auto"/>
          <w:szCs w:val="21"/>
          <w:highlight w:val="none"/>
        </w:rPr>
        <w:t>否则将作为无效投标处理。</w:t>
      </w:r>
    </w:p>
    <w:p w14:paraId="5B494E02">
      <w:pPr>
        <w:shd w:val="clear" w:color="auto" w:fill="auto"/>
        <w:spacing w:line="440" w:lineRule="exact"/>
        <w:ind w:firstLine="426" w:firstLineChars="200"/>
        <w:rPr>
          <w:rFonts w:hint="eastAsia" w:ascii="宋体"/>
          <w:color w:val="auto"/>
          <w:szCs w:val="21"/>
          <w:highlight w:val="none"/>
        </w:rPr>
      </w:pPr>
      <w:r>
        <w:rPr>
          <w:rFonts w:hint="eastAsia" w:ascii="宋体"/>
          <w:color w:val="auto"/>
          <w:szCs w:val="21"/>
          <w:highlight w:val="none"/>
        </w:rPr>
        <w:t>2</w:t>
      </w:r>
      <w:r>
        <w:rPr>
          <w:rFonts w:hint="eastAsia" w:ascii="宋体"/>
          <w:color w:val="auto"/>
          <w:szCs w:val="21"/>
          <w:highlight w:val="none"/>
          <w:lang w:val="en-US" w:eastAsia="zh-CN"/>
        </w:rPr>
        <w:t>1</w:t>
      </w:r>
      <w:r>
        <w:rPr>
          <w:rFonts w:hint="eastAsia" w:ascii="宋体"/>
          <w:color w:val="auto"/>
          <w:szCs w:val="21"/>
          <w:highlight w:val="none"/>
        </w:rPr>
        <w:t>.9如投标文件中未列明全面实现投标</w:t>
      </w:r>
      <w:r>
        <w:rPr>
          <w:rFonts w:hint="eastAsia" w:ascii="宋体"/>
          <w:color w:val="auto"/>
          <w:szCs w:val="21"/>
          <w:highlight w:val="none"/>
          <w:lang w:val="en-US" w:eastAsia="zh-CN"/>
        </w:rPr>
        <w:t>服务</w:t>
      </w:r>
      <w:r>
        <w:rPr>
          <w:rFonts w:hint="eastAsia" w:ascii="宋体"/>
          <w:color w:val="auto"/>
          <w:szCs w:val="21"/>
          <w:highlight w:val="none"/>
        </w:rPr>
        <w:t>功能而必须配置的配套或辅助设施及相应技术措施的费用，这些费用将被视为已包含在总投标价中。</w:t>
      </w:r>
    </w:p>
    <w:p w14:paraId="5600B653">
      <w:pPr>
        <w:shd w:val="clear" w:color="auto" w:fill="auto"/>
        <w:spacing w:line="440" w:lineRule="exact"/>
        <w:ind w:firstLine="426" w:firstLineChars="200"/>
        <w:rPr>
          <w:rFonts w:hint="eastAsia" w:ascii="宋体"/>
          <w:color w:val="auto"/>
          <w:szCs w:val="21"/>
          <w:highlight w:val="none"/>
        </w:rPr>
      </w:pPr>
      <w:r>
        <w:rPr>
          <w:rFonts w:hint="eastAsia" w:ascii="宋体"/>
          <w:color w:val="auto"/>
          <w:szCs w:val="21"/>
          <w:highlight w:val="none"/>
        </w:rPr>
        <w:t>2</w:t>
      </w:r>
      <w:r>
        <w:rPr>
          <w:rFonts w:hint="eastAsia" w:ascii="宋体"/>
          <w:color w:val="auto"/>
          <w:szCs w:val="21"/>
          <w:highlight w:val="none"/>
          <w:lang w:val="en-US" w:eastAsia="zh-CN"/>
        </w:rPr>
        <w:t>1</w:t>
      </w:r>
      <w:r>
        <w:rPr>
          <w:rFonts w:hint="eastAsia" w:ascii="宋体"/>
          <w:color w:val="auto"/>
          <w:szCs w:val="21"/>
          <w:highlight w:val="none"/>
        </w:rPr>
        <w:t>.10总投标价中不得包含</w:t>
      </w:r>
      <w:r>
        <w:rPr>
          <w:rFonts w:hint="eastAsia" w:ascii="宋体"/>
          <w:color w:val="auto"/>
          <w:szCs w:val="21"/>
          <w:highlight w:val="none"/>
          <w:lang w:eastAsia="zh-CN"/>
        </w:rPr>
        <w:t>采购文件</w:t>
      </w:r>
      <w:r>
        <w:rPr>
          <w:rFonts w:hint="eastAsia" w:ascii="宋体"/>
          <w:color w:val="auto"/>
          <w:szCs w:val="21"/>
          <w:highlight w:val="none"/>
        </w:rPr>
        <w:t>要求以外的内容，否则，在评标时不予核减，但在授予合同时，招标人有权将这部分价格从其中标价格中扣除。</w:t>
      </w:r>
    </w:p>
    <w:p w14:paraId="4B32F6FD">
      <w:pPr>
        <w:shd w:val="clear" w:color="auto" w:fill="auto"/>
        <w:spacing w:line="440" w:lineRule="exact"/>
        <w:ind w:firstLine="408" w:firstLineChars="192"/>
        <w:rPr>
          <w:rFonts w:hint="default" w:ascii="宋体" w:eastAsia="宋体"/>
          <w:color w:val="auto"/>
          <w:szCs w:val="21"/>
          <w:highlight w:val="none"/>
          <w:lang w:val="en-US" w:eastAsia="zh-CN"/>
        </w:rPr>
      </w:pPr>
      <w:r>
        <w:rPr>
          <w:rFonts w:hint="eastAsia" w:ascii="宋体"/>
          <w:color w:val="auto"/>
          <w:szCs w:val="21"/>
          <w:highlight w:val="none"/>
        </w:rPr>
        <w:t>2</w:t>
      </w:r>
      <w:r>
        <w:rPr>
          <w:rFonts w:hint="eastAsia" w:ascii="宋体"/>
          <w:color w:val="auto"/>
          <w:szCs w:val="21"/>
          <w:highlight w:val="none"/>
          <w:lang w:val="en-US" w:eastAsia="zh-CN"/>
        </w:rPr>
        <w:t>1</w:t>
      </w:r>
      <w:r>
        <w:rPr>
          <w:rFonts w:hint="eastAsia" w:ascii="宋体"/>
          <w:color w:val="auto"/>
          <w:szCs w:val="21"/>
          <w:highlight w:val="none"/>
        </w:rPr>
        <w:t>.11总投标价中不得缺漏</w:t>
      </w:r>
      <w:r>
        <w:rPr>
          <w:rFonts w:hint="eastAsia" w:ascii="宋体"/>
          <w:color w:val="auto"/>
          <w:szCs w:val="21"/>
          <w:highlight w:val="none"/>
          <w:lang w:eastAsia="zh-CN"/>
        </w:rPr>
        <w:t>采购文件</w:t>
      </w:r>
      <w:r>
        <w:rPr>
          <w:rFonts w:hint="eastAsia" w:ascii="宋体"/>
          <w:color w:val="auto"/>
          <w:szCs w:val="21"/>
          <w:highlight w:val="none"/>
        </w:rPr>
        <w:t>所要求的内容，否则，评标时将有效投标中该项内容的最高价计入其评标总价，但在授予合同时，缺漏项目的报价视作已含在其他项目的报价中，这些项目将作为免费赠送而包含在合同内。</w:t>
      </w:r>
      <w:r>
        <w:rPr>
          <w:rFonts w:hint="eastAsia" w:ascii="宋体"/>
          <w:color w:val="auto"/>
          <w:szCs w:val="21"/>
          <w:highlight w:val="none"/>
          <w:lang w:val="en-US" w:eastAsia="zh-CN"/>
        </w:rPr>
        <w:t xml:space="preserve">    </w:t>
      </w:r>
    </w:p>
    <w:p w14:paraId="2BA4DE61">
      <w:pPr>
        <w:shd w:val="clear" w:color="auto" w:fill="auto"/>
        <w:spacing w:line="440" w:lineRule="exact"/>
        <w:ind w:firstLine="408" w:firstLineChars="192"/>
        <w:rPr>
          <w:rFonts w:hint="eastAsia" w:ascii="宋体"/>
          <w:color w:val="auto"/>
          <w:szCs w:val="21"/>
          <w:highlight w:val="none"/>
        </w:rPr>
      </w:pPr>
      <w:r>
        <w:rPr>
          <w:rFonts w:hint="eastAsia" w:ascii="宋体"/>
          <w:color w:val="auto"/>
          <w:szCs w:val="21"/>
          <w:highlight w:val="none"/>
        </w:rPr>
        <w:t>2</w:t>
      </w:r>
      <w:r>
        <w:rPr>
          <w:rFonts w:hint="eastAsia" w:ascii="宋体"/>
          <w:color w:val="auto"/>
          <w:szCs w:val="21"/>
          <w:highlight w:val="none"/>
          <w:lang w:val="en-US" w:eastAsia="zh-CN"/>
        </w:rPr>
        <w:t>1</w:t>
      </w:r>
      <w:r>
        <w:rPr>
          <w:rFonts w:hint="eastAsia" w:ascii="宋体"/>
          <w:color w:val="auto"/>
          <w:szCs w:val="21"/>
          <w:highlight w:val="none"/>
        </w:rPr>
        <w:t>.12投标人不得对从第三方采购</w:t>
      </w:r>
      <w:r>
        <w:rPr>
          <w:rFonts w:hint="eastAsia" w:ascii="宋体"/>
          <w:color w:val="auto"/>
          <w:szCs w:val="21"/>
          <w:highlight w:val="none"/>
          <w:lang w:val="en-US" w:eastAsia="zh-CN"/>
        </w:rPr>
        <w:t>货物及服务</w:t>
      </w:r>
      <w:r>
        <w:rPr>
          <w:rFonts w:hint="eastAsia" w:ascii="宋体"/>
          <w:color w:val="auto"/>
          <w:szCs w:val="21"/>
          <w:highlight w:val="none"/>
        </w:rPr>
        <w:t>的随机备品、备件另行收费，否则在计算评标价时这部分费用将不予扣除，在授予合同时将从中标价格中扣除该部分费用。</w:t>
      </w:r>
    </w:p>
    <w:p w14:paraId="505FE944">
      <w:pPr>
        <w:shd w:val="clear" w:color="auto" w:fill="auto"/>
        <w:spacing w:line="440" w:lineRule="exact"/>
        <w:ind w:firstLine="408" w:firstLineChars="192"/>
        <w:rPr>
          <w:rFonts w:hint="eastAsia" w:ascii="宋体"/>
          <w:color w:val="auto"/>
          <w:szCs w:val="21"/>
          <w:highlight w:val="none"/>
        </w:rPr>
      </w:pPr>
      <w:r>
        <w:rPr>
          <w:rFonts w:hint="eastAsia" w:ascii="宋体"/>
          <w:color w:val="auto"/>
          <w:szCs w:val="21"/>
          <w:highlight w:val="none"/>
        </w:rPr>
        <w:t>2</w:t>
      </w:r>
      <w:r>
        <w:rPr>
          <w:rFonts w:hint="eastAsia" w:ascii="宋体"/>
          <w:color w:val="auto"/>
          <w:szCs w:val="21"/>
          <w:highlight w:val="none"/>
          <w:lang w:val="en-US" w:eastAsia="zh-CN"/>
        </w:rPr>
        <w:t>1</w:t>
      </w:r>
      <w:r>
        <w:rPr>
          <w:rFonts w:hint="eastAsia" w:ascii="宋体"/>
          <w:color w:val="auto"/>
          <w:szCs w:val="21"/>
          <w:highlight w:val="none"/>
        </w:rPr>
        <w:t>.13投标人应根据</w:t>
      </w:r>
      <w:r>
        <w:rPr>
          <w:rFonts w:hint="eastAsia" w:ascii="宋体"/>
          <w:color w:val="auto"/>
          <w:szCs w:val="21"/>
          <w:highlight w:val="none"/>
          <w:lang w:val="en-US" w:eastAsia="zh-CN"/>
        </w:rPr>
        <w:t>服务</w:t>
      </w:r>
      <w:r>
        <w:rPr>
          <w:rFonts w:hint="eastAsia" w:ascii="宋体"/>
          <w:color w:val="auto"/>
          <w:szCs w:val="21"/>
          <w:highlight w:val="none"/>
        </w:rPr>
        <w:t>的技术状况列出随机备品备件的清单和数量，并将该备品备件价格计入总投标价，若所提供的产品无需备件，则应在投标文件中说明；无论投标人在报价中列明随机备品备件的数量及价格多少，在质保期内招标人均无需为维护维修保养所需的专用工具和备品备件另行支付费用。</w:t>
      </w:r>
    </w:p>
    <w:p w14:paraId="08A890CE">
      <w:pPr>
        <w:shd w:val="clear" w:color="auto" w:fill="auto"/>
        <w:spacing w:line="440" w:lineRule="exact"/>
        <w:rPr>
          <w:rFonts w:hint="eastAsia" w:ascii="宋体"/>
          <w:b/>
          <w:color w:val="auto"/>
          <w:szCs w:val="21"/>
          <w:highlight w:val="none"/>
        </w:rPr>
      </w:pPr>
      <w:r>
        <w:rPr>
          <w:rFonts w:hint="eastAsia" w:ascii="宋体"/>
          <w:b/>
          <w:color w:val="auto"/>
          <w:szCs w:val="21"/>
          <w:highlight w:val="none"/>
        </w:rPr>
        <w:t>2</w:t>
      </w:r>
      <w:r>
        <w:rPr>
          <w:rFonts w:hint="eastAsia" w:ascii="宋体"/>
          <w:b/>
          <w:color w:val="auto"/>
          <w:szCs w:val="21"/>
          <w:highlight w:val="none"/>
          <w:lang w:val="en-US" w:eastAsia="zh-CN"/>
        </w:rPr>
        <w:t>2</w:t>
      </w:r>
      <w:r>
        <w:rPr>
          <w:rFonts w:hint="eastAsia" w:ascii="宋体"/>
          <w:b/>
          <w:color w:val="auto"/>
          <w:szCs w:val="21"/>
          <w:highlight w:val="none"/>
        </w:rPr>
        <w:t>. 投标有效期</w:t>
      </w:r>
    </w:p>
    <w:p w14:paraId="1AED111D">
      <w:pPr>
        <w:shd w:val="clear" w:color="auto" w:fill="auto"/>
        <w:spacing w:line="440" w:lineRule="exact"/>
        <w:ind w:firstLine="426" w:firstLineChars="200"/>
        <w:rPr>
          <w:rFonts w:hint="eastAsia" w:ascii="宋体"/>
          <w:color w:val="auto"/>
          <w:szCs w:val="21"/>
          <w:highlight w:val="none"/>
        </w:rPr>
      </w:pPr>
      <w:r>
        <w:rPr>
          <w:rFonts w:hint="eastAsia" w:ascii="宋体"/>
          <w:color w:val="auto"/>
          <w:szCs w:val="21"/>
          <w:highlight w:val="none"/>
        </w:rPr>
        <w:t>2</w:t>
      </w:r>
      <w:r>
        <w:rPr>
          <w:rFonts w:hint="eastAsia" w:ascii="宋体"/>
          <w:color w:val="auto"/>
          <w:szCs w:val="21"/>
          <w:highlight w:val="none"/>
          <w:lang w:val="en-US" w:eastAsia="zh-CN"/>
        </w:rPr>
        <w:t>2</w:t>
      </w:r>
      <w:r>
        <w:rPr>
          <w:rFonts w:hint="eastAsia" w:ascii="宋体"/>
          <w:color w:val="auto"/>
          <w:szCs w:val="21"/>
          <w:highlight w:val="none"/>
        </w:rPr>
        <w:t>.1 除投标人须知前附表另有规定外，投标有效期为60天。</w:t>
      </w:r>
    </w:p>
    <w:p w14:paraId="3B959421">
      <w:pPr>
        <w:shd w:val="clear" w:color="auto" w:fill="auto"/>
        <w:spacing w:line="440" w:lineRule="exact"/>
        <w:ind w:firstLine="426" w:firstLineChars="200"/>
        <w:rPr>
          <w:rFonts w:hint="eastAsia" w:ascii="宋体"/>
          <w:color w:val="auto"/>
          <w:szCs w:val="21"/>
          <w:highlight w:val="none"/>
        </w:rPr>
      </w:pPr>
      <w:r>
        <w:rPr>
          <w:rFonts w:hint="eastAsia" w:ascii="宋体"/>
          <w:color w:val="auto"/>
          <w:szCs w:val="21"/>
          <w:highlight w:val="none"/>
        </w:rPr>
        <w:t>2</w:t>
      </w:r>
      <w:r>
        <w:rPr>
          <w:rFonts w:hint="eastAsia" w:ascii="宋体"/>
          <w:color w:val="auto"/>
          <w:szCs w:val="21"/>
          <w:highlight w:val="none"/>
          <w:lang w:val="en-US" w:eastAsia="zh-CN"/>
        </w:rPr>
        <w:t>2</w:t>
      </w:r>
      <w:r>
        <w:rPr>
          <w:rFonts w:hint="eastAsia" w:ascii="宋体"/>
          <w:color w:val="auto"/>
          <w:szCs w:val="21"/>
          <w:highlight w:val="none"/>
        </w:rPr>
        <w:t>.2在投标有效期内，投标人撤销或修改其投标文件的，应承担</w:t>
      </w:r>
      <w:r>
        <w:rPr>
          <w:rFonts w:hint="eastAsia" w:ascii="宋体"/>
          <w:color w:val="auto"/>
          <w:szCs w:val="21"/>
          <w:highlight w:val="none"/>
          <w:lang w:eastAsia="zh-CN"/>
        </w:rPr>
        <w:t>采购文件</w:t>
      </w:r>
      <w:r>
        <w:rPr>
          <w:rFonts w:hint="eastAsia" w:ascii="宋体"/>
          <w:color w:val="auto"/>
          <w:szCs w:val="21"/>
          <w:highlight w:val="none"/>
        </w:rPr>
        <w:t>和法律规定的责任。</w:t>
      </w:r>
    </w:p>
    <w:p w14:paraId="62949429">
      <w:pPr>
        <w:shd w:val="clear" w:color="auto" w:fill="auto"/>
        <w:spacing w:line="440" w:lineRule="exact"/>
        <w:ind w:firstLine="426" w:firstLineChars="200"/>
        <w:rPr>
          <w:rFonts w:hint="eastAsia" w:ascii="宋体"/>
          <w:color w:val="auto"/>
          <w:szCs w:val="21"/>
          <w:highlight w:val="none"/>
        </w:rPr>
      </w:pPr>
      <w:r>
        <w:rPr>
          <w:rFonts w:hint="eastAsia" w:ascii="宋体"/>
          <w:color w:val="auto"/>
          <w:szCs w:val="21"/>
          <w:highlight w:val="none"/>
        </w:rPr>
        <w:t>2</w:t>
      </w:r>
      <w:r>
        <w:rPr>
          <w:rFonts w:hint="eastAsia" w:ascii="宋体"/>
          <w:color w:val="auto"/>
          <w:szCs w:val="21"/>
          <w:highlight w:val="none"/>
          <w:lang w:val="en-US" w:eastAsia="zh-CN"/>
        </w:rPr>
        <w:t>2</w:t>
      </w:r>
      <w:r>
        <w:rPr>
          <w:rFonts w:hint="eastAsia" w:ascii="宋体"/>
          <w:color w:val="auto"/>
          <w:szCs w:val="21"/>
          <w:highlight w:val="none"/>
        </w:rPr>
        <w:t>.3出现特殊情况需要延长投标有效期的，招标人以书面形式通知所有投标人延长投标有效期。投标人同意延长的，应相应延长其投标保证金的有效期，但不得要求或被允许修改或撤销其投标文件；投标人拒绝延长的，其投标失效，但投标人有权收回其投标保证金。</w:t>
      </w:r>
    </w:p>
    <w:p w14:paraId="71C97F08">
      <w:pPr>
        <w:shd w:val="clear" w:color="auto" w:fill="auto"/>
        <w:spacing w:line="440" w:lineRule="exact"/>
        <w:rPr>
          <w:rFonts w:hint="eastAsia" w:ascii="宋体"/>
          <w:b/>
          <w:color w:val="auto"/>
          <w:szCs w:val="21"/>
          <w:highlight w:val="none"/>
        </w:rPr>
      </w:pPr>
      <w:r>
        <w:rPr>
          <w:rFonts w:hint="eastAsia" w:ascii="宋体"/>
          <w:b/>
          <w:color w:val="auto"/>
          <w:szCs w:val="21"/>
          <w:highlight w:val="none"/>
        </w:rPr>
        <w:t>2</w:t>
      </w:r>
      <w:r>
        <w:rPr>
          <w:rFonts w:hint="eastAsia" w:ascii="宋体"/>
          <w:b/>
          <w:color w:val="auto"/>
          <w:szCs w:val="21"/>
          <w:highlight w:val="none"/>
          <w:lang w:val="en-US" w:eastAsia="zh-CN"/>
        </w:rPr>
        <w:t>3</w:t>
      </w:r>
      <w:r>
        <w:rPr>
          <w:rFonts w:hint="eastAsia" w:ascii="宋体"/>
          <w:b/>
          <w:color w:val="auto"/>
          <w:szCs w:val="21"/>
          <w:highlight w:val="none"/>
        </w:rPr>
        <w:t>. 投标保证金</w:t>
      </w:r>
    </w:p>
    <w:p w14:paraId="3D8B89EB">
      <w:pPr>
        <w:shd w:val="clear" w:color="auto" w:fill="auto"/>
        <w:spacing w:line="400" w:lineRule="exact"/>
        <w:ind w:firstLine="426" w:firstLineChars="200"/>
        <w:rPr>
          <w:rFonts w:hint="eastAsia" w:ascii="宋体"/>
          <w:color w:val="auto"/>
          <w:szCs w:val="21"/>
          <w:highlight w:val="none"/>
        </w:rPr>
      </w:pPr>
      <w:r>
        <w:rPr>
          <w:rFonts w:hint="eastAsia" w:ascii="宋体"/>
          <w:color w:val="auto"/>
          <w:szCs w:val="21"/>
          <w:highlight w:val="none"/>
        </w:rPr>
        <w:t>2</w:t>
      </w:r>
      <w:r>
        <w:rPr>
          <w:rFonts w:hint="eastAsia" w:ascii="宋体"/>
          <w:color w:val="auto"/>
          <w:szCs w:val="21"/>
          <w:highlight w:val="none"/>
          <w:lang w:val="en-US" w:eastAsia="zh-CN"/>
        </w:rPr>
        <w:t>3</w:t>
      </w:r>
      <w:r>
        <w:rPr>
          <w:rFonts w:hint="eastAsia" w:ascii="宋体"/>
          <w:color w:val="auto"/>
          <w:szCs w:val="21"/>
          <w:highlight w:val="none"/>
        </w:rPr>
        <w:t>.1投标人须知前附表规定递交投标保证金的，投标人在递交投标文件的同时，应按投标人须知前附表规定的金额、担保形式和第六章“投标文件格式”规定的投标保证金格式递交投标保证金，并作为其投标文件的组成部分。投标人不按要求提交投标保证金的，评标委员会将否决其投标。</w:t>
      </w:r>
    </w:p>
    <w:p w14:paraId="4B8918DD">
      <w:pPr>
        <w:shd w:val="clear" w:color="auto" w:fill="auto"/>
        <w:spacing w:line="400" w:lineRule="exact"/>
        <w:ind w:firstLine="426" w:firstLineChars="200"/>
        <w:rPr>
          <w:rFonts w:hint="eastAsia" w:ascii="宋体"/>
          <w:color w:val="auto"/>
          <w:szCs w:val="21"/>
          <w:highlight w:val="none"/>
        </w:rPr>
      </w:pPr>
      <w:r>
        <w:rPr>
          <w:rFonts w:hint="eastAsia" w:ascii="宋体"/>
          <w:color w:val="auto"/>
          <w:szCs w:val="21"/>
          <w:highlight w:val="none"/>
        </w:rPr>
        <w:t>2</w:t>
      </w:r>
      <w:r>
        <w:rPr>
          <w:rFonts w:hint="eastAsia" w:ascii="宋体"/>
          <w:color w:val="auto"/>
          <w:szCs w:val="21"/>
          <w:highlight w:val="none"/>
          <w:lang w:val="en-US" w:eastAsia="zh-CN"/>
        </w:rPr>
        <w:t>3</w:t>
      </w:r>
      <w:r>
        <w:rPr>
          <w:rFonts w:hint="eastAsia" w:ascii="宋体"/>
          <w:color w:val="auto"/>
          <w:szCs w:val="21"/>
          <w:highlight w:val="none"/>
        </w:rPr>
        <w:t>.2自中标通知书发出之日起5个工作日内退还未中标投标人的投标保证金，自政府采购合同签订之日起5个工作日内退还中标人的投标保证金。</w:t>
      </w:r>
    </w:p>
    <w:p w14:paraId="6401F7A8">
      <w:pPr>
        <w:shd w:val="clear" w:color="auto" w:fill="auto"/>
        <w:spacing w:line="400" w:lineRule="exact"/>
        <w:ind w:firstLine="426" w:firstLineChars="200"/>
        <w:rPr>
          <w:rFonts w:hint="eastAsia" w:ascii="宋体"/>
          <w:color w:val="auto"/>
          <w:szCs w:val="21"/>
          <w:highlight w:val="none"/>
        </w:rPr>
      </w:pPr>
      <w:r>
        <w:rPr>
          <w:rFonts w:hint="eastAsia" w:ascii="宋体"/>
          <w:color w:val="auto"/>
          <w:szCs w:val="21"/>
          <w:highlight w:val="none"/>
        </w:rPr>
        <w:t>2</w:t>
      </w:r>
      <w:r>
        <w:rPr>
          <w:rFonts w:hint="eastAsia" w:ascii="宋体"/>
          <w:color w:val="auto"/>
          <w:szCs w:val="21"/>
          <w:highlight w:val="none"/>
          <w:lang w:val="en-US" w:eastAsia="zh-CN"/>
        </w:rPr>
        <w:t>3</w:t>
      </w:r>
      <w:r>
        <w:rPr>
          <w:rFonts w:hint="eastAsia" w:ascii="宋体"/>
          <w:color w:val="auto"/>
          <w:szCs w:val="21"/>
          <w:highlight w:val="none"/>
        </w:rPr>
        <w:t xml:space="preserve">.3有下列情形之一的，投标保证金将不予退还： </w:t>
      </w:r>
    </w:p>
    <w:p w14:paraId="274C9B86">
      <w:pPr>
        <w:shd w:val="clear" w:color="auto" w:fill="auto"/>
        <w:spacing w:line="400" w:lineRule="exact"/>
        <w:ind w:firstLine="426" w:firstLineChars="200"/>
        <w:rPr>
          <w:rFonts w:hint="eastAsia" w:ascii="宋体"/>
          <w:color w:val="auto"/>
          <w:szCs w:val="21"/>
          <w:highlight w:val="none"/>
        </w:rPr>
      </w:pPr>
      <w:r>
        <w:rPr>
          <w:rFonts w:hint="eastAsia" w:ascii="宋体"/>
          <w:color w:val="auto"/>
          <w:szCs w:val="21"/>
          <w:highlight w:val="none"/>
        </w:rPr>
        <w:t>（1）投标人在规定的投标有效期内撤回或修改其投标文件；</w:t>
      </w:r>
    </w:p>
    <w:p w14:paraId="2039E65E">
      <w:pPr>
        <w:shd w:val="clear" w:color="auto" w:fill="auto"/>
        <w:spacing w:line="400" w:lineRule="exact"/>
        <w:ind w:firstLine="426" w:firstLineChars="200"/>
        <w:rPr>
          <w:rFonts w:hint="eastAsia" w:ascii="宋体"/>
          <w:color w:val="auto"/>
          <w:szCs w:val="21"/>
          <w:highlight w:val="none"/>
        </w:rPr>
      </w:pPr>
      <w:r>
        <w:rPr>
          <w:rFonts w:hint="eastAsia" w:ascii="宋体"/>
          <w:color w:val="auto"/>
          <w:szCs w:val="21"/>
          <w:highlight w:val="none"/>
        </w:rPr>
        <w:t>（2）中标通知书发出后三十天内，中标人无正当理由拒签合同协议书或未按</w:t>
      </w:r>
      <w:r>
        <w:rPr>
          <w:rFonts w:hint="eastAsia" w:ascii="宋体"/>
          <w:color w:val="auto"/>
          <w:szCs w:val="21"/>
          <w:highlight w:val="none"/>
          <w:lang w:eastAsia="zh-CN"/>
        </w:rPr>
        <w:t>采购文件</w:t>
      </w:r>
      <w:r>
        <w:rPr>
          <w:rFonts w:hint="eastAsia" w:ascii="宋体"/>
          <w:color w:val="auto"/>
          <w:szCs w:val="21"/>
          <w:highlight w:val="none"/>
        </w:rPr>
        <w:t>规定提交履约担保。</w:t>
      </w:r>
    </w:p>
    <w:p w14:paraId="21DC1BE0">
      <w:pPr>
        <w:shd w:val="clear" w:color="auto" w:fill="auto"/>
        <w:spacing w:line="400" w:lineRule="exact"/>
        <w:ind w:firstLine="426" w:firstLineChars="200"/>
        <w:rPr>
          <w:rFonts w:hint="eastAsia" w:ascii="宋体"/>
          <w:color w:val="auto"/>
          <w:szCs w:val="21"/>
          <w:highlight w:val="none"/>
        </w:rPr>
      </w:pPr>
      <w:r>
        <w:rPr>
          <w:rFonts w:hint="eastAsia" w:ascii="宋体"/>
          <w:color w:val="auto"/>
          <w:szCs w:val="21"/>
          <w:highlight w:val="none"/>
        </w:rPr>
        <w:t>（3）提供虚假材料谋取中标的；</w:t>
      </w:r>
    </w:p>
    <w:p w14:paraId="3B602EE6">
      <w:pPr>
        <w:shd w:val="clear" w:color="auto" w:fill="auto"/>
        <w:spacing w:line="400" w:lineRule="exact"/>
        <w:ind w:firstLine="426" w:firstLineChars="200"/>
        <w:rPr>
          <w:rFonts w:hint="eastAsia" w:ascii="宋体"/>
          <w:color w:val="auto"/>
          <w:szCs w:val="21"/>
          <w:highlight w:val="none"/>
        </w:rPr>
      </w:pPr>
      <w:r>
        <w:rPr>
          <w:rFonts w:hint="eastAsia" w:ascii="宋体"/>
          <w:color w:val="auto"/>
          <w:szCs w:val="21"/>
          <w:highlight w:val="none"/>
        </w:rPr>
        <w:t>（4）经查实属于陪标、串通投标的等。</w:t>
      </w:r>
    </w:p>
    <w:p w14:paraId="7D7A43DC">
      <w:pPr>
        <w:shd w:val="clear" w:color="auto" w:fill="auto"/>
        <w:spacing w:line="400" w:lineRule="exact"/>
        <w:ind w:firstLine="426" w:firstLineChars="200"/>
        <w:rPr>
          <w:rFonts w:hint="eastAsia" w:ascii="宋体"/>
          <w:color w:val="auto"/>
          <w:szCs w:val="21"/>
          <w:highlight w:val="none"/>
        </w:rPr>
      </w:pPr>
      <w:bookmarkStart w:id="31" w:name="_Toc469495727"/>
      <w:r>
        <w:rPr>
          <w:rFonts w:hint="eastAsia" w:ascii="宋体"/>
          <w:color w:val="auto"/>
          <w:szCs w:val="21"/>
          <w:highlight w:val="none"/>
        </w:rPr>
        <w:t>2</w:t>
      </w:r>
      <w:r>
        <w:rPr>
          <w:rFonts w:hint="eastAsia" w:ascii="宋体"/>
          <w:color w:val="auto"/>
          <w:szCs w:val="21"/>
          <w:highlight w:val="none"/>
          <w:lang w:val="en-US" w:eastAsia="zh-CN"/>
        </w:rPr>
        <w:t>3</w:t>
      </w:r>
      <w:r>
        <w:rPr>
          <w:rFonts w:hint="eastAsia" w:ascii="宋体"/>
          <w:color w:val="auto"/>
          <w:szCs w:val="21"/>
          <w:highlight w:val="none"/>
        </w:rPr>
        <w:t>.4投标保证金按</w:t>
      </w:r>
      <w:r>
        <w:rPr>
          <w:rFonts w:hint="eastAsia" w:ascii="宋体"/>
          <w:color w:val="auto"/>
          <w:szCs w:val="21"/>
          <w:highlight w:val="none"/>
          <w:lang w:eastAsia="zh-CN"/>
        </w:rPr>
        <w:t>投标人须知前附表第</w:t>
      </w:r>
      <w:r>
        <w:rPr>
          <w:rFonts w:hint="eastAsia" w:ascii="宋体"/>
          <w:color w:val="auto"/>
          <w:szCs w:val="21"/>
          <w:highlight w:val="none"/>
          <w:lang w:val="en-US" w:eastAsia="zh-CN"/>
        </w:rPr>
        <w:t>24条</w:t>
      </w:r>
      <w:r>
        <w:rPr>
          <w:rFonts w:hint="eastAsia" w:ascii="宋体"/>
          <w:color w:val="auto"/>
          <w:szCs w:val="21"/>
          <w:highlight w:val="none"/>
        </w:rPr>
        <w:t>规定执行。</w:t>
      </w:r>
    </w:p>
    <w:p w14:paraId="4E72C06E">
      <w:pPr>
        <w:pStyle w:val="3"/>
        <w:shd w:val="clear" w:color="auto" w:fill="auto"/>
        <w:bidi w:val="0"/>
        <w:jc w:val="center"/>
        <w:rPr>
          <w:rFonts w:hint="eastAsia"/>
          <w:color w:val="auto"/>
          <w:sz w:val="28"/>
          <w:szCs w:val="28"/>
          <w:highlight w:val="none"/>
        </w:rPr>
      </w:pPr>
      <w:r>
        <w:rPr>
          <w:rFonts w:hint="eastAsia"/>
          <w:color w:val="auto"/>
          <w:sz w:val="28"/>
          <w:szCs w:val="28"/>
          <w:highlight w:val="none"/>
        </w:rPr>
        <w:t>（四）</w:t>
      </w:r>
      <w:bookmarkEnd w:id="31"/>
      <w:r>
        <w:rPr>
          <w:rFonts w:hint="eastAsia"/>
          <w:color w:val="auto"/>
          <w:sz w:val="28"/>
          <w:szCs w:val="28"/>
          <w:highlight w:val="none"/>
        </w:rPr>
        <w:t>投标文件的制作、上传及递交要求</w:t>
      </w:r>
    </w:p>
    <w:p w14:paraId="05A8F1E8">
      <w:pPr>
        <w:shd w:val="clear" w:color="auto" w:fill="auto"/>
        <w:snapToGrid w:val="0"/>
        <w:spacing w:line="360" w:lineRule="auto"/>
        <w:rPr>
          <w:rFonts w:hint="eastAsia" w:ascii="宋体" w:hAnsi="宋体" w:eastAsia="宋体" w:cs="宋体"/>
          <w:b/>
          <w:color w:val="auto"/>
          <w:sz w:val="21"/>
          <w:szCs w:val="21"/>
          <w:highlight w:val="none"/>
        </w:rPr>
      </w:pPr>
      <w:r>
        <w:rPr>
          <w:rFonts w:hint="eastAsia" w:ascii="宋体" w:hAnsi="宋体" w:eastAsia="宋体" w:cs="宋体"/>
          <w:b/>
          <w:bCs/>
          <w:color w:val="auto"/>
          <w:sz w:val="21"/>
          <w:szCs w:val="21"/>
          <w:highlight w:val="none"/>
          <w:lang w:val="en-US" w:eastAsia="zh-CN"/>
        </w:rPr>
        <w:t>24.</w:t>
      </w:r>
      <w:r>
        <w:rPr>
          <w:rFonts w:hint="eastAsia" w:ascii="宋体" w:hAnsi="宋体" w:eastAsia="宋体" w:cs="宋体"/>
          <w:b/>
          <w:bCs/>
          <w:color w:val="auto"/>
          <w:sz w:val="21"/>
          <w:szCs w:val="21"/>
          <w:highlight w:val="none"/>
        </w:rPr>
        <w:t>投标文件的制作要求</w:t>
      </w:r>
    </w:p>
    <w:p w14:paraId="53314657">
      <w:pPr>
        <w:pStyle w:val="7"/>
        <w:shd w:val="clear" w:color="auto" w:fill="auto"/>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b w:val="0"/>
          <w:bCs/>
          <w:color w:val="auto"/>
          <w:sz w:val="21"/>
          <w:szCs w:val="21"/>
          <w:highlight w:val="none"/>
        </w:rPr>
        <w:t>（1）供应商应按照投标文件组成内容及项目招标需求和</w:t>
      </w:r>
      <w:r>
        <w:rPr>
          <w:rFonts w:hint="eastAsia" w:ascii="宋体" w:hAnsi="宋体" w:eastAsia="宋体" w:cs="宋体"/>
          <w:b w:val="0"/>
          <w:bCs/>
          <w:color w:val="auto"/>
          <w:sz w:val="21"/>
          <w:szCs w:val="21"/>
          <w:highlight w:val="none"/>
          <w:lang w:eastAsia="zh-CN"/>
        </w:rPr>
        <w:t>新疆</w:t>
      </w:r>
      <w:r>
        <w:rPr>
          <w:rFonts w:hint="eastAsia" w:ascii="宋体" w:hAnsi="宋体" w:eastAsia="宋体" w:cs="宋体"/>
          <w:b w:val="0"/>
          <w:bCs/>
          <w:color w:val="auto"/>
          <w:sz w:val="21"/>
          <w:szCs w:val="21"/>
          <w:highlight w:val="none"/>
        </w:rPr>
        <w:t>政府采购云平台要求制作投标文件，不按采购文件和</w:t>
      </w:r>
      <w:r>
        <w:rPr>
          <w:rFonts w:hint="eastAsia" w:ascii="宋体" w:hAnsi="宋体" w:eastAsia="宋体" w:cs="宋体"/>
          <w:b w:val="0"/>
          <w:bCs/>
          <w:color w:val="auto"/>
          <w:sz w:val="21"/>
          <w:szCs w:val="21"/>
          <w:highlight w:val="none"/>
          <w:lang w:eastAsia="zh-CN"/>
        </w:rPr>
        <w:t>新疆</w:t>
      </w:r>
      <w:r>
        <w:rPr>
          <w:rFonts w:hint="eastAsia" w:ascii="宋体" w:hAnsi="宋体" w:eastAsia="宋体" w:cs="宋体"/>
          <w:b w:val="0"/>
          <w:bCs/>
          <w:color w:val="auto"/>
          <w:sz w:val="21"/>
          <w:szCs w:val="21"/>
          <w:highlight w:val="none"/>
        </w:rPr>
        <w:t>政府采购云平台要求制作投标文件的将视情况处理（拒收等），由此产生的责任由供应商自行承担。</w:t>
      </w:r>
    </w:p>
    <w:p w14:paraId="58EE54FA">
      <w:pPr>
        <w:pStyle w:val="7"/>
        <w:shd w:val="clear" w:color="auto" w:fill="auto"/>
        <w:snapToGrid w:val="0"/>
        <w:spacing w:line="360" w:lineRule="auto"/>
        <w:ind w:firstLine="426" w:firstLineChars="200"/>
        <w:rPr>
          <w:rFonts w:hint="eastAsia" w:ascii="宋体" w:hAnsi="宋体" w:eastAsia="宋体" w:cs="宋体"/>
          <w:b w:val="0"/>
          <w:color w:val="auto"/>
          <w:sz w:val="21"/>
          <w:szCs w:val="21"/>
          <w:highlight w:val="none"/>
        </w:rPr>
      </w:pPr>
      <w:r>
        <w:rPr>
          <w:rFonts w:hint="eastAsia" w:ascii="宋体" w:hAnsi="宋体" w:eastAsia="宋体" w:cs="宋体"/>
          <w:bCs/>
          <w:color w:val="auto"/>
          <w:sz w:val="21"/>
          <w:szCs w:val="21"/>
          <w:highlight w:val="none"/>
        </w:rPr>
        <w:t>电子投标文件部分：供应商应根据“政采云供应商项目采购-电子招投标操作指南”及本采购文件规定的格式和顺序编制电子投标文件并进行关联定位。本文件《第六章 投标文件格式》中有提供格式的，供应商应按照格式进行编制（格式中要求提供相关证明材料的还需后附相关证明材料），并按格式要求在指定位置根据要求进行签章，否则视为未提供；本文件《第六章投标文件格式》未提供格式的，请供应商自行拟定格式，并加盖单位公章，否则视为未提供。</w:t>
      </w:r>
    </w:p>
    <w:p w14:paraId="1CB6C1EF">
      <w:pPr>
        <w:pStyle w:val="7"/>
        <w:shd w:val="clear" w:color="auto" w:fill="auto"/>
        <w:snapToGrid w:val="0"/>
        <w:spacing w:line="360" w:lineRule="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（2）供应商应对所提供的全部资料的真实性、有效性承担法律责任，电子投标文件中所须加盖公章部分均采用CA签章。</w:t>
      </w:r>
    </w:p>
    <w:p w14:paraId="059757FE">
      <w:pPr>
        <w:pStyle w:val="7"/>
        <w:shd w:val="clear" w:color="auto" w:fill="auto"/>
        <w:snapToGrid w:val="0"/>
        <w:spacing w:line="360" w:lineRule="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（3）投标文件以及供应商与采购组织机构就有关投标事宜的所有来往函电，均应以中文汉语书写。除签字、盖章、专用名称等特殊情形外，以中文汉语以外的文字表述的投标文件视同未提供。</w:t>
      </w:r>
    </w:p>
    <w:p w14:paraId="168B9CD8">
      <w:pPr>
        <w:pStyle w:val="7"/>
        <w:shd w:val="clear" w:color="auto" w:fill="auto"/>
        <w:snapToGrid w:val="0"/>
        <w:spacing w:line="360" w:lineRule="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（4）投标计量单位，采购文件已有明确规定的，使用采购文件规定的计量单位；采购文件没有规定的，应采用中华人民共和国法定计量单位（货币单位：人民币元）。</w:t>
      </w:r>
    </w:p>
    <w:p w14:paraId="1BC5A4ED">
      <w:pPr>
        <w:pStyle w:val="7"/>
        <w:shd w:val="clear" w:color="auto" w:fill="auto"/>
        <w:snapToGrid w:val="0"/>
        <w:spacing w:line="360" w:lineRule="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（5）若供应商不按采购文件的要求提供资格审查材料，其风险由供应商自行承担。</w:t>
      </w:r>
    </w:p>
    <w:p w14:paraId="62D2B444">
      <w:pPr>
        <w:pStyle w:val="7"/>
        <w:shd w:val="clear" w:color="auto" w:fill="auto"/>
        <w:snapToGrid w:val="0"/>
        <w:spacing w:line="360" w:lineRule="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（6）与本次投标无关的内容请不要制作在内，确保投标文件有针对性、简洁明了。</w:t>
      </w:r>
    </w:p>
    <w:p w14:paraId="0975C218">
      <w:pPr>
        <w:shd w:val="clear" w:color="auto" w:fill="auto"/>
        <w:snapToGrid w:val="0"/>
        <w:spacing w:line="360" w:lineRule="auto"/>
        <w:rPr>
          <w:rFonts w:hint="eastAsia" w:ascii="宋体" w:hAnsi="宋体" w:eastAsia="宋体" w:cs="宋体"/>
          <w:b/>
          <w:color w:val="auto"/>
          <w:sz w:val="21"/>
          <w:szCs w:val="21"/>
          <w:highlight w:val="none"/>
        </w:rPr>
      </w:pPr>
      <w:r>
        <w:rPr>
          <w:rFonts w:hint="eastAsia" w:ascii="宋体" w:hAnsi="宋体" w:eastAsia="宋体" w:cs="宋体"/>
          <w:b/>
          <w:bCs/>
          <w:color w:val="auto"/>
          <w:sz w:val="21"/>
          <w:szCs w:val="21"/>
          <w:highlight w:val="none"/>
          <w:lang w:val="en-US" w:eastAsia="zh-CN"/>
        </w:rPr>
        <w:t>25.</w:t>
      </w:r>
      <w:r>
        <w:rPr>
          <w:rFonts w:hint="eastAsia" w:ascii="宋体" w:hAnsi="宋体" w:eastAsia="宋体" w:cs="宋体"/>
          <w:b/>
          <w:bCs/>
          <w:color w:val="auto"/>
          <w:sz w:val="21"/>
          <w:szCs w:val="21"/>
          <w:highlight w:val="none"/>
        </w:rPr>
        <w:t>投标文件的上传</w:t>
      </w:r>
    </w:p>
    <w:p w14:paraId="1DAE6AE4">
      <w:pPr>
        <w:pStyle w:val="7"/>
        <w:shd w:val="clear" w:color="auto" w:fill="auto"/>
        <w:snapToGrid w:val="0"/>
        <w:spacing w:line="360"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（1）</w:t>
      </w:r>
      <w:r>
        <w:rPr>
          <w:rFonts w:hint="eastAsia" w:ascii="宋体" w:hAnsi="宋体" w:eastAsia="宋体" w:cs="宋体"/>
          <w:b/>
          <w:bCs/>
          <w:color w:val="auto"/>
          <w:sz w:val="21"/>
          <w:szCs w:val="21"/>
          <w:highlight w:val="none"/>
          <w:lang w:bidi="zh-CN"/>
        </w:rPr>
        <w:t>电子加密投标文件（“.jmbs”格式）</w:t>
      </w:r>
      <w:r>
        <w:rPr>
          <w:rFonts w:hint="eastAsia" w:ascii="宋体" w:hAnsi="宋体" w:eastAsia="宋体" w:cs="宋体"/>
          <w:b/>
          <w:bCs/>
          <w:color w:val="auto"/>
          <w:sz w:val="21"/>
          <w:szCs w:val="21"/>
          <w:highlight w:val="none"/>
        </w:rPr>
        <w:t>：</w:t>
      </w:r>
    </w:p>
    <w:p w14:paraId="584BD8C0">
      <w:pPr>
        <w:pStyle w:val="7"/>
        <w:shd w:val="clear" w:color="auto" w:fill="auto"/>
        <w:snapToGrid w:val="0"/>
        <w:spacing w:line="360" w:lineRule="auto"/>
        <w:ind w:firstLine="532" w:firstLineChars="250"/>
        <w:rPr>
          <w:rFonts w:hint="eastAsia" w:ascii="宋体" w:hAnsi="宋体" w:eastAsia="宋体" w:cs="宋体"/>
          <w:b w:val="0"/>
          <w:bCs/>
          <w:color w:val="auto"/>
          <w:sz w:val="21"/>
          <w:szCs w:val="21"/>
          <w:highlight w:val="none"/>
          <w:lang w:bidi="zh-CN"/>
        </w:rPr>
      </w:pPr>
      <w:r>
        <w:rPr>
          <w:rFonts w:hint="eastAsia" w:ascii="宋体" w:hAnsi="宋体" w:eastAsia="宋体" w:cs="宋体"/>
          <w:b w:val="0"/>
          <w:bCs/>
          <w:color w:val="auto"/>
          <w:sz w:val="21"/>
          <w:szCs w:val="21"/>
          <w:highlight w:val="none"/>
          <w:lang w:bidi="zh-CN"/>
        </w:rPr>
        <w:t>a.</w:t>
      </w:r>
      <w:r>
        <w:rPr>
          <w:rFonts w:hint="eastAsia" w:ascii="宋体" w:hAnsi="宋体" w:eastAsia="宋体" w:cs="宋体"/>
          <w:b w:val="0"/>
          <w:bCs/>
          <w:color w:val="auto"/>
          <w:kern w:val="0"/>
          <w:sz w:val="21"/>
          <w:szCs w:val="21"/>
          <w:highlight w:val="none"/>
        </w:rPr>
        <w:t xml:space="preserve"> </w:t>
      </w:r>
      <w:r>
        <w:rPr>
          <w:rFonts w:hint="eastAsia" w:ascii="宋体" w:hAnsi="宋体" w:eastAsia="宋体" w:cs="宋体"/>
          <w:b w:val="0"/>
          <w:bCs/>
          <w:color w:val="auto"/>
          <w:sz w:val="21"/>
          <w:szCs w:val="21"/>
          <w:highlight w:val="none"/>
          <w:lang w:bidi="zh-CN"/>
        </w:rPr>
        <w:t>供应商应在投标截止时间前将电子加密投标文件成功上传递交至新疆政府采购云平台，否则投标无效；</w:t>
      </w:r>
    </w:p>
    <w:p w14:paraId="0A5B787C">
      <w:pPr>
        <w:pStyle w:val="7"/>
        <w:shd w:val="clear" w:color="auto" w:fill="auto"/>
        <w:snapToGrid w:val="0"/>
        <w:spacing w:line="360" w:lineRule="auto"/>
        <w:ind w:firstLine="532" w:firstLineChars="250"/>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bidi="zh-CN"/>
        </w:rPr>
        <w:t>b.供应商成功上传电子加密投标文件后，可自行打印投标文件接收回执。</w:t>
      </w:r>
    </w:p>
    <w:p w14:paraId="3883066A">
      <w:pPr>
        <w:shd w:val="clear" w:color="auto" w:fill="auto"/>
        <w:snapToGrid w:val="0"/>
        <w:spacing w:line="360" w:lineRule="auto"/>
        <w:rPr>
          <w:rFonts w:hint="eastAsia" w:ascii="宋体" w:hAnsi="宋体" w:eastAsia="宋体" w:cs="宋体"/>
          <w:b/>
          <w:color w:val="auto"/>
          <w:sz w:val="21"/>
          <w:szCs w:val="21"/>
          <w:highlight w:val="none"/>
        </w:rPr>
      </w:pPr>
      <w:r>
        <w:rPr>
          <w:rFonts w:hint="eastAsia" w:ascii="宋体" w:hAnsi="宋体" w:eastAsia="宋体" w:cs="宋体"/>
          <w:b/>
          <w:bCs/>
          <w:color w:val="auto"/>
          <w:sz w:val="21"/>
          <w:szCs w:val="21"/>
          <w:highlight w:val="none"/>
          <w:lang w:val="en-US" w:eastAsia="zh-CN"/>
        </w:rPr>
        <w:t>26.</w:t>
      </w:r>
      <w:r>
        <w:rPr>
          <w:rFonts w:hint="eastAsia" w:ascii="宋体" w:hAnsi="宋体" w:eastAsia="宋体" w:cs="宋体"/>
          <w:b/>
          <w:color w:val="auto"/>
          <w:sz w:val="21"/>
          <w:szCs w:val="21"/>
          <w:highlight w:val="none"/>
        </w:rPr>
        <w:t>投标文件的递交要求</w:t>
      </w:r>
    </w:p>
    <w:p w14:paraId="36317C44">
      <w:pPr>
        <w:shd w:val="clear" w:color="auto" w:fill="auto"/>
        <w:snapToGrid w:val="0"/>
        <w:spacing w:line="360" w:lineRule="auto"/>
        <w:ind w:firstLine="426"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（1）供应商须按照采购文件和政采云平台的要求编制并加密投标文件。在投标文件递交截止时间以前完成投标文件的传输递交，截止时间后递交的投标文件，将被拒收。</w:t>
      </w:r>
    </w:p>
    <w:p w14:paraId="5896E9D2">
      <w:pPr>
        <w:shd w:val="clear" w:color="auto" w:fill="auto"/>
        <w:tabs>
          <w:tab w:val="left" w:pos="1418"/>
        </w:tabs>
        <w:autoSpaceDE w:val="0"/>
        <w:autoSpaceDN w:val="0"/>
        <w:adjustRightInd w:val="0"/>
        <w:snapToGrid w:val="0"/>
        <w:spacing w:line="360" w:lineRule="auto"/>
        <w:ind w:firstLine="426"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）如有特殊情况，采购组织机构延长截止时间和开标时间，采购组织机构和供应商的权利和义务将受到新的截止时间和开标时间的约束。</w:t>
      </w:r>
    </w:p>
    <w:p w14:paraId="23B7E9AE">
      <w:pPr>
        <w:shd w:val="clear" w:color="auto" w:fill="auto"/>
        <w:tabs>
          <w:tab w:val="left" w:pos="1418"/>
        </w:tabs>
        <w:autoSpaceDE w:val="0"/>
        <w:autoSpaceDN w:val="0"/>
        <w:adjustRightInd w:val="0"/>
        <w:snapToGrid w:val="0"/>
        <w:spacing w:line="360" w:lineRule="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27．投标文件的补充、修改与撤回</w:t>
      </w:r>
    </w:p>
    <w:p w14:paraId="13D67AEA">
      <w:pPr>
        <w:shd w:val="clear" w:color="auto" w:fill="auto"/>
        <w:tabs>
          <w:tab w:val="left" w:pos="960"/>
          <w:tab w:val="left" w:pos="1418"/>
        </w:tabs>
        <w:autoSpaceDE w:val="0"/>
        <w:autoSpaceDN w:val="0"/>
        <w:adjustRightInd w:val="0"/>
        <w:snapToGrid w:val="0"/>
        <w:spacing w:line="360" w:lineRule="auto"/>
        <w:ind w:firstLine="426"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应当在投标截止时间前完成电子交易文件的传输递交，投标截止时间前可以补充、修改或者撤回电子交易文件。补充或者修改电子交易文件的，应当先行撤回原文件，补充、修改后重新传输递交。投标截止时间前未完成传输的，视为投标文件撤回。投标截止时间后传输递交的投标文件，“政府采购云平台”将予以拒收。投标截止时间后，供应商不得修改（补充）或撤回其投标文件。</w:t>
      </w:r>
    </w:p>
    <w:p w14:paraId="7D6DC47D">
      <w:pPr>
        <w:keepNext w:val="0"/>
        <w:keepLines w:val="0"/>
        <w:pageBreakBefore w:val="0"/>
        <w:widowControl w:val="0"/>
        <w:shd w:val="clear" w:color="auto" w:fill="auto"/>
        <w:kinsoku/>
        <w:wordWrap/>
        <w:overflowPunct/>
        <w:topLinePunct w:val="0"/>
        <w:autoSpaceDE/>
        <w:autoSpaceDN/>
        <w:bidi w:val="0"/>
        <w:adjustRightInd/>
        <w:snapToGrid/>
        <w:spacing w:before="313" w:beforeLines="100" w:after="313" w:afterLines="100" w:line="440" w:lineRule="exact"/>
        <w:jc w:val="center"/>
        <w:textAlignment w:val="auto"/>
        <w:outlineLvl w:val="2"/>
        <w:rPr>
          <w:rFonts w:hint="eastAsia" w:ascii="黑体" w:eastAsia="黑体"/>
          <w:color w:val="auto"/>
          <w:sz w:val="28"/>
          <w:szCs w:val="28"/>
          <w:highlight w:val="none"/>
        </w:rPr>
      </w:pPr>
      <w:bookmarkStart w:id="32" w:name="_Toc469495728"/>
      <w:r>
        <w:rPr>
          <w:rFonts w:hint="eastAsia" w:ascii="黑体" w:eastAsia="黑体"/>
          <w:color w:val="auto"/>
          <w:sz w:val="28"/>
          <w:szCs w:val="28"/>
          <w:highlight w:val="none"/>
        </w:rPr>
        <w:t>（五）开 标、评标和定标</w:t>
      </w:r>
      <w:bookmarkEnd w:id="32"/>
    </w:p>
    <w:p w14:paraId="0C8C8BE1">
      <w:pPr>
        <w:shd w:val="clear" w:color="auto" w:fill="auto"/>
        <w:snapToGrid w:val="0"/>
        <w:spacing w:line="360" w:lineRule="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28. 开标</w:t>
      </w:r>
    </w:p>
    <w:p w14:paraId="127423E2">
      <w:pPr>
        <w:shd w:val="clear" w:color="auto" w:fill="auto"/>
        <w:snapToGrid w:val="0"/>
        <w:spacing w:line="360" w:lineRule="auto"/>
        <w:rPr>
          <w:rFonts w:hint="eastAsia" w:ascii="宋体" w:hAnsi="宋体" w:eastAsia="宋体" w:cs="宋体"/>
          <w:b/>
          <w:bCs/>
          <w:color w:val="auto"/>
          <w:sz w:val="21"/>
          <w:szCs w:val="21"/>
          <w:highlight w:val="none"/>
          <w:lang w:val="en-US" w:eastAsia="zh-CN"/>
        </w:rPr>
      </w:pPr>
      <w:bookmarkStart w:id="33" w:name="_Toc73975822"/>
      <w:r>
        <w:rPr>
          <w:rFonts w:hint="eastAsia" w:ascii="宋体" w:hAnsi="宋体" w:eastAsia="宋体" w:cs="宋体"/>
          <w:b/>
          <w:bCs/>
          <w:color w:val="auto"/>
          <w:sz w:val="21"/>
          <w:szCs w:val="21"/>
          <w:highlight w:val="none"/>
          <w:lang w:val="en-US" w:eastAsia="zh-CN"/>
        </w:rPr>
        <w:t>28.1开标邀请</w:t>
      </w:r>
      <w:bookmarkEnd w:id="33"/>
    </w:p>
    <w:p w14:paraId="3C1C68E4">
      <w:pPr>
        <w:pStyle w:val="14"/>
        <w:shd w:val="clear" w:color="auto" w:fill="auto"/>
        <w:snapToGrid w:val="0"/>
        <w:spacing w:line="360" w:lineRule="auto"/>
        <w:ind w:firstLine="426" w:firstLineChars="200"/>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eastAsia="zh-CN"/>
        </w:rPr>
        <w:t>（</w:t>
      </w:r>
      <w:r>
        <w:rPr>
          <w:rFonts w:hint="eastAsia" w:ascii="宋体" w:hAnsi="宋体" w:eastAsia="宋体" w:cs="宋体"/>
          <w:b w:val="0"/>
          <w:bCs/>
          <w:color w:val="auto"/>
          <w:sz w:val="21"/>
          <w:szCs w:val="21"/>
          <w:highlight w:val="none"/>
          <w:lang w:val="en-US" w:eastAsia="zh-CN"/>
        </w:rPr>
        <w:t>1</w:t>
      </w:r>
      <w:r>
        <w:rPr>
          <w:rFonts w:hint="eastAsia" w:ascii="宋体" w:hAnsi="宋体" w:eastAsia="宋体" w:cs="宋体"/>
          <w:b w:val="0"/>
          <w:bCs/>
          <w:color w:val="auto"/>
          <w:sz w:val="21"/>
          <w:szCs w:val="21"/>
          <w:highlight w:val="none"/>
          <w:lang w:eastAsia="zh-CN"/>
        </w:rPr>
        <w:t>）</w:t>
      </w:r>
      <w:r>
        <w:rPr>
          <w:rFonts w:hint="eastAsia" w:ascii="宋体" w:hAnsi="宋体" w:eastAsia="宋体" w:cs="宋体"/>
          <w:b w:val="0"/>
          <w:bCs/>
          <w:color w:val="auto"/>
          <w:sz w:val="21"/>
          <w:szCs w:val="21"/>
          <w:highlight w:val="none"/>
        </w:rPr>
        <w:t>开标准备：本项目开标的准备工作由采购组织机构负责落实，开标过程由采购组织机构负责记录；</w:t>
      </w:r>
    </w:p>
    <w:p w14:paraId="767EEB2B">
      <w:pPr>
        <w:pStyle w:val="14"/>
        <w:shd w:val="clear" w:color="auto" w:fill="auto"/>
        <w:snapToGrid w:val="0"/>
        <w:spacing w:line="360" w:lineRule="auto"/>
        <w:ind w:firstLine="426" w:firstLineChars="200"/>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eastAsia="zh-CN"/>
        </w:rPr>
        <w:t>（</w:t>
      </w:r>
      <w:r>
        <w:rPr>
          <w:rFonts w:hint="eastAsia" w:ascii="宋体" w:hAnsi="宋体" w:eastAsia="宋体" w:cs="宋体"/>
          <w:b w:val="0"/>
          <w:bCs/>
          <w:color w:val="auto"/>
          <w:sz w:val="21"/>
          <w:szCs w:val="21"/>
          <w:highlight w:val="none"/>
          <w:lang w:val="en-US" w:eastAsia="zh-CN"/>
        </w:rPr>
        <w:t>2）</w:t>
      </w:r>
      <w:r>
        <w:rPr>
          <w:rFonts w:hint="eastAsia" w:ascii="宋体" w:hAnsi="宋体" w:eastAsia="宋体" w:cs="宋体"/>
          <w:b w:val="0"/>
          <w:bCs/>
          <w:color w:val="auto"/>
          <w:sz w:val="21"/>
          <w:szCs w:val="21"/>
          <w:highlight w:val="none"/>
        </w:rPr>
        <w:t>开标主持：本项目开标由采购人或者采购代理机构主持；</w:t>
      </w:r>
    </w:p>
    <w:p w14:paraId="5F01E214">
      <w:pPr>
        <w:pStyle w:val="14"/>
        <w:shd w:val="clear" w:color="auto" w:fill="auto"/>
        <w:snapToGrid w:val="0"/>
        <w:spacing w:line="360" w:lineRule="auto"/>
        <w:ind w:firstLine="426" w:firstLineChars="200"/>
        <w:rPr>
          <w:rFonts w:hint="eastAsia" w:ascii="宋体" w:hAnsi="宋体" w:eastAsia="宋体" w:cs="宋体"/>
          <w:b w:val="0"/>
          <w:color w:val="auto"/>
          <w:sz w:val="21"/>
          <w:szCs w:val="21"/>
          <w:highlight w:val="none"/>
        </w:rPr>
      </w:pPr>
      <w:r>
        <w:rPr>
          <w:rFonts w:hint="eastAsia" w:ascii="宋体" w:hAnsi="宋体" w:eastAsia="宋体" w:cs="宋体"/>
          <w:b w:val="0"/>
          <w:color w:val="auto"/>
          <w:sz w:val="21"/>
          <w:szCs w:val="21"/>
          <w:highlight w:val="none"/>
          <w:lang w:eastAsia="zh-CN"/>
        </w:rPr>
        <w:t>（</w:t>
      </w:r>
      <w:r>
        <w:rPr>
          <w:rFonts w:hint="eastAsia" w:ascii="宋体" w:hAnsi="宋体" w:eastAsia="宋体" w:cs="宋体"/>
          <w:b w:val="0"/>
          <w:color w:val="auto"/>
          <w:sz w:val="21"/>
          <w:szCs w:val="21"/>
          <w:highlight w:val="none"/>
          <w:lang w:val="en-US" w:eastAsia="zh-CN"/>
        </w:rPr>
        <w:t>3</w:t>
      </w:r>
      <w:r>
        <w:rPr>
          <w:rFonts w:hint="eastAsia" w:ascii="宋体" w:hAnsi="宋体" w:eastAsia="宋体" w:cs="宋体"/>
          <w:b w:val="0"/>
          <w:color w:val="auto"/>
          <w:sz w:val="21"/>
          <w:szCs w:val="21"/>
          <w:highlight w:val="none"/>
          <w:lang w:eastAsia="zh-CN"/>
        </w:rPr>
        <w:t>）</w:t>
      </w:r>
      <w:r>
        <w:rPr>
          <w:rFonts w:hint="eastAsia" w:ascii="宋体" w:hAnsi="宋体" w:eastAsia="宋体" w:cs="宋体"/>
          <w:b w:val="0"/>
          <w:color w:val="auto"/>
          <w:sz w:val="21"/>
          <w:szCs w:val="21"/>
          <w:highlight w:val="none"/>
        </w:rPr>
        <w:t>开标邀请：本项目采用电子交易，采购组织机构将按照采购文件规定的时间通过“</w:t>
      </w:r>
      <w:r>
        <w:rPr>
          <w:rFonts w:hint="eastAsia" w:ascii="宋体" w:hAnsi="宋体" w:eastAsia="宋体" w:cs="宋体"/>
          <w:b w:val="0"/>
          <w:color w:val="auto"/>
          <w:sz w:val="21"/>
          <w:szCs w:val="21"/>
          <w:highlight w:val="none"/>
          <w:lang w:eastAsia="zh-CN"/>
        </w:rPr>
        <w:t>新疆</w:t>
      </w:r>
      <w:r>
        <w:rPr>
          <w:rFonts w:hint="eastAsia" w:ascii="宋体" w:hAnsi="宋体" w:eastAsia="宋体" w:cs="宋体"/>
          <w:b w:val="0"/>
          <w:color w:val="auto"/>
          <w:sz w:val="21"/>
          <w:szCs w:val="21"/>
          <w:highlight w:val="none"/>
        </w:rPr>
        <w:t>政府采购云平台，网址：</w:t>
      </w:r>
      <w:r>
        <w:rPr>
          <w:rFonts w:hint="eastAsia" w:ascii="宋体" w:hAnsi="宋体" w:eastAsia="宋体" w:cs="宋体"/>
          <w:b w:val="0"/>
          <w:color w:val="auto"/>
          <w:sz w:val="21"/>
          <w:szCs w:val="21"/>
          <w:highlight w:val="none"/>
        </w:rPr>
        <w:fldChar w:fldCharType="begin"/>
      </w:r>
      <w:r>
        <w:rPr>
          <w:rFonts w:hint="eastAsia" w:ascii="宋体" w:hAnsi="宋体" w:eastAsia="宋体" w:cs="宋体"/>
          <w:b w:val="0"/>
          <w:color w:val="auto"/>
          <w:sz w:val="21"/>
          <w:szCs w:val="21"/>
          <w:highlight w:val="none"/>
        </w:rPr>
        <w:instrText xml:space="preserve">HYPERLINK "http://www.zcygov.cn"</w:instrText>
      </w:r>
      <w:r>
        <w:rPr>
          <w:rFonts w:hint="eastAsia" w:ascii="宋体" w:hAnsi="宋体" w:eastAsia="宋体" w:cs="宋体"/>
          <w:b w:val="0"/>
          <w:color w:val="auto"/>
          <w:sz w:val="21"/>
          <w:szCs w:val="21"/>
          <w:highlight w:val="none"/>
        </w:rPr>
        <w:fldChar w:fldCharType="separate"/>
      </w:r>
      <w:r>
        <w:rPr>
          <w:rStyle w:val="38"/>
          <w:rFonts w:hint="eastAsia" w:ascii="宋体" w:hAnsi="宋体" w:eastAsia="宋体" w:cs="宋体"/>
          <w:b w:val="0"/>
          <w:color w:val="auto"/>
          <w:sz w:val="21"/>
          <w:szCs w:val="21"/>
          <w:highlight w:val="none"/>
          <w:u w:val="none"/>
        </w:rPr>
        <w:t>www.zcygov.cn</w:t>
      </w:r>
      <w:r>
        <w:rPr>
          <w:rFonts w:hint="eastAsia" w:ascii="宋体" w:hAnsi="宋体" w:eastAsia="宋体" w:cs="宋体"/>
          <w:color w:val="auto"/>
          <w:sz w:val="21"/>
          <w:szCs w:val="21"/>
          <w:highlight w:val="none"/>
        </w:rPr>
        <w:fldChar w:fldCharType="end"/>
      </w:r>
      <w:r>
        <w:rPr>
          <w:rFonts w:hint="eastAsia" w:ascii="宋体" w:hAnsi="宋体" w:eastAsia="宋体" w:cs="宋体"/>
          <w:b w:val="0"/>
          <w:color w:val="auto"/>
          <w:sz w:val="21"/>
          <w:szCs w:val="21"/>
          <w:highlight w:val="none"/>
        </w:rPr>
        <w:t>”组织开标、开启投标响应文件，所有供应商均应当准时在线参加。</w:t>
      </w:r>
    </w:p>
    <w:p w14:paraId="4870405A">
      <w:pPr>
        <w:pStyle w:val="14"/>
        <w:shd w:val="clear" w:color="auto" w:fill="auto"/>
        <w:snapToGrid w:val="0"/>
        <w:spacing w:line="360" w:lineRule="auto"/>
        <w:ind w:firstLine="426" w:firstLineChars="200"/>
        <w:rPr>
          <w:rFonts w:hint="eastAsia" w:ascii="宋体" w:hAnsi="宋体" w:eastAsia="宋体" w:cs="宋体"/>
          <w:b w:val="0"/>
          <w:color w:val="auto"/>
          <w:sz w:val="21"/>
          <w:szCs w:val="21"/>
          <w:highlight w:val="none"/>
        </w:rPr>
      </w:pPr>
      <w:r>
        <w:rPr>
          <w:rFonts w:hint="eastAsia" w:ascii="宋体" w:hAnsi="宋体" w:eastAsia="宋体" w:cs="宋体"/>
          <w:b w:val="0"/>
          <w:color w:val="auto"/>
          <w:sz w:val="21"/>
          <w:szCs w:val="21"/>
          <w:highlight w:val="none"/>
          <w:lang w:eastAsia="zh-CN"/>
        </w:rPr>
        <w:t>（</w:t>
      </w:r>
      <w:r>
        <w:rPr>
          <w:rFonts w:hint="eastAsia" w:ascii="宋体" w:hAnsi="宋体" w:eastAsia="宋体" w:cs="宋体"/>
          <w:b w:val="0"/>
          <w:color w:val="auto"/>
          <w:sz w:val="21"/>
          <w:szCs w:val="21"/>
          <w:highlight w:val="none"/>
          <w:lang w:val="en-US" w:eastAsia="zh-CN"/>
        </w:rPr>
        <w:t>4</w:t>
      </w:r>
      <w:r>
        <w:rPr>
          <w:rFonts w:hint="eastAsia" w:ascii="宋体" w:hAnsi="宋体" w:eastAsia="宋体" w:cs="宋体"/>
          <w:b w:val="0"/>
          <w:color w:val="auto"/>
          <w:sz w:val="21"/>
          <w:szCs w:val="21"/>
          <w:highlight w:val="none"/>
          <w:lang w:eastAsia="zh-CN"/>
        </w:rPr>
        <w:t>）</w:t>
      </w:r>
      <w:r>
        <w:rPr>
          <w:rFonts w:hint="eastAsia" w:ascii="宋体" w:hAnsi="宋体" w:eastAsia="宋体" w:cs="宋体"/>
          <w:b w:val="0"/>
          <w:color w:val="auto"/>
          <w:sz w:val="21"/>
          <w:szCs w:val="21"/>
          <w:highlight w:val="none"/>
        </w:rPr>
        <w:t>供应商对开标过程和开标记录有疑义，以及认为采购人、采购代理机构相关工作人员有需要回避的情形的，应当场提出询问或回避申请。供应商未参加开标的视同认可开标结果，事后不得对采购相关人员、开标过程和开标结果提出异议，同时投标供应商因未在线参加开标而导致投标文件无法按时解密等一切后果由供应商自行承担。</w:t>
      </w:r>
    </w:p>
    <w:p w14:paraId="647E9B46">
      <w:pPr>
        <w:shd w:val="clear" w:color="auto" w:fill="auto"/>
        <w:snapToGrid w:val="0"/>
        <w:spacing w:line="360" w:lineRule="auto"/>
        <w:outlineLvl w:val="2"/>
        <w:rPr>
          <w:rFonts w:hint="eastAsia" w:ascii="宋体" w:hAnsi="宋体" w:eastAsia="宋体" w:cs="宋体"/>
          <w:b/>
          <w:color w:val="auto"/>
          <w:sz w:val="21"/>
          <w:szCs w:val="21"/>
          <w:highlight w:val="none"/>
        </w:rPr>
      </w:pPr>
      <w:bookmarkStart w:id="34" w:name="_Toc73975823"/>
      <w:r>
        <w:rPr>
          <w:rFonts w:hint="eastAsia" w:ascii="宋体" w:hAnsi="宋体" w:eastAsia="宋体" w:cs="宋体"/>
          <w:b/>
          <w:color w:val="auto"/>
          <w:sz w:val="21"/>
          <w:szCs w:val="21"/>
          <w:highlight w:val="none"/>
          <w:lang w:val="en-US" w:eastAsia="zh-CN"/>
        </w:rPr>
        <w:t>28.2</w:t>
      </w:r>
      <w:r>
        <w:rPr>
          <w:rFonts w:hint="eastAsia" w:ascii="宋体" w:hAnsi="宋体" w:eastAsia="宋体" w:cs="宋体"/>
          <w:b/>
          <w:bCs/>
          <w:color w:val="auto"/>
          <w:sz w:val="21"/>
          <w:szCs w:val="21"/>
          <w:highlight w:val="none"/>
        </w:rPr>
        <w:t>开标程序（先资格、商务技术后报价）</w:t>
      </w:r>
      <w:bookmarkEnd w:id="34"/>
    </w:p>
    <w:p w14:paraId="0DBC7A41">
      <w:pPr>
        <w:shd w:val="clear" w:color="auto" w:fill="auto"/>
        <w:snapToGrid w:val="0"/>
        <w:spacing w:line="360" w:lineRule="auto"/>
        <w:ind w:firstLine="426"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开标时间到后，主持人宣布开标会议开始。</w:t>
      </w:r>
    </w:p>
    <w:p w14:paraId="694EDA96">
      <w:pPr>
        <w:shd w:val="clear" w:color="auto" w:fill="auto"/>
        <w:snapToGrid w:val="0"/>
        <w:spacing w:line="360" w:lineRule="auto"/>
        <w:ind w:firstLine="426"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kern w:val="0"/>
          <w:sz w:val="21"/>
          <w:szCs w:val="21"/>
          <w:highlight w:val="none"/>
        </w:rPr>
        <w:t>投标文件解密（</w:t>
      </w:r>
      <w:r>
        <w:rPr>
          <w:rFonts w:hint="eastAsia" w:ascii="宋体" w:hAnsi="宋体" w:eastAsia="宋体" w:cs="宋体"/>
          <w:b/>
          <w:color w:val="auto"/>
          <w:kern w:val="0"/>
          <w:sz w:val="21"/>
          <w:szCs w:val="21"/>
          <w:highlight w:val="none"/>
        </w:rPr>
        <w:t>解密规定见《供应商须知前附表》</w:t>
      </w:r>
      <w:r>
        <w:rPr>
          <w:rFonts w:hint="eastAsia" w:ascii="宋体" w:hAnsi="宋体" w:eastAsia="宋体" w:cs="宋体"/>
          <w:color w:val="auto"/>
          <w:kern w:val="0"/>
          <w:sz w:val="21"/>
          <w:szCs w:val="21"/>
          <w:highlight w:val="none"/>
        </w:rPr>
        <w:t>）</w:t>
      </w:r>
      <w:r>
        <w:rPr>
          <w:rFonts w:hint="eastAsia" w:ascii="宋体" w:hAnsi="宋体" w:eastAsia="宋体" w:cs="宋体"/>
          <w:color w:val="auto"/>
          <w:sz w:val="21"/>
          <w:szCs w:val="21"/>
          <w:highlight w:val="none"/>
        </w:rPr>
        <w:t>。</w:t>
      </w:r>
    </w:p>
    <w:p w14:paraId="533B366E">
      <w:pPr>
        <w:shd w:val="clear" w:color="auto" w:fill="auto"/>
        <w:snapToGrid w:val="0"/>
        <w:spacing w:line="360" w:lineRule="auto"/>
        <w:ind w:firstLine="426"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kern w:val="0"/>
          <w:sz w:val="21"/>
          <w:szCs w:val="21"/>
          <w:highlight w:val="none"/>
        </w:rPr>
        <w:t>投标文件解密异常情况处理（</w:t>
      </w:r>
      <w:r>
        <w:rPr>
          <w:rFonts w:hint="eastAsia" w:ascii="宋体" w:hAnsi="宋体" w:eastAsia="宋体" w:cs="宋体"/>
          <w:b/>
          <w:color w:val="auto"/>
          <w:kern w:val="0"/>
          <w:sz w:val="21"/>
          <w:szCs w:val="21"/>
          <w:highlight w:val="none"/>
        </w:rPr>
        <w:t>处理办法见《供应商须知前附表》</w:t>
      </w:r>
      <w:r>
        <w:rPr>
          <w:rFonts w:hint="eastAsia" w:ascii="宋体" w:hAnsi="宋体" w:eastAsia="宋体" w:cs="宋体"/>
          <w:color w:val="auto"/>
          <w:kern w:val="0"/>
          <w:sz w:val="21"/>
          <w:szCs w:val="21"/>
          <w:highlight w:val="none"/>
        </w:rPr>
        <w:t>）</w:t>
      </w:r>
      <w:r>
        <w:rPr>
          <w:rFonts w:hint="eastAsia" w:ascii="宋体" w:hAnsi="宋体" w:eastAsia="宋体" w:cs="宋体"/>
          <w:color w:val="auto"/>
          <w:sz w:val="21"/>
          <w:szCs w:val="21"/>
          <w:highlight w:val="none"/>
        </w:rPr>
        <w:t>。</w:t>
      </w:r>
    </w:p>
    <w:p w14:paraId="59017FF9">
      <w:pPr>
        <w:shd w:val="clear" w:color="auto" w:fill="auto"/>
        <w:snapToGrid w:val="0"/>
        <w:spacing w:line="360" w:lineRule="auto"/>
        <w:ind w:firstLine="426" w:firstLineChars="20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4</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公布投标文件解密情况（投标文件成功解密的供应商名单等信息），</w:t>
      </w:r>
      <w:r>
        <w:rPr>
          <w:rFonts w:hint="eastAsia" w:ascii="宋体" w:hAnsi="宋体" w:eastAsia="宋体" w:cs="宋体"/>
          <w:b/>
          <w:bCs/>
          <w:color w:val="auto"/>
          <w:kern w:val="0"/>
          <w:sz w:val="21"/>
          <w:szCs w:val="21"/>
          <w:highlight w:val="none"/>
        </w:rPr>
        <w:t>组织签署《政府采购活动现场确认声明书》（疫情防控期间，将通过电子邮件形式组织签署），供应商应在20分钟内通过邮件形式将经签署的《政府采购活动现场确认声明书》发送至采购代理机构指定邮箱</w:t>
      </w:r>
      <w:r>
        <w:rPr>
          <w:rFonts w:hint="eastAsia" w:ascii="宋体" w:hAnsi="宋体" w:cs="宋体"/>
          <w:b/>
          <w:bCs/>
          <w:color w:val="auto"/>
          <w:kern w:val="0"/>
          <w:sz w:val="21"/>
          <w:szCs w:val="21"/>
          <w:highlight w:val="none"/>
          <w:lang w:val="en-US" w:eastAsia="zh-CN"/>
        </w:rPr>
        <w:t>1033238151</w:t>
      </w:r>
      <w:r>
        <w:rPr>
          <w:rFonts w:hint="eastAsia" w:ascii="宋体" w:hAnsi="宋体" w:eastAsia="宋体" w:cs="宋体"/>
          <w:b/>
          <w:bCs/>
          <w:color w:val="auto"/>
          <w:kern w:val="0"/>
          <w:sz w:val="21"/>
          <w:szCs w:val="21"/>
          <w:highlight w:val="none"/>
          <w:lang w:val="en-US" w:eastAsia="zh-CN"/>
        </w:rPr>
        <w:t>@qq.com</w:t>
      </w:r>
      <w:r>
        <w:rPr>
          <w:rFonts w:hint="eastAsia" w:ascii="宋体" w:hAnsi="宋体" w:eastAsia="宋体" w:cs="宋体"/>
          <w:b/>
          <w:bCs/>
          <w:color w:val="auto"/>
          <w:kern w:val="0"/>
          <w:sz w:val="21"/>
          <w:szCs w:val="21"/>
          <w:highlight w:val="none"/>
        </w:rPr>
        <w:t>，逾期发送或未发送的视为无异议</w:t>
      </w:r>
      <w:r>
        <w:rPr>
          <w:rFonts w:hint="eastAsia" w:ascii="宋体" w:hAnsi="宋体" w:eastAsia="宋体" w:cs="宋体"/>
          <w:color w:val="auto"/>
          <w:kern w:val="0"/>
          <w:sz w:val="21"/>
          <w:szCs w:val="21"/>
          <w:highlight w:val="none"/>
        </w:rPr>
        <w:t>。</w:t>
      </w:r>
    </w:p>
    <w:p w14:paraId="776E16C2">
      <w:pPr>
        <w:shd w:val="clear" w:color="auto" w:fill="auto"/>
        <w:snapToGrid w:val="0"/>
        <w:spacing w:line="360" w:lineRule="auto"/>
        <w:ind w:firstLine="426"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5</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开启标书信息（资格</w:t>
      </w:r>
      <w:r>
        <w:rPr>
          <w:rFonts w:hint="eastAsia" w:ascii="宋体" w:hAnsi="宋体" w:eastAsia="宋体" w:cs="宋体"/>
          <w:color w:val="auto"/>
          <w:kern w:val="0"/>
          <w:sz w:val="21"/>
          <w:szCs w:val="21"/>
          <w:highlight w:val="none"/>
          <w:lang w:eastAsia="zh-CN"/>
        </w:rPr>
        <w:t>证明</w:t>
      </w:r>
      <w:r>
        <w:rPr>
          <w:rFonts w:hint="eastAsia" w:ascii="宋体" w:hAnsi="宋体" w:eastAsia="宋体" w:cs="宋体"/>
          <w:color w:val="auto"/>
          <w:kern w:val="0"/>
          <w:sz w:val="21"/>
          <w:szCs w:val="21"/>
          <w:highlight w:val="none"/>
        </w:rPr>
        <w:t>文件、商务技术文件）。标书信息开启后，首先由采购人或采购代理机构</w:t>
      </w:r>
      <w:r>
        <w:rPr>
          <w:rFonts w:hint="eastAsia" w:ascii="宋体" w:hAnsi="宋体" w:eastAsia="宋体" w:cs="宋体"/>
          <w:color w:val="auto"/>
          <w:kern w:val="0"/>
          <w:sz w:val="21"/>
          <w:szCs w:val="21"/>
          <w:highlight w:val="none"/>
          <w:lang w:eastAsia="zh-CN"/>
        </w:rPr>
        <w:t>或评审小组</w:t>
      </w:r>
      <w:r>
        <w:rPr>
          <w:rFonts w:hint="eastAsia" w:ascii="宋体" w:hAnsi="宋体" w:eastAsia="宋体" w:cs="宋体"/>
          <w:color w:val="auto"/>
          <w:kern w:val="0"/>
          <w:sz w:val="21"/>
          <w:szCs w:val="21"/>
          <w:highlight w:val="none"/>
        </w:rPr>
        <w:t>依法对投标供应商的资格</w:t>
      </w:r>
      <w:r>
        <w:rPr>
          <w:rFonts w:hint="eastAsia" w:ascii="宋体" w:hAnsi="宋体" w:eastAsia="宋体" w:cs="宋体"/>
          <w:color w:val="auto"/>
          <w:kern w:val="0"/>
          <w:sz w:val="21"/>
          <w:szCs w:val="21"/>
          <w:highlight w:val="none"/>
          <w:lang w:eastAsia="zh-CN"/>
        </w:rPr>
        <w:t>证明</w:t>
      </w:r>
      <w:r>
        <w:rPr>
          <w:rFonts w:hint="eastAsia" w:ascii="宋体" w:hAnsi="宋体" w:eastAsia="宋体" w:cs="宋体"/>
          <w:color w:val="auto"/>
          <w:kern w:val="0"/>
          <w:sz w:val="21"/>
          <w:szCs w:val="21"/>
          <w:highlight w:val="none"/>
        </w:rPr>
        <w:t>文件进行审查， 审查结束公布投标供应商的资格符合情况。资格审查未获通过的供应商，其商务技术文件及报价文件不再进入评审。</w:t>
      </w:r>
    </w:p>
    <w:p w14:paraId="2E5B9F59">
      <w:pPr>
        <w:shd w:val="clear" w:color="auto" w:fill="auto"/>
        <w:snapToGrid w:val="0"/>
        <w:spacing w:line="360" w:lineRule="auto"/>
        <w:ind w:firstLine="426"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6</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商务技术评审结束后，主持人公布商务技术评审无效投标供应商名单和商务技术评审有效投标供应商名单及其商务技术得分情况</w:t>
      </w:r>
      <w:r>
        <w:rPr>
          <w:rFonts w:hint="eastAsia" w:ascii="宋体" w:hAnsi="宋体" w:eastAsia="宋体" w:cs="宋体"/>
          <w:color w:val="auto"/>
          <w:sz w:val="21"/>
          <w:szCs w:val="21"/>
          <w:highlight w:val="none"/>
        </w:rPr>
        <w:t>。</w:t>
      </w:r>
      <w:r>
        <w:rPr>
          <w:rFonts w:hint="eastAsia" w:ascii="宋体" w:hAnsi="宋体" w:eastAsia="宋体" w:cs="宋体"/>
          <w:color w:val="auto"/>
          <w:kern w:val="0"/>
          <w:sz w:val="21"/>
          <w:szCs w:val="21"/>
          <w:highlight w:val="none"/>
        </w:rPr>
        <w:t>商务技术评审无效的供应商，其报价不再进入评审。</w:t>
      </w:r>
    </w:p>
    <w:p w14:paraId="642AF921">
      <w:pPr>
        <w:shd w:val="clear" w:color="auto" w:fill="auto"/>
        <w:snapToGrid w:val="0"/>
        <w:spacing w:line="360" w:lineRule="auto"/>
        <w:ind w:firstLine="426"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7</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开启有效投标供应商的报价，公布开标一览表有关内容，</w:t>
      </w:r>
      <w:r>
        <w:rPr>
          <w:rFonts w:hint="eastAsia" w:ascii="宋体" w:hAnsi="宋体" w:eastAsia="宋体" w:cs="宋体"/>
          <w:color w:val="auto"/>
          <w:sz w:val="21"/>
          <w:szCs w:val="21"/>
          <w:highlight w:val="none"/>
          <w:lang w:bidi="zh-CN"/>
        </w:rPr>
        <w:t>并【开启签字时段】，供应商对开标纪录进行在线签字确认（不予确认的应说明理由，否则视为无异议）</w:t>
      </w:r>
      <w:r>
        <w:rPr>
          <w:rFonts w:hint="eastAsia" w:ascii="宋体" w:hAnsi="宋体" w:eastAsia="宋体" w:cs="宋体"/>
          <w:color w:val="auto"/>
          <w:kern w:val="0"/>
          <w:sz w:val="21"/>
          <w:szCs w:val="21"/>
          <w:highlight w:val="none"/>
        </w:rPr>
        <w:t>。开标结束后，由评标委员会对报价的合理性、准确性等进行审查核实</w:t>
      </w:r>
      <w:r>
        <w:rPr>
          <w:rFonts w:hint="eastAsia" w:ascii="宋体" w:hAnsi="宋体" w:eastAsia="宋体" w:cs="宋体"/>
          <w:color w:val="auto"/>
          <w:sz w:val="21"/>
          <w:szCs w:val="21"/>
          <w:highlight w:val="none"/>
        </w:rPr>
        <w:t>。</w:t>
      </w:r>
    </w:p>
    <w:p w14:paraId="3203C244">
      <w:pPr>
        <w:shd w:val="clear" w:color="auto" w:fill="auto"/>
        <w:snapToGrid w:val="0"/>
        <w:spacing w:line="360" w:lineRule="auto"/>
        <w:ind w:firstLine="426"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kern w:val="0"/>
          <w:sz w:val="21"/>
          <w:szCs w:val="21"/>
          <w:highlight w:val="none"/>
        </w:rPr>
        <w:t>评审结束后，采购代理机构在系统上公布评审结果。</w:t>
      </w:r>
    </w:p>
    <w:p w14:paraId="7C54C585">
      <w:pPr>
        <w:shd w:val="clear" w:color="auto" w:fill="auto"/>
        <w:snapToGrid w:val="0"/>
        <w:spacing w:line="360" w:lineRule="auto"/>
        <w:ind w:left="48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特别情况说明：</w:t>
      </w:r>
    </w:p>
    <w:p w14:paraId="5DF8D02D">
      <w:pPr>
        <w:shd w:val="clear" w:color="auto" w:fill="auto"/>
        <w:snapToGrid w:val="0"/>
        <w:spacing w:line="360" w:lineRule="auto"/>
        <w:ind w:firstLine="376" w:firstLineChars="177"/>
        <w:jc w:val="left"/>
        <w:rPr>
          <w:rFonts w:hint="eastAsia" w:ascii="宋体" w:hAnsi="宋体" w:eastAsia="宋体" w:cs="宋体"/>
          <w:b/>
          <w:color w:val="auto"/>
          <w:kern w:val="0"/>
          <w:sz w:val="21"/>
          <w:szCs w:val="21"/>
          <w:highlight w:val="none"/>
        </w:rPr>
      </w:pPr>
      <w:r>
        <w:rPr>
          <w:rFonts w:hint="eastAsia" w:ascii="宋体" w:hAnsi="宋体" w:eastAsia="宋体" w:cs="宋体"/>
          <w:b/>
          <w:color w:val="auto"/>
          <w:kern w:val="0"/>
          <w:sz w:val="21"/>
          <w:szCs w:val="21"/>
          <w:highlight w:val="none"/>
        </w:rPr>
        <w:t>（1）本项目采用电子交易，如遇“</w:t>
      </w:r>
      <w:r>
        <w:rPr>
          <w:rFonts w:hint="eastAsia" w:ascii="宋体" w:hAnsi="宋体" w:eastAsia="宋体" w:cs="宋体"/>
          <w:b/>
          <w:color w:val="auto"/>
          <w:kern w:val="0"/>
          <w:sz w:val="21"/>
          <w:szCs w:val="21"/>
          <w:highlight w:val="none"/>
          <w:lang w:eastAsia="zh-CN"/>
        </w:rPr>
        <w:t>新疆</w:t>
      </w:r>
      <w:r>
        <w:rPr>
          <w:rFonts w:hint="eastAsia" w:ascii="宋体" w:hAnsi="宋体" w:eastAsia="宋体" w:cs="宋体"/>
          <w:b/>
          <w:color w:val="auto"/>
          <w:kern w:val="0"/>
          <w:sz w:val="21"/>
          <w:szCs w:val="21"/>
          <w:highlight w:val="none"/>
        </w:rPr>
        <w:t>政府采购云平台”电子化开标或评审程序调整的，按调整后程序执行。</w:t>
      </w:r>
    </w:p>
    <w:p w14:paraId="752B83D7">
      <w:pPr>
        <w:shd w:val="clear" w:color="auto" w:fill="auto"/>
        <w:snapToGrid w:val="0"/>
        <w:spacing w:line="360" w:lineRule="auto"/>
        <w:ind w:firstLine="376" w:firstLineChars="177"/>
        <w:jc w:val="left"/>
        <w:rPr>
          <w:rFonts w:hint="eastAsia" w:ascii="宋体" w:hAnsi="宋体" w:eastAsia="宋体" w:cs="宋体"/>
          <w:b/>
          <w:color w:val="auto"/>
          <w:kern w:val="0"/>
          <w:sz w:val="21"/>
          <w:szCs w:val="21"/>
          <w:highlight w:val="none"/>
        </w:rPr>
      </w:pPr>
      <w:r>
        <w:rPr>
          <w:rFonts w:hint="eastAsia" w:ascii="宋体" w:hAnsi="宋体" w:eastAsia="宋体" w:cs="宋体"/>
          <w:b/>
          <w:color w:val="auto"/>
          <w:kern w:val="0"/>
          <w:sz w:val="21"/>
          <w:szCs w:val="21"/>
          <w:highlight w:val="none"/>
        </w:rPr>
        <w:t>（2）开标过程中需要相关当事人进行签字或盖章确认的材料将通过“政府采购云平台”进行，若因“政府采购云平台”技术问题无法进行签字或盖章确认的，采购组织机构将通过电子邮件等形式予以确认，</w:t>
      </w:r>
      <w:r>
        <w:rPr>
          <w:rFonts w:hint="eastAsia" w:ascii="宋体" w:hAnsi="宋体" w:eastAsia="宋体" w:cs="宋体"/>
          <w:b/>
          <w:color w:val="auto"/>
          <w:kern w:val="0"/>
          <w:sz w:val="21"/>
          <w:szCs w:val="21"/>
          <w:highlight w:val="none"/>
          <w:u w:val="single"/>
        </w:rPr>
        <w:t>请供应商保证办理投标事宜人员电话畅通、网络在线，签字或盖章确认的时间为20分钟。如未及时签字或盖章确认的，视为无异议</w:t>
      </w:r>
      <w:r>
        <w:rPr>
          <w:rFonts w:hint="eastAsia" w:ascii="宋体" w:hAnsi="宋体" w:eastAsia="宋体" w:cs="宋体"/>
          <w:b/>
          <w:color w:val="auto"/>
          <w:kern w:val="0"/>
          <w:sz w:val="21"/>
          <w:szCs w:val="21"/>
          <w:highlight w:val="none"/>
        </w:rPr>
        <w:t>。</w:t>
      </w:r>
    </w:p>
    <w:p w14:paraId="2579BD5A">
      <w:pPr>
        <w:shd w:val="clear" w:color="auto" w:fill="auto"/>
        <w:snapToGrid w:val="0"/>
        <w:spacing w:line="360" w:lineRule="auto"/>
        <w:jc w:val="left"/>
        <w:rPr>
          <w:rFonts w:hint="eastAsia" w:ascii="宋体" w:hAnsi="宋体" w:eastAsia="宋体" w:cs="宋体"/>
          <w:b/>
          <w:color w:val="auto"/>
          <w:kern w:val="0"/>
          <w:sz w:val="21"/>
          <w:szCs w:val="21"/>
          <w:highlight w:val="none"/>
        </w:rPr>
      </w:pPr>
      <w:r>
        <w:rPr>
          <w:rFonts w:hint="eastAsia" w:ascii="宋体" w:hAnsi="宋体" w:eastAsia="宋体" w:cs="宋体"/>
          <w:b/>
          <w:color w:val="auto"/>
          <w:kern w:val="0"/>
          <w:sz w:val="21"/>
          <w:szCs w:val="21"/>
          <w:highlight w:val="none"/>
          <w:lang w:val="en-US" w:eastAsia="zh-CN"/>
        </w:rPr>
        <w:t>28.3</w:t>
      </w:r>
      <w:r>
        <w:rPr>
          <w:rFonts w:hint="eastAsia" w:ascii="宋体" w:hAnsi="宋体" w:eastAsia="宋体" w:cs="宋体"/>
          <w:b/>
          <w:color w:val="auto"/>
          <w:kern w:val="0"/>
          <w:sz w:val="21"/>
          <w:szCs w:val="21"/>
          <w:highlight w:val="none"/>
        </w:rPr>
        <w:t xml:space="preserve"> 投标供应商资格审查：</w:t>
      </w:r>
    </w:p>
    <w:p w14:paraId="43295434">
      <w:pPr>
        <w:shd w:val="clear" w:color="auto" w:fill="auto"/>
        <w:snapToGrid w:val="0"/>
        <w:spacing w:line="360" w:lineRule="auto"/>
        <w:ind w:firstLine="426"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bCs/>
          <w:color w:val="auto"/>
          <w:kern w:val="0"/>
          <w:sz w:val="21"/>
          <w:szCs w:val="21"/>
          <w:highlight w:val="none"/>
        </w:rPr>
        <w:t>开标（标书信息开启）后，采购人或采购代理机构</w:t>
      </w:r>
      <w:r>
        <w:rPr>
          <w:rFonts w:hint="eastAsia" w:ascii="宋体" w:hAnsi="宋体" w:eastAsia="宋体" w:cs="宋体"/>
          <w:bCs/>
          <w:color w:val="auto"/>
          <w:kern w:val="0"/>
          <w:sz w:val="21"/>
          <w:szCs w:val="21"/>
          <w:highlight w:val="none"/>
          <w:lang w:eastAsia="zh-CN"/>
        </w:rPr>
        <w:t>或</w:t>
      </w:r>
      <w:r>
        <w:rPr>
          <w:rFonts w:hint="eastAsia" w:ascii="宋体" w:hAnsi="宋体" w:eastAsia="宋体" w:cs="宋体"/>
          <w:color w:val="auto"/>
          <w:kern w:val="0"/>
          <w:sz w:val="21"/>
          <w:szCs w:val="21"/>
          <w:highlight w:val="none"/>
          <w:lang w:eastAsia="zh-CN"/>
        </w:rPr>
        <w:t>评审小组</w:t>
      </w:r>
      <w:r>
        <w:rPr>
          <w:rFonts w:hint="eastAsia" w:ascii="宋体" w:hAnsi="宋体" w:eastAsia="宋体" w:cs="宋体"/>
          <w:bCs/>
          <w:color w:val="auto"/>
          <w:kern w:val="0"/>
          <w:sz w:val="21"/>
          <w:szCs w:val="21"/>
          <w:highlight w:val="none"/>
        </w:rPr>
        <w:t>首先依法对投标供应商的资格文件进行审查，审查各投标供应商的资格符合情况。</w:t>
      </w:r>
      <w:r>
        <w:rPr>
          <w:rFonts w:hint="eastAsia" w:ascii="宋体" w:hAnsi="宋体" w:eastAsia="宋体" w:cs="宋体"/>
          <w:color w:val="auto"/>
          <w:sz w:val="21"/>
          <w:szCs w:val="21"/>
          <w:highlight w:val="none"/>
        </w:rPr>
        <w:t>采购人或采购代理机构</w:t>
      </w:r>
      <w:r>
        <w:rPr>
          <w:rFonts w:hint="eastAsia" w:ascii="宋体" w:hAnsi="宋体" w:eastAsia="宋体" w:cs="宋体"/>
          <w:bCs/>
          <w:color w:val="auto"/>
          <w:kern w:val="0"/>
          <w:sz w:val="21"/>
          <w:szCs w:val="21"/>
          <w:highlight w:val="none"/>
          <w:lang w:eastAsia="zh-CN"/>
        </w:rPr>
        <w:t>或</w:t>
      </w:r>
      <w:r>
        <w:rPr>
          <w:rFonts w:hint="eastAsia" w:ascii="宋体" w:hAnsi="宋体" w:eastAsia="宋体" w:cs="宋体"/>
          <w:color w:val="auto"/>
          <w:kern w:val="0"/>
          <w:sz w:val="21"/>
          <w:szCs w:val="21"/>
          <w:highlight w:val="none"/>
          <w:lang w:eastAsia="zh-CN"/>
        </w:rPr>
        <w:t>评审小组</w:t>
      </w:r>
      <w:r>
        <w:rPr>
          <w:rFonts w:hint="eastAsia" w:ascii="宋体" w:hAnsi="宋体" w:eastAsia="宋体" w:cs="宋体"/>
          <w:color w:val="auto"/>
          <w:sz w:val="21"/>
          <w:szCs w:val="21"/>
          <w:highlight w:val="none"/>
        </w:rPr>
        <w:t>对投标供应商所提交的资格证明材料仅负审核的责任。如发现投标供应商所提交的资格证明材料不合法或与事实不符，采购人可取消其中标资格并追究投标供应商的法律责任。</w:t>
      </w:r>
    </w:p>
    <w:p w14:paraId="746A355E">
      <w:pPr>
        <w:pStyle w:val="7"/>
        <w:shd w:val="clear" w:color="auto" w:fill="auto"/>
        <w:snapToGrid w:val="0"/>
        <w:spacing w:line="360" w:lineRule="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2）投标供应商提交的资格证明材料无法证明其符合采购文件规定的“投标供应商资格要求”的，采购人或采购代理机构将对其作“资格审查不合格”处理（无效投标），并不再将其投标提交评标委员会进行后续评审。</w:t>
      </w:r>
    </w:p>
    <w:p w14:paraId="0B5FFB8D">
      <w:pPr>
        <w:pStyle w:val="7"/>
        <w:shd w:val="clear" w:color="auto" w:fill="auto"/>
        <w:snapToGrid w:val="0"/>
        <w:spacing w:line="360" w:lineRule="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（3）</w:t>
      </w:r>
      <w:r>
        <w:rPr>
          <w:rFonts w:hint="eastAsia" w:ascii="宋体" w:hAnsi="宋体" w:eastAsia="宋体" w:cs="宋体"/>
          <w:b w:val="0"/>
          <w:bCs/>
          <w:color w:val="auto"/>
          <w:kern w:val="0"/>
          <w:sz w:val="21"/>
          <w:szCs w:val="21"/>
          <w:highlight w:val="none"/>
        </w:rPr>
        <w:t>供应商</w:t>
      </w:r>
      <w:r>
        <w:rPr>
          <w:rFonts w:hint="eastAsia" w:ascii="宋体" w:hAnsi="宋体" w:eastAsia="宋体" w:cs="宋体"/>
          <w:b w:val="0"/>
          <w:bCs/>
          <w:color w:val="auto"/>
          <w:sz w:val="21"/>
          <w:szCs w:val="21"/>
          <w:highlight w:val="none"/>
        </w:rPr>
        <w:t>信用记录查询与使用：</w:t>
      </w:r>
      <w:r>
        <w:rPr>
          <w:rFonts w:hint="eastAsia" w:ascii="宋体" w:hAnsi="宋体" w:eastAsia="宋体" w:cs="宋体"/>
          <w:b w:val="0"/>
          <w:bCs/>
          <w:color w:val="auto"/>
          <w:kern w:val="0"/>
          <w:sz w:val="21"/>
          <w:szCs w:val="21"/>
          <w:highlight w:val="none"/>
        </w:rPr>
        <w:t>见《供应商须知前附表》。</w:t>
      </w:r>
    </w:p>
    <w:p w14:paraId="57E0A361">
      <w:pPr>
        <w:shd w:val="clear" w:color="auto" w:fill="auto"/>
        <w:snapToGrid w:val="0"/>
        <w:spacing w:line="360" w:lineRule="auto"/>
        <w:outlineLvl w:val="2"/>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29.评审工作的组织</w:t>
      </w:r>
    </w:p>
    <w:p w14:paraId="2F06480B">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rPr>
        <w:t>采购人或采购代理机构负责组织本项目的评审工作，并依据《政府采购货物和服务招标投标管理办法（财政部第87号令）》第四十五条的相关规定履行职责。</w:t>
      </w:r>
    </w:p>
    <w:p w14:paraId="3624AE74">
      <w:pPr>
        <w:shd w:val="clear" w:color="auto" w:fill="auto"/>
        <w:snapToGrid w:val="0"/>
        <w:spacing w:line="360" w:lineRule="auto"/>
        <w:outlineLvl w:val="2"/>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30. 评标委员会的组建</w:t>
      </w:r>
    </w:p>
    <w:p w14:paraId="03CF28D3">
      <w:pPr>
        <w:widowControl/>
        <w:shd w:val="clear" w:color="auto" w:fill="auto"/>
        <w:spacing w:line="440" w:lineRule="exact"/>
        <w:ind w:firstLine="213" w:firstLineChars="100"/>
        <w:rPr>
          <w:rFonts w:hint="eastAsia" w:ascii="宋体"/>
          <w:b/>
          <w:bCs/>
          <w:color w:val="auto"/>
          <w:szCs w:val="21"/>
          <w:highlight w:val="none"/>
        </w:rPr>
      </w:pPr>
      <w:r>
        <w:rPr>
          <w:rFonts w:hint="eastAsia" w:ascii="宋体"/>
          <w:color w:val="auto"/>
          <w:szCs w:val="21"/>
          <w:highlight w:val="none"/>
          <w:lang w:val="en-US" w:eastAsia="zh-CN"/>
        </w:rPr>
        <w:t>30</w:t>
      </w:r>
      <w:r>
        <w:rPr>
          <w:rFonts w:hint="eastAsia" w:ascii="宋体"/>
          <w:color w:val="auto"/>
          <w:szCs w:val="21"/>
          <w:highlight w:val="none"/>
        </w:rPr>
        <w:t>.1</w:t>
      </w:r>
      <w:r>
        <w:rPr>
          <w:rFonts w:hint="eastAsia" w:ascii="宋体"/>
          <w:b/>
          <w:bCs/>
          <w:color w:val="auto"/>
          <w:szCs w:val="21"/>
          <w:highlight w:val="none"/>
        </w:rPr>
        <w:t>评标委员会由采购人或采购代理机构依法组建，成员由采购人代表和评审专家组成，成员人数为</w:t>
      </w:r>
      <w:r>
        <w:rPr>
          <w:rFonts w:hint="eastAsia" w:ascii="宋体"/>
          <w:b/>
          <w:bCs/>
          <w:color w:val="auto"/>
          <w:szCs w:val="21"/>
          <w:highlight w:val="none"/>
          <w:lang w:val="en-US" w:eastAsia="zh-CN"/>
        </w:rPr>
        <w:t>5</w:t>
      </w:r>
      <w:r>
        <w:rPr>
          <w:rFonts w:hint="eastAsia" w:ascii="宋体"/>
          <w:b/>
          <w:bCs/>
          <w:color w:val="auto"/>
          <w:szCs w:val="21"/>
          <w:highlight w:val="none"/>
        </w:rPr>
        <w:t>人，其中评审专家不少于成员总数的三分之二。</w:t>
      </w:r>
    </w:p>
    <w:p w14:paraId="6F722080">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30</w:t>
      </w:r>
      <w:r>
        <w:rPr>
          <w:rFonts w:hint="eastAsia" w:ascii="宋体"/>
          <w:color w:val="auto"/>
          <w:szCs w:val="21"/>
          <w:highlight w:val="none"/>
        </w:rPr>
        <w:t>.2评审专家从</w:t>
      </w:r>
      <w:r>
        <w:rPr>
          <w:rFonts w:hint="eastAsia" w:ascii="宋体"/>
          <w:color w:val="auto"/>
          <w:szCs w:val="21"/>
          <w:highlight w:val="none"/>
          <w:lang w:eastAsia="zh-CN"/>
        </w:rPr>
        <w:t>新疆</w:t>
      </w:r>
      <w:r>
        <w:rPr>
          <w:rFonts w:hint="eastAsia" w:ascii="宋体"/>
          <w:color w:val="auto"/>
          <w:szCs w:val="21"/>
          <w:highlight w:val="none"/>
        </w:rPr>
        <w:t>政府采购云平台专家库中通过随机方式抽取产生。评标委员会成员名单在采购结果公告前保密。</w:t>
      </w:r>
    </w:p>
    <w:p w14:paraId="04AE80F1">
      <w:pPr>
        <w:widowControl/>
        <w:shd w:val="clear" w:color="auto" w:fill="auto"/>
        <w:spacing w:line="440" w:lineRule="exact"/>
        <w:ind w:firstLine="213" w:firstLineChars="100"/>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31.评标委员会的职责</w:t>
      </w:r>
    </w:p>
    <w:p w14:paraId="2067FB24">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31</w:t>
      </w:r>
      <w:r>
        <w:rPr>
          <w:rFonts w:hint="eastAsia" w:ascii="宋体"/>
          <w:color w:val="auto"/>
          <w:szCs w:val="21"/>
          <w:highlight w:val="none"/>
        </w:rPr>
        <w:t>.1审查、评价投标文件是否符合采购文件的商务、技术等实质性要求。</w:t>
      </w:r>
    </w:p>
    <w:p w14:paraId="473EAC92">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31</w:t>
      </w:r>
      <w:r>
        <w:rPr>
          <w:rFonts w:hint="eastAsia" w:ascii="宋体"/>
          <w:color w:val="auto"/>
          <w:szCs w:val="21"/>
          <w:highlight w:val="none"/>
        </w:rPr>
        <w:t>.2要求供应商对投标文件有关事项作出澄清或者说明。</w:t>
      </w:r>
    </w:p>
    <w:p w14:paraId="58E52A8C">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31</w:t>
      </w:r>
      <w:r>
        <w:rPr>
          <w:rFonts w:hint="eastAsia" w:ascii="宋体"/>
          <w:color w:val="auto"/>
          <w:szCs w:val="21"/>
          <w:highlight w:val="none"/>
        </w:rPr>
        <w:t>.3对投标文件进行比较和评价。</w:t>
      </w:r>
    </w:p>
    <w:p w14:paraId="626EABFE">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31</w:t>
      </w:r>
      <w:r>
        <w:rPr>
          <w:rFonts w:hint="eastAsia" w:ascii="宋体"/>
          <w:color w:val="auto"/>
          <w:szCs w:val="21"/>
          <w:highlight w:val="none"/>
        </w:rPr>
        <w:t>.4确定中标候选人名单，以及根据采购人委托直接确定中标人。</w:t>
      </w:r>
    </w:p>
    <w:p w14:paraId="2A723769">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31</w:t>
      </w:r>
      <w:r>
        <w:rPr>
          <w:rFonts w:hint="eastAsia" w:ascii="宋体"/>
          <w:color w:val="auto"/>
          <w:szCs w:val="21"/>
          <w:highlight w:val="none"/>
        </w:rPr>
        <w:t>.5向采购人、采购代理机构或者有关部门报告评审中发现的违法行为。</w:t>
      </w:r>
    </w:p>
    <w:p w14:paraId="678FF225">
      <w:pPr>
        <w:widowControl/>
        <w:shd w:val="clear" w:color="auto" w:fill="auto"/>
        <w:spacing w:line="440" w:lineRule="exact"/>
        <w:ind w:firstLine="213" w:firstLineChars="100"/>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32. 评标原则</w:t>
      </w:r>
    </w:p>
    <w:p w14:paraId="16002B00">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32</w:t>
      </w:r>
      <w:r>
        <w:rPr>
          <w:rFonts w:hint="eastAsia" w:ascii="宋体"/>
          <w:color w:val="auto"/>
          <w:szCs w:val="21"/>
          <w:highlight w:val="none"/>
        </w:rPr>
        <w:t>.1评标委员会将遵循公平、公正、科学的原则，对供应商提交的投标文件进行综合评审，评标委员会按照采购文件规定的评标细则进行评分。</w:t>
      </w:r>
    </w:p>
    <w:p w14:paraId="177E3C71">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32</w:t>
      </w:r>
      <w:r>
        <w:rPr>
          <w:rFonts w:hint="eastAsia" w:ascii="宋体"/>
          <w:color w:val="auto"/>
          <w:szCs w:val="21"/>
          <w:highlight w:val="none"/>
        </w:rPr>
        <w:t xml:space="preserve">.2客观公正对待所有供应商，对所有投标评价均采用相同的程序和标准。 </w:t>
      </w:r>
    </w:p>
    <w:p w14:paraId="5461A018">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32</w:t>
      </w:r>
      <w:r>
        <w:rPr>
          <w:rFonts w:hint="eastAsia" w:ascii="宋体"/>
          <w:color w:val="auto"/>
          <w:szCs w:val="21"/>
          <w:highlight w:val="none"/>
        </w:rPr>
        <w:t>.3评标委员会成员对需要共同认定的事项存在争议的，按照少数服从多数的原则作出结论。持不同意见的评标委员会成员应当在评审报告上签署不同意见及理由，否则视为同意评审报告。</w:t>
      </w:r>
    </w:p>
    <w:p w14:paraId="17B950B6">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32</w:t>
      </w:r>
      <w:r>
        <w:rPr>
          <w:rFonts w:hint="eastAsia" w:ascii="宋体"/>
          <w:color w:val="auto"/>
          <w:szCs w:val="21"/>
          <w:highlight w:val="none"/>
        </w:rPr>
        <w:t>.4 财政部令第87号《政府采购货物和服务招标投标管理办法》第三十一条规定：使用综合评分法的采购项目，提供相同品牌产品且通过资格审查、符合性审查的不同供应商参加同一合同项下投标的，按一家供应商计算，评审后得分最高的同品牌供应商获得中标人推荐资格；评审得分相同的，由采购人或者采购人委托评标委员会按照采购文件规定的方式确定一个供应商获得中标人推荐资格，采购文件未规定的采取随机抽取方式确定，其他同品牌供应商不作为中标候选人。</w:t>
      </w:r>
    </w:p>
    <w:p w14:paraId="4BDEEA43">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rPr>
        <w:t xml:space="preserve">非单一产品采购项目，采购人应当根据采购项目技术构成、产品价格比重等合理确定核心产品，并在采购文件中载明。多家供应商提供的核心产品品牌相同的，按前款规定处理。      </w:t>
      </w:r>
    </w:p>
    <w:p w14:paraId="5CAA1C1D">
      <w:pPr>
        <w:widowControl/>
        <w:shd w:val="clear" w:color="auto" w:fill="auto"/>
        <w:spacing w:line="440" w:lineRule="exact"/>
        <w:ind w:firstLine="213" w:firstLineChars="100"/>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33. 评委纪律</w:t>
      </w:r>
    </w:p>
    <w:p w14:paraId="069A2FD7">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rPr>
        <w:t>评标委员会成员必须严格遵守保密规定，不得泄露评审的有关情况，任何单位和个人不得干扰、影响评标的正常进行，评标委员会成员不得私下与投标供应商接触，不得出现浙江省政府采购活动现场组织管理办法中规定的其他禁止行为。</w:t>
      </w:r>
    </w:p>
    <w:p w14:paraId="52298FA0">
      <w:pPr>
        <w:widowControl/>
        <w:shd w:val="clear" w:color="auto" w:fill="auto"/>
        <w:spacing w:line="440" w:lineRule="exact"/>
        <w:ind w:firstLine="213" w:firstLineChars="100"/>
        <w:rPr>
          <w:rFonts w:hint="eastAsia" w:ascii="宋体"/>
          <w:color w:val="auto"/>
          <w:szCs w:val="21"/>
          <w:highlight w:val="none"/>
        </w:rPr>
      </w:pPr>
      <w:r>
        <w:rPr>
          <w:rFonts w:hint="eastAsia" w:ascii="宋体" w:hAnsi="宋体" w:eastAsia="宋体" w:cs="宋体"/>
          <w:b/>
          <w:color w:val="auto"/>
          <w:sz w:val="21"/>
          <w:szCs w:val="21"/>
          <w:highlight w:val="none"/>
          <w:lang w:val="en-US" w:eastAsia="zh-CN"/>
        </w:rPr>
        <w:t>34.评标程序</w:t>
      </w:r>
    </w:p>
    <w:p w14:paraId="69C83C44">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34.</w:t>
      </w:r>
      <w:r>
        <w:rPr>
          <w:rFonts w:hint="eastAsia" w:ascii="宋体"/>
          <w:color w:val="auto"/>
          <w:szCs w:val="21"/>
          <w:highlight w:val="none"/>
        </w:rPr>
        <w:t>1 在评审专家中推选评标委员会组长，采购人代表不得担任评标委员会组长。</w:t>
      </w:r>
    </w:p>
    <w:p w14:paraId="0B90BA3C">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34.</w:t>
      </w:r>
      <w:r>
        <w:rPr>
          <w:rFonts w:hint="eastAsia" w:ascii="宋体"/>
          <w:color w:val="auto"/>
          <w:szCs w:val="21"/>
          <w:highlight w:val="none"/>
        </w:rPr>
        <w:t>2 评标委员会组长召集成员认真阅读采购文件以及相关补充、质疑、答复文件、项目书面说明等材料，熟悉采购项目的基本概况，采购项目的质量要求、数量、主要技术标准或服务需求，采购合同主要条款，投标文件无效情形，评审方法、评审依据、评审标准等。</w:t>
      </w:r>
    </w:p>
    <w:p w14:paraId="12A153EC">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34.</w:t>
      </w:r>
      <w:r>
        <w:rPr>
          <w:rFonts w:hint="eastAsia" w:ascii="宋体"/>
          <w:color w:val="auto"/>
          <w:szCs w:val="21"/>
          <w:highlight w:val="none"/>
        </w:rPr>
        <w:t>3 评审人员对符合资格的供应商的投标文件的有效性、符合性、完整性和响应程度进行审查，确定是否对采购文件作出实质性响应。</w:t>
      </w:r>
    </w:p>
    <w:p w14:paraId="6667B837">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34.</w:t>
      </w:r>
      <w:r>
        <w:rPr>
          <w:rFonts w:hint="eastAsia" w:ascii="宋体"/>
          <w:color w:val="auto"/>
          <w:szCs w:val="21"/>
          <w:highlight w:val="none"/>
        </w:rPr>
        <w:t>4 评审人员按采购文件规定的评审方法和评审标准，依法独立对供应商投标文件进行评估、比较，并给予评价或打分，不受任何单位和个人的干预。</w:t>
      </w:r>
    </w:p>
    <w:p w14:paraId="2DCB9E26">
      <w:pPr>
        <w:widowControl/>
        <w:shd w:val="clear" w:color="auto" w:fill="auto"/>
        <w:spacing w:line="440" w:lineRule="exact"/>
        <w:ind w:firstLine="426" w:firstLineChars="200"/>
        <w:rPr>
          <w:rFonts w:hint="eastAsia" w:ascii="宋体" w:hAnsi="宋体" w:eastAsia="宋体" w:cs="宋体"/>
          <w:color w:val="0000FF"/>
          <w:kern w:val="0"/>
          <w:szCs w:val="21"/>
          <w:highlight w:val="none"/>
        </w:rPr>
      </w:pPr>
      <w:r>
        <w:rPr>
          <w:rFonts w:hint="eastAsia" w:ascii="宋体" w:hAnsi="宋体" w:eastAsia="宋体" w:cs="宋体"/>
          <w:color w:val="0000FF"/>
          <w:kern w:val="0"/>
          <w:szCs w:val="21"/>
          <w:highlight w:val="none"/>
          <w:lang w:val="en-US" w:eastAsia="zh-CN"/>
        </w:rPr>
        <w:t>综合评分法</w:t>
      </w:r>
      <w:r>
        <w:rPr>
          <w:rFonts w:hint="eastAsia" w:ascii="宋体" w:hAnsi="宋体" w:cs="宋体"/>
          <w:color w:val="0000FF"/>
          <w:kern w:val="0"/>
          <w:szCs w:val="21"/>
          <w:highlight w:val="none"/>
          <w:lang w:val="en-US" w:eastAsia="zh-CN"/>
        </w:rPr>
        <w:t>服务</w:t>
      </w:r>
      <w:r>
        <w:rPr>
          <w:rFonts w:hint="eastAsia" w:ascii="宋体" w:hAnsi="宋体" w:eastAsia="宋体" w:cs="宋体"/>
          <w:color w:val="0000FF"/>
          <w:kern w:val="0"/>
          <w:szCs w:val="21"/>
          <w:highlight w:val="none"/>
          <w:lang w:val="en-US" w:eastAsia="zh-CN"/>
        </w:rPr>
        <w:t>项目的价格分值占总分值的比重(即权值)为</w:t>
      </w:r>
      <w:r>
        <w:rPr>
          <w:rFonts w:hint="eastAsia" w:ascii="宋体" w:hAnsi="宋体" w:cs="宋体"/>
          <w:color w:val="0000FF"/>
          <w:kern w:val="0"/>
          <w:szCs w:val="21"/>
          <w:highlight w:val="none"/>
          <w:lang w:val="en-US" w:eastAsia="zh-CN"/>
        </w:rPr>
        <w:t>15</w:t>
      </w:r>
      <w:r>
        <w:rPr>
          <w:rFonts w:hint="eastAsia" w:ascii="宋体" w:hAnsi="宋体" w:eastAsia="宋体" w:cs="宋体"/>
          <w:color w:val="0000FF"/>
          <w:kern w:val="0"/>
          <w:szCs w:val="21"/>
          <w:highlight w:val="none"/>
        </w:rPr>
        <w:t>％，</w:t>
      </w:r>
      <w:r>
        <w:rPr>
          <w:rFonts w:hint="eastAsia" w:ascii="宋体" w:hAnsi="宋体" w:eastAsia="宋体" w:cs="宋体"/>
          <w:color w:val="auto"/>
          <w:kern w:val="0"/>
          <w:szCs w:val="21"/>
          <w:highlight w:val="none"/>
        </w:rPr>
        <w:t>采购项目中含不同采购对象的，以占项目资金比例最高的采购对象确定其项目属性。其价格不列为评分因素，有特殊情况需要在上述规定范围外设定价格分权重的。</w:t>
      </w:r>
    </w:p>
    <w:p w14:paraId="70EAD5F9">
      <w:pPr>
        <w:widowControl/>
        <w:shd w:val="clear" w:color="auto" w:fill="auto"/>
        <w:spacing w:line="440" w:lineRule="exact"/>
        <w:ind w:firstLine="48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综合评分法中的价格分统一采用低价优先法计算，即满足</w:t>
      </w:r>
      <w:r>
        <w:rPr>
          <w:rFonts w:hint="eastAsia" w:ascii="宋体" w:hAnsi="宋体" w:eastAsia="宋体" w:cs="宋体"/>
          <w:color w:val="auto"/>
          <w:kern w:val="0"/>
          <w:szCs w:val="21"/>
          <w:highlight w:val="none"/>
          <w:lang w:eastAsia="zh-CN"/>
        </w:rPr>
        <w:t>招标</w:t>
      </w:r>
      <w:r>
        <w:rPr>
          <w:rFonts w:hint="eastAsia" w:ascii="宋体" w:hAnsi="宋体" w:eastAsia="宋体" w:cs="宋体"/>
          <w:color w:val="auto"/>
          <w:kern w:val="0"/>
          <w:szCs w:val="21"/>
          <w:highlight w:val="none"/>
        </w:rPr>
        <w:t>文件要求且最后报价最低的供应商的价格为</w:t>
      </w:r>
      <w:r>
        <w:rPr>
          <w:rFonts w:hint="eastAsia" w:ascii="宋体" w:hAnsi="宋体" w:eastAsia="宋体" w:cs="宋体"/>
          <w:color w:val="auto"/>
          <w:kern w:val="0"/>
          <w:szCs w:val="21"/>
          <w:highlight w:val="none"/>
          <w:lang w:eastAsia="zh-CN"/>
        </w:rPr>
        <w:t>招标</w:t>
      </w:r>
      <w:r>
        <w:rPr>
          <w:rFonts w:hint="eastAsia" w:ascii="宋体" w:hAnsi="宋体" w:eastAsia="宋体" w:cs="宋体"/>
          <w:color w:val="auto"/>
          <w:kern w:val="0"/>
          <w:szCs w:val="21"/>
          <w:highlight w:val="none"/>
        </w:rPr>
        <w:t>基准价，其价格分为满分。其他供应商的价格分统一按照下列公式计算：</w:t>
      </w:r>
    </w:p>
    <w:p w14:paraId="7C3275C2">
      <w:pPr>
        <w:widowControl/>
        <w:shd w:val="clear" w:color="auto" w:fill="auto"/>
        <w:spacing w:line="440" w:lineRule="exact"/>
        <w:ind w:firstLine="48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投标</w:t>
      </w:r>
      <w:r>
        <w:rPr>
          <w:rFonts w:hint="eastAsia" w:ascii="宋体" w:hAnsi="宋体" w:eastAsia="宋体" w:cs="宋体"/>
          <w:color w:val="auto"/>
          <w:kern w:val="0"/>
          <w:szCs w:val="21"/>
          <w:highlight w:val="none"/>
        </w:rPr>
        <w:t>报价得分=（基准价/</w:t>
      </w:r>
      <w:r>
        <w:rPr>
          <w:rFonts w:hint="eastAsia" w:ascii="宋体" w:hAnsi="宋体" w:eastAsia="宋体" w:cs="宋体"/>
          <w:color w:val="auto"/>
          <w:kern w:val="0"/>
          <w:szCs w:val="21"/>
          <w:highlight w:val="none"/>
          <w:lang w:eastAsia="zh-CN"/>
        </w:rPr>
        <w:t>投标</w:t>
      </w:r>
      <w:r>
        <w:rPr>
          <w:rFonts w:hint="eastAsia" w:ascii="宋体" w:hAnsi="宋体" w:eastAsia="宋体" w:cs="宋体"/>
          <w:color w:val="auto"/>
          <w:kern w:val="0"/>
          <w:szCs w:val="21"/>
          <w:highlight w:val="none"/>
        </w:rPr>
        <w:t>报价）×价格权值×100</w:t>
      </w:r>
    </w:p>
    <w:p w14:paraId="79DA3A0E">
      <w:pPr>
        <w:widowControl/>
        <w:shd w:val="clear" w:color="auto" w:fill="auto"/>
        <w:spacing w:line="440" w:lineRule="exact"/>
        <w:ind w:firstLine="480"/>
        <w:rPr>
          <w:rFonts w:hint="eastAsia" w:ascii="宋体"/>
          <w:color w:val="auto"/>
          <w:szCs w:val="21"/>
          <w:highlight w:val="none"/>
          <w:lang w:val="en-US" w:eastAsia="zh-CN"/>
        </w:rPr>
      </w:pPr>
      <w:r>
        <w:rPr>
          <w:rFonts w:hint="eastAsia" w:ascii="宋体" w:hAnsi="宋体" w:eastAsia="宋体" w:cs="宋体"/>
          <w:color w:val="auto"/>
          <w:kern w:val="0"/>
          <w:szCs w:val="21"/>
          <w:highlight w:val="none"/>
        </w:rPr>
        <w:t>项目评审过程中，不得去掉最后报价中的最高报价和最低报价。</w:t>
      </w:r>
    </w:p>
    <w:p w14:paraId="0B216C70">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34.</w:t>
      </w:r>
      <w:r>
        <w:rPr>
          <w:rFonts w:hint="eastAsia" w:ascii="宋体"/>
          <w:color w:val="auto"/>
          <w:szCs w:val="21"/>
          <w:highlight w:val="none"/>
        </w:rPr>
        <w:t>5 评审人员对各供应商投标文件非实质性内容有疑议或异议，或者审查发现明显的文字或计算错误等，及时向评标委员会组长提出。经评标委员会商议认为需要供应商作出必要澄清、说明或者补正的，应当以在线询标形式要求供应商作出必要的澄清、说明或者补正。澄清、说明或者补正的内容应作为政府采购项目档案归档留存。</w:t>
      </w:r>
    </w:p>
    <w:p w14:paraId="2B91C089">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34.</w:t>
      </w:r>
      <w:r>
        <w:rPr>
          <w:rFonts w:hint="eastAsia" w:ascii="宋体"/>
          <w:color w:val="auto"/>
          <w:szCs w:val="21"/>
          <w:highlight w:val="none"/>
        </w:rPr>
        <w:t>6 评审人员需对采购方工作人员唱票或统计的评审结果进行确认，现场监督员应对评审结果签署监督意见。如发现分值汇总计算错误、分项评分超出评分标准范围、客观评分不一致以及存在评分畸高、畸低（其总评分偏离平</w:t>
      </w:r>
      <w:r>
        <w:rPr>
          <w:rFonts w:hint="eastAsia" w:ascii="宋体"/>
          <w:color w:val="000000"/>
          <w:szCs w:val="21"/>
          <w:highlight w:val="none"/>
        </w:rPr>
        <w:t>均分</w:t>
      </w:r>
      <w:r>
        <w:rPr>
          <w:rFonts w:hint="eastAsia" w:ascii="宋体"/>
          <w:color w:val="000000"/>
          <w:szCs w:val="21"/>
          <w:highlight w:val="none"/>
          <w:lang w:val="en-US" w:eastAsia="zh-CN"/>
        </w:rPr>
        <w:t>30</w:t>
      </w:r>
      <w:r>
        <w:rPr>
          <w:rFonts w:hint="eastAsia" w:ascii="宋体"/>
          <w:color w:val="000000"/>
          <w:szCs w:val="21"/>
          <w:highlight w:val="none"/>
        </w:rPr>
        <w:t>%以上的</w:t>
      </w:r>
      <w:r>
        <w:rPr>
          <w:rFonts w:hint="eastAsia" w:ascii="宋体"/>
          <w:color w:val="auto"/>
          <w:szCs w:val="21"/>
          <w:highlight w:val="none"/>
        </w:rPr>
        <w:t>）情形的，应由相关人员当场改正或作出书面说明；拒不改正又不作书面说明的，由现场监督员如实记载后存入项目档案资料。</w:t>
      </w:r>
    </w:p>
    <w:p w14:paraId="32254B7B">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34.</w:t>
      </w:r>
      <w:r>
        <w:rPr>
          <w:rFonts w:hint="eastAsia" w:ascii="宋体"/>
          <w:color w:val="auto"/>
          <w:szCs w:val="21"/>
          <w:highlight w:val="none"/>
        </w:rPr>
        <w:t>7 评标委员会根据评审汇总情况和采购文件规定确定中标候选供应商排序名单。</w:t>
      </w:r>
    </w:p>
    <w:p w14:paraId="6AFCDDE8">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34.</w:t>
      </w:r>
      <w:r>
        <w:rPr>
          <w:rFonts w:hint="eastAsia" w:ascii="宋体"/>
          <w:color w:val="auto"/>
          <w:szCs w:val="21"/>
          <w:highlight w:val="none"/>
        </w:rPr>
        <w:t xml:space="preserve">8 起草评审报告，所有评审人员须在评审报告上签字确认，对自己的评审意见承担法律责任。 </w:t>
      </w:r>
    </w:p>
    <w:p w14:paraId="5784BCD0">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34.</w:t>
      </w:r>
      <w:r>
        <w:rPr>
          <w:rFonts w:hint="eastAsia" w:ascii="宋体"/>
          <w:color w:val="auto"/>
          <w:szCs w:val="21"/>
          <w:highlight w:val="none"/>
        </w:rPr>
        <w:t>9 采购组织机构对评标委员会评审专家进行评价。</w:t>
      </w:r>
    </w:p>
    <w:p w14:paraId="2BCD1586">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34.</w:t>
      </w:r>
      <w:r>
        <w:rPr>
          <w:rFonts w:hint="eastAsia" w:ascii="宋体"/>
          <w:color w:val="auto"/>
          <w:szCs w:val="21"/>
          <w:highlight w:val="none"/>
        </w:rPr>
        <w:t>10 修改评审结果</w:t>
      </w:r>
    </w:p>
    <w:p w14:paraId="12753812">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rPr>
        <w:t>评标结果汇总完成后，除下列情形外，任何人不得修改评标结果：</w:t>
      </w:r>
    </w:p>
    <w:p w14:paraId="7DFA1D09">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rPr>
        <w:t>（1）分值汇总计算错误的；</w:t>
      </w:r>
    </w:p>
    <w:p w14:paraId="34B1C89B">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rPr>
        <w:t>（2）分项评分超出评分标准范围的；</w:t>
      </w:r>
    </w:p>
    <w:p w14:paraId="3A5825ED">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rPr>
        <w:t>（3）评标委员会成员对客观评审因素评分不一致的；</w:t>
      </w:r>
    </w:p>
    <w:p w14:paraId="018915BB">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rPr>
        <w:t>（4）经评标委员会认定评分畸高、畸低的。</w:t>
      </w:r>
    </w:p>
    <w:p w14:paraId="09DE1A2A">
      <w:pPr>
        <w:widowControl/>
        <w:shd w:val="clear" w:color="auto" w:fill="auto"/>
        <w:spacing w:line="440" w:lineRule="exact"/>
        <w:ind w:firstLine="213" w:firstLineChars="100"/>
        <w:rPr>
          <w:rFonts w:hint="eastAsia" w:ascii="宋体" w:hAnsi="宋体" w:eastAsia="宋体" w:cs="宋体"/>
          <w:b/>
          <w:color w:val="auto"/>
          <w:sz w:val="21"/>
          <w:szCs w:val="21"/>
          <w:highlight w:val="none"/>
          <w:lang w:val="en-US" w:eastAsia="zh-CN"/>
        </w:rPr>
      </w:pPr>
      <w:r>
        <w:rPr>
          <w:rFonts w:hint="eastAsia" w:ascii="宋体"/>
          <w:color w:val="auto"/>
          <w:szCs w:val="21"/>
          <w:highlight w:val="none"/>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14:paraId="528E793A">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hAnsi="宋体" w:eastAsia="宋体" w:cs="宋体"/>
          <w:b/>
          <w:color w:val="auto"/>
          <w:sz w:val="21"/>
          <w:szCs w:val="21"/>
          <w:highlight w:val="none"/>
          <w:lang w:val="en-US" w:eastAsia="zh-CN"/>
        </w:rPr>
        <w:t>35．澄清、说明或补正的形式</w:t>
      </w:r>
    </w:p>
    <w:p w14:paraId="457A6AB1">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35.1对于投标文件中含义不明确、同类问题表述不一致或者有明显文字和计算错误的内容，评标委员会将通过“政府采购云平台”在线询标的方式要求投标供应商在规定的时间内作出必要的澄清、说明或者补正，</w:t>
      </w:r>
      <w:r>
        <w:rPr>
          <w:rFonts w:hint="eastAsia" w:ascii="宋体"/>
          <w:b/>
          <w:bCs/>
          <w:color w:val="auto"/>
          <w:szCs w:val="21"/>
          <w:highlight w:val="none"/>
          <w:lang w:val="en-US" w:eastAsia="zh-CN"/>
        </w:rPr>
        <w:t>投标供应商澄清、说明或补正时间为20分钟</w:t>
      </w:r>
      <w:r>
        <w:rPr>
          <w:rFonts w:hint="eastAsia" w:ascii="宋体"/>
          <w:b w:val="0"/>
          <w:bCs w:val="0"/>
          <w:color w:val="auto"/>
          <w:szCs w:val="21"/>
          <w:highlight w:val="none"/>
          <w:lang w:val="en-US" w:eastAsia="zh-CN"/>
        </w:rPr>
        <w:t>。</w:t>
      </w:r>
    </w:p>
    <w:p w14:paraId="678A842E">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35.2投标供应商的澄清、说明或者补正应当通过“政府采购云平台”在线答复的方式提交，并加盖公章（电子印章），或者由法定代表人（负责人）或其授权的代表签字。投标供应商的澄清、说明或者补正不得超出投标文件的范围或者改变投标文件的实质性内容，不接受投标供应商主动对投标文件的澄清、说明或者补正。</w:t>
      </w:r>
    </w:p>
    <w:p w14:paraId="3DFC5CE5">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35.3上述询标、澄清、说明和补正工作如因客观原因无法通过“政府采购云平台”在线进行的，将采用电子邮件等形式进行，请供应商保证办理投标事宜人员电话畅通、网络在线。如未及时进行澄清、说明或者补正的，视为放弃澄清、说明或者补正的权利。</w:t>
      </w:r>
    </w:p>
    <w:p w14:paraId="3D342E62">
      <w:pPr>
        <w:shd w:val="clear" w:color="auto" w:fill="auto"/>
        <w:spacing w:line="440" w:lineRule="exact"/>
        <w:ind w:firstLine="213" w:firstLineChars="100"/>
        <w:jc w:val="left"/>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36．错误修正的原则</w:t>
      </w:r>
    </w:p>
    <w:p w14:paraId="6E4E9D0C">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电子交易平台客户端里开标一览表录入的投标报价或优惠率与扫描上传的报价文件信息不一致的，以扫描上传的报价文件信息为准进行修正。</w:t>
      </w:r>
    </w:p>
    <w:p w14:paraId="30CE3CF9">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投标文件报价出现前后不一致的，除采购文件另有规定外，按照下列规定修正：</w:t>
      </w:r>
    </w:p>
    <w:p w14:paraId="155FB581">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36.1 投标函中表述的内容与报价表中不一致的，以报价表为准；报价表中的内容与报价明细表不一致的，以报价表为准；</w:t>
      </w:r>
    </w:p>
    <w:p w14:paraId="7F2939C0">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36.2 投标文件中的大写金额和小写金额不一致的，以大写金额为准；</w:t>
      </w:r>
    </w:p>
    <w:p w14:paraId="2F20071C">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36.3 单价金额小数点或者百分比有明显错位的，以开标一览表的总价为准，并修改单价；</w:t>
      </w:r>
    </w:p>
    <w:p w14:paraId="64EA4E4E">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36.4 总价金额与按单价汇总金额不一致的，以单价金额计算结果为准；</w:t>
      </w:r>
    </w:p>
    <w:p w14:paraId="5D6B6634">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36.5 若用文字表示的数值与用数字表示的数值不一致，以文字表示的数值为准；</w:t>
      </w:r>
    </w:p>
    <w:p w14:paraId="21DEE71B">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36.6 如有多报（指数量超出采购文件需求）、重报（指同一货物重复报价），其投标总价在评标过程中不予调整，如其中标，其合同价按其投标单价予以调整；</w:t>
      </w:r>
    </w:p>
    <w:p w14:paraId="5889764D">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36.7 对不同文字文本投标文件的解释发生异议的，以中文文本为准；</w:t>
      </w:r>
    </w:p>
    <w:p w14:paraId="08FDC0FB">
      <w:pPr>
        <w:shd w:val="clear" w:color="auto" w:fill="auto"/>
        <w:spacing w:line="440" w:lineRule="exact"/>
        <w:ind w:firstLine="213" w:firstLineChars="100"/>
        <w:jc w:val="left"/>
        <w:rPr>
          <w:rFonts w:hint="eastAsia" w:ascii="宋体"/>
          <w:b/>
          <w:bCs/>
          <w:color w:val="auto"/>
          <w:szCs w:val="21"/>
          <w:highlight w:val="none"/>
          <w:lang w:val="en-US" w:eastAsia="zh-CN"/>
        </w:rPr>
      </w:pPr>
      <w:r>
        <w:rPr>
          <w:rFonts w:hint="eastAsia" w:ascii="宋体"/>
          <w:b w:val="0"/>
          <w:bCs w:val="0"/>
          <w:color w:val="auto"/>
          <w:szCs w:val="21"/>
          <w:highlight w:val="none"/>
          <w:lang w:val="en-US" w:eastAsia="zh-CN"/>
        </w:rPr>
        <w:t>同时出现两种以上不一致的，按照前款规定的顺序修正。按上述修正错误的原则及方法调整或修正投标文件的投标报价，供应商确认后，以调整或修正后的投标报价为准。如供应商拒绝调整或修正的，其投标文件按无效标处理。</w:t>
      </w:r>
      <w:r>
        <w:rPr>
          <w:rFonts w:hint="eastAsia" w:ascii="宋体"/>
          <w:b/>
          <w:bCs/>
          <w:color w:val="auto"/>
          <w:szCs w:val="21"/>
          <w:highlight w:val="none"/>
          <w:lang w:val="en-US" w:eastAsia="zh-CN"/>
        </w:rPr>
        <w:t>修正应当采用电子询标的形式，并加盖公章（电子印章）。</w:t>
      </w:r>
    </w:p>
    <w:p w14:paraId="7B02854C">
      <w:pPr>
        <w:shd w:val="clear" w:color="auto" w:fill="auto"/>
        <w:spacing w:line="440" w:lineRule="exact"/>
        <w:ind w:firstLine="213" w:firstLineChars="100"/>
        <w:jc w:val="left"/>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37．无效投标文件</w:t>
      </w:r>
    </w:p>
    <w:p w14:paraId="15157B94">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有下列情形之一的，投标文件按无效标处理：</w:t>
      </w:r>
    </w:p>
    <w:p w14:paraId="3E265223">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37.1 报名的投标人与参加投标的投标人发生实质性变更的且未提供有效证明的；</w:t>
      </w:r>
    </w:p>
    <w:p w14:paraId="1710DEC1">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37.2投标人提交两份或两份以上内容不同的投标文件，未声明哪一份有效的；</w:t>
      </w:r>
    </w:p>
    <w:p w14:paraId="082BC3EF">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37.3 投标文件非投标人法定代表人签署的，未提供或提供无效的法定代表人授权书；</w:t>
      </w:r>
    </w:p>
    <w:p w14:paraId="3688C348">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37.4 未按招标文件规定装订；</w:t>
      </w:r>
    </w:p>
    <w:p w14:paraId="6BE84F50">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37.5 投标文件内容未按招标文件规定签字或盖章的；</w:t>
      </w:r>
    </w:p>
    <w:p w14:paraId="2C1253EC">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37.6 投标文件组成漏项或未按规定的格式编制或投标文件正、副本份数不足或内容不全或内容字迹模糊辨认不清的等而导致评标活动无法正常进行；</w:t>
      </w:r>
    </w:p>
    <w:p w14:paraId="39456BA1">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37.7 投标人未按招标文件变更通知更改投标文件的；</w:t>
      </w:r>
    </w:p>
    <w:p w14:paraId="2673C8E9">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37.8 《开标一览表</w:t>
      </w:r>
      <w:r>
        <w:rPr>
          <w:rFonts w:hint="eastAsia" w:ascii="宋体" w:hAnsi="Times New Roman" w:eastAsia="宋体" w:cs="Times New Roman"/>
          <w:b w:val="0"/>
          <w:bCs w:val="0"/>
          <w:color w:val="auto"/>
          <w:szCs w:val="21"/>
          <w:highlight w:val="none"/>
          <w:lang w:val="en-US" w:eastAsia="zh-CN"/>
        </w:rPr>
        <w:t>》和《投标分项报价表》内容不完</w:t>
      </w:r>
      <w:r>
        <w:rPr>
          <w:rFonts w:hint="eastAsia" w:ascii="宋体"/>
          <w:b w:val="0"/>
          <w:bCs w:val="0"/>
          <w:color w:val="auto"/>
          <w:szCs w:val="21"/>
          <w:highlight w:val="none"/>
          <w:lang w:val="en-US" w:eastAsia="zh-CN"/>
        </w:rPr>
        <w:t>整且不接受修正意见或字迹不能辨认的或未提供；</w:t>
      </w:r>
    </w:p>
    <w:p w14:paraId="243664C6">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37.9 标项投标报价超过招标文件规定的预算金额或最高限价</w:t>
      </w:r>
    </w:p>
    <w:p w14:paraId="771A0A09">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37.10 因投标人原因编制错误造成经评标委员会修正后的报价达到或超过投标报价的0.5%；</w:t>
      </w:r>
    </w:p>
    <w:p w14:paraId="7CCB2C90">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37.11 投标人的报价明显低于其他通过符合性审查投标人的报价，有可能影响产品质量或者不能诚信履约的，且在规定时间内不能合理说明原因并提供证明材料的；</w:t>
      </w:r>
    </w:p>
    <w:p w14:paraId="43ADA7CB">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37.12 未实质性响应招标文件中条款要求的投标文件；</w:t>
      </w:r>
    </w:p>
    <w:p w14:paraId="323F6EFC">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37.13 不符合招标范围、技术规格、技术标准的要求无法满足采购人使用要求；</w:t>
      </w:r>
    </w:p>
    <w:p w14:paraId="375596C0">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37.14 投标文件附有采购人不能接受的条款；</w:t>
      </w:r>
    </w:p>
    <w:p w14:paraId="05098E51">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37.15 投标文件中提供了赠品或者与本项目采购无关的其他商品、服务；</w:t>
      </w:r>
    </w:p>
    <w:p w14:paraId="0400AB35">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37.16 投标文件中承诺的投标有效期少于招标文件中载明的投标有效期；</w:t>
      </w:r>
    </w:p>
    <w:p w14:paraId="0FDF6173">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37.17投标人串通投标，妨碍其他投标人的竞争行为，损害采购人或者其他投标人的合法权益；</w:t>
      </w:r>
    </w:p>
    <w:p w14:paraId="7947C798">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37.18违反国家及政府部门相关法律、法规、文件规定或经评标委员会认定的其他属于重大偏离；</w:t>
      </w:r>
    </w:p>
    <w:p w14:paraId="0007B251">
      <w:pPr>
        <w:shd w:val="clear" w:color="auto" w:fill="auto"/>
        <w:spacing w:line="440" w:lineRule="exact"/>
        <w:ind w:firstLine="213" w:firstLineChars="100"/>
        <w:jc w:val="left"/>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38．废标</w:t>
      </w:r>
    </w:p>
    <w:p w14:paraId="772B0E03">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38.1 符合招标文件规定废标情形的；</w:t>
      </w:r>
    </w:p>
    <w:p w14:paraId="3474B8A2">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38.2 出现影响采购公正的违法、违规行为的；</w:t>
      </w:r>
    </w:p>
    <w:p w14:paraId="330ECEB4">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38.3 供应商的报价均超过了采购预算（或最高限价），采购人不能支付的;</w:t>
      </w:r>
    </w:p>
    <w:p w14:paraId="2021622B">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38.4 因重大变故，采购任务取消的。</w:t>
      </w:r>
    </w:p>
    <w:p w14:paraId="21F64622">
      <w:pPr>
        <w:shd w:val="clear" w:color="auto" w:fill="auto"/>
        <w:spacing w:line="440" w:lineRule="exact"/>
        <w:ind w:firstLine="213" w:firstLineChars="100"/>
        <w:jc w:val="left"/>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39．突发情况处理</w:t>
      </w:r>
    </w:p>
    <w:p w14:paraId="7B2A564B">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39.1 采购过程中出现以下情形，导致电子交易平台无法正常运行，或者无法保证电子交易的公平、公正和安全时，采购组织机构可中止电子交易活动：</w:t>
      </w:r>
    </w:p>
    <w:p w14:paraId="6DE9E766">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 xml:space="preserve">（1）电子交易平台发生故障而无法登录访问的； </w:t>
      </w:r>
    </w:p>
    <w:p w14:paraId="4F6EF66D">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（2）电子交易平台应用或数据库出现错误，不能进行正常操作的；</w:t>
      </w:r>
    </w:p>
    <w:p w14:paraId="0A898944">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（3）电子交易平台发现严重安全漏洞，有潜在泄密危险的；</w:t>
      </w:r>
    </w:p>
    <w:p w14:paraId="0FA4811C">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 xml:space="preserve">（4）病毒发作导致不能进行正常操作的； </w:t>
      </w:r>
    </w:p>
    <w:p w14:paraId="5A8F5FE4">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（5）其他无法保证电子交易的公平、公正和安全的情况。</w:t>
      </w:r>
    </w:p>
    <w:p w14:paraId="61495ADE">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出现前款规定情形，不影响采购公平、公正性的，采购组织机构可以待上述情形消除后继续组织电子交易活动，也可以决定某些环节以纸质形式进行；影响或可能影响采购公平、公正性的，应当重新采购。</w:t>
      </w:r>
    </w:p>
    <w:p w14:paraId="79041514">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39.2 采购代理机构或评审小组因不可抗力（不可抗力包括但不限于自然灾害、断电、传播疫病等）原因造成电子交易活动无法正常运行的，将采取以下措施：</w:t>
      </w:r>
    </w:p>
    <w:p w14:paraId="3B55B0E1">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（1）短时间内能消除不可抗力因素的，采购代理机构或评审小组在消除不可抗力因素后继续组织电子交易活动；</w:t>
      </w:r>
    </w:p>
    <w:p w14:paraId="0F7AC295">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（2）长时间内无法消除不可抗力因素的，采购代理机构或评审小组将中止电子交易活动。中止电子交易活动的，采购人应当重新组织政府采购活动。</w:t>
      </w:r>
    </w:p>
    <w:p w14:paraId="0E77D298">
      <w:pPr>
        <w:shd w:val="clear" w:color="auto" w:fill="auto"/>
        <w:spacing w:line="440" w:lineRule="exact"/>
        <w:ind w:firstLine="213" w:firstLineChars="100"/>
        <w:jc w:val="left"/>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40.定标</w:t>
      </w:r>
    </w:p>
    <w:p w14:paraId="6EE3AB07">
      <w:pPr>
        <w:shd w:val="clear" w:color="auto" w:fill="auto"/>
        <w:spacing w:line="440" w:lineRule="exact"/>
        <w:ind w:firstLine="426" w:firstLineChars="200"/>
        <w:jc w:val="left"/>
        <w:rPr>
          <w:rFonts w:hint="eastAsia" w:ascii="宋体"/>
          <w:b w:val="0"/>
          <w:bCs w:val="0"/>
          <w:color w:val="auto"/>
          <w:szCs w:val="21"/>
          <w:highlight w:val="none"/>
          <w:lang w:val="en-US" w:eastAsia="zh-CN"/>
        </w:rPr>
      </w:pPr>
      <w:bookmarkStart w:id="35" w:name="_Toc469495729"/>
      <w:r>
        <w:rPr>
          <w:rFonts w:hint="eastAsia" w:ascii="宋体"/>
          <w:b w:val="0"/>
          <w:bCs w:val="0"/>
          <w:color w:val="auto"/>
          <w:szCs w:val="21"/>
          <w:highlight w:val="none"/>
          <w:lang w:val="en-US" w:eastAsia="zh-CN"/>
        </w:rPr>
        <w:t>4</w:t>
      </w:r>
      <w:r>
        <w:rPr>
          <w:rFonts w:hint="eastAsia" w:ascii="宋体" w:hAnsi="宋体" w:eastAsia="宋体" w:cs="宋体"/>
          <w:b/>
          <w:color w:val="auto"/>
          <w:sz w:val="21"/>
          <w:szCs w:val="21"/>
          <w:highlight w:val="none"/>
          <w:lang w:val="en-US" w:eastAsia="zh-CN"/>
        </w:rPr>
        <w:t>0</w:t>
      </w:r>
      <w:r>
        <w:rPr>
          <w:rFonts w:hint="eastAsia" w:ascii="宋体"/>
          <w:b w:val="0"/>
          <w:bCs w:val="0"/>
          <w:color w:val="auto"/>
          <w:szCs w:val="21"/>
          <w:highlight w:val="none"/>
          <w:lang w:val="en-US" w:eastAsia="zh-CN"/>
        </w:rPr>
        <w:t>.1采购结果确认（确定中标供应商）</w:t>
      </w:r>
    </w:p>
    <w:p w14:paraId="149EE0ED">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采购结果确认（确定中标供应商）：本项目由采购人根据评标委员会提交的《评审报告》，通过“政府采购云平台”依法确认采购结果、确定中标供应商。具体流程如下：</w:t>
      </w:r>
    </w:p>
    <w:p w14:paraId="4407215B">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（1）采购代理机构将在评审结束后2个工作日内将评审报告送采购人。</w:t>
      </w:r>
    </w:p>
    <w:p w14:paraId="387E520F">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 xml:space="preserve">（2）采购人将在收到评审报告之日起5个工作日内，在评审报告推荐的中标候选供应商名单中按顺序确定中标供应商，并将确认意见以书面形式回复采购代理机构。 </w:t>
      </w:r>
    </w:p>
    <w:p w14:paraId="15649B95">
      <w:pPr>
        <w:shd w:val="clear" w:color="auto" w:fill="auto"/>
        <w:spacing w:line="440" w:lineRule="exact"/>
        <w:ind w:firstLine="213" w:firstLineChars="100"/>
        <w:jc w:val="left"/>
        <w:rPr>
          <w:rFonts w:hint="eastAsia" w:ascii="宋体"/>
          <w:b w:val="0"/>
          <w:bCs w:val="0"/>
          <w:color w:val="0000FF"/>
          <w:szCs w:val="21"/>
          <w:highlight w:val="none"/>
          <w:lang w:val="en-US" w:eastAsia="zh-CN"/>
        </w:rPr>
      </w:pPr>
      <w:r>
        <w:rPr>
          <w:rFonts w:hint="eastAsia" w:ascii="宋体"/>
          <w:b w:val="0"/>
          <w:bCs w:val="0"/>
          <w:color w:val="auto"/>
          <w:szCs w:val="21"/>
          <w:highlight w:val="none"/>
          <w:lang w:val="en-US" w:eastAsia="zh-CN"/>
        </w:rPr>
        <w:t>40.2</w:t>
      </w:r>
      <w:r>
        <w:rPr>
          <w:rFonts w:hint="eastAsia" w:ascii="宋体"/>
          <w:b/>
          <w:bCs/>
          <w:color w:val="auto"/>
          <w:szCs w:val="21"/>
          <w:highlight w:val="none"/>
          <w:lang w:val="en-US" w:eastAsia="zh-CN"/>
        </w:rPr>
        <w:t>采购结果经采购人确认后2个工作日内，采购代理机构将在新疆政府采购网（www.zjzfcg.gov.cn）、克州公共资源交易中心网上公告采购结果，中标公告期限为1个工作日。</w:t>
      </w:r>
    </w:p>
    <w:p w14:paraId="28AC92D2">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41. 中标通知书</w:t>
      </w:r>
    </w:p>
    <w:p w14:paraId="2E31A8EE">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41.1</w:t>
      </w:r>
      <w:r>
        <w:rPr>
          <w:rFonts w:hint="eastAsia" w:ascii="宋体" w:hAnsi="宋体" w:eastAsia="宋体" w:cs="宋体"/>
          <w:color w:val="auto"/>
          <w:szCs w:val="21"/>
          <w:highlight w:val="none"/>
        </w:rPr>
        <w:t>在</w:t>
      </w:r>
      <w:r>
        <w:rPr>
          <w:rFonts w:hint="eastAsia" w:ascii="宋体" w:hAnsi="宋体" w:eastAsia="宋体" w:cs="宋体"/>
          <w:color w:val="auto"/>
          <w:szCs w:val="21"/>
          <w:highlight w:val="none"/>
          <w:lang w:eastAsia="zh-CN"/>
        </w:rPr>
        <w:t>中标</w:t>
      </w:r>
      <w:r>
        <w:rPr>
          <w:rFonts w:hint="eastAsia" w:ascii="宋体" w:hAnsi="宋体" w:eastAsia="宋体" w:cs="宋体"/>
          <w:color w:val="auto"/>
          <w:szCs w:val="21"/>
          <w:highlight w:val="none"/>
        </w:rPr>
        <w:t>通知书发出前，招标人将</w:t>
      </w:r>
      <w:r>
        <w:rPr>
          <w:rFonts w:hint="eastAsia" w:ascii="宋体" w:hAnsi="宋体" w:eastAsia="宋体" w:cs="宋体"/>
          <w:color w:val="auto"/>
          <w:szCs w:val="21"/>
          <w:highlight w:val="none"/>
          <w:lang w:eastAsia="zh-CN"/>
        </w:rPr>
        <w:t>中标</w:t>
      </w:r>
      <w:r>
        <w:rPr>
          <w:rFonts w:hint="eastAsia" w:ascii="宋体" w:hAnsi="宋体" w:eastAsia="宋体" w:cs="宋体"/>
          <w:color w:val="auto"/>
          <w:szCs w:val="21"/>
          <w:highlight w:val="none"/>
        </w:rPr>
        <w:t>侯选人的情况在</w:t>
      </w:r>
      <w:r>
        <w:rPr>
          <w:rFonts w:hint="eastAsia" w:ascii="宋体" w:hAnsi="宋体" w:eastAsia="宋体" w:cs="宋体"/>
          <w:color w:val="auto"/>
          <w:szCs w:val="21"/>
          <w:highlight w:val="none"/>
          <w:lang w:eastAsia="zh-CN"/>
        </w:rPr>
        <w:t>新疆政府采购网、</w:t>
      </w:r>
      <w:r>
        <w:rPr>
          <w:rFonts w:hint="eastAsia" w:ascii="宋体" w:hAnsi="宋体" w:eastAsia="宋体" w:cs="宋体"/>
          <w:color w:val="auto"/>
          <w:szCs w:val="21"/>
          <w:highlight w:val="none"/>
          <w:lang w:val="en-US" w:eastAsia="zh-CN"/>
        </w:rPr>
        <w:t>克州公共资源交易中心网</w:t>
      </w:r>
      <w:r>
        <w:rPr>
          <w:rFonts w:hint="eastAsia" w:ascii="宋体" w:hAnsi="宋体" w:eastAsia="宋体" w:cs="宋体"/>
          <w:color w:val="auto"/>
          <w:szCs w:val="21"/>
          <w:highlight w:val="none"/>
        </w:rPr>
        <w:t>予以公示，</w:t>
      </w:r>
      <w:r>
        <w:rPr>
          <w:rFonts w:hint="eastAsia" w:ascii="宋体" w:hAnsi="宋体" w:eastAsia="宋体" w:cs="宋体"/>
          <w:b/>
          <w:bCs/>
          <w:color w:val="auto"/>
          <w:szCs w:val="21"/>
          <w:highlight w:val="none"/>
        </w:rPr>
        <w:t>公示期为</w:t>
      </w:r>
      <w:r>
        <w:rPr>
          <w:rFonts w:hint="eastAsia" w:ascii="宋体" w:hAnsi="宋体" w:eastAsia="宋体" w:cs="宋体"/>
          <w:b/>
          <w:bCs/>
          <w:color w:val="auto"/>
          <w:szCs w:val="21"/>
          <w:highlight w:val="none"/>
          <w:lang w:eastAsia="zh-CN"/>
        </w:rPr>
        <w:t>一</w:t>
      </w:r>
      <w:r>
        <w:rPr>
          <w:rFonts w:hint="eastAsia" w:ascii="宋体" w:hAnsi="宋体" w:eastAsia="宋体" w:cs="宋体"/>
          <w:b/>
          <w:bCs/>
          <w:color w:val="auto"/>
          <w:szCs w:val="21"/>
          <w:highlight w:val="none"/>
        </w:rPr>
        <w:t>个工作日。</w:t>
      </w:r>
      <w:r>
        <w:rPr>
          <w:rFonts w:hint="eastAsia" w:ascii="宋体" w:hAnsi="宋体" w:eastAsia="宋体" w:cs="宋体"/>
          <w:b/>
          <w:bCs/>
          <w:color w:val="auto"/>
          <w:szCs w:val="21"/>
          <w:highlight w:val="none"/>
          <w:lang w:eastAsia="zh-CN"/>
        </w:rPr>
        <w:t>待公示期结束后，</w:t>
      </w:r>
      <w:r>
        <w:rPr>
          <w:rFonts w:hint="eastAsia" w:ascii="宋体"/>
          <w:b/>
          <w:bCs/>
          <w:color w:val="auto"/>
          <w:szCs w:val="21"/>
          <w:highlight w:val="none"/>
          <w:lang w:val="en-US" w:eastAsia="zh-CN"/>
        </w:rPr>
        <w:t>采购组织机构向中标人发出中标通知书。</w:t>
      </w:r>
    </w:p>
    <w:p w14:paraId="3C034F12">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41.2中标通知书作为签订合同的重要依据，对采购人和中标供应商均具有法律效力。采购人改变中标结果或者中标供应商放弃中标项目的都应承担法律责任。中标供应商不得向他人转让中标项目，也不得将中标项目肢解后分别向他人转让。</w:t>
      </w:r>
    </w:p>
    <w:p w14:paraId="404139CA">
      <w:pPr>
        <w:pStyle w:val="49"/>
        <w:ind w:left="0" w:leftChars="0" w:firstLine="0" w:firstLineChars="0"/>
        <w:rPr>
          <w:rFonts w:hint="eastAsia" w:ascii="宋体"/>
          <w:b w:val="0"/>
          <w:bCs w:val="0"/>
          <w:color w:val="auto"/>
          <w:szCs w:val="21"/>
          <w:highlight w:val="none"/>
          <w:lang w:val="en-US" w:eastAsia="zh-CN"/>
        </w:rPr>
      </w:pPr>
    </w:p>
    <w:p w14:paraId="2F74520E">
      <w:pPr>
        <w:shd w:val="clear" w:color="auto" w:fill="auto"/>
        <w:spacing w:before="156" w:beforeLines="50" w:line="440" w:lineRule="exact"/>
        <w:ind w:firstLine="3113" w:firstLineChars="1100"/>
        <w:jc w:val="both"/>
        <w:outlineLvl w:val="2"/>
        <w:rPr>
          <w:rFonts w:hint="eastAsia" w:ascii="黑体" w:eastAsia="黑体"/>
          <w:color w:val="auto"/>
          <w:sz w:val="24"/>
          <w:highlight w:val="none"/>
        </w:rPr>
      </w:pPr>
      <w:r>
        <w:rPr>
          <w:rFonts w:hint="eastAsia" w:ascii="黑体" w:eastAsia="黑体"/>
          <w:color w:val="auto"/>
          <w:sz w:val="28"/>
          <w:szCs w:val="28"/>
          <w:highlight w:val="none"/>
        </w:rPr>
        <w:t>（六）合同的授予</w:t>
      </w:r>
      <w:bookmarkEnd w:id="35"/>
    </w:p>
    <w:p w14:paraId="2EA839D2">
      <w:pPr>
        <w:shd w:val="clear" w:color="auto" w:fill="auto"/>
        <w:spacing w:line="440" w:lineRule="exact"/>
        <w:ind w:firstLine="213" w:firstLineChars="100"/>
        <w:jc w:val="left"/>
        <w:rPr>
          <w:rFonts w:hint="eastAsia" w:ascii="宋体"/>
          <w:b w:val="0"/>
          <w:bCs w:val="0"/>
          <w:color w:val="auto"/>
          <w:szCs w:val="21"/>
          <w:highlight w:val="none"/>
          <w:lang w:val="en-US" w:eastAsia="zh-CN"/>
        </w:rPr>
      </w:pPr>
      <w:bookmarkStart w:id="36" w:name="_Toc73975842"/>
      <w:bookmarkStart w:id="37" w:name="_Toc469495730"/>
      <w:r>
        <w:rPr>
          <w:rFonts w:hint="eastAsia" w:ascii="宋体"/>
          <w:b w:val="0"/>
          <w:bCs w:val="0"/>
          <w:color w:val="auto"/>
          <w:szCs w:val="21"/>
          <w:highlight w:val="none"/>
          <w:lang w:val="en-US" w:eastAsia="zh-CN"/>
        </w:rPr>
        <w:t>42．履约保证金</w:t>
      </w:r>
      <w:bookmarkEnd w:id="36"/>
    </w:p>
    <w:p w14:paraId="1AFA90E2">
      <w:pPr>
        <w:widowControl/>
        <w:spacing w:line="440" w:lineRule="exact"/>
        <w:ind w:firstLine="213" w:firstLineChars="100"/>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42.1 中标供应商在签订合同后5个工作日内向采购人交纳中标价</w:t>
      </w:r>
      <w:r>
        <w:rPr>
          <w:rFonts w:hint="eastAsia" w:ascii="宋体"/>
          <w:b/>
          <w:bCs/>
          <w:color w:val="auto"/>
          <w:szCs w:val="21"/>
          <w:highlight w:val="yellow"/>
          <w:lang w:val="en-US" w:eastAsia="zh-CN"/>
        </w:rPr>
        <w:t>10</w:t>
      </w:r>
      <w:r>
        <w:rPr>
          <w:rFonts w:hint="eastAsia" w:ascii="宋体"/>
          <w:b/>
          <w:bCs/>
          <w:color w:val="auto"/>
          <w:szCs w:val="21"/>
          <w:highlight w:val="yellow"/>
          <w:lang w:val="en-US" w:eastAsia="zh-CN"/>
        </w:rPr>
        <w:t>%的履约保证金</w:t>
      </w:r>
      <w:r>
        <w:rPr>
          <w:rFonts w:hint="eastAsia" w:ascii="宋体"/>
          <w:b w:val="0"/>
          <w:bCs w:val="0"/>
          <w:color w:val="auto"/>
          <w:szCs w:val="21"/>
          <w:highlight w:val="none"/>
          <w:lang w:val="en-US" w:eastAsia="zh-CN"/>
        </w:rPr>
        <w:t>（</w:t>
      </w:r>
      <w:r>
        <w:rPr>
          <w:rFonts w:hint="eastAsia" w:ascii="宋体" w:hAnsi="宋体" w:cs="宋体"/>
          <w:color w:val="auto"/>
          <w:kern w:val="0"/>
          <w:szCs w:val="21"/>
          <w:lang w:eastAsia="zh-CN"/>
        </w:rPr>
        <w:t>本项目履约保证金接收保函形式</w:t>
      </w:r>
      <w:r>
        <w:rPr>
          <w:rFonts w:hint="eastAsia" w:ascii="宋体"/>
          <w:b w:val="0"/>
          <w:bCs w:val="0"/>
          <w:color w:val="auto"/>
          <w:szCs w:val="21"/>
          <w:highlight w:val="none"/>
          <w:lang w:val="en-US" w:eastAsia="zh-CN"/>
        </w:rPr>
        <w:t>；若以电汇、银行转账方式提交的，必须转到采购人的指定账户）。</w:t>
      </w:r>
    </w:p>
    <w:p w14:paraId="297D2D3E">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42.2 签订合同后，如中标供应商不按合同约定履约的，履约保证金不予退还，履约保证金不足以赔偿损失的，按实际损失赔偿。</w:t>
      </w:r>
    </w:p>
    <w:p w14:paraId="7D4A7B7B">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42.3 如果中标供应商在供货期内没有涉及采购人的应付而未付金额或违约行为，采购人在项目验收合格后或提前终止合同后全额无息退还履约保证金。</w:t>
      </w:r>
    </w:p>
    <w:p w14:paraId="6C82A694">
      <w:pPr>
        <w:shd w:val="clear" w:color="auto" w:fill="auto"/>
        <w:spacing w:line="440" w:lineRule="exact"/>
        <w:ind w:firstLine="213" w:firstLineChars="100"/>
        <w:jc w:val="left"/>
        <w:rPr>
          <w:rFonts w:hint="eastAsia" w:ascii="宋体"/>
          <w:b w:val="0"/>
          <w:bCs w:val="0"/>
          <w:color w:val="auto"/>
          <w:szCs w:val="21"/>
          <w:highlight w:val="none"/>
          <w:lang w:val="en-US" w:eastAsia="zh-CN"/>
        </w:rPr>
      </w:pPr>
      <w:bookmarkStart w:id="38" w:name="_Toc73975843"/>
      <w:r>
        <w:rPr>
          <w:rFonts w:hint="eastAsia" w:ascii="宋体"/>
          <w:b w:val="0"/>
          <w:bCs w:val="0"/>
          <w:color w:val="auto"/>
          <w:szCs w:val="21"/>
          <w:highlight w:val="none"/>
          <w:lang w:val="en-US" w:eastAsia="zh-CN"/>
        </w:rPr>
        <w:t>43．签订合同及公告</w:t>
      </w:r>
      <w:bookmarkEnd w:id="38"/>
    </w:p>
    <w:p w14:paraId="6EA77ABC">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43.1采购人在中标通知书发出之日起30日内与中标供应商签订合同。</w:t>
      </w:r>
    </w:p>
    <w:p w14:paraId="422BDB70">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43.2中标供应商拖延、拒签合同的,取消中标资格。</w:t>
      </w:r>
    </w:p>
    <w:p w14:paraId="38E7E10F">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43.3 采购文件、中标供应商的投标文件及评标过程中有关澄清文件等均作为签订合同的依据。所签订的合同不得对采购文件和中标供应商的投标文件的内容作实质性修改。</w:t>
      </w:r>
    </w:p>
    <w:p w14:paraId="1EE736C6">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43.4采购人应当自政府采购合同签订之日起2个工作日内，在省级以上财政部门指定的政府采购信息发布媒体及相关网站上公告。</w:t>
      </w:r>
    </w:p>
    <w:p w14:paraId="449F283B">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43.5采购人应当自政府采购合同签订之日起7个工作日内，将政府采购合同副本报同级人民政府财政部门备案以及采购代理机构存档。</w:t>
      </w:r>
    </w:p>
    <w:p w14:paraId="439DCCF6">
      <w:pPr>
        <w:shd w:val="clear" w:color="auto" w:fill="auto"/>
        <w:adjustRightInd w:val="0"/>
        <w:snapToGrid w:val="0"/>
        <w:spacing w:line="440" w:lineRule="exact"/>
        <w:jc w:val="center"/>
        <w:outlineLvl w:val="2"/>
        <w:rPr>
          <w:rFonts w:hint="eastAsia" w:ascii="黑体" w:eastAsia="黑体"/>
          <w:color w:val="auto"/>
          <w:sz w:val="28"/>
          <w:szCs w:val="28"/>
          <w:highlight w:val="none"/>
        </w:rPr>
      </w:pPr>
      <w:r>
        <w:rPr>
          <w:rFonts w:hint="eastAsia" w:ascii="黑体" w:eastAsia="黑体"/>
          <w:color w:val="auto"/>
          <w:sz w:val="28"/>
          <w:szCs w:val="28"/>
          <w:highlight w:val="none"/>
        </w:rPr>
        <w:t>（七）纪律和监督</w:t>
      </w:r>
      <w:bookmarkEnd w:id="37"/>
    </w:p>
    <w:p w14:paraId="29B27A01">
      <w:pPr>
        <w:shd w:val="clear" w:color="auto" w:fill="auto"/>
        <w:spacing w:line="440" w:lineRule="exact"/>
        <w:ind w:firstLine="312" w:firstLineChars="147"/>
        <w:jc w:val="left"/>
        <w:rPr>
          <w:rFonts w:hint="eastAsia" w:ascii="宋体"/>
          <w:b/>
          <w:color w:val="auto"/>
          <w:szCs w:val="21"/>
          <w:highlight w:val="none"/>
        </w:rPr>
      </w:pPr>
      <w:r>
        <w:rPr>
          <w:rFonts w:hint="eastAsia" w:ascii="宋体"/>
          <w:b/>
          <w:color w:val="auto"/>
          <w:szCs w:val="21"/>
          <w:highlight w:val="none"/>
          <w:lang w:val="en-US" w:eastAsia="zh-CN"/>
        </w:rPr>
        <w:t>44</w:t>
      </w:r>
      <w:r>
        <w:rPr>
          <w:rFonts w:hint="eastAsia" w:ascii="宋体"/>
          <w:b/>
          <w:color w:val="auto"/>
          <w:szCs w:val="21"/>
          <w:highlight w:val="none"/>
        </w:rPr>
        <w:t xml:space="preserve">. 对招标人的纪律要求 </w:t>
      </w:r>
    </w:p>
    <w:p w14:paraId="7C04F1FD">
      <w:pPr>
        <w:shd w:val="clear" w:color="auto" w:fill="auto"/>
        <w:adjustRightInd w:val="0"/>
        <w:snapToGrid w:val="0"/>
        <w:spacing w:line="440" w:lineRule="exact"/>
        <w:ind w:firstLine="319" w:firstLineChars="150"/>
        <w:rPr>
          <w:rFonts w:hint="eastAsia" w:ascii="宋体"/>
          <w:color w:val="auto"/>
          <w:kern w:val="10"/>
          <w:szCs w:val="21"/>
          <w:highlight w:val="none"/>
        </w:rPr>
      </w:pPr>
      <w:r>
        <w:rPr>
          <w:rFonts w:hint="eastAsia" w:ascii="宋体"/>
          <w:color w:val="auto"/>
          <w:kern w:val="10"/>
          <w:szCs w:val="21"/>
          <w:highlight w:val="none"/>
          <w:lang w:val="en-US" w:eastAsia="zh-CN"/>
        </w:rPr>
        <w:t>44</w:t>
      </w:r>
      <w:r>
        <w:rPr>
          <w:rFonts w:hint="eastAsia" w:ascii="宋体"/>
          <w:color w:val="auto"/>
          <w:kern w:val="10"/>
          <w:szCs w:val="21"/>
          <w:highlight w:val="none"/>
        </w:rPr>
        <w:t xml:space="preserve">.1招标人不得泄漏招标投标活动中应当保密的情况和资料，不得与投标人串通损害国家利益，社会公共利益或者他人合法权益。 </w:t>
      </w:r>
    </w:p>
    <w:p w14:paraId="0B7E7D4A">
      <w:pPr>
        <w:shd w:val="clear" w:color="auto" w:fill="auto"/>
        <w:spacing w:line="440" w:lineRule="exact"/>
        <w:ind w:firstLine="312" w:firstLineChars="147"/>
        <w:jc w:val="left"/>
        <w:rPr>
          <w:rFonts w:hint="eastAsia" w:ascii="宋体"/>
          <w:b/>
          <w:color w:val="auto"/>
          <w:szCs w:val="21"/>
          <w:highlight w:val="none"/>
        </w:rPr>
      </w:pPr>
      <w:r>
        <w:rPr>
          <w:rFonts w:hint="eastAsia" w:ascii="宋体"/>
          <w:b/>
          <w:color w:val="auto"/>
          <w:szCs w:val="21"/>
          <w:highlight w:val="none"/>
          <w:lang w:val="en-US" w:eastAsia="zh-CN"/>
        </w:rPr>
        <w:t>45</w:t>
      </w:r>
      <w:r>
        <w:rPr>
          <w:rFonts w:hint="eastAsia" w:ascii="宋体"/>
          <w:b/>
          <w:color w:val="auto"/>
          <w:szCs w:val="21"/>
          <w:highlight w:val="none"/>
        </w:rPr>
        <w:t xml:space="preserve">. 对投标人的纪律要求 </w:t>
      </w:r>
    </w:p>
    <w:p w14:paraId="2DE6189C">
      <w:pPr>
        <w:shd w:val="clear" w:color="auto" w:fill="auto"/>
        <w:adjustRightInd w:val="0"/>
        <w:snapToGrid w:val="0"/>
        <w:spacing w:line="440" w:lineRule="exact"/>
        <w:ind w:firstLine="319" w:firstLineChars="150"/>
        <w:rPr>
          <w:rFonts w:hint="eastAsia" w:ascii="宋体"/>
          <w:color w:val="auto"/>
          <w:kern w:val="10"/>
          <w:szCs w:val="21"/>
          <w:highlight w:val="none"/>
        </w:rPr>
      </w:pPr>
      <w:r>
        <w:rPr>
          <w:rFonts w:hint="eastAsia" w:ascii="宋体"/>
          <w:color w:val="auto"/>
          <w:kern w:val="10"/>
          <w:szCs w:val="21"/>
          <w:highlight w:val="none"/>
          <w:lang w:val="en-US" w:eastAsia="zh-CN"/>
        </w:rPr>
        <w:t>45</w:t>
      </w:r>
      <w:r>
        <w:rPr>
          <w:rFonts w:hint="eastAsia" w:ascii="宋体"/>
          <w:color w:val="auto"/>
          <w:kern w:val="10"/>
          <w:szCs w:val="21"/>
          <w:highlight w:val="none"/>
        </w:rPr>
        <w:t>.1投标人不得相互串通投标或者与招标人串通投标，不得向招标人或者评标委员会成员行贿谋取中标，不得以他人名义投标或者以其他方式弄虚作假骗取中标；投标人不得以任何方式干扰、影响评标工作。</w:t>
      </w:r>
    </w:p>
    <w:p w14:paraId="59CB4B0C">
      <w:pPr>
        <w:shd w:val="clear" w:color="auto" w:fill="auto"/>
        <w:spacing w:line="440" w:lineRule="exact"/>
        <w:ind w:firstLine="312" w:firstLineChars="147"/>
        <w:jc w:val="left"/>
        <w:rPr>
          <w:rFonts w:hint="eastAsia" w:ascii="宋体"/>
          <w:b/>
          <w:color w:val="auto"/>
          <w:szCs w:val="21"/>
          <w:highlight w:val="none"/>
        </w:rPr>
      </w:pPr>
      <w:r>
        <w:rPr>
          <w:rFonts w:hint="eastAsia" w:ascii="宋体"/>
          <w:b/>
          <w:color w:val="auto"/>
          <w:szCs w:val="21"/>
          <w:highlight w:val="none"/>
          <w:lang w:val="en-US" w:eastAsia="zh-CN"/>
        </w:rPr>
        <w:t>46</w:t>
      </w:r>
      <w:r>
        <w:rPr>
          <w:rFonts w:hint="eastAsia" w:ascii="宋体"/>
          <w:b/>
          <w:color w:val="auto"/>
          <w:szCs w:val="21"/>
          <w:highlight w:val="none"/>
        </w:rPr>
        <w:t xml:space="preserve">. 对评标委员会成员的纪律要求 </w:t>
      </w:r>
    </w:p>
    <w:p w14:paraId="67502142">
      <w:pPr>
        <w:shd w:val="clear" w:color="auto" w:fill="auto"/>
        <w:adjustRightInd w:val="0"/>
        <w:snapToGrid w:val="0"/>
        <w:spacing w:line="440" w:lineRule="exact"/>
        <w:ind w:firstLine="319" w:firstLineChars="150"/>
        <w:rPr>
          <w:rFonts w:hint="eastAsia" w:ascii="宋体"/>
          <w:color w:val="auto"/>
          <w:kern w:val="10"/>
          <w:szCs w:val="21"/>
          <w:highlight w:val="none"/>
        </w:rPr>
      </w:pPr>
      <w:r>
        <w:rPr>
          <w:rFonts w:hint="eastAsia" w:ascii="宋体"/>
          <w:color w:val="auto"/>
          <w:kern w:val="10"/>
          <w:szCs w:val="21"/>
          <w:highlight w:val="none"/>
          <w:lang w:val="en-US" w:eastAsia="zh-CN"/>
        </w:rPr>
        <w:t>46</w:t>
      </w:r>
      <w:r>
        <w:rPr>
          <w:rFonts w:hint="eastAsia" w:ascii="宋体"/>
          <w:color w:val="auto"/>
          <w:kern w:val="10"/>
          <w:szCs w:val="21"/>
          <w:highlight w:val="none"/>
        </w:rPr>
        <w:t>.1评标委员会成员不得收受他人的财物或者其他好处，不得向他人透漏对投标文件的评审和比较、中标候选人的推荐情况以及评标有关的其他情况。</w:t>
      </w:r>
    </w:p>
    <w:p w14:paraId="4CD10BA0">
      <w:pPr>
        <w:shd w:val="clear" w:color="auto" w:fill="auto"/>
        <w:adjustRightInd w:val="0"/>
        <w:snapToGrid w:val="0"/>
        <w:spacing w:line="440" w:lineRule="exact"/>
        <w:ind w:firstLine="319" w:firstLineChars="150"/>
        <w:rPr>
          <w:rFonts w:hint="eastAsia" w:ascii="宋体"/>
          <w:color w:val="auto"/>
          <w:kern w:val="10"/>
          <w:szCs w:val="21"/>
          <w:highlight w:val="none"/>
        </w:rPr>
      </w:pPr>
      <w:r>
        <w:rPr>
          <w:rFonts w:hint="eastAsia" w:ascii="宋体"/>
          <w:color w:val="auto"/>
          <w:kern w:val="10"/>
          <w:szCs w:val="21"/>
          <w:highlight w:val="none"/>
          <w:lang w:val="en-US" w:eastAsia="zh-CN"/>
        </w:rPr>
        <w:t>46</w:t>
      </w:r>
      <w:r>
        <w:rPr>
          <w:rFonts w:hint="eastAsia" w:ascii="宋体"/>
          <w:color w:val="auto"/>
          <w:kern w:val="10"/>
          <w:szCs w:val="21"/>
          <w:highlight w:val="none"/>
        </w:rPr>
        <w:t xml:space="preserve">.2在评标活动中，评标委员会成员不得擅离职守，影响评标程序正常进行，不得使用第三章“评标办法”没有规定的评审因素和标准进行评标。 </w:t>
      </w:r>
    </w:p>
    <w:p w14:paraId="56269859">
      <w:pPr>
        <w:shd w:val="clear" w:color="auto" w:fill="auto"/>
        <w:adjustRightInd w:val="0"/>
        <w:snapToGrid w:val="0"/>
        <w:spacing w:line="440" w:lineRule="exact"/>
        <w:ind w:firstLine="319" w:firstLineChars="150"/>
        <w:rPr>
          <w:rFonts w:hint="eastAsia" w:ascii="宋体"/>
          <w:b/>
          <w:color w:val="auto"/>
          <w:szCs w:val="21"/>
          <w:highlight w:val="none"/>
        </w:rPr>
      </w:pPr>
      <w:r>
        <w:rPr>
          <w:rFonts w:hint="eastAsia" w:ascii="宋体"/>
          <w:b/>
          <w:color w:val="auto"/>
          <w:szCs w:val="21"/>
          <w:highlight w:val="none"/>
          <w:lang w:val="en-US" w:eastAsia="zh-CN"/>
        </w:rPr>
        <w:t>47</w:t>
      </w:r>
      <w:r>
        <w:rPr>
          <w:rFonts w:hint="eastAsia" w:ascii="宋体"/>
          <w:b/>
          <w:color w:val="auto"/>
          <w:szCs w:val="21"/>
          <w:highlight w:val="none"/>
        </w:rPr>
        <w:t xml:space="preserve">. 对与评标活动有关的工作人员的纪律要求 </w:t>
      </w:r>
    </w:p>
    <w:p w14:paraId="78D858B7">
      <w:pPr>
        <w:shd w:val="clear" w:color="auto" w:fill="auto"/>
        <w:adjustRightInd w:val="0"/>
        <w:snapToGrid w:val="0"/>
        <w:spacing w:line="440" w:lineRule="exact"/>
        <w:ind w:firstLine="319" w:firstLineChars="150"/>
        <w:rPr>
          <w:rFonts w:hint="eastAsia" w:ascii="宋体"/>
          <w:color w:val="auto"/>
          <w:kern w:val="10"/>
          <w:szCs w:val="21"/>
          <w:highlight w:val="none"/>
        </w:rPr>
      </w:pPr>
      <w:r>
        <w:rPr>
          <w:rFonts w:hint="eastAsia" w:ascii="宋体"/>
          <w:color w:val="auto"/>
          <w:kern w:val="10"/>
          <w:szCs w:val="21"/>
          <w:highlight w:val="none"/>
        </w:rPr>
        <w:t>4</w:t>
      </w:r>
      <w:r>
        <w:rPr>
          <w:rFonts w:hint="eastAsia" w:ascii="宋体"/>
          <w:color w:val="auto"/>
          <w:kern w:val="10"/>
          <w:szCs w:val="21"/>
          <w:highlight w:val="none"/>
          <w:lang w:val="en-US" w:eastAsia="zh-CN"/>
        </w:rPr>
        <w:t>7</w:t>
      </w:r>
      <w:r>
        <w:rPr>
          <w:rFonts w:hint="eastAsia" w:ascii="宋体"/>
          <w:color w:val="auto"/>
          <w:kern w:val="10"/>
          <w:szCs w:val="21"/>
          <w:highlight w:val="none"/>
        </w:rPr>
        <w:t>.1与评标活动有关的工作人员不得收受他人的财物或者其他好处，不得向他人透漏对投标文件的评审和比较、中标候选人的推荐情况以及评标有关的其他情况。在评标活动中，与评标活动有关的工作人员不得擅离职守，影响评标程序正常进行。</w:t>
      </w:r>
    </w:p>
    <w:p w14:paraId="4B23F028">
      <w:pPr>
        <w:shd w:val="clear" w:color="auto" w:fill="auto"/>
        <w:spacing w:before="156" w:beforeLines="50" w:after="156" w:afterLines="50" w:line="500" w:lineRule="exact"/>
        <w:ind w:firstLine="849" w:firstLineChars="300"/>
        <w:jc w:val="center"/>
        <w:rPr>
          <w:rFonts w:hint="eastAsia" w:ascii="黑体" w:hAnsi="宋体" w:eastAsia="黑体"/>
          <w:color w:val="auto"/>
          <w:sz w:val="28"/>
          <w:szCs w:val="28"/>
          <w:highlight w:val="none"/>
        </w:rPr>
      </w:pPr>
      <w:r>
        <w:rPr>
          <w:rFonts w:hint="eastAsia" w:ascii="黑体" w:eastAsia="黑体"/>
          <w:color w:val="auto"/>
          <w:sz w:val="28"/>
          <w:szCs w:val="28"/>
          <w:highlight w:val="none"/>
        </w:rPr>
        <w:t>（八）</w:t>
      </w:r>
      <w:r>
        <w:rPr>
          <w:rFonts w:hint="eastAsia" w:ascii="黑体" w:hAnsi="宋体" w:eastAsia="黑体"/>
          <w:color w:val="auto"/>
          <w:sz w:val="28"/>
          <w:szCs w:val="28"/>
          <w:highlight w:val="none"/>
        </w:rPr>
        <w:t>质疑与投诉</w:t>
      </w:r>
    </w:p>
    <w:p w14:paraId="3C576C02">
      <w:pPr>
        <w:shd w:val="clear" w:color="auto" w:fill="auto"/>
        <w:spacing w:line="440" w:lineRule="exact"/>
        <w:ind w:firstLine="312" w:firstLineChars="147"/>
        <w:jc w:val="left"/>
        <w:rPr>
          <w:rFonts w:hint="eastAsia" w:ascii="宋体" w:hAnsi="Times New Roman" w:eastAsia="宋体" w:cs="Times New Roman"/>
          <w:b/>
          <w:color w:val="auto"/>
          <w:szCs w:val="21"/>
          <w:highlight w:val="none"/>
          <w:lang w:val="en-US" w:eastAsia="zh-CN"/>
        </w:rPr>
      </w:pPr>
      <w:r>
        <w:rPr>
          <w:rFonts w:hint="eastAsia" w:ascii="宋体" w:hAnsi="Times New Roman" w:eastAsia="宋体" w:cs="Times New Roman"/>
          <w:b/>
          <w:color w:val="auto"/>
          <w:szCs w:val="21"/>
          <w:highlight w:val="none"/>
          <w:lang w:val="en-US" w:eastAsia="zh-CN"/>
        </w:rPr>
        <w:t>48．质疑和投诉</w:t>
      </w:r>
    </w:p>
    <w:p w14:paraId="7B07EEEA">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48.1.供应商认为采购文件、采购过程和中标结果使自己的权益受到损害的，可以在知道或者应知其权益受到损害之日起七个工作日内，以书面形式向采购人提出质疑（质疑材料递交地址：乌恰县寰宇大厦616室，电话：13201016575）。供应商应当在法定质疑期内一次性提出针对同一采购程序环节的质疑。供应商应知其权益受到损害之日，是指：</w:t>
      </w:r>
    </w:p>
    <w:p w14:paraId="1978297A">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（一）对可以质疑的采购文件提出质疑的，为收到采购文件之日或者采购文件公告期限届满之日；</w:t>
      </w:r>
    </w:p>
    <w:p w14:paraId="4BDEC317">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（二）对采购过程提出质疑的，为各采购程序环节结束之日；</w:t>
      </w:r>
    </w:p>
    <w:p w14:paraId="0ACCB46C">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（三）对中标结果提出质疑的，为中标结果公告期限届满之日。</w:t>
      </w:r>
    </w:p>
    <w:p w14:paraId="204859B9">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48.2供应商提出质疑应当提交质疑函和必要的证明材料。质疑函应当包括下列内容：供应商的姓名或者名称、地址、邮编、联系人及联系电话；质疑项目的名称、编号；具体、明确的质疑事项和与质疑事项相关的请求；事实依据；必要的法律依据；提出质疑的日期。（具体格式详见附件）</w:t>
      </w:r>
    </w:p>
    <w:p w14:paraId="75F766F5">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供应商为自然人的，应当由本人签字；供应商为法人或者其他组织的，应当由法定代表人、主要负责人，或者其授权代表签字或者盖章，并加盖公章。</w:t>
      </w:r>
    </w:p>
    <w:p w14:paraId="76CF9C26">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48.3供应商质疑、投诉应当有明确的请求和必要的证明材料。供应商投诉的事项不得超出已质疑事项的范围。采购人及采购代理机构按《政府采购质疑和投诉办法》进行处理供应商质疑事项。</w:t>
      </w:r>
    </w:p>
    <w:p w14:paraId="32279C05">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48.4质疑供应商对采购人、采购代理机构的质疑答复不满意，或者采购人、采购代理机构未在规定期限内作出答复的，供应商可以在答复期满后15个工作日内向同级财政部门提起投诉（地址：乌恰县财政局采购办，投诉电话：4623075）。</w:t>
      </w:r>
    </w:p>
    <w:p w14:paraId="1E3676D0">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48.5</w:t>
      </w:r>
      <w:r>
        <w:rPr>
          <w:rFonts w:hint="eastAsia" w:ascii="宋体" w:hAnsi="Times New Roman" w:eastAsia="宋体" w:cs="Times New Roman"/>
          <w:b w:val="0"/>
          <w:bCs w:val="0"/>
          <w:color w:val="auto"/>
          <w:szCs w:val="21"/>
          <w:highlight w:val="none"/>
          <w:lang w:val="en-US" w:eastAsia="zh-CN"/>
        </w:rPr>
        <w:t>供应商有下列情形之一的，采购代理机构上报至</w:t>
      </w:r>
      <w:r>
        <w:rPr>
          <w:rFonts w:hint="eastAsia" w:ascii="宋体" w:cs="Times New Roman"/>
          <w:b w:val="0"/>
          <w:bCs w:val="0"/>
          <w:color w:val="auto"/>
          <w:szCs w:val="21"/>
          <w:highlight w:val="none"/>
          <w:lang w:val="en-US" w:eastAsia="zh-CN"/>
        </w:rPr>
        <w:t>乌恰县***</w:t>
      </w:r>
      <w:r>
        <w:rPr>
          <w:rFonts w:hint="eastAsia" w:ascii="宋体" w:hAnsi="Times New Roman" w:eastAsia="宋体" w:cs="Times New Roman"/>
          <w:b w:val="0"/>
          <w:bCs w:val="0"/>
          <w:color w:val="auto"/>
          <w:szCs w:val="21"/>
          <w:highlight w:val="none"/>
          <w:lang w:val="en-US" w:eastAsia="zh-CN"/>
        </w:rPr>
        <w:t>政府采购办，</w:t>
      </w:r>
      <w:r>
        <w:rPr>
          <w:rFonts w:hint="eastAsia" w:ascii="宋体"/>
          <w:b w:val="0"/>
          <w:bCs w:val="0"/>
          <w:color w:val="auto"/>
          <w:szCs w:val="21"/>
          <w:highlight w:val="none"/>
          <w:lang w:val="en-US" w:eastAsia="zh-CN"/>
        </w:rPr>
        <w:t>将其列入不良行为记录名单：</w:t>
      </w:r>
    </w:p>
    <w:p w14:paraId="09ADF830">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（一）一年内三次以上质疑均查无实据的；</w:t>
      </w:r>
    </w:p>
    <w:p w14:paraId="79C36911">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（二）捏造事实或者提供虚假质疑材料的。</w:t>
      </w:r>
    </w:p>
    <w:p w14:paraId="4A10D910">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（三）以非法手段取得证明材料。证据来源的合法性存在明显疑问，质疑人无法证明其取得方式合法的，视为以非法手段取得证明材料。</w:t>
      </w:r>
    </w:p>
    <w:p w14:paraId="2FDE3D70">
      <w:pPr>
        <w:shd w:val="clear" w:color="auto" w:fill="auto"/>
        <w:spacing w:line="360" w:lineRule="exact"/>
        <w:jc w:val="center"/>
        <w:rPr>
          <w:rFonts w:hint="eastAsia" w:ascii="黑体" w:eastAsia="黑体"/>
          <w:color w:val="auto"/>
          <w:sz w:val="30"/>
          <w:szCs w:val="30"/>
          <w:highlight w:val="none"/>
        </w:rPr>
      </w:pPr>
    </w:p>
    <w:p w14:paraId="49C66D51">
      <w:pPr>
        <w:pStyle w:val="49"/>
        <w:shd w:val="clear" w:color="auto" w:fill="auto"/>
        <w:rPr>
          <w:rFonts w:hint="eastAsia" w:ascii="黑体" w:eastAsia="黑体"/>
          <w:color w:val="auto"/>
          <w:sz w:val="30"/>
          <w:szCs w:val="30"/>
          <w:highlight w:val="none"/>
        </w:rPr>
      </w:pPr>
    </w:p>
    <w:p w14:paraId="6B9E9E4F">
      <w:pPr>
        <w:pStyle w:val="49"/>
        <w:shd w:val="clear" w:color="auto" w:fill="auto"/>
        <w:rPr>
          <w:rFonts w:hint="eastAsia" w:ascii="黑体" w:eastAsia="黑体"/>
          <w:color w:val="auto"/>
          <w:sz w:val="30"/>
          <w:szCs w:val="30"/>
          <w:highlight w:val="none"/>
        </w:rPr>
      </w:pPr>
    </w:p>
    <w:p w14:paraId="220BE257">
      <w:pPr>
        <w:pStyle w:val="49"/>
        <w:shd w:val="clear" w:color="auto" w:fill="auto"/>
        <w:rPr>
          <w:rFonts w:hint="eastAsia" w:ascii="黑体" w:eastAsia="黑体"/>
          <w:color w:val="auto"/>
          <w:sz w:val="30"/>
          <w:szCs w:val="30"/>
          <w:highlight w:val="none"/>
        </w:rPr>
      </w:pPr>
    </w:p>
    <w:p w14:paraId="7259916F">
      <w:pPr>
        <w:pStyle w:val="49"/>
        <w:shd w:val="clear" w:color="auto" w:fill="auto"/>
        <w:rPr>
          <w:rFonts w:hint="eastAsia" w:ascii="黑体" w:eastAsia="黑体"/>
          <w:color w:val="auto"/>
          <w:sz w:val="30"/>
          <w:szCs w:val="30"/>
          <w:highlight w:val="none"/>
        </w:rPr>
      </w:pPr>
    </w:p>
    <w:p w14:paraId="5A333374">
      <w:pPr>
        <w:shd w:val="clear" w:color="auto" w:fill="auto"/>
        <w:jc w:val="left"/>
        <w:rPr>
          <w:rFonts w:hint="eastAsia" w:ascii="宋体" w:hAnsi="宋体" w:eastAsia="宋体" w:cs="宋体"/>
          <w:b/>
          <w:bCs/>
          <w:color w:val="auto"/>
          <w:sz w:val="21"/>
          <w:szCs w:val="21"/>
          <w:highlight w:val="none"/>
          <w:lang w:eastAsia="zh-CN"/>
        </w:rPr>
      </w:pPr>
    </w:p>
    <w:p w14:paraId="64461D43">
      <w:pPr>
        <w:shd w:val="clear" w:color="auto" w:fill="auto"/>
        <w:jc w:val="left"/>
        <w:rPr>
          <w:rFonts w:hint="eastAsia" w:ascii="宋体" w:hAnsi="宋体" w:eastAsia="宋体" w:cs="宋体"/>
          <w:b/>
          <w:bCs/>
          <w:color w:val="auto"/>
          <w:sz w:val="21"/>
          <w:szCs w:val="21"/>
          <w:highlight w:val="none"/>
          <w:lang w:eastAsia="zh-CN"/>
        </w:rPr>
      </w:pPr>
    </w:p>
    <w:p w14:paraId="65D43D23">
      <w:pPr>
        <w:pStyle w:val="27"/>
        <w:rPr>
          <w:rFonts w:hint="eastAsia" w:ascii="宋体" w:hAnsi="宋体" w:eastAsia="宋体" w:cs="宋体"/>
          <w:b/>
          <w:bCs/>
          <w:color w:val="auto"/>
          <w:sz w:val="21"/>
          <w:szCs w:val="21"/>
          <w:highlight w:val="none"/>
          <w:lang w:eastAsia="zh-CN"/>
        </w:rPr>
      </w:pPr>
    </w:p>
    <w:p w14:paraId="6470C203">
      <w:pPr>
        <w:pStyle w:val="27"/>
        <w:rPr>
          <w:rFonts w:hint="eastAsia" w:ascii="宋体" w:hAnsi="宋体" w:eastAsia="宋体" w:cs="宋体"/>
          <w:b/>
          <w:bCs/>
          <w:color w:val="auto"/>
          <w:sz w:val="21"/>
          <w:szCs w:val="21"/>
          <w:highlight w:val="none"/>
          <w:lang w:eastAsia="zh-CN"/>
        </w:rPr>
      </w:pPr>
    </w:p>
    <w:p w14:paraId="5B6D5B52">
      <w:pPr>
        <w:shd w:val="clear" w:color="auto" w:fill="auto"/>
        <w:jc w:val="left"/>
        <w:rPr>
          <w:rFonts w:hint="eastAsia" w:ascii="宋体" w:hAnsi="宋体" w:eastAsia="宋体" w:cs="宋体"/>
          <w:b/>
          <w:bCs/>
          <w:color w:val="auto"/>
          <w:sz w:val="21"/>
          <w:szCs w:val="21"/>
          <w:highlight w:val="none"/>
          <w:lang w:eastAsia="zh-CN"/>
        </w:rPr>
      </w:pPr>
    </w:p>
    <w:p w14:paraId="12DE89AE">
      <w:pPr>
        <w:pStyle w:val="10"/>
        <w:rPr>
          <w:rFonts w:hint="eastAsia" w:ascii="宋体" w:hAnsi="宋体" w:eastAsia="宋体" w:cs="宋体"/>
          <w:b/>
          <w:bCs/>
          <w:color w:val="auto"/>
          <w:sz w:val="21"/>
          <w:szCs w:val="21"/>
          <w:highlight w:val="none"/>
          <w:lang w:eastAsia="zh-CN"/>
        </w:rPr>
      </w:pPr>
    </w:p>
    <w:p w14:paraId="79359844">
      <w:pPr>
        <w:rPr>
          <w:rFonts w:hint="eastAsia" w:ascii="宋体" w:hAnsi="宋体" w:eastAsia="宋体" w:cs="宋体"/>
          <w:b/>
          <w:bCs/>
          <w:color w:val="auto"/>
          <w:sz w:val="21"/>
          <w:szCs w:val="21"/>
          <w:highlight w:val="none"/>
          <w:lang w:eastAsia="zh-CN"/>
        </w:rPr>
      </w:pPr>
    </w:p>
    <w:p w14:paraId="06217321">
      <w:pPr>
        <w:pStyle w:val="10"/>
        <w:rPr>
          <w:rFonts w:hint="eastAsia" w:ascii="宋体" w:hAnsi="宋体" w:eastAsia="宋体" w:cs="宋体"/>
          <w:b/>
          <w:bCs/>
          <w:color w:val="auto"/>
          <w:sz w:val="21"/>
          <w:szCs w:val="21"/>
          <w:highlight w:val="none"/>
          <w:lang w:eastAsia="zh-CN"/>
        </w:rPr>
      </w:pPr>
    </w:p>
    <w:p w14:paraId="4A798277">
      <w:pPr>
        <w:rPr>
          <w:rFonts w:hint="eastAsia" w:ascii="宋体" w:hAnsi="宋体" w:eastAsia="宋体" w:cs="宋体"/>
          <w:b/>
          <w:bCs/>
          <w:color w:val="auto"/>
          <w:sz w:val="21"/>
          <w:szCs w:val="21"/>
          <w:highlight w:val="none"/>
          <w:lang w:eastAsia="zh-CN"/>
        </w:rPr>
      </w:pPr>
    </w:p>
    <w:p w14:paraId="4BB534EA">
      <w:pPr>
        <w:pStyle w:val="10"/>
        <w:rPr>
          <w:rFonts w:hint="eastAsia" w:ascii="宋体" w:hAnsi="宋体" w:eastAsia="宋体" w:cs="宋体"/>
          <w:b/>
          <w:bCs/>
          <w:color w:val="auto"/>
          <w:sz w:val="21"/>
          <w:szCs w:val="21"/>
          <w:highlight w:val="none"/>
          <w:lang w:eastAsia="zh-CN"/>
        </w:rPr>
      </w:pPr>
    </w:p>
    <w:p w14:paraId="79A52F7A">
      <w:pPr>
        <w:rPr>
          <w:rFonts w:hint="eastAsia" w:ascii="宋体" w:hAnsi="宋体" w:eastAsia="宋体" w:cs="宋体"/>
          <w:b/>
          <w:bCs/>
          <w:color w:val="auto"/>
          <w:sz w:val="21"/>
          <w:szCs w:val="21"/>
          <w:highlight w:val="none"/>
          <w:lang w:eastAsia="zh-CN"/>
        </w:rPr>
      </w:pPr>
    </w:p>
    <w:p w14:paraId="0C769276">
      <w:pPr>
        <w:pStyle w:val="10"/>
        <w:rPr>
          <w:rFonts w:hint="eastAsia" w:ascii="宋体" w:hAnsi="宋体" w:eastAsia="宋体" w:cs="宋体"/>
          <w:b/>
          <w:bCs/>
          <w:color w:val="auto"/>
          <w:sz w:val="21"/>
          <w:szCs w:val="21"/>
          <w:highlight w:val="none"/>
          <w:lang w:eastAsia="zh-CN"/>
        </w:rPr>
      </w:pPr>
    </w:p>
    <w:p w14:paraId="31707308">
      <w:pPr>
        <w:rPr>
          <w:rFonts w:hint="eastAsia" w:ascii="宋体" w:hAnsi="宋体" w:eastAsia="宋体" w:cs="宋体"/>
          <w:b/>
          <w:bCs/>
          <w:color w:val="auto"/>
          <w:sz w:val="21"/>
          <w:szCs w:val="21"/>
          <w:highlight w:val="none"/>
          <w:lang w:eastAsia="zh-CN"/>
        </w:rPr>
      </w:pPr>
    </w:p>
    <w:p w14:paraId="39B18EA2">
      <w:pPr>
        <w:pStyle w:val="10"/>
        <w:rPr>
          <w:rFonts w:hint="eastAsia" w:ascii="宋体" w:hAnsi="宋体" w:eastAsia="宋体" w:cs="宋体"/>
          <w:b/>
          <w:bCs/>
          <w:color w:val="auto"/>
          <w:sz w:val="21"/>
          <w:szCs w:val="21"/>
          <w:highlight w:val="none"/>
          <w:lang w:eastAsia="zh-CN"/>
        </w:rPr>
      </w:pPr>
    </w:p>
    <w:p w14:paraId="45849B42">
      <w:pPr>
        <w:rPr>
          <w:rFonts w:hint="eastAsia" w:ascii="宋体" w:hAnsi="宋体" w:eastAsia="宋体" w:cs="宋体"/>
          <w:b/>
          <w:bCs/>
          <w:color w:val="auto"/>
          <w:sz w:val="21"/>
          <w:szCs w:val="21"/>
          <w:highlight w:val="none"/>
          <w:lang w:eastAsia="zh-CN"/>
        </w:rPr>
      </w:pPr>
    </w:p>
    <w:p w14:paraId="590A2448">
      <w:pPr>
        <w:pStyle w:val="10"/>
        <w:rPr>
          <w:rFonts w:hint="eastAsia" w:ascii="宋体" w:hAnsi="宋体" w:eastAsia="宋体" w:cs="宋体"/>
          <w:b/>
          <w:bCs/>
          <w:color w:val="auto"/>
          <w:sz w:val="21"/>
          <w:szCs w:val="21"/>
          <w:highlight w:val="none"/>
          <w:lang w:eastAsia="zh-CN"/>
        </w:rPr>
      </w:pPr>
    </w:p>
    <w:p w14:paraId="62986A64">
      <w:pPr>
        <w:pStyle w:val="12"/>
        <w:rPr>
          <w:rFonts w:hint="eastAsia" w:ascii="宋体" w:hAnsi="宋体" w:eastAsia="宋体" w:cs="宋体"/>
          <w:b/>
          <w:bCs/>
          <w:color w:val="auto"/>
          <w:sz w:val="21"/>
          <w:szCs w:val="21"/>
          <w:highlight w:val="none"/>
          <w:lang w:eastAsia="zh-CN"/>
        </w:rPr>
      </w:pPr>
    </w:p>
    <w:p w14:paraId="22D46E57">
      <w:pPr>
        <w:rPr>
          <w:rFonts w:hint="eastAsia" w:ascii="宋体" w:hAnsi="宋体" w:eastAsia="宋体" w:cs="宋体"/>
          <w:b/>
          <w:bCs/>
          <w:color w:val="auto"/>
          <w:sz w:val="21"/>
          <w:szCs w:val="21"/>
          <w:highlight w:val="none"/>
          <w:lang w:eastAsia="zh-CN"/>
        </w:rPr>
      </w:pPr>
    </w:p>
    <w:p w14:paraId="28953D66">
      <w:pPr>
        <w:pStyle w:val="12"/>
        <w:ind w:left="0" w:leftChars="0" w:firstLine="0" w:firstLineChars="0"/>
        <w:rPr>
          <w:rFonts w:hint="eastAsia" w:ascii="宋体" w:hAnsi="宋体" w:eastAsia="宋体" w:cs="宋体"/>
          <w:b/>
          <w:bCs/>
          <w:color w:val="auto"/>
          <w:sz w:val="21"/>
          <w:szCs w:val="21"/>
          <w:highlight w:val="none"/>
          <w:lang w:eastAsia="zh-CN"/>
        </w:rPr>
      </w:pPr>
    </w:p>
    <w:p w14:paraId="1BAD094A">
      <w:pPr>
        <w:shd w:val="clear" w:color="auto" w:fill="auto"/>
        <w:jc w:val="left"/>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lang w:eastAsia="zh-CN"/>
        </w:rPr>
        <w:t>附件：</w:t>
      </w:r>
    </w:p>
    <w:p w14:paraId="158B821E">
      <w:pPr>
        <w:shd w:val="clear" w:color="auto" w:fill="auto"/>
        <w:jc w:val="center"/>
        <w:rPr>
          <w:rFonts w:hint="eastAsia" w:ascii="宋体" w:hAnsi="宋体" w:eastAsia="宋体" w:cs="宋体"/>
          <w:b/>
          <w:bCs/>
          <w:color w:val="auto"/>
          <w:sz w:val="28"/>
          <w:szCs w:val="28"/>
          <w:highlight w:val="none"/>
        </w:rPr>
      </w:pPr>
      <w:r>
        <w:rPr>
          <w:rFonts w:hint="eastAsia" w:ascii="宋体" w:hAnsi="宋体" w:eastAsia="宋体" w:cs="宋体"/>
          <w:b/>
          <w:bCs/>
          <w:color w:val="auto"/>
          <w:sz w:val="32"/>
          <w:szCs w:val="32"/>
          <w:highlight w:val="none"/>
          <w:lang w:eastAsia="zh-CN"/>
        </w:rPr>
        <w:t>政府采购投诉书（范本）、质疑函范本</w:t>
      </w:r>
    </w:p>
    <w:p w14:paraId="4124D240">
      <w:pPr>
        <w:keepNext w:val="0"/>
        <w:keepLines w:val="0"/>
        <w:pageBreakBefore w:val="0"/>
        <w:widowControl w:val="0"/>
        <w:shd w:val="clear" w:color="auto" w:fill="auto"/>
        <w:kinsoku/>
        <w:wordWrap/>
        <w:overflowPunct/>
        <w:topLinePunct w:val="0"/>
        <w:autoSpaceDE/>
        <w:autoSpaceDN/>
        <w:bidi w:val="0"/>
        <w:adjustRightInd/>
        <w:snapToGrid/>
        <w:spacing w:line="400" w:lineRule="exact"/>
        <w:jc w:val="center"/>
        <w:textAlignment w:val="auto"/>
        <w:rPr>
          <w:rFonts w:hint="eastAsia" w:ascii="宋体" w:hAnsi="宋体" w:eastAsia="宋体" w:cs="宋体"/>
          <w:b/>
          <w:bCs/>
          <w:color w:val="auto"/>
          <w:sz w:val="28"/>
          <w:szCs w:val="28"/>
          <w:highlight w:val="none"/>
        </w:rPr>
      </w:pPr>
    </w:p>
    <w:p w14:paraId="57CD6571">
      <w:pPr>
        <w:keepNext w:val="0"/>
        <w:keepLines w:val="0"/>
        <w:pageBreakBefore w:val="0"/>
        <w:widowControl w:val="0"/>
        <w:shd w:val="clear" w:color="auto" w:fill="auto"/>
        <w:kinsoku/>
        <w:wordWrap/>
        <w:overflowPunct/>
        <w:topLinePunct w:val="0"/>
        <w:autoSpaceDE/>
        <w:autoSpaceDN/>
        <w:bidi w:val="0"/>
        <w:adjustRightInd/>
        <w:snapToGrid/>
        <w:spacing w:line="400" w:lineRule="exact"/>
        <w:jc w:val="center"/>
        <w:textAlignment w:val="auto"/>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政府采购投诉书（范本）</w:t>
      </w:r>
    </w:p>
    <w:p w14:paraId="42C11A9E">
      <w:pPr>
        <w:pStyle w:val="49"/>
        <w:rPr>
          <w:rFonts w:hint="eastAsia"/>
        </w:rPr>
      </w:pPr>
    </w:p>
    <w:p w14:paraId="6047548A">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投诉人：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法定代表人：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p>
    <w:p w14:paraId="009A4FDA">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地址：</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电话：</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p>
    <w:p w14:paraId="7B37BA34">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委托代理人姓名：</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职务：</w:t>
      </w:r>
      <w:r>
        <w:rPr>
          <w:rFonts w:hint="eastAsia" w:ascii="宋体" w:hAnsi="宋体" w:eastAsia="宋体" w:cs="宋体"/>
          <w:color w:val="auto"/>
          <w:sz w:val="21"/>
          <w:szCs w:val="21"/>
          <w:highlight w:val="none"/>
          <w:u w:val="single"/>
        </w:rPr>
        <w:t xml:space="preserve">               </w:t>
      </w:r>
    </w:p>
    <w:p w14:paraId="2F6CF4DD">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住址：</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联系电话：</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p>
    <w:p w14:paraId="1D7B8B92">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被投诉人：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法定代表人：</w:t>
      </w:r>
      <w:r>
        <w:rPr>
          <w:rFonts w:hint="eastAsia" w:ascii="宋体" w:hAnsi="宋体" w:eastAsia="宋体" w:cs="宋体"/>
          <w:color w:val="auto"/>
          <w:sz w:val="21"/>
          <w:szCs w:val="21"/>
          <w:highlight w:val="none"/>
          <w:u w:val="single"/>
        </w:rPr>
        <w:t xml:space="preserve">         </w:t>
      </w:r>
    </w:p>
    <w:p w14:paraId="4CA784F0">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地址：</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电话：</w:t>
      </w:r>
      <w:r>
        <w:rPr>
          <w:rFonts w:hint="eastAsia" w:ascii="宋体" w:hAnsi="宋体" w:eastAsia="宋体" w:cs="宋体"/>
          <w:color w:val="auto"/>
          <w:sz w:val="21"/>
          <w:szCs w:val="21"/>
          <w:highlight w:val="none"/>
          <w:u w:val="single"/>
        </w:rPr>
        <w:t xml:space="preserve">               </w:t>
      </w:r>
    </w:p>
    <w:p w14:paraId="6A2F2729">
      <w:pPr>
        <w:keepNext w:val="0"/>
        <w:keepLines w:val="0"/>
        <w:pageBreakBefore w:val="0"/>
        <w:widowControl w:val="0"/>
        <w:shd w:val="clear" w:color="auto" w:fill="auto"/>
        <w:kinsoku/>
        <w:wordWrap/>
        <w:overflowPunct/>
        <w:topLinePunct w:val="0"/>
        <w:autoSpaceDE/>
        <w:autoSpaceDN/>
        <w:bidi w:val="0"/>
        <w:adjustRightInd/>
        <w:snapToGrid/>
        <w:spacing w:line="400" w:lineRule="exact"/>
        <w:ind w:firstLine="426" w:firstLineChars="200"/>
        <w:textAlignment w:val="auto"/>
        <w:rPr>
          <w:rFonts w:hint="eastAsia" w:ascii="宋体" w:hAnsi="宋体" w:eastAsia="宋体" w:cs="宋体"/>
          <w:color w:val="auto"/>
          <w:sz w:val="21"/>
          <w:szCs w:val="21"/>
          <w:highlight w:val="none"/>
        </w:rPr>
      </w:pPr>
    </w:p>
    <w:p w14:paraId="3B706CB9">
      <w:pPr>
        <w:keepNext w:val="0"/>
        <w:keepLines w:val="0"/>
        <w:pageBreakBefore w:val="0"/>
        <w:widowControl w:val="0"/>
        <w:shd w:val="clear" w:color="auto" w:fill="auto"/>
        <w:kinsoku/>
        <w:wordWrap/>
        <w:overflowPunct/>
        <w:topLinePunct w:val="0"/>
        <w:autoSpaceDE/>
        <w:autoSpaceDN/>
        <w:bidi w:val="0"/>
        <w:adjustRightInd/>
        <w:snapToGrid/>
        <w:spacing w:line="40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我公司参加了</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年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日被投诉人组织的</w:t>
      </w:r>
      <w:r>
        <w:rPr>
          <w:rFonts w:hint="eastAsia" w:ascii="宋体" w:hAnsi="宋体" w:eastAsia="宋体" w:cs="宋体"/>
          <w:color w:val="auto"/>
          <w:sz w:val="21"/>
          <w:szCs w:val="21"/>
          <w:highlight w:val="none"/>
          <w:u w:val="single"/>
        </w:rPr>
        <w:t>（采购人）（项目名称）（项目编号）</w:t>
      </w:r>
      <w:r>
        <w:rPr>
          <w:rFonts w:hint="eastAsia" w:ascii="宋体" w:hAnsi="宋体" w:eastAsia="宋体" w:cs="宋体"/>
          <w:color w:val="auto"/>
          <w:sz w:val="21"/>
          <w:szCs w:val="21"/>
          <w:highlight w:val="none"/>
        </w:rPr>
        <w:t>的采购活动，我公司认为该项目的</w:t>
      </w:r>
      <w:r>
        <w:rPr>
          <w:rFonts w:hint="eastAsia" w:ascii="宋体" w:hAnsi="宋体" w:eastAsia="宋体" w:cs="宋体"/>
          <w:color w:val="auto"/>
          <w:sz w:val="21"/>
          <w:szCs w:val="21"/>
          <w:highlight w:val="none"/>
          <w:u w:val="single"/>
        </w:rPr>
        <w:t>（采购文件/采购过程/中标（</w:t>
      </w:r>
      <w:r>
        <w:rPr>
          <w:rFonts w:hint="eastAsia" w:ascii="宋体" w:hAnsi="宋体" w:eastAsia="宋体" w:cs="宋体"/>
          <w:color w:val="auto"/>
          <w:sz w:val="21"/>
          <w:szCs w:val="21"/>
          <w:highlight w:val="none"/>
          <w:u w:val="single"/>
          <w:lang w:eastAsia="zh-CN"/>
        </w:rPr>
        <w:t>中标</w:t>
      </w:r>
      <w:r>
        <w:rPr>
          <w:rFonts w:hint="eastAsia" w:ascii="宋体" w:hAnsi="宋体" w:eastAsia="宋体" w:cs="宋体"/>
          <w:color w:val="auto"/>
          <w:sz w:val="21"/>
          <w:szCs w:val="21"/>
          <w:highlight w:val="none"/>
          <w:u w:val="single"/>
        </w:rPr>
        <w:t>）结果）</w:t>
      </w:r>
      <w:r>
        <w:rPr>
          <w:rFonts w:hint="eastAsia" w:ascii="宋体" w:hAnsi="宋体" w:eastAsia="宋体" w:cs="宋体"/>
          <w:color w:val="auto"/>
          <w:sz w:val="21"/>
          <w:szCs w:val="21"/>
          <w:highlight w:val="none"/>
        </w:rPr>
        <w:t>损害了我公司权益，对此，我公司于</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日向</w:t>
      </w:r>
      <w:r>
        <w:rPr>
          <w:rFonts w:hint="eastAsia" w:ascii="宋体" w:hAnsi="宋体" w:eastAsia="宋体" w:cs="宋体"/>
          <w:color w:val="auto"/>
          <w:sz w:val="21"/>
          <w:szCs w:val="21"/>
          <w:highlight w:val="none"/>
          <w:u w:val="single"/>
        </w:rPr>
        <w:t>（采购人或者政府采购代理机构）</w:t>
      </w:r>
      <w:r>
        <w:rPr>
          <w:rFonts w:hint="eastAsia" w:ascii="宋体" w:hAnsi="宋体" w:eastAsia="宋体" w:cs="宋体"/>
          <w:color w:val="auto"/>
          <w:sz w:val="21"/>
          <w:szCs w:val="21"/>
          <w:highlight w:val="none"/>
        </w:rPr>
        <w:t>提出了质疑，</w:t>
      </w:r>
      <w:r>
        <w:rPr>
          <w:rFonts w:hint="eastAsia" w:ascii="宋体" w:hAnsi="宋体" w:eastAsia="宋体" w:cs="宋体"/>
          <w:color w:val="auto"/>
          <w:sz w:val="21"/>
          <w:szCs w:val="21"/>
          <w:highlight w:val="none"/>
          <w:u w:val="single"/>
        </w:rPr>
        <w:t>（其于    年  月  日作出书面答复，因对其作出的答复不满意）/（被质疑人未在法定期内予以答复，按照政府采购有关规定）</w:t>
      </w:r>
      <w:r>
        <w:rPr>
          <w:rFonts w:hint="eastAsia" w:ascii="宋体" w:hAnsi="宋体" w:eastAsia="宋体" w:cs="宋体"/>
          <w:color w:val="auto"/>
          <w:sz w:val="21"/>
          <w:szCs w:val="21"/>
          <w:highlight w:val="none"/>
        </w:rPr>
        <w:t>，现向贵机关提起投诉：</w:t>
      </w:r>
    </w:p>
    <w:p w14:paraId="51C0F6D6">
      <w:pPr>
        <w:keepNext w:val="0"/>
        <w:keepLines w:val="0"/>
        <w:pageBreakBefore w:val="0"/>
        <w:widowControl w:val="0"/>
        <w:shd w:val="clear" w:color="auto" w:fill="auto"/>
        <w:kinsoku/>
        <w:wordWrap/>
        <w:overflowPunct/>
        <w:topLinePunct w:val="0"/>
        <w:autoSpaceDE/>
        <w:autoSpaceDN/>
        <w:bidi w:val="0"/>
        <w:adjustRightInd/>
        <w:snapToGrid/>
        <w:spacing w:line="40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u w:val="single"/>
        </w:rPr>
        <w:t>具体的投诉事项及事实依据；</w:t>
      </w:r>
    </w:p>
    <w:p w14:paraId="62144CF5">
      <w:pPr>
        <w:keepNext w:val="0"/>
        <w:keepLines w:val="0"/>
        <w:pageBreakBefore w:val="0"/>
        <w:widowControl w:val="0"/>
        <w:shd w:val="clear" w:color="auto" w:fill="auto"/>
        <w:kinsoku/>
        <w:wordWrap/>
        <w:overflowPunct/>
        <w:topLinePunct w:val="0"/>
        <w:autoSpaceDE/>
        <w:autoSpaceDN/>
        <w:bidi w:val="0"/>
        <w:adjustRightInd/>
        <w:snapToGrid/>
        <w:spacing w:line="40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u w:val="single"/>
        </w:rPr>
        <w:t>质疑和质疑答复情况简要描述；</w:t>
      </w:r>
    </w:p>
    <w:p w14:paraId="14BDF7D8">
      <w:pPr>
        <w:keepNext w:val="0"/>
        <w:keepLines w:val="0"/>
        <w:pageBreakBefore w:val="0"/>
        <w:widowControl w:val="0"/>
        <w:shd w:val="clear" w:color="auto" w:fill="auto"/>
        <w:kinsoku/>
        <w:wordWrap/>
        <w:overflowPunct/>
        <w:topLinePunct w:val="0"/>
        <w:autoSpaceDE/>
        <w:autoSpaceDN/>
        <w:bidi w:val="0"/>
        <w:adjustRightInd/>
        <w:snapToGrid/>
        <w:spacing w:line="40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eastAsia="宋体" w:cs="宋体"/>
          <w:color w:val="auto"/>
          <w:sz w:val="21"/>
          <w:szCs w:val="21"/>
          <w:highlight w:val="none"/>
          <w:u w:val="single"/>
        </w:rPr>
        <w:t>投诉请求。</w:t>
      </w:r>
    </w:p>
    <w:p w14:paraId="078B786A">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附件：</w:t>
      </w:r>
    </w:p>
    <w:p w14:paraId="74FF68EB">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1.质疑书和质疑答复书；</w:t>
      </w:r>
    </w:p>
    <w:p w14:paraId="1F7ABB17">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2.证据材料（需注明证据来源），证人的姓名、住址和联系方式等；</w:t>
      </w:r>
    </w:p>
    <w:p w14:paraId="52EDEE49">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3.营业执照；</w:t>
      </w:r>
    </w:p>
    <w:p w14:paraId="218B7A36">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4.法定代表人身份证明函</w:t>
      </w:r>
    </w:p>
    <w:p w14:paraId="5B92B01A">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5.法定代表人授权委托书（包含法定代表人和委托代理人的身份证复印件）；</w:t>
      </w:r>
    </w:p>
    <w:p w14:paraId="2FA377C3">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6.政府采购监管部门认为应当提供的其它材料。</w:t>
      </w:r>
    </w:p>
    <w:p w14:paraId="398E59D1">
      <w:pPr>
        <w:keepNext w:val="0"/>
        <w:keepLines w:val="0"/>
        <w:pageBreakBefore w:val="0"/>
        <w:widowControl w:val="0"/>
        <w:shd w:val="clear" w:color="auto" w:fill="auto"/>
        <w:kinsoku/>
        <w:wordWrap/>
        <w:overflowPunct/>
        <w:topLinePunct w:val="0"/>
        <w:autoSpaceDE/>
        <w:autoSpaceDN/>
        <w:bidi w:val="0"/>
        <w:adjustRightInd/>
        <w:snapToGrid/>
        <w:spacing w:line="400" w:lineRule="exact"/>
        <w:jc w:val="righ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投诉供应商：（盖章）</w:t>
      </w:r>
    </w:p>
    <w:p w14:paraId="245E4C46">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法定代表人（或主要负责人）：（签字）</w:t>
      </w:r>
    </w:p>
    <w:p w14:paraId="15F79235">
      <w:pPr>
        <w:keepNext w:val="0"/>
        <w:keepLines w:val="0"/>
        <w:pageBreakBefore w:val="0"/>
        <w:widowControl w:val="0"/>
        <w:shd w:val="clear" w:color="auto" w:fill="auto"/>
        <w:kinsoku/>
        <w:wordWrap/>
        <w:overflowPunct/>
        <w:topLinePunct w:val="0"/>
        <w:autoSpaceDE/>
        <w:autoSpaceDN/>
        <w:bidi w:val="0"/>
        <w:adjustRightInd/>
        <w:snapToGrid/>
        <w:spacing w:line="400" w:lineRule="exact"/>
        <w:ind w:firstLine="3408" w:firstLineChars="16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w:t>
      </w:r>
    </w:p>
    <w:p w14:paraId="2EF0AE21">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p>
    <w:p w14:paraId="12F19984">
      <w:pPr>
        <w:keepNext w:val="0"/>
        <w:keepLines w:val="0"/>
        <w:pageBreakBefore w:val="0"/>
        <w:widowControl w:val="0"/>
        <w:shd w:val="clear" w:color="auto" w:fill="auto"/>
        <w:kinsoku/>
        <w:wordWrap/>
        <w:overflowPunct/>
        <w:topLinePunct w:val="0"/>
        <w:autoSpaceDE/>
        <w:autoSpaceDN/>
        <w:bidi w:val="0"/>
        <w:adjustRightInd/>
        <w:snapToGrid/>
        <w:spacing w:line="400" w:lineRule="exact"/>
        <w:jc w:val="righ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本投诉书正本叁份，副本</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份并附电子文档。</w:t>
      </w:r>
      <w:bookmarkStart w:id="39" w:name="_Toc17515"/>
    </w:p>
    <w:p w14:paraId="339397DE">
      <w:pPr>
        <w:pStyle w:val="10"/>
        <w:rPr>
          <w:rFonts w:hint="eastAsia" w:ascii="宋体" w:hAnsi="宋体" w:eastAsia="宋体" w:cs="宋体"/>
          <w:color w:val="auto"/>
          <w:sz w:val="21"/>
          <w:szCs w:val="21"/>
          <w:highlight w:val="none"/>
        </w:rPr>
      </w:pPr>
    </w:p>
    <w:p w14:paraId="42431FE5">
      <w:pPr>
        <w:pStyle w:val="11"/>
        <w:rPr>
          <w:rFonts w:hint="eastAsia"/>
        </w:rPr>
      </w:pPr>
    </w:p>
    <w:p w14:paraId="47FAFB58">
      <w:pPr>
        <w:shd w:val="clear" w:color="auto" w:fill="auto"/>
        <w:ind w:left="7951" w:hanging="5814" w:hangingChars="1800"/>
        <w:jc w:val="center"/>
        <w:outlineLvl w:val="0"/>
        <w:rPr>
          <w:rFonts w:hint="eastAsia" w:ascii="宋体" w:hAnsi="宋体" w:eastAsia="宋体" w:cs="宋体"/>
          <w:color w:val="auto"/>
          <w:sz w:val="32"/>
          <w:szCs w:val="32"/>
          <w:highlight w:val="none"/>
        </w:rPr>
      </w:pPr>
      <w:r>
        <w:rPr>
          <w:rFonts w:hint="eastAsia" w:ascii="宋体" w:hAnsi="宋体" w:eastAsia="宋体" w:cs="宋体"/>
          <w:b/>
          <w:bCs/>
          <w:color w:val="auto"/>
          <w:sz w:val="32"/>
          <w:szCs w:val="32"/>
          <w:highlight w:val="none"/>
        </w:rPr>
        <w:t>投诉相关说明</w:t>
      </w:r>
      <w:bookmarkEnd w:id="39"/>
    </w:p>
    <w:p w14:paraId="6FF710F6">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投诉人应当满足《政府采购法》、《政府采购法实施条例》和《政府采购供应商投诉处理办法》的相关规定。</w:t>
      </w:r>
    </w:p>
    <w:p w14:paraId="5FE3FE3C">
      <w:pPr>
        <w:keepNext w:val="0"/>
        <w:keepLines w:val="0"/>
        <w:pageBreakBefore w:val="0"/>
        <w:numPr>
          <w:ilvl w:val="0"/>
          <w:numId w:val="4"/>
        </w:numPr>
        <w:shd w:val="clear" w:color="auto" w:fill="auto"/>
        <w:kinsoku/>
        <w:wordWrap/>
        <w:overflowPunct/>
        <w:topLinePunct w:val="0"/>
        <w:autoSpaceDE/>
        <w:autoSpaceDN/>
        <w:bidi w:val="0"/>
        <w:adjustRightInd/>
        <w:snapToGrid/>
        <w:spacing w:line="400" w:lineRule="exact"/>
        <w:ind w:left="4055" w:leftChars="304" w:hanging="3408" w:hangingChars="1600"/>
        <w:textAlignment w:val="auto"/>
        <w:outlineLvl w:val="0"/>
        <w:rPr>
          <w:rFonts w:hint="eastAsia" w:ascii="宋体" w:hAnsi="宋体" w:eastAsia="宋体" w:cs="宋体"/>
          <w:b/>
          <w:bCs/>
          <w:color w:val="auto"/>
          <w:sz w:val="21"/>
          <w:szCs w:val="21"/>
          <w:highlight w:val="none"/>
        </w:rPr>
      </w:pPr>
      <w:bookmarkStart w:id="40" w:name="_Toc11499"/>
      <w:r>
        <w:rPr>
          <w:rFonts w:hint="eastAsia" w:ascii="宋体" w:hAnsi="宋体" w:eastAsia="宋体" w:cs="宋体"/>
          <w:b/>
          <w:bCs/>
          <w:color w:val="auto"/>
          <w:sz w:val="21"/>
          <w:szCs w:val="21"/>
          <w:highlight w:val="none"/>
        </w:rPr>
        <w:t>质疑前置及时间要求</w:t>
      </w:r>
      <w:bookmarkEnd w:id="40"/>
    </w:p>
    <w:p w14:paraId="3CD708F8">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rPr>
          <w:rFonts w:hint="eastAsia" w:ascii="宋体" w:hAnsi="宋体" w:eastAsia="宋体" w:cs="宋体"/>
          <w:color w:val="auto"/>
          <w:kern w:val="0"/>
          <w:sz w:val="21"/>
          <w:szCs w:val="21"/>
          <w:highlight w:val="none"/>
          <w:shd w:val="clear" w:color="auto" w:fill="FFFFFF"/>
        </w:rPr>
      </w:pPr>
      <w:r>
        <w:rPr>
          <w:rFonts w:hint="eastAsia" w:ascii="宋体" w:hAnsi="宋体" w:eastAsia="宋体" w:cs="宋体"/>
          <w:color w:val="auto"/>
          <w:sz w:val="21"/>
          <w:szCs w:val="21"/>
          <w:highlight w:val="none"/>
        </w:rPr>
        <w:t>《中华人民共和国政府采购法》</w:t>
      </w:r>
      <w:r>
        <w:rPr>
          <w:rFonts w:hint="eastAsia" w:ascii="宋体" w:hAnsi="宋体" w:eastAsia="宋体" w:cs="宋体"/>
          <w:color w:val="auto"/>
          <w:kern w:val="0"/>
          <w:sz w:val="21"/>
          <w:szCs w:val="21"/>
          <w:highlight w:val="none"/>
          <w:shd w:val="clear" w:color="auto" w:fill="FFFFFF"/>
        </w:rPr>
        <w:t>第五十一条：供应商对政府采购活动事项有疑问的，可以向采购人提出询问，采购人应当及时作出答复，但答复的内容不得涉及商业秘密。</w:t>
      </w:r>
    </w:p>
    <w:p w14:paraId="78D99CD5">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shd w:val="clear" w:color="auto" w:fill="FFFFFF"/>
        </w:rPr>
        <w:t xml:space="preserve"> 第五十二条：供应商认为采购文件、采购过程和中标、</w:t>
      </w:r>
      <w:r>
        <w:rPr>
          <w:rFonts w:hint="eastAsia" w:ascii="宋体" w:hAnsi="宋体" w:eastAsia="宋体" w:cs="宋体"/>
          <w:color w:val="auto"/>
          <w:kern w:val="0"/>
          <w:sz w:val="21"/>
          <w:szCs w:val="21"/>
          <w:highlight w:val="none"/>
          <w:shd w:val="clear" w:color="auto" w:fill="FFFFFF"/>
          <w:lang w:eastAsia="zh-CN"/>
        </w:rPr>
        <w:t>中标</w:t>
      </w:r>
      <w:r>
        <w:rPr>
          <w:rFonts w:hint="eastAsia" w:ascii="宋体" w:hAnsi="宋体" w:eastAsia="宋体" w:cs="宋体"/>
          <w:color w:val="auto"/>
          <w:kern w:val="0"/>
          <w:sz w:val="21"/>
          <w:szCs w:val="21"/>
          <w:highlight w:val="none"/>
          <w:shd w:val="clear" w:color="auto" w:fill="FFFFFF"/>
        </w:rPr>
        <w:t>结果使自己的权益受到损害的，可以在知道或者应知其权益受到损害之日起七个工作日内，以书面形式向采购人提出质疑。</w:t>
      </w:r>
    </w:p>
    <w:p w14:paraId="5BD4ABCA">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rPr>
          <w:rFonts w:hint="eastAsia" w:ascii="宋体" w:hAnsi="宋体" w:eastAsia="宋体" w:cs="宋体"/>
          <w:color w:val="auto"/>
          <w:kern w:val="0"/>
          <w:sz w:val="21"/>
          <w:szCs w:val="21"/>
          <w:highlight w:val="none"/>
          <w:shd w:val="clear" w:color="auto" w:fill="FFFFFF"/>
        </w:rPr>
      </w:pPr>
      <w:r>
        <w:rPr>
          <w:rFonts w:hint="eastAsia" w:ascii="宋体" w:hAnsi="宋体" w:eastAsia="宋体" w:cs="宋体"/>
          <w:color w:val="auto"/>
          <w:kern w:val="0"/>
          <w:sz w:val="21"/>
          <w:szCs w:val="21"/>
          <w:highlight w:val="none"/>
          <w:shd w:val="clear" w:color="auto" w:fill="FFFFFF"/>
        </w:rPr>
        <w:t xml:space="preserve"> 第五十三条：采购人应当在收到供应商的书面质疑后七个工作日内作出答复，并以书面形式通知质疑供应商和其他有关供应商，但答复的内容不得涉及商业秘密。</w:t>
      </w:r>
    </w:p>
    <w:p w14:paraId="659C7FA7">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rPr>
          <w:rFonts w:hint="eastAsia" w:ascii="宋体" w:hAnsi="宋体" w:eastAsia="宋体" w:cs="宋体"/>
          <w:color w:val="auto"/>
          <w:kern w:val="0"/>
          <w:sz w:val="21"/>
          <w:szCs w:val="21"/>
          <w:highlight w:val="none"/>
          <w:shd w:val="clear" w:color="auto" w:fill="FFFFFF"/>
        </w:rPr>
      </w:pPr>
      <w:r>
        <w:rPr>
          <w:rFonts w:hint="eastAsia" w:ascii="宋体" w:hAnsi="宋体" w:eastAsia="宋体" w:cs="宋体"/>
          <w:color w:val="auto"/>
          <w:kern w:val="0"/>
          <w:sz w:val="21"/>
          <w:szCs w:val="21"/>
          <w:highlight w:val="none"/>
          <w:shd w:val="clear" w:color="auto" w:fill="FFFFFF"/>
        </w:rPr>
        <w:t xml:space="preserve"> 第五十五条:质疑供应商对采购人、采购代理机构的答复不满意或者采购人、采购代理机构未在规定的时间内作出答复的，可以在答复期满后十五个工作日内向同级政府采购监督管理部门投诉。</w:t>
      </w:r>
    </w:p>
    <w:p w14:paraId="425D7132">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rPr>
          <w:rFonts w:hint="eastAsia" w:ascii="宋体" w:hAnsi="宋体" w:eastAsia="宋体" w:cs="宋体"/>
          <w:color w:val="auto"/>
          <w:kern w:val="0"/>
          <w:sz w:val="21"/>
          <w:szCs w:val="21"/>
          <w:highlight w:val="none"/>
          <w:shd w:val="clear" w:color="auto" w:fill="FFFFFF"/>
        </w:rPr>
      </w:pPr>
      <w:r>
        <w:rPr>
          <w:rFonts w:hint="eastAsia" w:ascii="宋体" w:hAnsi="宋体" w:eastAsia="宋体" w:cs="宋体"/>
          <w:color w:val="auto"/>
          <w:kern w:val="0"/>
          <w:sz w:val="21"/>
          <w:szCs w:val="21"/>
          <w:highlight w:val="none"/>
          <w:shd w:val="clear" w:color="auto" w:fill="FFFFFF"/>
        </w:rPr>
        <w:t xml:space="preserve">  《政府采购实施条例》第五十五条：供应商质疑、投诉应当有明确的请求和必要的证明材料。供应商投诉的事项不得超出质疑事项的范围。</w:t>
      </w:r>
    </w:p>
    <w:p w14:paraId="4DBE11AC">
      <w:pPr>
        <w:keepNext w:val="0"/>
        <w:keepLines w:val="0"/>
        <w:pageBreakBefore w:val="0"/>
        <w:shd w:val="clear" w:color="auto" w:fill="auto"/>
        <w:kinsoku/>
        <w:wordWrap/>
        <w:overflowPunct/>
        <w:topLinePunct w:val="0"/>
        <w:autoSpaceDE/>
        <w:autoSpaceDN/>
        <w:bidi w:val="0"/>
        <w:adjustRightInd/>
        <w:snapToGrid/>
        <w:spacing w:line="400" w:lineRule="exact"/>
        <w:ind w:firstLine="426" w:firstLineChars="200"/>
        <w:textAlignment w:val="auto"/>
        <w:outlineLvl w:val="0"/>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 xml:space="preserve"> </w:t>
      </w:r>
      <w:bookmarkStart w:id="41" w:name="_Toc13508"/>
      <w:r>
        <w:rPr>
          <w:rFonts w:hint="eastAsia" w:ascii="宋体" w:hAnsi="宋体" w:eastAsia="宋体" w:cs="宋体"/>
          <w:b/>
          <w:bCs/>
          <w:color w:val="auto"/>
          <w:sz w:val="21"/>
          <w:szCs w:val="21"/>
          <w:highlight w:val="none"/>
        </w:rPr>
        <w:t>二、书面方式</w:t>
      </w:r>
      <w:bookmarkEnd w:id="41"/>
    </w:p>
    <w:p w14:paraId="113698AD">
      <w:pPr>
        <w:keepNext w:val="0"/>
        <w:keepLines w:val="0"/>
        <w:pageBreakBefore w:val="0"/>
        <w:shd w:val="clear" w:color="auto" w:fill="auto"/>
        <w:kinsoku/>
        <w:wordWrap/>
        <w:overflowPunct/>
        <w:topLinePunct w:val="0"/>
        <w:autoSpaceDE/>
        <w:autoSpaceDN/>
        <w:bidi w:val="0"/>
        <w:adjustRightInd/>
        <w:snapToGrid/>
        <w:spacing w:line="400" w:lineRule="exact"/>
        <w:ind w:left="5760" w:hanging="3834" w:hangingChars="18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《政府采购供应商投诉处理办法》第八条：投诉人投诉</w:t>
      </w:r>
    </w:p>
    <w:p w14:paraId="21334B22">
      <w:pPr>
        <w:keepNext w:val="0"/>
        <w:keepLines w:val="0"/>
        <w:pageBreakBefore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时，应当提交投诉书，并按照被投诉人以及与投诉事项有关的供应商数量提供投诉书的副本。</w:t>
      </w:r>
    </w:p>
    <w:p w14:paraId="5D9F9B8B">
      <w:pPr>
        <w:keepNext w:val="0"/>
        <w:keepLines w:val="0"/>
        <w:pageBreakBefore w:val="0"/>
        <w:shd w:val="clear" w:color="auto" w:fill="auto"/>
        <w:kinsoku/>
        <w:wordWrap/>
        <w:overflowPunct/>
        <w:topLinePunct w:val="0"/>
        <w:autoSpaceDE/>
        <w:autoSpaceDN/>
        <w:bidi w:val="0"/>
        <w:adjustRightInd/>
        <w:snapToGrid/>
        <w:spacing w:line="400" w:lineRule="exact"/>
        <w:ind w:left="5760" w:hanging="3834" w:hangingChars="18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投诉书应当包括下列主要内容：</w:t>
      </w:r>
    </w:p>
    <w:p w14:paraId="52419767">
      <w:pPr>
        <w:keepNext w:val="0"/>
        <w:keepLines w:val="0"/>
        <w:pageBreakBefore w:val="0"/>
        <w:numPr>
          <w:ilvl w:val="0"/>
          <w:numId w:val="5"/>
        </w:numPr>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投诉人和被投诉人的名称、地址、电话等；</w:t>
      </w:r>
    </w:p>
    <w:p w14:paraId="7C542B5C">
      <w:pPr>
        <w:keepNext w:val="0"/>
        <w:keepLines w:val="0"/>
        <w:pageBreakBefore w:val="0"/>
        <w:numPr>
          <w:ilvl w:val="0"/>
          <w:numId w:val="5"/>
        </w:numPr>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具体的投诉事项及事实依据；</w:t>
      </w:r>
    </w:p>
    <w:p w14:paraId="065B9741">
      <w:pPr>
        <w:keepNext w:val="0"/>
        <w:keepLines w:val="0"/>
        <w:pageBreakBefore w:val="0"/>
        <w:numPr>
          <w:ilvl w:val="0"/>
          <w:numId w:val="5"/>
        </w:numPr>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质疑和质疑答复情况及相关证明材料；</w:t>
      </w:r>
    </w:p>
    <w:p w14:paraId="04882A24">
      <w:pPr>
        <w:keepNext w:val="0"/>
        <w:keepLines w:val="0"/>
        <w:pageBreakBefore w:val="0"/>
        <w:numPr>
          <w:ilvl w:val="0"/>
          <w:numId w:val="5"/>
        </w:numPr>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提起投诉的日期。</w:t>
      </w:r>
    </w:p>
    <w:p w14:paraId="33B38FDD">
      <w:pPr>
        <w:keepNext w:val="0"/>
        <w:keepLines w:val="0"/>
        <w:pageBreakBefore w:val="0"/>
        <w:shd w:val="clear" w:color="auto" w:fill="auto"/>
        <w:kinsoku/>
        <w:wordWrap/>
        <w:overflowPunct/>
        <w:topLinePunct w:val="0"/>
        <w:autoSpaceDE/>
        <w:autoSpaceDN/>
        <w:bidi w:val="0"/>
        <w:adjustRightInd/>
        <w:snapToGrid/>
        <w:spacing w:line="400" w:lineRule="exact"/>
        <w:ind w:firstLine="645"/>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投诉书应当署名。投诉人为自然人，应当由本人签字；投诉人为法人或者其他组织的，应当由法定代表人或者主要负责人签字并加盖公章。</w:t>
      </w:r>
    </w:p>
    <w:p w14:paraId="753EFE26">
      <w:pPr>
        <w:keepNext w:val="0"/>
        <w:keepLines w:val="0"/>
        <w:pageBreakBefore w:val="0"/>
        <w:shd w:val="clear" w:color="auto" w:fill="auto"/>
        <w:kinsoku/>
        <w:wordWrap/>
        <w:overflowPunct/>
        <w:topLinePunct w:val="0"/>
        <w:autoSpaceDE/>
        <w:autoSpaceDN/>
        <w:bidi w:val="0"/>
        <w:adjustRightInd/>
        <w:snapToGrid/>
        <w:spacing w:line="400" w:lineRule="exact"/>
        <w:ind w:firstLine="645"/>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政府采购供应商投诉处理办法》第九条：投诉人可以委托代理人办理投诉事务。代理人办理投书事务时，除提交投诉书外，还应当向同级财政部门提交投诉人的授权委托书，授权委托书应当载明委托代理的具体权限和事项。</w:t>
      </w:r>
    </w:p>
    <w:p w14:paraId="730B21C8">
      <w:pPr>
        <w:keepNext w:val="0"/>
        <w:keepLines w:val="0"/>
        <w:pageBreakBefore w:val="0"/>
        <w:shd w:val="clear" w:color="auto" w:fill="auto"/>
        <w:kinsoku/>
        <w:wordWrap/>
        <w:overflowPunct/>
        <w:topLinePunct w:val="0"/>
        <w:autoSpaceDE/>
        <w:autoSpaceDN/>
        <w:bidi w:val="0"/>
        <w:adjustRightInd/>
        <w:snapToGrid/>
        <w:spacing w:line="400" w:lineRule="exact"/>
        <w:ind w:firstLine="645"/>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《政府采购供应商投诉处理办法》第十条：投诉人提起投诉应当符合下列条件：</w:t>
      </w:r>
    </w:p>
    <w:p w14:paraId="002A4217">
      <w:pPr>
        <w:keepNext w:val="0"/>
        <w:keepLines w:val="0"/>
        <w:pageBreakBefore w:val="0"/>
        <w:numPr>
          <w:ilvl w:val="0"/>
          <w:numId w:val="6"/>
        </w:numPr>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投诉人是参与所投诉政府采购活动的供应商；</w:t>
      </w:r>
    </w:p>
    <w:p w14:paraId="3F94A803">
      <w:pPr>
        <w:keepNext w:val="0"/>
        <w:keepLines w:val="0"/>
        <w:pageBreakBefore w:val="0"/>
        <w:numPr>
          <w:ilvl w:val="0"/>
          <w:numId w:val="6"/>
        </w:numPr>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提起投诉诉前已依法进行质疑；</w:t>
      </w:r>
    </w:p>
    <w:p w14:paraId="70E1BF4E">
      <w:pPr>
        <w:keepNext w:val="0"/>
        <w:keepLines w:val="0"/>
        <w:pageBreakBefore w:val="0"/>
        <w:numPr>
          <w:ilvl w:val="0"/>
          <w:numId w:val="6"/>
        </w:numPr>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投诉书内容符合本办法的规定；</w:t>
      </w:r>
    </w:p>
    <w:p w14:paraId="49B735AC">
      <w:pPr>
        <w:keepNext w:val="0"/>
        <w:keepLines w:val="0"/>
        <w:pageBreakBefore w:val="0"/>
        <w:numPr>
          <w:ilvl w:val="0"/>
          <w:numId w:val="6"/>
        </w:numPr>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在投诉有效期内提起投诉；</w:t>
      </w:r>
    </w:p>
    <w:p w14:paraId="1157CBE2">
      <w:pPr>
        <w:keepNext w:val="0"/>
        <w:keepLines w:val="0"/>
        <w:pageBreakBefore w:val="0"/>
        <w:numPr>
          <w:ilvl w:val="0"/>
          <w:numId w:val="6"/>
        </w:numPr>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属于本级财政部门管辖；</w:t>
      </w:r>
    </w:p>
    <w:p w14:paraId="3E60E4BC">
      <w:pPr>
        <w:keepNext w:val="0"/>
        <w:keepLines w:val="0"/>
        <w:pageBreakBefore w:val="0"/>
        <w:numPr>
          <w:ilvl w:val="0"/>
          <w:numId w:val="6"/>
        </w:numPr>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同一投诉事项未经财政部门投诉处理；</w:t>
      </w:r>
    </w:p>
    <w:p w14:paraId="17626352">
      <w:pPr>
        <w:keepNext w:val="0"/>
        <w:keepLines w:val="0"/>
        <w:pageBreakBefore w:val="0"/>
        <w:numPr>
          <w:ilvl w:val="0"/>
          <w:numId w:val="6"/>
        </w:numPr>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国务院财政部门规定的其他条件。</w:t>
      </w:r>
    </w:p>
    <w:p w14:paraId="0949D949">
      <w:pPr>
        <w:keepNext w:val="0"/>
        <w:keepLines w:val="0"/>
        <w:pageBreakBefore w:val="0"/>
        <w:shd w:val="clear" w:color="auto" w:fill="auto"/>
        <w:kinsoku/>
        <w:wordWrap/>
        <w:overflowPunct/>
        <w:topLinePunct w:val="0"/>
        <w:autoSpaceDE/>
        <w:autoSpaceDN/>
        <w:bidi w:val="0"/>
        <w:adjustRightInd/>
        <w:snapToGrid/>
        <w:spacing w:line="400" w:lineRule="exact"/>
        <w:ind w:left="5760" w:hanging="3834" w:hangingChars="18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w:t>
      </w:r>
    </w:p>
    <w:p w14:paraId="0E0B8AE4">
      <w:pPr>
        <w:shd w:val="clear" w:color="auto" w:fill="auto"/>
        <w:outlineLvl w:val="0"/>
        <w:rPr>
          <w:rFonts w:hint="eastAsia"/>
          <w:color w:val="auto"/>
          <w:sz w:val="21"/>
          <w:szCs w:val="21"/>
          <w:highlight w:val="none"/>
        </w:rPr>
      </w:pPr>
      <w:r>
        <w:rPr>
          <w:rFonts w:hint="eastAsia"/>
          <w:color w:val="auto"/>
          <w:sz w:val="21"/>
          <w:szCs w:val="21"/>
          <w:highlight w:val="none"/>
        </w:rPr>
        <w:t xml:space="preserve"> </w:t>
      </w:r>
      <w:r>
        <w:rPr>
          <w:rFonts w:hint="eastAsia" w:ascii="宋体" w:hAnsi="宋体" w:eastAsia="宋体" w:cs="宋体"/>
          <w:b/>
          <w:bCs/>
          <w:color w:val="auto"/>
          <w:sz w:val="21"/>
          <w:szCs w:val="21"/>
          <w:highlight w:val="none"/>
        </w:rPr>
        <w:t xml:space="preserve">   </w:t>
      </w:r>
      <w:bookmarkStart w:id="42" w:name="_Toc5978"/>
      <w:r>
        <w:rPr>
          <w:rFonts w:hint="eastAsia" w:ascii="宋体" w:hAnsi="宋体" w:eastAsia="宋体" w:cs="宋体"/>
          <w:b/>
          <w:bCs/>
          <w:color w:val="auto"/>
          <w:sz w:val="21"/>
          <w:szCs w:val="21"/>
          <w:highlight w:val="none"/>
        </w:rPr>
        <w:t>三、虚假、恶意投诉法律责任</w:t>
      </w:r>
      <w:bookmarkEnd w:id="42"/>
    </w:p>
    <w:p w14:paraId="41E61E1A">
      <w:pPr>
        <w:keepNext w:val="0"/>
        <w:keepLines w:val="0"/>
        <w:pageBreakBefore w:val="0"/>
        <w:shd w:val="clear" w:color="auto" w:fill="auto"/>
        <w:kinsoku/>
        <w:wordWrap/>
        <w:overflowPunct/>
        <w:topLinePunct w:val="0"/>
        <w:autoSpaceDE/>
        <w:autoSpaceDN/>
        <w:bidi w:val="0"/>
        <w:adjustRightInd/>
        <w:snapToGrid/>
        <w:spacing w:line="40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第七十三条：供应商捏造实施、提供虚假材料或者以非法手段取得证明材料进行投诉的，由财政部门列入不良行为记录名单，禁止其1至3年内参加政府采购活动。</w:t>
      </w:r>
    </w:p>
    <w:p w14:paraId="67FE17D9">
      <w:pPr>
        <w:keepNext w:val="0"/>
        <w:keepLines w:val="0"/>
        <w:pageBreakBefore w:val="0"/>
        <w:shd w:val="clear" w:color="auto" w:fill="auto"/>
        <w:kinsoku/>
        <w:wordWrap/>
        <w:overflowPunct/>
        <w:topLinePunct w:val="0"/>
        <w:autoSpaceDE/>
        <w:autoSpaceDN/>
        <w:bidi w:val="0"/>
        <w:adjustRightInd/>
        <w:snapToGrid/>
        <w:spacing w:line="40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《政府采购供应商投诉处理办法》第二十六条：投诉人有下列情形之一的，属于虚假、恶意投诉，财政部门应当驳回投诉，将其列入不良行为记录名单，并依法予以处罚：</w:t>
      </w:r>
    </w:p>
    <w:p w14:paraId="503BB7A1">
      <w:pPr>
        <w:keepNext w:val="0"/>
        <w:keepLines w:val="0"/>
        <w:pageBreakBefore w:val="0"/>
        <w:shd w:val="clear" w:color="auto" w:fill="auto"/>
        <w:kinsoku/>
        <w:wordWrap/>
        <w:overflowPunct/>
        <w:topLinePunct w:val="0"/>
        <w:autoSpaceDE/>
        <w:autoSpaceDN/>
        <w:bidi w:val="0"/>
        <w:adjustRightInd/>
        <w:snapToGrid/>
        <w:spacing w:line="40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（一）1年内3次以上投诉均查无实据的；</w:t>
      </w:r>
    </w:p>
    <w:p w14:paraId="71EA6F2F">
      <w:pPr>
        <w:keepNext w:val="0"/>
        <w:keepLines w:val="0"/>
        <w:pageBreakBefore w:val="0"/>
        <w:shd w:val="clear" w:color="auto" w:fill="auto"/>
        <w:kinsoku/>
        <w:wordWrap/>
        <w:overflowPunct/>
        <w:topLinePunct w:val="0"/>
        <w:autoSpaceDE/>
        <w:autoSpaceDN/>
        <w:bidi w:val="0"/>
        <w:adjustRightInd/>
        <w:snapToGrid/>
        <w:spacing w:line="40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（二）捏造事实或者提供虚假投诉材料的。</w:t>
      </w:r>
    </w:p>
    <w:p w14:paraId="47B52F3F">
      <w:pPr>
        <w:keepNext w:val="0"/>
        <w:keepLines w:val="0"/>
        <w:pageBreakBefore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p>
    <w:p w14:paraId="2A533F9B">
      <w:pPr>
        <w:keepNext w:val="0"/>
        <w:keepLines w:val="0"/>
        <w:pageBreakBefore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p>
    <w:p w14:paraId="331CE7D2">
      <w:pPr>
        <w:shd w:val="clear" w:color="auto" w:fill="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递交投诉书地址：</w:t>
      </w:r>
      <w:r>
        <w:rPr>
          <w:rFonts w:hint="eastAsia" w:ascii="宋体" w:hAnsi="宋体" w:cs="宋体"/>
          <w:color w:val="auto"/>
          <w:sz w:val="21"/>
          <w:szCs w:val="21"/>
          <w:highlight w:val="none"/>
          <w:lang w:val="en-US" w:eastAsia="zh-CN"/>
        </w:rPr>
        <w:t>乌恰县财政局</w:t>
      </w:r>
      <w:r>
        <w:rPr>
          <w:rFonts w:hint="eastAsia" w:ascii="宋体" w:hAnsi="宋体" w:eastAsia="宋体" w:cs="宋体"/>
          <w:color w:val="auto"/>
          <w:sz w:val="21"/>
          <w:szCs w:val="21"/>
          <w:highlight w:val="none"/>
          <w:lang w:val="en-US" w:eastAsia="zh-CN"/>
        </w:rPr>
        <w:t>政府采购办</w:t>
      </w:r>
      <w:r>
        <w:rPr>
          <w:rFonts w:hint="eastAsia" w:ascii="宋体" w:hAnsi="宋体" w:eastAsia="宋体" w:cs="宋体"/>
          <w:color w:val="auto"/>
          <w:sz w:val="21"/>
          <w:szCs w:val="21"/>
          <w:highlight w:val="none"/>
        </w:rPr>
        <w:t>监管办公室</w:t>
      </w:r>
    </w:p>
    <w:p w14:paraId="140D9515">
      <w:pPr>
        <w:shd w:val="clear" w:color="auto" w:fill="auto"/>
        <w:jc w:val="right"/>
        <w:rPr>
          <w:rFonts w:hint="eastAsia" w:ascii="宋体" w:hAnsi="宋体" w:eastAsia="宋体" w:cs="宋体"/>
          <w:color w:val="auto"/>
          <w:sz w:val="32"/>
          <w:szCs w:val="32"/>
          <w:highlight w:val="none"/>
        </w:rPr>
      </w:pPr>
    </w:p>
    <w:p w14:paraId="6F3CB9C4">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rPr>
          <w:rFonts w:hint="eastAsia" w:ascii="宋体" w:hAnsi="宋体" w:eastAsia="宋体" w:cs="宋体"/>
          <w:b/>
          <w:bCs/>
          <w:color w:val="auto"/>
          <w:sz w:val="44"/>
          <w:szCs w:val="44"/>
          <w:highlight w:val="none"/>
        </w:rPr>
      </w:pPr>
    </w:p>
    <w:p w14:paraId="556500D0">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rPr>
          <w:rFonts w:hint="eastAsia" w:ascii="宋体" w:hAnsi="宋体" w:eastAsia="宋体" w:cs="宋体"/>
          <w:b/>
          <w:bCs/>
          <w:color w:val="auto"/>
          <w:sz w:val="44"/>
          <w:szCs w:val="44"/>
          <w:highlight w:val="none"/>
        </w:rPr>
      </w:pPr>
    </w:p>
    <w:p w14:paraId="34A69128">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rPr>
          <w:rFonts w:hint="eastAsia" w:ascii="宋体" w:hAnsi="宋体" w:eastAsia="宋体" w:cs="宋体"/>
          <w:b/>
          <w:bCs/>
          <w:color w:val="auto"/>
          <w:sz w:val="44"/>
          <w:szCs w:val="44"/>
          <w:highlight w:val="none"/>
        </w:rPr>
      </w:pPr>
    </w:p>
    <w:p w14:paraId="5FD82083">
      <w:pPr>
        <w:pStyle w:val="27"/>
        <w:rPr>
          <w:rFonts w:hint="eastAsia" w:ascii="宋体" w:hAnsi="宋体" w:eastAsia="宋体" w:cs="宋体"/>
          <w:b/>
          <w:bCs/>
          <w:color w:val="auto"/>
          <w:sz w:val="44"/>
          <w:szCs w:val="44"/>
          <w:highlight w:val="none"/>
        </w:rPr>
      </w:pPr>
    </w:p>
    <w:p w14:paraId="1F68BA5E">
      <w:pPr>
        <w:pStyle w:val="27"/>
        <w:rPr>
          <w:rFonts w:hint="eastAsia" w:ascii="宋体" w:hAnsi="宋体" w:eastAsia="宋体" w:cs="宋体"/>
          <w:b/>
          <w:bCs/>
          <w:color w:val="auto"/>
          <w:sz w:val="44"/>
          <w:szCs w:val="44"/>
          <w:highlight w:val="none"/>
        </w:rPr>
      </w:pPr>
    </w:p>
    <w:p w14:paraId="4DB9513E">
      <w:pPr>
        <w:pStyle w:val="27"/>
        <w:rPr>
          <w:rFonts w:hint="eastAsia" w:ascii="宋体" w:hAnsi="宋体" w:eastAsia="宋体" w:cs="宋体"/>
          <w:b/>
          <w:bCs/>
          <w:color w:val="auto"/>
          <w:sz w:val="44"/>
          <w:szCs w:val="44"/>
          <w:highlight w:val="none"/>
        </w:rPr>
      </w:pPr>
    </w:p>
    <w:p w14:paraId="43535283">
      <w:pPr>
        <w:pStyle w:val="27"/>
        <w:rPr>
          <w:rFonts w:hint="eastAsia" w:ascii="宋体" w:hAnsi="宋体" w:eastAsia="宋体" w:cs="宋体"/>
          <w:b/>
          <w:bCs/>
          <w:color w:val="auto"/>
          <w:sz w:val="44"/>
          <w:szCs w:val="44"/>
          <w:highlight w:val="none"/>
        </w:rPr>
      </w:pPr>
    </w:p>
    <w:p w14:paraId="6621C966">
      <w:pPr>
        <w:pStyle w:val="27"/>
        <w:rPr>
          <w:rFonts w:hint="eastAsia" w:ascii="宋体" w:hAnsi="宋体" w:eastAsia="宋体" w:cs="宋体"/>
          <w:b/>
          <w:bCs/>
          <w:color w:val="auto"/>
          <w:sz w:val="44"/>
          <w:szCs w:val="44"/>
          <w:highlight w:val="none"/>
        </w:rPr>
      </w:pPr>
    </w:p>
    <w:p w14:paraId="6DE3EAD2">
      <w:pPr>
        <w:pStyle w:val="27"/>
        <w:rPr>
          <w:rFonts w:hint="eastAsia" w:ascii="宋体" w:hAnsi="宋体" w:eastAsia="宋体" w:cs="宋体"/>
          <w:b/>
          <w:bCs/>
          <w:color w:val="auto"/>
          <w:sz w:val="44"/>
          <w:szCs w:val="44"/>
          <w:highlight w:val="none"/>
        </w:rPr>
      </w:pPr>
    </w:p>
    <w:p w14:paraId="236AFD68">
      <w:pPr>
        <w:keepNext w:val="0"/>
        <w:keepLines w:val="0"/>
        <w:pageBreakBefore w:val="0"/>
        <w:widowControl w:val="0"/>
        <w:shd w:val="clear" w:color="auto" w:fill="auto"/>
        <w:kinsoku/>
        <w:wordWrap/>
        <w:overflowPunct/>
        <w:topLinePunct w:val="0"/>
        <w:autoSpaceDE/>
        <w:autoSpaceDN/>
        <w:bidi w:val="0"/>
        <w:spacing w:line="540" w:lineRule="exact"/>
        <w:jc w:val="both"/>
        <w:textAlignment w:val="auto"/>
        <w:outlineLvl w:val="0"/>
        <w:rPr>
          <w:rFonts w:hint="eastAsia" w:ascii="宋体" w:hAnsi="宋体" w:eastAsia="宋体" w:cs="宋体"/>
          <w:b/>
          <w:bCs/>
          <w:color w:val="auto"/>
          <w:sz w:val="32"/>
          <w:szCs w:val="32"/>
          <w:highlight w:val="none"/>
        </w:rPr>
      </w:pPr>
      <w:bookmarkStart w:id="43" w:name="_Toc1697"/>
    </w:p>
    <w:p w14:paraId="4AC45618">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outlineLvl w:val="0"/>
        <w:rPr>
          <w:rFonts w:hint="eastAsia" w:ascii="宋体" w:hAnsi="宋体" w:eastAsia="宋体" w:cs="宋体"/>
          <w:b/>
          <w:bCs/>
          <w:color w:val="auto"/>
          <w:sz w:val="32"/>
          <w:szCs w:val="32"/>
          <w:highlight w:val="none"/>
        </w:rPr>
      </w:pPr>
    </w:p>
    <w:p w14:paraId="5C3D6599">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outlineLvl w:val="0"/>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质疑函范本</w:t>
      </w:r>
      <w:bookmarkEnd w:id="43"/>
    </w:p>
    <w:p w14:paraId="587FD380">
      <w:pPr>
        <w:keepNext w:val="0"/>
        <w:keepLines w:val="0"/>
        <w:pageBreakBefore w:val="0"/>
        <w:widowControl w:val="0"/>
        <w:shd w:val="clear" w:color="auto" w:fill="auto"/>
        <w:kinsoku/>
        <w:wordWrap/>
        <w:overflowPunct/>
        <w:topLinePunct w:val="0"/>
        <w:autoSpaceDE/>
        <w:autoSpaceDN/>
        <w:bidi w:val="0"/>
        <w:adjustRightInd w:val="0"/>
        <w:snapToGrid w:val="0"/>
        <w:spacing w:beforeLines="100" w:line="540" w:lineRule="exact"/>
        <w:ind w:firstLine="426" w:firstLineChars="200"/>
        <w:textAlignment w:val="auto"/>
        <w:outlineLvl w:val="0"/>
        <w:rPr>
          <w:rFonts w:hint="eastAsia" w:ascii="宋体" w:hAnsi="宋体" w:eastAsia="宋体" w:cs="宋体"/>
          <w:bCs/>
          <w:color w:val="auto"/>
          <w:sz w:val="21"/>
          <w:szCs w:val="21"/>
          <w:highlight w:val="none"/>
        </w:rPr>
      </w:pPr>
      <w:bookmarkStart w:id="44" w:name="_Toc9061"/>
      <w:r>
        <w:rPr>
          <w:rFonts w:hint="eastAsia" w:ascii="宋体" w:hAnsi="宋体" w:eastAsia="宋体" w:cs="宋体"/>
          <w:bCs/>
          <w:color w:val="auto"/>
          <w:sz w:val="21"/>
          <w:szCs w:val="21"/>
          <w:highlight w:val="none"/>
        </w:rPr>
        <w:t>一、质疑供应商基本信息</w:t>
      </w:r>
      <w:bookmarkEnd w:id="44"/>
    </w:p>
    <w:p w14:paraId="328AFC22">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rPr>
          <w:rFonts w:hint="eastAsia" w:ascii="宋体" w:hAnsi="宋体" w:eastAsia="宋体" w:cs="宋体"/>
          <w:color w:val="auto"/>
          <w:sz w:val="21"/>
          <w:szCs w:val="21"/>
          <w:highlight w:val="none"/>
          <w:u w:val="dotted"/>
        </w:rPr>
      </w:pPr>
      <w:r>
        <w:rPr>
          <w:rFonts w:hint="eastAsia" w:ascii="宋体" w:hAnsi="宋体" w:eastAsia="宋体" w:cs="宋体"/>
          <w:color w:val="auto"/>
          <w:sz w:val="21"/>
          <w:szCs w:val="21"/>
          <w:highlight w:val="none"/>
        </w:rPr>
        <w:t>质疑供应商：</w:t>
      </w:r>
      <w:r>
        <w:rPr>
          <w:rFonts w:hint="eastAsia" w:ascii="宋体" w:hAnsi="宋体" w:eastAsia="宋体" w:cs="宋体"/>
          <w:color w:val="auto"/>
          <w:sz w:val="21"/>
          <w:szCs w:val="21"/>
          <w:highlight w:val="none"/>
          <w:u w:val="dotted"/>
        </w:rPr>
        <w:t xml:space="preserve">                         </w:t>
      </w:r>
    </w:p>
    <w:p w14:paraId="7FDF6A8D">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地址：</w:t>
      </w:r>
      <w:r>
        <w:rPr>
          <w:rFonts w:hint="eastAsia" w:ascii="宋体" w:hAnsi="宋体" w:eastAsia="宋体" w:cs="宋体"/>
          <w:color w:val="auto"/>
          <w:sz w:val="21"/>
          <w:szCs w:val="21"/>
          <w:highlight w:val="none"/>
          <w:u w:val="dotted"/>
        </w:rPr>
        <w:t xml:space="preserve">                          </w:t>
      </w:r>
      <w:r>
        <w:rPr>
          <w:rFonts w:hint="eastAsia" w:ascii="宋体" w:hAnsi="宋体" w:eastAsia="宋体" w:cs="宋体"/>
          <w:color w:val="auto"/>
          <w:sz w:val="21"/>
          <w:szCs w:val="21"/>
          <w:highlight w:val="none"/>
        </w:rPr>
        <w:t>邮编：</w:t>
      </w:r>
      <w:r>
        <w:rPr>
          <w:rFonts w:hint="eastAsia" w:ascii="宋体" w:hAnsi="宋体" w:eastAsia="宋体" w:cs="宋体"/>
          <w:color w:val="auto"/>
          <w:sz w:val="21"/>
          <w:szCs w:val="21"/>
          <w:highlight w:val="none"/>
          <w:u w:val="dotted"/>
        </w:rPr>
        <w:t xml:space="preserve">            </w:t>
      </w:r>
    </w:p>
    <w:p w14:paraId="738821F5">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联系人：</w:t>
      </w:r>
      <w:r>
        <w:rPr>
          <w:rFonts w:hint="eastAsia" w:ascii="宋体" w:hAnsi="宋体" w:eastAsia="宋体" w:cs="宋体"/>
          <w:color w:val="auto"/>
          <w:sz w:val="21"/>
          <w:szCs w:val="21"/>
          <w:highlight w:val="none"/>
          <w:u w:val="dotted"/>
        </w:rPr>
        <w:t xml:space="preserve">                      </w:t>
      </w:r>
      <w:r>
        <w:rPr>
          <w:rFonts w:hint="eastAsia" w:ascii="宋体" w:hAnsi="宋体" w:eastAsia="宋体" w:cs="宋体"/>
          <w:color w:val="auto"/>
          <w:sz w:val="21"/>
          <w:szCs w:val="21"/>
          <w:highlight w:val="none"/>
        </w:rPr>
        <w:t>联系电话：</w:t>
      </w:r>
      <w:r>
        <w:rPr>
          <w:rFonts w:hint="eastAsia" w:ascii="宋体" w:hAnsi="宋体" w:eastAsia="宋体" w:cs="宋体"/>
          <w:color w:val="auto"/>
          <w:sz w:val="21"/>
          <w:szCs w:val="21"/>
          <w:highlight w:val="none"/>
          <w:u w:val="dotted"/>
        </w:rPr>
        <w:t xml:space="preserve">            </w:t>
      </w:r>
    </w:p>
    <w:p w14:paraId="7D5F222A">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rPr>
          <w:rFonts w:hint="eastAsia" w:ascii="宋体" w:hAnsi="宋体" w:eastAsia="宋体" w:cs="宋体"/>
          <w:color w:val="auto"/>
          <w:sz w:val="21"/>
          <w:szCs w:val="21"/>
          <w:highlight w:val="none"/>
          <w:u w:val="dotted"/>
        </w:rPr>
      </w:pPr>
      <w:r>
        <w:rPr>
          <w:rFonts w:hint="eastAsia" w:ascii="宋体" w:hAnsi="宋体" w:eastAsia="宋体" w:cs="宋体"/>
          <w:color w:val="auto"/>
          <w:sz w:val="21"/>
          <w:szCs w:val="21"/>
          <w:highlight w:val="none"/>
        </w:rPr>
        <w:t>授权代表：</w:t>
      </w:r>
      <w:r>
        <w:rPr>
          <w:rFonts w:hint="eastAsia" w:ascii="宋体" w:hAnsi="宋体" w:eastAsia="宋体" w:cs="宋体"/>
          <w:color w:val="auto"/>
          <w:sz w:val="21"/>
          <w:szCs w:val="21"/>
          <w:highlight w:val="none"/>
          <w:u w:val="dotted"/>
        </w:rPr>
        <w:t xml:space="preserve">                                          </w:t>
      </w:r>
    </w:p>
    <w:p w14:paraId="0DEB2DE3">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联系电话：</w:t>
      </w:r>
      <w:r>
        <w:rPr>
          <w:rFonts w:hint="eastAsia" w:ascii="宋体" w:hAnsi="宋体" w:eastAsia="宋体" w:cs="宋体"/>
          <w:color w:val="auto"/>
          <w:sz w:val="21"/>
          <w:szCs w:val="21"/>
          <w:highlight w:val="none"/>
          <w:u w:val="dotted"/>
        </w:rPr>
        <w:t xml:space="preserve">                                          </w:t>
      </w:r>
    </w:p>
    <w:p w14:paraId="39584F17">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地址： </w:t>
      </w:r>
      <w:r>
        <w:rPr>
          <w:rFonts w:hint="eastAsia" w:ascii="宋体" w:hAnsi="宋体" w:eastAsia="宋体" w:cs="宋体"/>
          <w:color w:val="auto"/>
          <w:sz w:val="21"/>
          <w:szCs w:val="21"/>
          <w:highlight w:val="none"/>
          <w:u w:val="dotted"/>
        </w:rPr>
        <w:t xml:space="preserve">                        </w:t>
      </w:r>
      <w:r>
        <w:rPr>
          <w:rFonts w:hint="eastAsia" w:ascii="宋体" w:hAnsi="宋体" w:eastAsia="宋体" w:cs="宋体"/>
          <w:color w:val="auto"/>
          <w:sz w:val="21"/>
          <w:szCs w:val="21"/>
          <w:highlight w:val="none"/>
        </w:rPr>
        <w:t>邮编：</w:t>
      </w:r>
      <w:r>
        <w:rPr>
          <w:rFonts w:hint="eastAsia" w:ascii="宋体" w:hAnsi="宋体" w:eastAsia="宋体" w:cs="宋体"/>
          <w:color w:val="auto"/>
          <w:sz w:val="21"/>
          <w:szCs w:val="21"/>
          <w:highlight w:val="none"/>
          <w:u w:val="dotted"/>
        </w:rPr>
        <w:t xml:space="preserve">               </w:t>
      </w:r>
    </w:p>
    <w:p w14:paraId="44EEA1B7">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outlineLvl w:val="0"/>
        <w:rPr>
          <w:rFonts w:hint="eastAsia" w:ascii="宋体" w:hAnsi="宋体" w:eastAsia="宋体" w:cs="宋体"/>
          <w:bCs/>
          <w:color w:val="auto"/>
          <w:sz w:val="21"/>
          <w:szCs w:val="21"/>
          <w:highlight w:val="none"/>
        </w:rPr>
      </w:pPr>
      <w:bookmarkStart w:id="45" w:name="_Toc15938"/>
      <w:r>
        <w:rPr>
          <w:rFonts w:hint="eastAsia" w:ascii="宋体" w:hAnsi="宋体" w:eastAsia="宋体" w:cs="宋体"/>
          <w:bCs/>
          <w:color w:val="auto"/>
          <w:sz w:val="21"/>
          <w:szCs w:val="21"/>
          <w:highlight w:val="none"/>
        </w:rPr>
        <w:t>二、质疑项目基本情况</w:t>
      </w:r>
      <w:bookmarkEnd w:id="45"/>
    </w:p>
    <w:p w14:paraId="7BD05A73">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质疑项目的名称：</w:t>
      </w:r>
      <w:r>
        <w:rPr>
          <w:rFonts w:hint="eastAsia" w:ascii="宋体" w:hAnsi="宋体" w:eastAsia="宋体" w:cs="宋体"/>
          <w:color w:val="auto"/>
          <w:sz w:val="21"/>
          <w:szCs w:val="21"/>
          <w:highlight w:val="none"/>
          <w:u w:val="dotted"/>
        </w:rPr>
        <w:t xml:space="preserve">                                     </w:t>
      </w:r>
    </w:p>
    <w:p w14:paraId="635ECE65">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质疑项目的编号：</w:t>
      </w:r>
      <w:r>
        <w:rPr>
          <w:rFonts w:hint="eastAsia" w:ascii="宋体" w:hAnsi="宋体" w:eastAsia="宋体" w:cs="宋体"/>
          <w:color w:val="auto"/>
          <w:sz w:val="21"/>
          <w:szCs w:val="21"/>
          <w:highlight w:val="none"/>
          <w:u w:val="dotted"/>
        </w:rPr>
        <w:t xml:space="preserve">               </w:t>
      </w:r>
      <w:r>
        <w:rPr>
          <w:rFonts w:hint="eastAsia" w:ascii="宋体" w:hAnsi="宋体" w:eastAsia="宋体" w:cs="宋体"/>
          <w:color w:val="auto"/>
          <w:sz w:val="21"/>
          <w:szCs w:val="21"/>
          <w:highlight w:val="none"/>
        </w:rPr>
        <w:t>包号：</w:t>
      </w:r>
      <w:r>
        <w:rPr>
          <w:rFonts w:hint="eastAsia" w:ascii="宋体" w:hAnsi="宋体" w:eastAsia="宋体" w:cs="宋体"/>
          <w:color w:val="auto"/>
          <w:sz w:val="21"/>
          <w:szCs w:val="21"/>
          <w:highlight w:val="none"/>
          <w:u w:val="dotted"/>
        </w:rPr>
        <w:t xml:space="preserve">                </w:t>
      </w:r>
    </w:p>
    <w:p w14:paraId="0DC19292">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rPr>
          <w:rFonts w:hint="eastAsia" w:ascii="宋体" w:hAnsi="宋体" w:eastAsia="宋体" w:cs="宋体"/>
          <w:color w:val="auto"/>
          <w:sz w:val="21"/>
          <w:szCs w:val="21"/>
          <w:highlight w:val="none"/>
          <w:u w:val="dotted"/>
        </w:rPr>
      </w:pPr>
      <w:r>
        <w:rPr>
          <w:rFonts w:hint="eastAsia" w:ascii="宋体" w:hAnsi="宋体" w:eastAsia="宋体" w:cs="宋体"/>
          <w:color w:val="auto"/>
          <w:sz w:val="21"/>
          <w:szCs w:val="21"/>
          <w:highlight w:val="none"/>
        </w:rPr>
        <w:t>采购人名称：</w:t>
      </w:r>
      <w:r>
        <w:rPr>
          <w:rFonts w:hint="eastAsia" w:ascii="宋体" w:hAnsi="宋体" w:eastAsia="宋体" w:cs="宋体"/>
          <w:color w:val="auto"/>
          <w:sz w:val="21"/>
          <w:szCs w:val="21"/>
          <w:highlight w:val="none"/>
          <w:u w:val="dotted"/>
        </w:rPr>
        <w:t xml:space="preserve">                                         </w:t>
      </w:r>
    </w:p>
    <w:p w14:paraId="637DC410">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采购文件获取日期：</w:t>
      </w:r>
      <w:r>
        <w:rPr>
          <w:rFonts w:hint="eastAsia" w:ascii="宋体" w:hAnsi="宋体" w:eastAsia="宋体" w:cs="宋体"/>
          <w:color w:val="auto"/>
          <w:sz w:val="21"/>
          <w:szCs w:val="21"/>
          <w:highlight w:val="none"/>
          <w:u w:val="dotted"/>
        </w:rPr>
        <w:t xml:space="preserve">                                   </w:t>
      </w:r>
    </w:p>
    <w:p w14:paraId="67A6453C">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outlineLvl w:val="0"/>
        <w:rPr>
          <w:rFonts w:hint="eastAsia" w:ascii="宋体" w:hAnsi="宋体" w:eastAsia="宋体" w:cs="宋体"/>
          <w:bCs/>
          <w:color w:val="auto"/>
          <w:sz w:val="21"/>
          <w:szCs w:val="21"/>
          <w:highlight w:val="none"/>
        </w:rPr>
      </w:pPr>
      <w:bookmarkStart w:id="46" w:name="_Toc18271"/>
      <w:r>
        <w:rPr>
          <w:rFonts w:hint="eastAsia" w:ascii="宋体" w:hAnsi="宋体" w:eastAsia="宋体" w:cs="宋体"/>
          <w:bCs/>
          <w:color w:val="auto"/>
          <w:sz w:val="21"/>
          <w:szCs w:val="21"/>
          <w:highlight w:val="none"/>
        </w:rPr>
        <w:t>三、质疑事项具体内容</w:t>
      </w:r>
      <w:bookmarkEnd w:id="46"/>
    </w:p>
    <w:p w14:paraId="678AA080">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rPr>
          <w:rFonts w:hint="eastAsia" w:ascii="宋体" w:hAnsi="宋体" w:eastAsia="宋体" w:cs="宋体"/>
          <w:color w:val="auto"/>
          <w:sz w:val="21"/>
          <w:szCs w:val="21"/>
          <w:highlight w:val="none"/>
          <w:u w:val="dotted"/>
        </w:rPr>
      </w:pPr>
      <w:r>
        <w:rPr>
          <w:rFonts w:hint="eastAsia" w:ascii="宋体" w:hAnsi="宋体" w:eastAsia="宋体" w:cs="宋体"/>
          <w:color w:val="auto"/>
          <w:sz w:val="21"/>
          <w:szCs w:val="21"/>
          <w:highlight w:val="none"/>
        </w:rPr>
        <w:t>质疑事项1：</w:t>
      </w:r>
      <w:r>
        <w:rPr>
          <w:rFonts w:hint="eastAsia" w:ascii="宋体" w:hAnsi="宋体" w:eastAsia="宋体" w:cs="宋体"/>
          <w:color w:val="auto"/>
          <w:sz w:val="21"/>
          <w:szCs w:val="21"/>
          <w:highlight w:val="none"/>
          <w:u w:val="dotted"/>
        </w:rPr>
        <w:t xml:space="preserve">                                         </w:t>
      </w:r>
    </w:p>
    <w:p w14:paraId="7BCAA5CD">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事实依据：</w:t>
      </w:r>
      <w:r>
        <w:rPr>
          <w:rFonts w:hint="eastAsia" w:ascii="宋体" w:hAnsi="宋体" w:eastAsia="宋体" w:cs="宋体"/>
          <w:color w:val="auto"/>
          <w:sz w:val="21"/>
          <w:szCs w:val="21"/>
          <w:highlight w:val="none"/>
          <w:u w:val="dotted"/>
        </w:rPr>
        <w:t xml:space="preserve">                                           </w:t>
      </w:r>
    </w:p>
    <w:p w14:paraId="4958667E">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rPr>
          <w:rFonts w:hint="eastAsia" w:ascii="宋体" w:hAnsi="宋体" w:eastAsia="宋体" w:cs="宋体"/>
          <w:color w:val="auto"/>
          <w:sz w:val="21"/>
          <w:szCs w:val="21"/>
          <w:highlight w:val="none"/>
          <w:u w:val="dotted"/>
        </w:rPr>
      </w:pPr>
      <w:r>
        <w:rPr>
          <w:rFonts w:hint="eastAsia" w:ascii="宋体" w:hAnsi="宋体" w:eastAsia="宋体" w:cs="宋体"/>
          <w:color w:val="auto"/>
          <w:sz w:val="21"/>
          <w:szCs w:val="21"/>
          <w:highlight w:val="none"/>
        </w:rPr>
        <w:t>法律依据：</w:t>
      </w:r>
      <w:r>
        <w:rPr>
          <w:rFonts w:hint="eastAsia" w:ascii="宋体" w:hAnsi="宋体" w:eastAsia="宋体" w:cs="宋体"/>
          <w:color w:val="auto"/>
          <w:sz w:val="21"/>
          <w:szCs w:val="21"/>
          <w:highlight w:val="none"/>
          <w:u w:val="dotted"/>
        </w:rPr>
        <w:t xml:space="preserve">                                           </w:t>
      </w:r>
    </w:p>
    <w:p w14:paraId="2B12D195">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rPr>
          <w:rFonts w:hint="eastAsia" w:ascii="宋体" w:hAnsi="宋体" w:eastAsia="宋体" w:cs="宋体"/>
          <w:color w:val="auto"/>
          <w:sz w:val="21"/>
          <w:szCs w:val="21"/>
          <w:highlight w:val="none"/>
          <w:u w:val="dotted"/>
        </w:rPr>
      </w:pPr>
      <w:r>
        <w:rPr>
          <w:rFonts w:hint="eastAsia" w:ascii="宋体" w:hAnsi="宋体" w:eastAsia="宋体" w:cs="宋体"/>
          <w:color w:val="auto"/>
          <w:sz w:val="21"/>
          <w:szCs w:val="21"/>
          <w:highlight w:val="none"/>
        </w:rPr>
        <w:t>质疑事项2</w:t>
      </w:r>
    </w:p>
    <w:p w14:paraId="1BCAE7F6">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p w14:paraId="74982DDF">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outlineLvl w:val="0"/>
        <w:rPr>
          <w:rFonts w:hint="eastAsia" w:ascii="宋体" w:hAnsi="宋体" w:eastAsia="宋体" w:cs="宋体"/>
          <w:bCs/>
          <w:color w:val="auto"/>
          <w:sz w:val="21"/>
          <w:szCs w:val="21"/>
          <w:highlight w:val="none"/>
        </w:rPr>
      </w:pPr>
      <w:bookmarkStart w:id="47" w:name="_Toc22365"/>
      <w:r>
        <w:rPr>
          <w:rFonts w:hint="eastAsia" w:ascii="宋体" w:hAnsi="宋体" w:eastAsia="宋体" w:cs="宋体"/>
          <w:bCs/>
          <w:color w:val="auto"/>
          <w:sz w:val="21"/>
          <w:szCs w:val="21"/>
          <w:highlight w:val="none"/>
        </w:rPr>
        <w:t>四、与质疑事项相关的质疑请求</w:t>
      </w:r>
      <w:bookmarkEnd w:id="47"/>
    </w:p>
    <w:p w14:paraId="12D4ED62">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rPr>
          <w:rFonts w:hint="eastAsia" w:ascii="宋体" w:hAnsi="宋体" w:eastAsia="宋体" w:cs="宋体"/>
          <w:color w:val="auto"/>
          <w:sz w:val="21"/>
          <w:szCs w:val="21"/>
          <w:highlight w:val="none"/>
          <w:u w:val="dotted"/>
        </w:rPr>
      </w:pPr>
      <w:r>
        <w:rPr>
          <w:rFonts w:hint="eastAsia" w:ascii="宋体" w:hAnsi="宋体" w:eastAsia="宋体" w:cs="宋体"/>
          <w:color w:val="auto"/>
          <w:sz w:val="21"/>
          <w:szCs w:val="21"/>
          <w:highlight w:val="none"/>
        </w:rPr>
        <w:t>请求：</w:t>
      </w:r>
      <w:r>
        <w:rPr>
          <w:rFonts w:hint="eastAsia" w:ascii="宋体" w:hAnsi="宋体" w:eastAsia="宋体" w:cs="宋体"/>
          <w:color w:val="auto"/>
          <w:sz w:val="21"/>
          <w:szCs w:val="21"/>
          <w:highlight w:val="none"/>
          <w:u w:val="dotted"/>
        </w:rPr>
        <w:t xml:space="preserve">                                               </w:t>
      </w:r>
    </w:p>
    <w:p w14:paraId="1C613BB7">
      <w:pPr>
        <w:keepNext w:val="0"/>
        <w:keepLines w:val="0"/>
        <w:pageBreakBefore w:val="0"/>
        <w:widowControl w:val="0"/>
        <w:shd w:val="clear" w:color="auto" w:fill="auto"/>
        <w:kinsoku/>
        <w:wordWrap/>
        <w:overflowPunct/>
        <w:topLinePunct w:val="0"/>
        <w:autoSpaceDE/>
        <w:autoSpaceDN/>
        <w:bidi w:val="0"/>
        <w:spacing w:line="54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签字(签章)：                   公章：                      </w:t>
      </w:r>
    </w:p>
    <w:p w14:paraId="13DD6CBA">
      <w:pPr>
        <w:keepNext w:val="0"/>
        <w:keepLines w:val="0"/>
        <w:pageBreakBefore w:val="0"/>
        <w:widowControl w:val="0"/>
        <w:shd w:val="clear" w:color="auto" w:fill="auto"/>
        <w:kinsoku/>
        <w:wordWrap/>
        <w:overflowPunct/>
        <w:topLinePunct w:val="0"/>
        <w:autoSpaceDE/>
        <w:autoSpaceDN/>
        <w:bidi w:val="0"/>
        <w:spacing w:line="540" w:lineRule="exact"/>
        <w:ind w:firstLine="426" w:firstLineChars="200"/>
        <w:textAlignment w:val="auto"/>
        <w:rPr>
          <w:rFonts w:hint="eastAsia" w:ascii="宋体" w:hAnsi="宋体" w:eastAsia="宋体" w:cs="宋体"/>
          <w:b/>
          <w:bCs/>
          <w:color w:val="auto"/>
          <w:sz w:val="21"/>
          <w:szCs w:val="21"/>
          <w:highlight w:val="none"/>
        </w:rPr>
      </w:pPr>
      <w:r>
        <w:rPr>
          <w:rFonts w:hint="eastAsia" w:ascii="宋体" w:hAnsi="宋体" w:eastAsia="宋体" w:cs="宋体"/>
          <w:color w:val="auto"/>
          <w:sz w:val="21"/>
          <w:szCs w:val="21"/>
          <w:highlight w:val="none"/>
        </w:rPr>
        <w:t xml:space="preserve">日期：    </w:t>
      </w:r>
    </w:p>
    <w:p w14:paraId="74EB3757">
      <w:pPr>
        <w:pStyle w:val="49"/>
        <w:shd w:val="clear" w:color="auto" w:fill="auto"/>
        <w:ind w:left="0" w:leftChars="0" w:firstLine="0" w:firstLineChars="0"/>
        <w:rPr>
          <w:rFonts w:hint="eastAsia" w:ascii="黑体" w:eastAsia="黑体"/>
          <w:color w:val="auto"/>
          <w:sz w:val="30"/>
          <w:szCs w:val="30"/>
          <w:highlight w:val="none"/>
        </w:rPr>
      </w:pPr>
    </w:p>
    <w:p w14:paraId="6A7D7B59">
      <w:pPr>
        <w:pageBreakBefore/>
        <w:shd w:val="clear" w:color="auto" w:fill="auto"/>
        <w:spacing w:line="440" w:lineRule="exact"/>
        <w:jc w:val="center"/>
        <w:outlineLvl w:val="0"/>
        <w:rPr>
          <w:rFonts w:hint="eastAsia" w:ascii="黑体" w:eastAsia="黑体"/>
          <w:color w:val="auto"/>
          <w:sz w:val="30"/>
          <w:szCs w:val="30"/>
          <w:highlight w:val="none"/>
        </w:rPr>
      </w:pPr>
      <w:bookmarkStart w:id="48" w:name="_Toc469495731"/>
      <w:r>
        <w:rPr>
          <w:rFonts w:hint="eastAsia" w:ascii="黑体" w:eastAsia="黑体"/>
          <w:color w:val="auto"/>
          <w:sz w:val="30"/>
          <w:szCs w:val="30"/>
          <w:highlight w:val="none"/>
        </w:rPr>
        <w:t>第三章  评标办法</w:t>
      </w:r>
      <w:bookmarkEnd w:id="48"/>
    </w:p>
    <w:p w14:paraId="339F62EA">
      <w:pPr>
        <w:shd w:val="clear" w:color="auto" w:fill="auto"/>
        <w:jc w:val="center"/>
        <w:outlineLvl w:val="1"/>
        <w:rPr>
          <w:rFonts w:hint="eastAsia" w:ascii="宋体" w:hAnsi="Times New Roman" w:eastAsia="宋体" w:cs="Times New Roman"/>
          <w:b/>
          <w:color w:val="auto"/>
          <w:sz w:val="28"/>
          <w:szCs w:val="28"/>
          <w:highlight w:val="none"/>
        </w:rPr>
      </w:pPr>
      <w:bookmarkStart w:id="49" w:name="_Toc362983802"/>
      <w:bookmarkStart w:id="50" w:name="_Toc469495733"/>
      <w:bookmarkStart w:id="51" w:name="_Toc363135205"/>
      <w:bookmarkStart w:id="52" w:name="_Toc267320058"/>
      <w:r>
        <w:rPr>
          <w:rFonts w:hint="eastAsia" w:ascii="宋体" w:hAnsi="Times New Roman" w:eastAsia="宋体" w:cs="Times New Roman"/>
          <w:b/>
          <w:color w:val="auto"/>
          <w:sz w:val="28"/>
          <w:szCs w:val="28"/>
          <w:highlight w:val="none"/>
        </w:rPr>
        <w:t>一</w:t>
      </w:r>
      <w:r>
        <w:rPr>
          <w:rFonts w:hint="eastAsia" w:ascii="宋体" w:hAnsi="Times New Roman" w:eastAsia="宋体" w:cs="Times New Roman"/>
          <w:b/>
          <w:color w:val="auto"/>
          <w:sz w:val="28"/>
          <w:szCs w:val="28"/>
          <w:highlight w:val="none"/>
          <w:lang w:val="en-US" w:eastAsia="zh-CN"/>
        </w:rPr>
        <w:t xml:space="preserve">  </w:t>
      </w:r>
      <w:r>
        <w:rPr>
          <w:rFonts w:hint="eastAsia" w:ascii="宋体" w:hAnsi="Times New Roman" w:eastAsia="宋体" w:cs="Times New Roman"/>
          <w:b/>
          <w:color w:val="auto"/>
          <w:sz w:val="28"/>
          <w:szCs w:val="28"/>
          <w:highlight w:val="none"/>
        </w:rPr>
        <w:t>总  则</w:t>
      </w:r>
    </w:p>
    <w:p w14:paraId="610DC2D8">
      <w:pPr>
        <w:shd w:val="clear" w:color="auto" w:fill="auto"/>
        <w:tabs>
          <w:tab w:val="left" w:pos="567"/>
          <w:tab w:val="left" w:pos="600"/>
        </w:tabs>
        <w:spacing w:line="440" w:lineRule="exact"/>
        <w:ind w:firstLine="542" w:firstLineChars="255"/>
        <w:rPr>
          <w:rFonts w:hint="eastAsia" w:ascii="宋体" w:hAnsi="宋体" w:eastAsia="宋体" w:cs="宋体"/>
          <w:color w:val="auto"/>
          <w:szCs w:val="21"/>
          <w:highlight w:val="none"/>
        </w:rPr>
      </w:pPr>
      <w:r>
        <w:rPr>
          <w:rFonts w:hint="eastAsia" w:ascii="宋体" w:hAnsi="宋体" w:eastAsia="宋体" w:cs="宋体"/>
          <w:color w:val="auto"/>
          <w:szCs w:val="21"/>
          <w:highlight w:val="none"/>
        </w:rPr>
        <w:t>1、一般规定</w:t>
      </w:r>
    </w:p>
    <w:p w14:paraId="6A065089">
      <w:pPr>
        <w:shd w:val="clear" w:color="auto" w:fill="auto"/>
        <w:spacing w:line="440" w:lineRule="exact"/>
        <w:ind w:firstLine="542" w:firstLineChars="255"/>
        <w:rPr>
          <w:rFonts w:hint="eastAsia" w:ascii="宋体" w:hAnsi="宋体" w:eastAsia="宋体" w:cs="宋体"/>
          <w:color w:val="auto"/>
          <w:szCs w:val="21"/>
          <w:highlight w:val="none"/>
        </w:rPr>
      </w:pPr>
      <w:r>
        <w:rPr>
          <w:rFonts w:hint="eastAsia" w:ascii="宋体" w:hAnsi="宋体" w:eastAsia="宋体" w:cs="宋体"/>
          <w:color w:val="auto"/>
          <w:szCs w:val="21"/>
          <w:highlight w:val="none"/>
        </w:rPr>
        <w:t>1.1本项目的招标按照《中华人民共和国政府采购法》、《政府采购货物和服务招标投标管理办法》及政府采购的有关规定进行。</w:t>
      </w:r>
    </w:p>
    <w:p w14:paraId="74311B65">
      <w:pPr>
        <w:shd w:val="clear" w:color="auto" w:fill="auto"/>
        <w:spacing w:line="440" w:lineRule="exact"/>
        <w:ind w:firstLine="542" w:firstLineChars="255"/>
        <w:rPr>
          <w:rFonts w:hint="eastAsia" w:ascii="宋体" w:hAnsi="宋体" w:eastAsia="宋体" w:cs="宋体"/>
          <w:color w:val="auto"/>
          <w:szCs w:val="21"/>
          <w:highlight w:val="none"/>
        </w:rPr>
      </w:pPr>
      <w:r>
        <w:rPr>
          <w:rFonts w:hint="eastAsia" w:ascii="宋体" w:hAnsi="宋体" w:eastAsia="宋体" w:cs="宋体"/>
          <w:color w:val="auto"/>
          <w:szCs w:val="21"/>
          <w:highlight w:val="none"/>
        </w:rPr>
        <w:t>1.2评标必须遵循邀请、公平、公正、诚实信用的原则。</w:t>
      </w:r>
    </w:p>
    <w:p w14:paraId="6AFF99CC">
      <w:pPr>
        <w:shd w:val="clear" w:color="auto" w:fill="auto"/>
        <w:spacing w:line="440" w:lineRule="exact"/>
        <w:ind w:firstLine="542" w:firstLineChars="255"/>
        <w:rPr>
          <w:rFonts w:hint="eastAsia" w:ascii="宋体" w:hAnsi="宋体" w:eastAsia="宋体" w:cs="宋体"/>
          <w:color w:val="auto"/>
          <w:szCs w:val="21"/>
          <w:highlight w:val="none"/>
        </w:rPr>
      </w:pPr>
      <w:r>
        <w:rPr>
          <w:rFonts w:hint="eastAsia" w:ascii="宋体" w:hAnsi="宋体" w:eastAsia="宋体" w:cs="宋体"/>
          <w:color w:val="auto"/>
          <w:szCs w:val="21"/>
          <w:highlight w:val="none"/>
        </w:rPr>
        <w:t>1.3招标代理机构组织招标、开标、评标工作，全过程接受政府采购有关部门的监督、管理和指导。</w:t>
      </w:r>
    </w:p>
    <w:p w14:paraId="77B5BFE6">
      <w:pPr>
        <w:shd w:val="clear" w:color="auto" w:fill="auto"/>
        <w:spacing w:line="440" w:lineRule="exact"/>
        <w:ind w:firstLine="542" w:firstLineChars="255"/>
        <w:rPr>
          <w:rFonts w:hint="eastAsia" w:ascii="宋体" w:hAnsi="宋体" w:eastAsia="宋体" w:cs="宋体"/>
          <w:color w:val="auto"/>
          <w:szCs w:val="21"/>
          <w:highlight w:val="none"/>
        </w:rPr>
      </w:pPr>
      <w:r>
        <w:rPr>
          <w:rFonts w:hint="eastAsia" w:ascii="宋体" w:hAnsi="宋体" w:eastAsia="宋体" w:cs="宋体"/>
          <w:color w:val="auto"/>
          <w:szCs w:val="21"/>
          <w:highlight w:val="none"/>
        </w:rPr>
        <w:t>1.4评标按照招标文件规定的内容进行，采取符合招标文件要求的最低评标价法；</w:t>
      </w:r>
    </w:p>
    <w:p w14:paraId="277C33EB">
      <w:pPr>
        <w:shd w:val="clear" w:color="auto" w:fill="auto"/>
        <w:spacing w:line="440" w:lineRule="exact"/>
        <w:ind w:firstLine="542" w:firstLineChars="255"/>
        <w:rPr>
          <w:rFonts w:hint="eastAsia" w:ascii="宋体" w:hAnsi="宋体" w:eastAsia="宋体" w:cs="宋体"/>
          <w:color w:val="auto"/>
          <w:szCs w:val="21"/>
          <w:highlight w:val="none"/>
        </w:rPr>
      </w:pPr>
      <w:r>
        <w:rPr>
          <w:rFonts w:hint="eastAsia" w:ascii="宋体" w:hAnsi="宋体" w:eastAsia="宋体" w:cs="宋体"/>
          <w:color w:val="auto"/>
          <w:szCs w:val="21"/>
          <w:highlight w:val="none"/>
        </w:rPr>
        <w:t>1.5本办法的评标对象是指投标人按照招标文件要求提供的有效投标文件，包括投标人应评标委员会要求对原投标文件作出的正式书面澄清文件。</w:t>
      </w:r>
    </w:p>
    <w:p w14:paraId="226C0644">
      <w:pPr>
        <w:shd w:val="clear" w:color="auto" w:fill="auto"/>
        <w:tabs>
          <w:tab w:val="left" w:pos="567"/>
          <w:tab w:val="left" w:pos="1145"/>
        </w:tabs>
        <w:spacing w:line="440" w:lineRule="exact"/>
        <w:ind w:firstLine="542" w:firstLineChars="255"/>
        <w:rPr>
          <w:rFonts w:hint="eastAsia" w:ascii="宋体" w:hAnsi="宋体" w:eastAsia="宋体" w:cs="宋体"/>
          <w:color w:val="auto"/>
          <w:szCs w:val="21"/>
          <w:highlight w:val="none"/>
        </w:rPr>
      </w:pPr>
      <w:r>
        <w:rPr>
          <w:rFonts w:hint="eastAsia" w:ascii="宋体" w:hAnsi="宋体" w:eastAsia="宋体" w:cs="宋体"/>
          <w:color w:val="auto"/>
          <w:szCs w:val="21"/>
          <w:highlight w:val="none"/>
        </w:rPr>
        <w:t>2、评标组织机构的组成</w:t>
      </w:r>
    </w:p>
    <w:p w14:paraId="4514682B">
      <w:pPr>
        <w:widowControl/>
        <w:shd w:val="clear" w:color="auto" w:fill="auto"/>
        <w:spacing w:line="440" w:lineRule="exact"/>
        <w:ind w:firstLine="480"/>
        <w:rPr>
          <w:rFonts w:hint="eastAsia" w:ascii="宋体" w:hAnsi="宋体" w:eastAsia="宋体" w:cs="宋体"/>
          <w:b/>
          <w:bCs/>
          <w:color w:val="auto"/>
          <w:kern w:val="0"/>
          <w:szCs w:val="21"/>
          <w:highlight w:val="none"/>
        </w:rPr>
      </w:pPr>
      <w:r>
        <w:rPr>
          <w:rFonts w:hint="eastAsia" w:ascii="宋体" w:hAnsi="宋体" w:eastAsia="宋体" w:cs="宋体"/>
          <w:b/>
          <w:bCs/>
          <w:color w:val="auto"/>
          <w:szCs w:val="21"/>
          <w:highlight w:val="none"/>
        </w:rPr>
        <w:t>2.1</w:t>
      </w:r>
      <w:r>
        <w:rPr>
          <w:rFonts w:hint="eastAsia" w:ascii="宋体" w:hAnsi="宋体" w:eastAsia="宋体" w:cs="宋体"/>
          <w:color w:val="auto"/>
          <w:spacing w:val="-2"/>
          <w:sz w:val="24"/>
          <w:szCs w:val="24"/>
          <w:highlight w:val="none"/>
        </w:rPr>
        <w:t xml:space="preserve"> </w:t>
      </w:r>
      <w:r>
        <w:rPr>
          <w:rFonts w:hint="eastAsia" w:ascii="宋体" w:hAnsi="宋体" w:eastAsia="宋体" w:cs="宋体"/>
          <w:b/>
          <w:bCs/>
          <w:color w:val="auto"/>
          <w:kern w:val="0"/>
          <w:szCs w:val="21"/>
          <w:highlight w:val="none"/>
          <w:lang w:bidi="ar-SA"/>
        </w:rPr>
        <w:t>评标委员会由采购人代表和有关技术、经济等方面的专家组成，成员人数应当为</w:t>
      </w:r>
      <w:r>
        <w:rPr>
          <w:rFonts w:hint="eastAsia" w:ascii="宋体" w:hAnsi="宋体" w:cs="宋体"/>
          <w:b/>
          <w:bCs/>
          <w:color w:val="auto"/>
          <w:kern w:val="0"/>
          <w:szCs w:val="21"/>
          <w:highlight w:val="none"/>
          <w:lang w:val="en-US" w:eastAsia="zh-CN" w:bidi="ar-SA"/>
        </w:rPr>
        <w:t>5</w:t>
      </w:r>
      <w:r>
        <w:rPr>
          <w:rFonts w:hint="eastAsia" w:ascii="宋体" w:hAnsi="宋体" w:eastAsia="宋体" w:cs="宋体"/>
          <w:b/>
          <w:bCs/>
          <w:color w:val="auto"/>
          <w:kern w:val="0"/>
          <w:szCs w:val="21"/>
          <w:highlight w:val="none"/>
          <w:lang w:bidi="ar-SA"/>
        </w:rPr>
        <w:t>人。</w:t>
      </w:r>
      <w:r>
        <w:rPr>
          <w:rFonts w:hint="eastAsia" w:ascii="宋体" w:hAnsi="宋体" w:eastAsia="宋体" w:cs="宋体"/>
          <w:color w:val="auto"/>
          <w:kern w:val="0"/>
          <w:szCs w:val="21"/>
          <w:highlight w:val="none"/>
          <w:lang w:bidi="ar-SA"/>
        </w:rPr>
        <w:t>其中，技术、经济等方面的专家不得少于成员总数的三分之二。采购数额在1000万元以上、技术复杂的项目，评标委员会中技术、经济方面的专家人数应当为七人以上单数。采购人应当从同级或上一级财政部门设立的政府采购评审专家库中，通过随机方式抽取评标专家。采购人对技术复杂、专业性极强的采购项目，通过随机方式难以确定合适评标专家的，经设区的市、自治州以上人民政府财政部门同意，可以采取选择性方式确定评标专家。</w:t>
      </w:r>
    </w:p>
    <w:p w14:paraId="2B4F2940">
      <w:pPr>
        <w:shd w:val="clear" w:color="auto" w:fill="auto"/>
        <w:tabs>
          <w:tab w:val="left" w:pos="567"/>
          <w:tab w:val="left" w:pos="1145"/>
        </w:tabs>
        <w:spacing w:line="440" w:lineRule="exact"/>
        <w:ind w:firstLine="542" w:firstLineChars="255"/>
        <w:rPr>
          <w:rFonts w:hint="eastAsia" w:ascii="宋体" w:hAnsi="宋体" w:eastAsia="宋体" w:cs="宋体"/>
          <w:color w:val="auto"/>
          <w:szCs w:val="21"/>
          <w:highlight w:val="none"/>
        </w:rPr>
      </w:pPr>
      <w:r>
        <w:rPr>
          <w:rFonts w:hint="eastAsia" w:ascii="宋体" w:hAnsi="宋体" w:eastAsia="宋体" w:cs="宋体"/>
          <w:color w:val="auto"/>
          <w:szCs w:val="21"/>
          <w:highlight w:val="none"/>
        </w:rPr>
        <w:t>2.2评标工作组由招标人及有关专家组成，由评标委员会确认，并接受其领导。</w:t>
      </w:r>
    </w:p>
    <w:p w14:paraId="52E302BE">
      <w:pPr>
        <w:shd w:val="clear" w:color="auto" w:fill="auto"/>
        <w:tabs>
          <w:tab w:val="left" w:pos="567"/>
          <w:tab w:val="left" w:pos="1145"/>
        </w:tabs>
        <w:spacing w:line="440" w:lineRule="exact"/>
        <w:ind w:firstLine="542" w:firstLineChars="255"/>
        <w:rPr>
          <w:rFonts w:hint="eastAsia" w:ascii="宋体" w:hAnsi="宋体" w:eastAsia="宋体" w:cs="宋体"/>
          <w:color w:val="auto"/>
          <w:szCs w:val="21"/>
          <w:highlight w:val="none"/>
        </w:rPr>
      </w:pPr>
      <w:r>
        <w:rPr>
          <w:rFonts w:hint="eastAsia" w:ascii="宋体" w:hAnsi="宋体" w:eastAsia="宋体" w:cs="宋体"/>
          <w:color w:val="auto"/>
          <w:szCs w:val="21"/>
          <w:highlight w:val="none"/>
        </w:rPr>
        <w:t>2.3评标委员会应相对独立工作，负责评标、撰写技术、商务评标报告。采购代理机构负责评标过程中资料的保管、发放、回收，整理、汇总评标资料。</w:t>
      </w:r>
    </w:p>
    <w:p w14:paraId="3337D402">
      <w:pPr>
        <w:shd w:val="clear" w:color="auto" w:fill="auto"/>
        <w:tabs>
          <w:tab w:val="left" w:pos="567"/>
          <w:tab w:val="left" w:pos="600"/>
        </w:tabs>
        <w:spacing w:line="440" w:lineRule="exact"/>
        <w:ind w:firstLine="542" w:firstLineChars="255"/>
        <w:rPr>
          <w:rFonts w:hint="eastAsia" w:ascii="宋体" w:hAnsi="宋体" w:eastAsia="宋体" w:cs="宋体"/>
          <w:color w:val="auto"/>
          <w:szCs w:val="21"/>
          <w:highlight w:val="none"/>
        </w:rPr>
      </w:pPr>
      <w:r>
        <w:rPr>
          <w:rFonts w:hint="eastAsia" w:ascii="宋体" w:hAnsi="宋体" w:eastAsia="宋体" w:cs="宋体"/>
          <w:color w:val="auto"/>
          <w:szCs w:val="21"/>
          <w:highlight w:val="none"/>
        </w:rPr>
        <w:t>3、评标委员会职责</w:t>
      </w:r>
    </w:p>
    <w:p w14:paraId="007D4274">
      <w:pPr>
        <w:pStyle w:val="53"/>
        <w:shd w:val="clear" w:color="auto" w:fill="auto"/>
        <w:spacing w:before="0" w:beforeAutospacing="0" w:after="0" w:afterAutospacing="0" w:line="440" w:lineRule="exact"/>
        <w:ind w:firstLine="542" w:firstLineChars="25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3.1审查投标文件是否符合招标文件要求，并作出评价；</w:t>
      </w:r>
    </w:p>
    <w:p w14:paraId="76358B66">
      <w:pPr>
        <w:pStyle w:val="53"/>
        <w:shd w:val="clear" w:color="auto" w:fill="auto"/>
        <w:spacing w:before="0" w:beforeAutospacing="0" w:after="0" w:afterAutospacing="0" w:line="440" w:lineRule="exact"/>
        <w:ind w:firstLine="542" w:firstLineChars="25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3.2要求投标人对投标文件有关事项作出解释或者澄清；</w:t>
      </w:r>
    </w:p>
    <w:p w14:paraId="6C1E70F5">
      <w:pPr>
        <w:pStyle w:val="53"/>
        <w:shd w:val="clear" w:color="auto" w:fill="auto"/>
        <w:spacing w:before="0" w:beforeAutospacing="0" w:after="0" w:afterAutospacing="0" w:line="440" w:lineRule="exact"/>
        <w:ind w:firstLine="542" w:firstLineChars="25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3.3推荐中标候选人名单；</w:t>
      </w:r>
    </w:p>
    <w:p w14:paraId="775BD5FF">
      <w:pPr>
        <w:pStyle w:val="53"/>
        <w:shd w:val="clear" w:color="auto" w:fill="auto"/>
        <w:spacing w:before="0" w:beforeAutospacing="0" w:after="0" w:afterAutospacing="0" w:line="440" w:lineRule="exact"/>
        <w:ind w:firstLine="542" w:firstLineChars="25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3.4向招标人、招标代理机构或者有关部门报告非法干预评标工作的行为。</w:t>
      </w:r>
    </w:p>
    <w:p w14:paraId="2546A71E">
      <w:pPr>
        <w:shd w:val="clear" w:color="auto" w:fill="auto"/>
        <w:tabs>
          <w:tab w:val="left" w:pos="567"/>
          <w:tab w:val="left" w:pos="600"/>
        </w:tabs>
        <w:spacing w:line="440" w:lineRule="exact"/>
        <w:ind w:firstLine="542" w:firstLineChars="255"/>
        <w:rPr>
          <w:rFonts w:hint="eastAsia" w:ascii="宋体" w:hAnsi="宋体" w:eastAsia="宋体" w:cs="宋体"/>
          <w:color w:val="auto"/>
          <w:szCs w:val="21"/>
          <w:highlight w:val="none"/>
        </w:rPr>
      </w:pPr>
      <w:r>
        <w:rPr>
          <w:rFonts w:hint="eastAsia" w:ascii="宋体" w:hAnsi="宋体" w:eastAsia="宋体" w:cs="宋体"/>
          <w:color w:val="auto"/>
          <w:szCs w:val="21"/>
          <w:highlight w:val="none"/>
        </w:rPr>
        <w:t>4、评标委员会义务</w:t>
      </w:r>
    </w:p>
    <w:p w14:paraId="3D5E5761">
      <w:pPr>
        <w:shd w:val="clear" w:color="auto" w:fill="auto"/>
        <w:tabs>
          <w:tab w:val="left" w:pos="567"/>
          <w:tab w:val="left" w:pos="600"/>
        </w:tabs>
        <w:spacing w:line="440" w:lineRule="exact"/>
        <w:ind w:firstLine="542" w:firstLineChars="255"/>
        <w:rPr>
          <w:rFonts w:hint="eastAsia" w:ascii="宋体" w:hAnsi="宋体" w:eastAsia="宋体" w:cs="宋体"/>
          <w:color w:val="auto"/>
          <w:szCs w:val="21"/>
          <w:highlight w:val="none"/>
        </w:rPr>
      </w:pPr>
      <w:r>
        <w:rPr>
          <w:rFonts w:hint="eastAsia" w:ascii="宋体" w:hAnsi="宋体" w:eastAsia="宋体" w:cs="宋体"/>
          <w:color w:val="auto"/>
          <w:szCs w:val="21"/>
          <w:highlight w:val="none"/>
        </w:rPr>
        <w:t>4.1遵纪守法，客观、公正、廉洁地履行职责；</w:t>
      </w:r>
    </w:p>
    <w:p w14:paraId="658DDFD8">
      <w:pPr>
        <w:shd w:val="clear" w:color="auto" w:fill="auto"/>
        <w:tabs>
          <w:tab w:val="left" w:pos="567"/>
          <w:tab w:val="left" w:pos="600"/>
        </w:tabs>
        <w:spacing w:line="440" w:lineRule="exact"/>
        <w:ind w:firstLine="542" w:firstLineChars="255"/>
        <w:rPr>
          <w:rFonts w:hint="eastAsia" w:ascii="宋体" w:hAnsi="宋体" w:eastAsia="宋体" w:cs="宋体"/>
          <w:color w:val="auto"/>
          <w:szCs w:val="21"/>
          <w:highlight w:val="none"/>
        </w:rPr>
      </w:pPr>
      <w:r>
        <w:rPr>
          <w:rFonts w:hint="eastAsia" w:ascii="宋体" w:hAnsi="宋体" w:eastAsia="宋体" w:cs="宋体"/>
          <w:color w:val="auto"/>
          <w:szCs w:val="21"/>
          <w:highlight w:val="none"/>
        </w:rPr>
        <w:t>4.2按照招标文件规定的评标方法和评标标准进行评标，对评审意见承担个人责任；</w:t>
      </w:r>
    </w:p>
    <w:p w14:paraId="3B62F2BA">
      <w:pPr>
        <w:shd w:val="clear" w:color="auto" w:fill="auto"/>
        <w:tabs>
          <w:tab w:val="left" w:pos="567"/>
          <w:tab w:val="left" w:pos="600"/>
        </w:tabs>
        <w:spacing w:line="440" w:lineRule="exact"/>
        <w:ind w:firstLine="542" w:firstLineChars="255"/>
        <w:rPr>
          <w:rFonts w:hint="eastAsia" w:ascii="宋体" w:hAnsi="宋体" w:eastAsia="宋体" w:cs="宋体"/>
          <w:color w:val="auto"/>
          <w:szCs w:val="21"/>
          <w:highlight w:val="none"/>
        </w:rPr>
      </w:pPr>
      <w:r>
        <w:rPr>
          <w:rFonts w:hint="eastAsia" w:ascii="宋体" w:hAnsi="宋体" w:eastAsia="宋体" w:cs="宋体"/>
          <w:color w:val="auto"/>
          <w:szCs w:val="21"/>
          <w:highlight w:val="none"/>
        </w:rPr>
        <w:t>4.3对评标过程和结果，以及投标人的商业秘密保密；</w:t>
      </w:r>
    </w:p>
    <w:p w14:paraId="62BFB8F2">
      <w:pPr>
        <w:shd w:val="clear" w:color="auto" w:fill="auto"/>
        <w:tabs>
          <w:tab w:val="left" w:pos="567"/>
          <w:tab w:val="left" w:pos="600"/>
        </w:tabs>
        <w:spacing w:line="440" w:lineRule="exact"/>
        <w:ind w:firstLine="542" w:firstLineChars="255"/>
        <w:rPr>
          <w:rFonts w:hint="eastAsia" w:ascii="宋体" w:hAnsi="宋体" w:eastAsia="宋体" w:cs="宋体"/>
          <w:color w:val="auto"/>
          <w:szCs w:val="21"/>
          <w:highlight w:val="none"/>
        </w:rPr>
      </w:pPr>
      <w:r>
        <w:rPr>
          <w:rFonts w:hint="eastAsia" w:ascii="宋体" w:hAnsi="宋体" w:eastAsia="宋体" w:cs="宋体"/>
          <w:color w:val="auto"/>
          <w:szCs w:val="21"/>
          <w:highlight w:val="none"/>
        </w:rPr>
        <w:t>4.4参与评标报告的起草；</w:t>
      </w:r>
    </w:p>
    <w:p w14:paraId="703D1572">
      <w:pPr>
        <w:shd w:val="clear" w:color="auto" w:fill="auto"/>
        <w:tabs>
          <w:tab w:val="left" w:pos="567"/>
          <w:tab w:val="left" w:pos="600"/>
        </w:tabs>
        <w:spacing w:line="440" w:lineRule="exact"/>
        <w:ind w:firstLine="542" w:firstLineChars="255"/>
        <w:rPr>
          <w:rFonts w:hint="eastAsia" w:ascii="宋体" w:hAnsi="宋体" w:eastAsia="宋体" w:cs="宋体"/>
          <w:color w:val="auto"/>
          <w:szCs w:val="21"/>
          <w:highlight w:val="none"/>
        </w:rPr>
      </w:pPr>
      <w:r>
        <w:rPr>
          <w:rFonts w:hint="eastAsia" w:ascii="宋体" w:hAnsi="宋体" w:eastAsia="宋体" w:cs="宋体"/>
          <w:color w:val="auto"/>
          <w:szCs w:val="21"/>
          <w:highlight w:val="none"/>
        </w:rPr>
        <w:t>4.5配合有关部门的投诉处理工作；</w:t>
      </w:r>
    </w:p>
    <w:p w14:paraId="3E0D0515">
      <w:pPr>
        <w:shd w:val="clear" w:color="auto" w:fill="auto"/>
        <w:tabs>
          <w:tab w:val="left" w:pos="567"/>
          <w:tab w:val="left" w:pos="600"/>
        </w:tabs>
        <w:spacing w:line="440" w:lineRule="exact"/>
        <w:ind w:firstLine="542" w:firstLineChars="255"/>
        <w:rPr>
          <w:rFonts w:hint="eastAsia" w:ascii="宋体" w:hAnsi="宋体" w:eastAsia="宋体" w:cs="宋体"/>
          <w:color w:val="auto"/>
          <w:szCs w:val="21"/>
          <w:highlight w:val="none"/>
        </w:rPr>
      </w:pPr>
      <w:r>
        <w:rPr>
          <w:rFonts w:hint="eastAsia" w:ascii="宋体" w:hAnsi="宋体" w:eastAsia="宋体" w:cs="宋体"/>
          <w:color w:val="auto"/>
          <w:szCs w:val="21"/>
          <w:highlight w:val="none"/>
        </w:rPr>
        <w:t>4.6配合招标人、招标代理机构答复投标供应商提出的质疑。</w:t>
      </w:r>
    </w:p>
    <w:p w14:paraId="7934C0AC">
      <w:pPr>
        <w:shd w:val="clear" w:color="auto" w:fill="auto"/>
        <w:tabs>
          <w:tab w:val="left" w:pos="1547"/>
        </w:tabs>
        <w:spacing w:line="440" w:lineRule="exact"/>
        <w:ind w:firstLine="542" w:firstLineChars="255"/>
        <w:rPr>
          <w:rFonts w:hint="eastAsia" w:ascii="宋体" w:hAnsi="宋体" w:eastAsia="宋体" w:cs="宋体"/>
          <w:color w:val="auto"/>
          <w:szCs w:val="21"/>
          <w:highlight w:val="none"/>
          <w:lang w:bidi="ar-SA"/>
        </w:rPr>
      </w:pPr>
      <w:r>
        <w:rPr>
          <w:rFonts w:hint="eastAsia" w:ascii="宋体" w:hAnsi="宋体" w:eastAsia="宋体" w:cs="宋体"/>
          <w:color w:val="auto"/>
          <w:szCs w:val="21"/>
          <w:highlight w:val="none"/>
          <w:lang w:bidi="ar-SA"/>
        </w:rPr>
        <w:t>5、 评标程序</w:t>
      </w:r>
    </w:p>
    <w:p w14:paraId="2A8B7AB4">
      <w:pPr>
        <w:pStyle w:val="23"/>
        <w:shd w:val="clear" w:color="auto" w:fill="auto"/>
        <w:tabs>
          <w:tab w:val="left" w:pos="720"/>
          <w:tab w:val="clear" w:pos="0"/>
        </w:tabs>
        <w:spacing w:line="440" w:lineRule="exact"/>
        <w:ind w:firstLine="542" w:firstLineChars="255"/>
        <w:rPr>
          <w:rFonts w:hint="eastAsia" w:ascii="宋体" w:hAnsi="宋体" w:eastAsia="宋体" w:cs="宋体"/>
          <w:bCs/>
          <w:color w:val="auto"/>
          <w:szCs w:val="21"/>
          <w:highlight w:val="none"/>
          <w:lang w:bidi="ar-SA"/>
        </w:rPr>
      </w:pPr>
      <w:r>
        <w:rPr>
          <w:rFonts w:hint="eastAsia" w:ascii="宋体" w:hAnsi="宋体" w:eastAsia="宋体" w:cs="宋体"/>
          <w:bCs/>
          <w:color w:val="auto"/>
          <w:szCs w:val="21"/>
          <w:highlight w:val="none"/>
          <w:lang w:bidi="ar-SA"/>
        </w:rPr>
        <w:t>5.1本次评标首先由评标委员会对投标人的投标文件进行初审，对未能通过初审的投标文件作无效标处理；</w:t>
      </w:r>
    </w:p>
    <w:p w14:paraId="3FB9742D">
      <w:pPr>
        <w:shd w:val="clear" w:color="auto" w:fill="auto"/>
        <w:tabs>
          <w:tab w:val="left" w:pos="720"/>
        </w:tabs>
        <w:spacing w:line="440" w:lineRule="exact"/>
        <w:ind w:firstLine="542" w:firstLineChars="255"/>
        <w:rPr>
          <w:rFonts w:hint="eastAsia" w:ascii="宋体" w:hAnsi="宋体" w:eastAsia="宋体" w:cs="宋体"/>
          <w:color w:val="auto"/>
          <w:szCs w:val="21"/>
          <w:highlight w:val="none"/>
          <w:lang w:bidi="ar-SA"/>
        </w:rPr>
      </w:pPr>
      <w:r>
        <w:rPr>
          <w:rFonts w:hint="eastAsia" w:ascii="宋体" w:hAnsi="宋体" w:eastAsia="宋体" w:cs="宋体"/>
          <w:color w:val="auto"/>
          <w:szCs w:val="21"/>
          <w:highlight w:val="none"/>
          <w:lang w:bidi="ar-SA"/>
        </w:rPr>
        <w:t>5.2对通过初审的投标人的投标文件进行详细的比较和评价。如需要，进行必要的澄清工作；</w:t>
      </w:r>
    </w:p>
    <w:p w14:paraId="27097D06">
      <w:pPr>
        <w:pStyle w:val="23"/>
        <w:tabs>
          <w:tab w:val="left" w:pos="720"/>
          <w:tab w:val="clear" w:pos="0"/>
        </w:tabs>
        <w:spacing w:line="440" w:lineRule="exact"/>
        <w:ind w:firstLine="542" w:firstLineChars="255"/>
        <w:rPr>
          <w:rFonts w:hint="eastAsia" w:ascii="宋体" w:hAnsi="宋体" w:eastAsia="宋体" w:cs="宋体"/>
          <w:bCs/>
          <w:color w:val="auto"/>
          <w:szCs w:val="21"/>
        </w:rPr>
      </w:pPr>
      <w:r>
        <w:rPr>
          <w:rFonts w:hint="eastAsia" w:ascii="宋体" w:hAnsi="宋体" w:eastAsia="宋体" w:cs="宋体"/>
          <w:bCs/>
          <w:color w:val="auto"/>
          <w:szCs w:val="21"/>
        </w:rPr>
        <w:t>5.3评标报告与推荐</w:t>
      </w:r>
      <w:r>
        <w:rPr>
          <w:rFonts w:hint="eastAsia" w:ascii="宋体" w:hAnsi="宋体" w:cs="宋体"/>
          <w:bCs/>
          <w:color w:val="auto"/>
          <w:szCs w:val="21"/>
          <w:lang w:val="en-US" w:eastAsia="zh-CN"/>
        </w:rPr>
        <w:t>中标</w:t>
      </w:r>
      <w:r>
        <w:rPr>
          <w:rFonts w:hint="eastAsia" w:ascii="宋体" w:hAnsi="宋体" w:eastAsia="宋体" w:cs="宋体"/>
          <w:bCs/>
          <w:color w:val="auto"/>
          <w:szCs w:val="21"/>
        </w:rPr>
        <w:t>候选人</w:t>
      </w:r>
    </w:p>
    <w:p w14:paraId="1729CAD7">
      <w:pPr>
        <w:pStyle w:val="23"/>
        <w:tabs>
          <w:tab w:val="left" w:pos="720"/>
          <w:tab w:val="clear" w:pos="0"/>
        </w:tabs>
        <w:spacing w:line="440" w:lineRule="exact"/>
        <w:ind w:firstLine="542" w:firstLineChars="255"/>
        <w:rPr>
          <w:rFonts w:hint="eastAsia" w:ascii="宋体" w:hAnsi="宋体" w:eastAsia="宋体" w:cs="宋体"/>
          <w:bCs/>
          <w:color w:val="auto"/>
          <w:szCs w:val="21"/>
        </w:rPr>
      </w:pPr>
      <w:r>
        <w:rPr>
          <w:rFonts w:hint="eastAsia" w:ascii="宋体" w:hAnsi="宋体" w:eastAsia="宋体" w:cs="宋体"/>
          <w:bCs/>
          <w:color w:val="auto"/>
          <w:szCs w:val="21"/>
        </w:rPr>
        <w:t>5.</w:t>
      </w:r>
      <w:r>
        <w:rPr>
          <w:rFonts w:hint="eastAsia" w:ascii="宋体" w:hAnsi="宋体" w:eastAsia="宋体" w:cs="宋体"/>
          <w:bCs/>
          <w:color w:val="auto"/>
          <w:szCs w:val="21"/>
          <w:lang w:val="en-US" w:eastAsia="zh-CN"/>
        </w:rPr>
        <w:t>4</w:t>
      </w:r>
      <w:r>
        <w:rPr>
          <w:rFonts w:hint="eastAsia" w:ascii="宋体" w:hAnsi="宋体" w:eastAsia="宋体" w:cs="宋体"/>
          <w:bCs/>
          <w:color w:val="auto"/>
          <w:szCs w:val="21"/>
          <w:lang w:eastAsia="zh-CN"/>
        </w:rPr>
        <w:t>招标</w:t>
      </w:r>
      <w:r>
        <w:rPr>
          <w:rFonts w:hint="eastAsia" w:ascii="宋体" w:hAnsi="宋体" w:eastAsia="宋体" w:cs="宋体"/>
          <w:bCs/>
          <w:color w:val="auto"/>
          <w:szCs w:val="21"/>
        </w:rPr>
        <w:t>小组各成员应当独立对每个有效响应的文件进行评价、打分，然后汇总每个供应商每项评分因素的得分。</w:t>
      </w:r>
    </w:p>
    <w:p w14:paraId="0260E36C">
      <w:pPr>
        <w:pStyle w:val="23"/>
        <w:tabs>
          <w:tab w:val="left" w:pos="720"/>
          <w:tab w:val="clear" w:pos="0"/>
        </w:tabs>
        <w:spacing w:line="440" w:lineRule="exact"/>
        <w:ind w:firstLine="542" w:firstLineChars="255"/>
        <w:rPr>
          <w:rFonts w:hint="eastAsia" w:ascii="宋体" w:hAnsi="宋体" w:eastAsia="宋体" w:cs="宋体"/>
          <w:bCs/>
          <w:color w:val="auto"/>
          <w:szCs w:val="21"/>
        </w:rPr>
      </w:pPr>
      <w:r>
        <w:rPr>
          <w:rFonts w:hint="eastAsia" w:ascii="宋体" w:hAnsi="宋体" w:eastAsia="宋体" w:cs="宋体"/>
          <w:bCs/>
          <w:color w:val="0000FF"/>
          <w:szCs w:val="21"/>
        </w:rPr>
        <w:t>综合评分法</w:t>
      </w:r>
      <w:r>
        <w:rPr>
          <w:rFonts w:hint="eastAsia" w:ascii="宋体" w:hAnsi="宋体" w:cs="宋体"/>
          <w:bCs/>
          <w:color w:val="0000FF"/>
          <w:szCs w:val="21"/>
          <w:lang w:val="en-US" w:eastAsia="zh-CN"/>
        </w:rPr>
        <w:t>服务采购</w:t>
      </w:r>
      <w:r>
        <w:rPr>
          <w:rFonts w:hint="eastAsia" w:ascii="宋体" w:hAnsi="宋体" w:eastAsia="宋体" w:cs="宋体"/>
          <w:bCs/>
          <w:color w:val="0000FF"/>
          <w:szCs w:val="21"/>
        </w:rPr>
        <w:t>项目的价格分值占总分值的比重(即权值)为</w:t>
      </w:r>
      <w:r>
        <w:rPr>
          <w:rFonts w:hint="eastAsia" w:ascii="宋体" w:hAnsi="宋体" w:cs="宋体"/>
          <w:bCs/>
          <w:color w:val="0000FF"/>
          <w:szCs w:val="21"/>
          <w:lang w:val="en-US" w:eastAsia="zh-CN"/>
        </w:rPr>
        <w:t>15</w:t>
      </w:r>
      <w:r>
        <w:rPr>
          <w:rFonts w:hint="eastAsia" w:ascii="宋体" w:hAnsi="宋体" w:eastAsia="宋体" w:cs="宋体"/>
          <w:bCs/>
          <w:color w:val="0000FF"/>
          <w:szCs w:val="21"/>
        </w:rPr>
        <w:t>％，</w:t>
      </w:r>
      <w:r>
        <w:rPr>
          <w:rFonts w:hint="eastAsia" w:ascii="宋体" w:hAnsi="宋体" w:eastAsia="宋体" w:cs="宋体"/>
          <w:bCs/>
          <w:color w:val="auto"/>
          <w:szCs w:val="21"/>
        </w:rPr>
        <w:t>采购项目中含不同采购对象的，以占项目资金比例最高的采购对象确定其项目属性。其价格不列为评分因素，有特殊情况需要在上述规定范围外设定价格分权重的。</w:t>
      </w:r>
    </w:p>
    <w:p w14:paraId="028F2FE0">
      <w:pPr>
        <w:pStyle w:val="23"/>
        <w:tabs>
          <w:tab w:val="left" w:pos="720"/>
          <w:tab w:val="clear" w:pos="0"/>
        </w:tabs>
        <w:spacing w:line="440" w:lineRule="exact"/>
        <w:ind w:firstLine="542" w:firstLineChars="255"/>
        <w:rPr>
          <w:rFonts w:hint="eastAsia" w:ascii="宋体" w:hAnsi="宋体" w:eastAsia="宋体" w:cs="宋体"/>
          <w:bCs/>
          <w:color w:val="auto"/>
          <w:szCs w:val="21"/>
        </w:rPr>
      </w:pPr>
      <w:r>
        <w:rPr>
          <w:rFonts w:hint="eastAsia" w:ascii="宋体" w:hAnsi="宋体" w:eastAsia="宋体" w:cs="宋体"/>
          <w:bCs/>
          <w:color w:val="auto"/>
          <w:szCs w:val="21"/>
        </w:rPr>
        <w:t>综合评分法中的价格分统一采用低价优先法计算，即满足</w:t>
      </w:r>
      <w:r>
        <w:rPr>
          <w:rFonts w:hint="eastAsia" w:ascii="宋体" w:hAnsi="宋体" w:eastAsia="宋体" w:cs="宋体"/>
          <w:bCs/>
          <w:color w:val="auto"/>
          <w:szCs w:val="21"/>
          <w:lang w:eastAsia="zh-CN"/>
        </w:rPr>
        <w:t>招标文件</w:t>
      </w:r>
      <w:r>
        <w:rPr>
          <w:rFonts w:hint="eastAsia" w:ascii="宋体" w:hAnsi="宋体" w:eastAsia="宋体" w:cs="宋体"/>
          <w:bCs/>
          <w:color w:val="auto"/>
          <w:szCs w:val="21"/>
        </w:rPr>
        <w:t>要求且最后报价最低的供应商的价格为</w:t>
      </w:r>
      <w:r>
        <w:rPr>
          <w:rFonts w:hint="eastAsia" w:ascii="宋体" w:hAnsi="宋体" w:eastAsia="宋体" w:cs="宋体"/>
          <w:bCs/>
          <w:color w:val="auto"/>
          <w:szCs w:val="21"/>
          <w:lang w:eastAsia="zh-CN"/>
        </w:rPr>
        <w:t>招标</w:t>
      </w:r>
      <w:r>
        <w:rPr>
          <w:rFonts w:hint="eastAsia" w:ascii="宋体" w:hAnsi="宋体" w:eastAsia="宋体" w:cs="宋体"/>
          <w:bCs/>
          <w:color w:val="auto"/>
          <w:szCs w:val="21"/>
        </w:rPr>
        <w:t>基准价，其价格分为满分。其他供应商的价格分统一按照下列公式计算：</w:t>
      </w:r>
    </w:p>
    <w:p w14:paraId="1447B3E4">
      <w:pPr>
        <w:pStyle w:val="23"/>
        <w:tabs>
          <w:tab w:val="left" w:pos="720"/>
          <w:tab w:val="clear" w:pos="0"/>
        </w:tabs>
        <w:spacing w:line="440" w:lineRule="exact"/>
        <w:ind w:firstLine="542" w:firstLineChars="255"/>
        <w:rPr>
          <w:rFonts w:hint="eastAsia" w:ascii="宋体" w:hAnsi="宋体" w:eastAsia="宋体" w:cs="宋体"/>
          <w:bCs/>
          <w:color w:val="auto"/>
          <w:szCs w:val="21"/>
        </w:rPr>
      </w:pPr>
      <w:r>
        <w:rPr>
          <w:rFonts w:hint="eastAsia" w:ascii="宋体" w:hAnsi="宋体" w:eastAsia="宋体" w:cs="宋体"/>
          <w:bCs/>
          <w:color w:val="auto"/>
          <w:szCs w:val="21"/>
          <w:lang w:eastAsia="zh-CN"/>
        </w:rPr>
        <w:t>招标</w:t>
      </w:r>
      <w:r>
        <w:rPr>
          <w:rFonts w:hint="eastAsia" w:ascii="宋体" w:hAnsi="宋体" w:eastAsia="宋体" w:cs="宋体"/>
          <w:bCs/>
          <w:color w:val="auto"/>
          <w:szCs w:val="21"/>
        </w:rPr>
        <w:t>报价得分=（</w:t>
      </w:r>
      <w:r>
        <w:rPr>
          <w:rFonts w:hint="eastAsia" w:ascii="宋体" w:hAnsi="宋体" w:eastAsia="宋体" w:cs="宋体"/>
          <w:bCs/>
          <w:color w:val="auto"/>
          <w:szCs w:val="21"/>
          <w:lang w:eastAsia="zh-CN"/>
        </w:rPr>
        <w:t>招标</w:t>
      </w:r>
      <w:r>
        <w:rPr>
          <w:rFonts w:hint="eastAsia" w:ascii="宋体" w:hAnsi="宋体" w:eastAsia="宋体" w:cs="宋体"/>
          <w:bCs/>
          <w:color w:val="auto"/>
          <w:szCs w:val="21"/>
        </w:rPr>
        <w:t>基准价/最后</w:t>
      </w:r>
      <w:r>
        <w:rPr>
          <w:rFonts w:hint="eastAsia" w:ascii="宋体" w:hAnsi="宋体" w:eastAsia="宋体" w:cs="宋体"/>
          <w:bCs/>
          <w:color w:val="auto"/>
          <w:szCs w:val="21"/>
          <w:lang w:eastAsia="zh-CN"/>
        </w:rPr>
        <w:t>招标</w:t>
      </w:r>
      <w:r>
        <w:rPr>
          <w:rFonts w:hint="eastAsia" w:ascii="宋体" w:hAnsi="宋体" w:eastAsia="宋体" w:cs="宋体"/>
          <w:bCs/>
          <w:color w:val="auto"/>
          <w:szCs w:val="21"/>
        </w:rPr>
        <w:t>报价）×价格权值×100</w:t>
      </w:r>
    </w:p>
    <w:p w14:paraId="44398B24">
      <w:pPr>
        <w:pStyle w:val="23"/>
        <w:tabs>
          <w:tab w:val="left" w:pos="720"/>
          <w:tab w:val="clear" w:pos="0"/>
        </w:tabs>
        <w:spacing w:line="440" w:lineRule="exact"/>
        <w:ind w:firstLine="542" w:firstLineChars="255"/>
        <w:rPr>
          <w:rFonts w:hint="eastAsia" w:ascii="宋体" w:hAnsi="宋体" w:eastAsia="宋体" w:cs="宋体"/>
          <w:bCs/>
          <w:color w:val="auto"/>
          <w:szCs w:val="21"/>
        </w:rPr>
      </w:pPr>
      <w:r>
        <w:rPr>
          <w:rFonts w:hint="eastAsia" w:ascii="宋体" w:hAnsi="宋体" w:eastAsia="宋体" w:cs="宋体"/>
          <w:bCs/>
          <w:color w:val="auto"/>
          <w:szCs w:val="21"/>
        </w:rPr>
        <w:t>项目评审过程中，不得去掉最后报价中的最高报价和最低报价。</w:t>
      </w:r>
    </w:p>
    <w:p w14:paraId="3E13A5CC">
      <w:pPr>
        <w:pStyle w:val="23"/>
        <w:tabs>
          <w:tab w:val="left" w:pos="720"/>
          <w:tab w:val="clear" w:pos="0"/>
        </w:tabs>
        <w:spacing w:line="440" w:lineRule="exact"/>
        <w:ind w:firstLine="542" w:firstLineChars="255"/>
        <w:rPr>
          <w:rFonts w:hint="eastAsia" w:ascii="宋体" w:hAnsi="宋体" w:eastAsia="宋体" w:cs="宋体"/>
          <w:bCs/>
          <w:color w:val="auto"/>
          <w:szCs w:val="21"/>
        </w:rPr>
      </w:pPr>
      <w:r>
        <w:rPr>
          <w:rFonts w:hint="eastAsia" w:ascii="宋体" w:hAnsi="宋体" w:eastAsia="宋体" w:cs="宋体"/>
          <w:bCs/>
          <w:color w:val="auto"/>
          <w:szCs w:val="21"/>
          <w:lang w:eastAsia="zh-CN"/>
        </w:rPr>
        <w:t>招标</w:t>
      </w:r>
      <w:r>
        <w:rPr>
          <w:rFonts w:hint="eastAsia" w:ascii="宋体" w:hAnsi="宋体" w:eastAsia="宋体" w:cs="宋体"/>
          <w:bCs/>
          <w:color w:val="auto"/>
          <w:szCs w:val="21"/>
        </w:rPr>
        <w:t>小组应当根据综合评分情况，按照评审得分由高到低顺序推荐3名以上</w:t>
      </w:r>
      <w:r>
        <w:rPr>
          <w:rFonts w:hint="eastAsia" w:ascii="宋体" w:hAnsi="宋体" w:cs="宋体"/>
          <w:bCs/>
          <w:color w:val="auto"/>
          <w:szCs w:val="21"/>
          <w:lang w:val="en-US" w:eastAsia="zh-CN"/>
        </w:rPr>
        <w:t>中标</w:t>
      </w:r>
      <w:r>
        <w:rPr>
          <w:rFonts w:hint="eastAsia" w:ascii="宋体" w:hAnsi="宋体" w:eastAsia="宋体" w:cs="宋体"/>
          <w:bCs/>
          <w:color w:val="auto"/>
          <w:szCs w:val="21"/>
        </w:rPr>
        <w:t>候选供应商符合《政府采购竞争性</w:t>
      </w:r>
      <w:r>
        <w:rPr>
          <w:rFonts w:hint="eastAsia" w:ascii="宋体" w:hAnsi="宋体" w:eastAsia="宋体" w:cs="宋体"/>
          <w:bCs/>
          <w:color w:val="auto"/>
          <w:szCs w:val="21"/>
          <w:lang w:eastAsia="zh-CN"/>
        </w:rPr>
        <w:t>招标</w:t>
      </w:r>
      <w:r>
        <w:rPr>
          <w:rFonts w:hint="eastAsia" w:ascii="宋体" w:hAnsi="宋体" w:eastAsia="宋体" w:cs="宋体"/>
          <w:bCs/>
          <w:color w:val="auto"/>
          <w:szCs w:val="21"/>
        </w:rPr>
        <w:t>采购方式管理暂行办法》法第二十五条</w:t>
      </w:r>
      <w:r>
        <w:rPr>
          <w:rFonts w:hint="eastAsia" w:ascii="宋体" w:hAnsi="宋体" w:eastAsia="宋体" w:cs="宋体"/>
          <w:bCs/>
          <w:color w:val="auto"/>
          <w:szCs w:val="21"/>
          <w:lang w:eastAsia="zh-CN"/>
        </w:rPr>
        <w:t>招标</w:t>
      </w:r>
      <w:r>
        <w:rPr>
          <w:rFonts w:hint="eastAsia" w:ascii="宋体" w:hAnsi="宋体" w:eastAsia="宋体" w:cs="宋体"/>
          <w:bCs/>
          <w:color w:val="auto"/>
          <w:szCs w:val="21"/>
        </w:rPr>
        <w:t>小组应当根据综合评分情况，按照评审得分由高到低顺序推荐3名以上</w:t>
      </w:r>
      <w:r>
        <w:rPr>
          <w:rFonts w:hint="eastAsia" w:ascii="宋体" w:hAnsi="宋体" w:cs="宋体"/>
          <w:bCs/>
          <w:color w:val="auto"/>
          <w:szCs w:val="21"/>
          <w:lang w:val="en-US" w:eastAsia="zh-CN"/>
        </w:rPr>
        <w:t>中标</w:t>
      </w:r>
      <w:r>
        <w:rPr>
          <w:rFonts w:hint="eastAsia" w:ascii="宋体" w:hAnsi="宋体" w:eastAsia="宋体" w:cs="宋体"/>
          <w:bCs/>
          <w:color w:val="auto"/>
          <w:szCs w:val="21"/>
        </w:rPr>
        <w:t>候选供应商。符合本办法第二十一条第三款情形的，可以推荐2家</w:t>
      </w:r>
      <w:r>
        <w:rPr>
          <w:rFonts w:hint="eastAsia" w:ascii="宋体" w:hAnsi="宋体" w:cs="宋体"/>
          <w:bCs/>
          <w:color w:val="auto"/>
          <w:szCs w:val="21"/>
          <w:lang w:val="en-US" w:eastAsia="zh-CN"/>
        </w:rPr>
        <w:t>中标</w:t>
      </w:r>
      <w:r>
        <w:rPr>
          <w:rFonts w:hint="eastAsia" w:ascii="宋体" w:hAnsi="宋体" w:eastAsia="宋体" w:cs="宋体"/>
          <w:bCs/>
          <w:color w:val="auto"/>
          <w:szCs w:val="21"/>
        </w:rPr>
        <w:t>候选供应商。评审得分相同的，按照最后报价由低到高的顺序推荐。评审得分且最后报价相同的，按照技术指标优劣顺序推荐。</w:t>
      </w:r>
    </w:p>
    <w:p w14:paraId="6132C3B3">
      <w:pPr>
        <w:shd w:val="clear" w:color="auto" w:fill="auto"/>
        <w:jc w:val="center"/>
        <w:outlineLvl w:val="1"/>
        <w:rPr>
          <w:rFonts w:hint="eastAsia" w:ascii="宋体"/>
          <w:b/>
          <w:color w:val="auto"/>
          <w:sz w:val="28"/>
          <w:szCs w:val="28"/>
          <w:highlight w:val="none"/>
        </w:rPr>
      </w:pPr>
    </w:p>
    <w:p w14:paraId="7A159AD9">
      <w:pPr>
        <w:shd w:val="clear" w:color="auto" w:fill="auto"/>
        <w:jc w:val="center"/>
        <w:outlineLvl w:val="1"/>
        <w:rPr>
          <w:rFonts w:hint="eastAsia" w:ascii="宋体"/>
          <w:b/>
          <w:color w:val="auto"/>
          <w:sz w:val="28"/>
          <w:szCs w:val="28"/>
          <w:highlight w:val="none"/>
        </w:rPr>
      </w:pPr>
    </w:p>
    <w:p w14:paraId="584CFDAB">
      <w:pPr>
        <w:shd w:val="clear" w:color="auto" w:fill="auto"/>
        <w:jc w:val="center"/>
        <w:outlineLvl w:val="1"/>
        <w:rPr>
          <w:rFonts w:hint="eastAsia" w:ascii="宋体"/>
          <w:b/>
          <w:color w:val="auto"/>
          <w:sz w:val="28"/>
          <w:szCs w:val="28"/>
          <w:highlight w:val="none"/>
        </w:rPr>
      </w:pPr>
    </w:p>
    <w:p w14:paraId="78C55AA5">
      <w:pPr>
        <w:shd w:val="clear" w:color="auto" w:fill="auto"/>
        <w:jc w:val="both"/>
        <w:outlineLvl w:val="1"/>
        <w:rPr>
          <w:rFonts w:hint="eastAsia" w:ascii="宋体"/>
          <w:b/>
          <w:color w:val="auto"/>
          <w:sz w:val="28"/>
          <w:szCs w:val="28"/>
          <w:highlight w:val="none"/>
        </w:rPr>
      </w:pPr>
    </w:p>
    <w:p w14:paraId="2B4991C7">
      <w:pPr>
        <w:shd w:val="clear" w:color="auto" w:fill="auto"/>
        <w:jc w:val="both"/>
        <w:outlineLvl w:val="1"/>
        <w:rPr>
          <w:rFonts w:hint="eastAsia" w:ascii="宋体"/>
          <w:b/>
          <w:color w:val="auto"/>
          <w:sz w:val="28"/>
          <w:szCs w:val="28"/>
          <w:highlight w:val="none"/>
        </w:rPr>
      </w:pPr>
    </w:p>
    <w:p w14:paraId="33647C3B">
      <w:pPr>
        <w:shd w:val="clear" w:color="auto" w:fill="auto"/>
        <w:jc w:val="center"/>
        <w:outlineLvl w:val="1"/>
        <w:rPr>
          <w:rFonts w:hint="eastAsia" w:ascii="宋体"/>
          <w:b/>
          <w:color w:val="auto"/>
          <w:sz w:val="28"/>
          <w:szCs w:val="28"/>
          <w:highlight w:val="none"/>
        </w:rPr>
      </w:pPr>
      <w:r>
        <w:rPr>
          <w:rFonts w:hint="eastAsia" w:ascii="宋体"/>
          <w:b/>
          <w:color w:val="auto"/>
          <w:sz w:val="28"/>
          <w:szCs w:val="28"/>
          <w:highlight w:val="none"/>
        </w:rPr>
        <w:t>二  投标文件初审</w:t>
      </w:r>
      <w:bookmarkEnd w:id="49"/>
      <w:bookmarkEnd w:id="50"/>
    </w:p>
    <w:p w14:paraId="2065E4BC">
      <w:pPr>
        <w:shd w:val="clear" w:color="auto" w:fill="auto"/>
        <w:spacing w:line="400" w:lineRule="exact"/>
        <w:ind w:firstLine="312" w:firstLineChars="147"/>
        <w:rPr>
          <w:rFonts w:hint="eastAsia" w:ascii="宋体"/>
          <w:b/>
          <w:color w:val="auto"/>
          <w:szCs w:val="21"/>
          <w:highlight w:val="none"/>
        </w:rPr>
      </w:pPr>
      <w:r>
        <w:rPr>
          <w:rFonts w:hint="eastAsia" w:ascii="宋体"/>
          <w:b/>
          <w:color w:val="auto"/>
          <w:szCs w:val="21"/>
          <w:highlight w:val="none"/>
          <w:lang w:val="en-US" w:eastAsia="zh-CN"/>
        </w:rPr>
        <w:t>6</w:t>
      </w:r>
      <w:r>
        <w:rPr>
          <w:rFonts w:hint="eastAsia" w:ascii="宋体"/>
          <w:b/>
          <w:color w:val="auto"/>
          <w:szCs w:val="21"/>
          <w:highlight w:val="none"/>
        </w:rPr>
        <w:t>.资格性审查:</w:t>
      </w:r>
    </w:p>
    <w:p w14:paraId="5B541F3B">
      <w:pPr>
        <w:shd w:val="clear" w:color="auto" w:fill="auto"/>
        <w:spacing w:line="400" w:lineRule="exact"/>
        <w:ind w:firstLine="312" w:firstLineChars="147"/>
        <w:rPr>
          <w:rFonts w:hint="eastAsia"/>
          <w:color w:val="auto"/>
          <w:szCs w:val="21"/>
          <w:highlight w:val="none"/>
        </w:rPr>
      </w:pPr>
      <w:r>
        <w:rPr>
          <w:rFonts w:hint="eastAsia" w:ascii="宋体"/>
          <w:color w:val="auto"/>
          <w:szCs w:val="21"/>
          <w:highlight w:val="none"/>
          <w:lang w:val="en-US" w:eastAsia="zh-CN"/>
        </w:rPr>
        <w:t>6</w:t>
      </w:r>
      <w:r>
        <w:rPr>
          <w:rFonts w:hint="eastAsia" w:ascii="宋体"/>
          <w:color w:val="auto"/>
          <w:szCs w:val="21"/>
          <w:highlight w:val="none"/>
        </w:rPr>
        <w:t>.1</w:t>
      </w:r>
      <w:r>
        <w:rPr>
          <w:rFonts w:hint="eastAsia"/>
          <w:color w:val="auto"/>
          <w:szCs w:val="21"/>
          <w:highlight w:val="none"/>
        </w:rPr>
        <w:t>评审细则</w:t>
      </w:r>
    </w:p>
    <w:tbl>
      <w:tblPr>
        <w:tblStyle w:val="28"/>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06"/>
        <w:gridCol w:w="372"/>
        <w:gridCol w:w="5063"/>
        <w:gridCol w:w="1190"/>
        <w:gridCol w:w="1093"/>
      </w:tblGrid>
      <w:tr w14:paraId="7AA3B4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473" w:type="pct"/>
            <w:vMerge w:val="restart"/>
            <w:noWrap w:val="0"/>
            <w:vAlign w:val="center"/>
          </w:tcPr>
          <w:p w14:paraId="3BB2BD0E">
            <w:pPr>
              <w:shd w:val="clear" w:color="auto" w:fill="auto"/>
              <w:jc w:val="center"/>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项目</w:t>
            </w:r>
          </w:p>
        </w:tc>
        <w:tc>
          <w:tcPr>
            <w:tcW w:w="3187" w:type="pct"/>
            <w:gridSpan w:val="2"/>
            <w:vMerge w:val="restart"/>
            <w:noWrap w:val="0"/>
            <w:vAlign w:val="center"/>
          </w:tcPr>
          <w:p w14:paraId="587AD81B">
            <w:pPr>
              <w:shd w:val="clear" w:color="auto" w:fill="auto"/>
              <w:jc w:val="center"/>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评审内容</w:t>
            </w:r>
          </w:p>
        </w:tc>
        <w:tc>
          <w:tcPr>
            <w:tcW w:w="1339" w:type="pct"/>
            <w:gridSpan w:val="2"/>
            <w:noWrap w:val="0"/>
            <w:vAlign w:val="center"/>
          </w:tcPr>
          <w:p w14:paraId="1F91EA4D">
            <w:pPr>
              <w:shd w:val="clear" w:color="auto" w:fill="auto"/>
              <w:jc w:val="center"/>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评审意见</w:t>
            </w:r>
          </w:p>
        </w:tc>
      </w:tr>
      <w:tr w14:paraId="45F846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473" w:type="pct"/>
            <w:vMerge w:val="continue"/>
            <w:noWrap w:val="0"/>
            <w:vAlign w:val="center"/>
          </w:tcPr>
          <w:p w14:paraId="2DA49B37">
            <w:pPr>
              <w:shd w:val="clear" w:color="auto" w:fill="auto"/>
              <w:rPr>
                <w:rFonts w:hint="eastAsia" w:ascii="宋体" w:hAnsi="宋体" w:eastAsia="宋体" w:cs="宋体"/>
                <w:bCs/>
                <w:color w:val="auto"/>
                <w:kern w:val="2"/>
                <w:sz w:val="21"/>
                <w:szCs w:val="21"/>
                <w:lang w:val="en-US" w:eastAsia="zh-CN" w:bidi="ar-SA"/>
              </w:rPr>
            </w:pPr>
          </w:p>
        </w:tc>
        <w:tc>
          <w:tcPr>
            <w:tcW w:w="3187" w:type="pct"/>
            <w:gridSpan w:val="2"/>
            <w:vMerge w:val="continue"/>
            <w:noWrap w:val="0"/>
            <w:vAlign w:val="top"/>
          </w:tcPr>
          <w:p w14:paraId="6CA1181C">
            <w:pPr>
              <w:shd w:val="clear" w:color="auto" w:fill="auto"/>
              <w:rPr>
                <w:rFonts w:hint="eastAsia" w:ascii="宋体" w:hAnsi="宋体" w:eastAsia="宋体" w:cs="宋体"/>
                <w:bCs/>
                <w:color w:val="auto"/>
                <w:kern w:val="2"/>
                <w:sz w:val="21"/>
                <w:szCs w:val="21"/>
                <w:lang w:val="en-US" w:eastAsia="zh-CN" w:bidi="ar-SA"/>
              </w:rPr>
            </w:pPr>
          </w:p>
        </w:tc>
        <w:tc>
          <w:tcPr>
            <w:tcW w:w="698" w:type="pct"/>
            <w:noWrap w:val="0"/>
            <w:vAlign w:val="center"/>
          </w:tcPr>
          <w:p w14:paraId="0AD3EA1D">
            <w:pPr>
              <w:shd w:val="clear" w:color="auto" w:fill="auto"/>
              <w:jc w:val="center"/>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是否合格</w:t>
            </w:r>
          </w:p>
        </w:tc>
        <w:tc>
          <w:tcPr>
            <w:tcW w:w="641" w:type="pct"/>
            <w:noWrap w:val="0"/>
            <w:vAlign w:val="center"/>
          </w:tcPr>
          <w:p w14:paraId="7BFD1A58">
            <w:pPr>
              <w:shd w:val="clear" w:color="auto" w:fill="auto"/>
              <w:jc w:val="center"/>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是否合格</w:t>
            </w:r>
          </w:p>
        </w:tc>
      </w:tr>
      <w:tr w14:paraId="2EF7C0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6" w:hRule="atLeast"/>
          <w:jc w:val="center"/>
        </w:trPr>
        <w:tc>
          <w:tcPr>
            <w:tcW w:w="473" w:type="pct"/>
            <w:vMerge w:val="restart"/>
            <w:noWrap w:val="0"/>
            <w:vAlign w:val="center"/>
          </w:tcPr>
          <w:p w14:paraId="31B3749D">
            <w:pPr>
              <w:shd w:val="clear" w:color="auto" w:fill="auto"/>
              <w:jc w:val="center"/>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审</w:t>
            </w:r>
          </w:p>
          <w:p w14:paraId="57240FBA">
            <w:pPr>
              <w:shd w:val="clear" w:color="auto" w:fill="auto"/>
              <w:jc w:val="center"/>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查</w:t>
            </w:r>
          </w:p>
          <w:p w14:paraId="6BC4DD73">
            <w:pPr>
              <w:shd w:val="clear" w:color="auto" w:fill="auto"/>
              <w:jc w:val="center"/>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标</w:t>
            </w:r>
          </w:p>
          <w:p w14:paraId="49C8AB5A">
            <w:pPr>
              <w:shd w:val="clear" w:color="auto" w:fill="auto"/>
              <w:jc w:val="center"/>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准</w:t>
            </w:r>
          </w:p>
          <w:p w14:paraId="6260B943">
            <w:pPr>
              <w:shd w:val="clear" w:color="auto" w:fill="auto"/>
              <w:jc w:val="center"/>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(适</w:t>
            </w:r>
          </w:p>
          <w:p w14:paraId="13277524">
            <w:pPr>
              <w:shd w:val="clear" w:color="auto" w:fill="auto"/>
              <w:jc w:val="center"/>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用</w:t>
            </w:r>
          </w:p>
          <w:p w14:paraId="13E890F7">
            <w:pPr>
              <w:shd w:val="clear" w:color="auto" w:fill="auto"/>
              <w:jc w:val="center"/>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于</w:t>
            </w:r>
          </w:p>
          <w:p w14:paraId="7DB08CD1">
            <w:pPr>
              <w:shd w:val="clear" w:color="auto" w:fill="auto"/>
              <w:jc w:val="center"/>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资</w:t>
            </w:r>
          </w:p>
          <w:p w14:paraId="32FB3030">
            <w:pPr>
              <w:shd w:val="clear" w:color="auto" w:fill="auto"/>
              <w:jc w:val="center"/>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格</w:t>
            </w:r>
          </w:p>
          <w:p w14:paraId="47FB3C2E">
            <w:pPr>
              <w:shd w:val="clear" w:color="auto" w:fill="auto"/>
              <w:jc w:val="center"/>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后</w:t>
            </w:r>
          </w:p>
          <w:p w14:paraId="5F7DAA64">
            <w:pPr>
              <w:shd w:val="clear" w:color="auto" w:fill="auto"/>
              <w:jc w:val="center"/>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审)</w:t>
            </w:r>
          </w:p>
        </w:tc>
        <w:tc>
          <w:tcPr>
            <w:tcW w:w="218" w:type="pct"/>
            <w:noWrap w:val="0"/>
            <w:vAlign w:val="center"/>
          </w:tcPr>
          <w:p w14:paraId="08D08E85">
            <w:pPr>
              <w:keepNext w:val="0"/>
              <w:keepLines w:val="0"/>
              <w:pageBreakBefore w:val="0"/>
              <w:widowControl/>
              <w:shd w:val="clear" w:color="auto" w:fill="auto"/>
              <w:kinsoku/>
              <w:wordWrap/>
              <w:overflowPunct/>
              <w:topLinePunct w:val="0"/>
              <w:autoSpaceDE/>
              <w:autoSpaceDN/>
              <w:bidi w:val="0"/>
              <w:adjustRightInd/>
              <w:snapToGrid/>
              <w:spacing w:line="360" w:lineRule="exact"/>
              <w:jc w:val="left"/>
              <w:textAlignment w:val="auto"/>
              <w:outlineLvl w:val="9"/>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1</w:t>
            </w:r>
          </w:p>
        </w:tc>
        <w:tc>
          <w:tcPr>
            <w:tcW w:w="2968" w:type="pct"/>
            <w:noWrap w:val="0"/>
            <w:vAlign w:val="center"/>
          </w:tcPr>
          <w:p w14:paraId="4BE36CCA">
            <w:pPr>
              <w:tabs>
                <w:tab w:val="left" w:pos="720"/>
              </w:tabs>
              <w:spacing w:line="440" w:lineRule="exact"/>
              <w:jc w:val="left"/>
              <w:rPr>
                <w:rFonts w:hint="eastAsia" w:ascii="宋体" w:hAnsi="宋体" w:eastAsia="宋体" w:cs="宋体"/>
                <w:bCs/>
                <w:color w:val="auto"/>
                <w:kern w:val="2"/>
                <w:sz w:val="21"/>
                <w:szCs w:val="21"/>
                <w:lang w:val="en-US" w:eastAsia="zh-CN" w:bidi="ar-SA"/>
              </w:rPr>
            </w:pPr>
            <w:r>
              <w:rPr>
                <w:rFonts w:hint="eastAsia" w:ascii="宋体" w:hAnsi="宋体" w:eastAsia="宋体" w:cs="宋体"/>
                <w:szCs w:val="21"/>
              </w:rPr>
              <w:t>具备</w:t>
            </w:r>
            <w:r>
              <w:rPr>
                <w:rFonts w:hint="eastAsia" w:ascii="宋体" w:hAnsi="宋体" w:eastAsia="宋体" w:cs="宋体"/>
                <w:szCs w:val="21"/>
                <w:lang w:val="en-US" w:eastAsia="zh-CN"/>
              </w:rPr>
              <w:t>合格有效的</w:t>
            </w:r>
            <w:r>
              <w:rPr>
                <w:rFonts w:hint="eastAsia" w:ascii="宋体" w:hAnsi="宋体" w:eastAsia="宋体" w:cs="宋体"/>
                <w:szCs w:val="21"/>
              </w:rPr>
              <w:t>三证合一营业执照</w:t>
            </w:r>
            <w:r>
              <w:rPr>
                <w:rFonts w:hint="eastAsia" w:ascii="宋体" w:hAnsi="宋体" w:eastAsia="宋体" w:cs="宋体"/>
                <w:szCs w:val="21"/>
                <w:lang w:eastAsia="zh-CN"/>
              </w:rPr>
              <w:t>；</w:t>
            </w:r>
          </w:p>
        </w:tc>
        <w:tc>
          <w:tcPr>
            <w:tcW w:w="698" w:type="pct"/>
            <w:noWrap w:val="0"/>
            <w:vAlign w:val="top"/>
          </w:tcPr>
          <w:p w14:paraId="080190E6">
            <w:pPr>
              <w:shd w:val="clear" w:color="auto" w:fill="auto"/>
              <w:jc w:val="left"/>
              <w:rPr>
                <w:rFonts w:hint="eastAsia" w:ascii="宋体" w:hAnsi="宋体" w:eastAsia="宋体" w:cs="宋体"/>
                <w:bCs/>
                <w:color w:val="auto"/>
                <w:kern w:val="2"/>
                <w:sz w:val="21"/>
                <w:szCs w:val="21"/>
                <w:lang w:val="en-US" w:eastAsia="zh-CN" w:bidi="ar-SA"/>
              </w:rPr>
            </w:pPr>
          </w:p>
        </w:tc>
        <w:tc>
          <w:tcPr>
            <w:tcW w:w="641" w:type="pct"/>
            <w:noWrap w:val="0"/>
            <w:vAlign w:val="top"/>
          </w:tcPr>
          <w:p w14:paraId="4019BE62">
            <w:pPr>
              <w:shd w:val="clear" w:color="auto" w:fill="auto"/>
              <w:jc w:val="left"/>
              <w:rPr>
                <w:rFonts w:hint="eastAsia" w:ascii="宋体" w:hAnsi="宋体" w:eastAsia="宋体" w:cs="宋体"/>
                <w:bCs/>
                <w:color w:val="auto"/>
                <w:kern w:val="2"/>
                <w:sz w:val="21"/>
                <w:szCs w:val="21"/>
                <w:lang w:val="en-US" w:eastAsia="zh-CN" w:bidi="ar-SA"/>
              </w:rPr>
            </w:pPr>
          </w:p>
        </w:tc>
      </w:tr>
      <w:tr w14:paraId="640252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6" w:hRule="atLeast"/>
          <w:jc w:val="center"/>
        </w:trPr>
        <w:tc>
          <w:tcPr>
            <w:tcW w:w="473" w:type="pct"/>
            <w:vMerge w:val="continue"/>
            <w:noWrap w:val="0"/>
            <w:vAlign w:val="center"/>
          </w:tcPr>
          <w:p w14:paraId="172EB384">
            <w:pPr>
              <w:shd w:val="clear" w:color="auto" w:fill="auto"/>
              <w:rPr>
                <w:rFonts w:hint="eastAsia" w:ascii="宋体" w:hAnsi="宋体" w:eastAsia="宋体" w:cs="宋体"/>
                <w:bCs/>
                <w:color w:val="auto"/>
                <w:kern w:val="2"/>
                <w:sz w:val="21"/>
                <w:szCs w:val="21"/>
                <w:lang w:val="en-US" w:eastAsia="zh-CN" w:bidi="ar-SA"/>
              </w:rPr>
            </w:pPr>
          </w:p>
        </w:tc>
        <w:tc>
          <w:tcPr>
            <w:tcW w:w="218" w:type="pct"/>
            <w:noWrap w:val="0"/>
            <w:vAlign w:val="center"/>
          </w:tcPr>
          <w:p w14:paraId="2806387A">
            <w:pPr>
              <w:keepNext w:val="0"/>
              <w:keepLines w:val="0"/>
              <w:pageBreakBefore w:val="0"/>
              <w:widowControl/>
              <w:shd w:val="clear" w:color="auto" w:fill="auto"/>
              <w:kinsoku/>
              <w:wordWrap/>
              <w:overflowPunct/>
              <w:topLinePunct w:val="0"/>
              <w:autoSpaceDE/>
              <w:autoSpaceDN/>
              <w:bidi w:val="0"/>
              <w:adjustRightInd/>
              <w:snapToGrid/>
              <w:spacing w:line="360" w:lineRule="exact"/>
              <w:jc w:val="left"/>
              <w:textAlignment w:val="auto"/>
              <w:outlineLvl w:val="9"/>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2</w:t>
            </w:r>
          </w:p>
        </w:tc>
        <w:tc>
          <w:tcPr>
            <w:tcW w:w="2968" w:type="pct"/>
            <w:noWrap w:val="0"/>
            <w:vAlign w:val="center"/>
          </w:tcPr>
          <w:p w14:paraId="428B4526">
            <w:pPr>
              <w:tabs>
                <w:tab w:val="left" w:pos="720"/>
              </w:tabs>
              <w:spacing w:line="440" w:lineRule="exact"/>
              <w:jc w:val="left"/>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法定代表人投标需提供法定代表人资格证明书，委托代理人投标需提供法定代表人授权委托书；</w:t>
            </w:r>
          </w:p>
        </w:tc>
        <w:tc>
          <w:tcPr>
            <w:tcW w:w="698" w:type="pct"/>
            <w:noWrap w:val="0"/>
            <w:vAlign w:val="top"/>
          </w:tcPr>
          <w:p w14:paraId="5631A440">
            <w:pPr>
              <w:shd w:val="clear" w:color="auto" w:fill="auto"/>
              <w:jc w:val="left"/>
              <w:rPr>
                <w:rFonts w:hint="eastAsia" w:ascii="宋体" w:hAnsi="宋体" w:eastAsia="宋体" w:cs="宋体"/>
                <w:bCs/>
                <w:color w:val="auto"/>
                <w:kern w:val="2"/>
                <w:sz w:val="21"/>
                <w:szCs w:val="21"/>
                <w:lang w:val="en-US" w:eastAsia="zh-CN" w:bidi="ar-SA"/>
              </w:rPr>
            </w:pPr>
          </w:p>
        </w:tc>
        <w:tc>
          <w:tcPr>
            <w:tcW w:w="641" w:type="pct"/>
            <w:noWrap w:val="0"/>
            <w:vAlign w:val="top"/>
          </w:tcPr>
          <w:p w14:paraId="44F960B7">
            <w:pPr>
              <w:shd w:val="clear" w:color="auto" w:fill="auto"/>
              <w:jc w:val="left"/>
              <w:rPr>
                <w:rFonts w:hint="eastAsia" w:ascii="宋体" w:hAnsi="宋体" w:eastAsia="宋体" w:cs="宋体"/>
                <w:bCs/>
                <w:color w:val="auto"/>
                <w:kern w:val="2"/>
                <w:sz w:val="21"/>
                <w:szCs w:val="21"/>
                <w:lang w:val="en-US" w:eastAsia="zh-CN" w:bidi="ar-SA"/>
              </w:rPr>
            </w:pPr>
          </w:p>
        </w:tc>
      </w:tr>
      <w:tr w14:paraId="384858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7" w:hRule="atLeast"/>
          <w:jc w:val="center"/>
        </w:trPr>
        <w:tc>
          <w:tcPr>
            <w:tcW w:w="473" w:type="pct"/>
            <w:vMerge w:val="continue"/>
            <w:noWrap w:val="0"/>
            <w:vAlign w:val="center"/>
          </w:tcPr>
          <w:p w14:paraId="4B9E8038">
            <w:pPr>
              <w:shd w:val="clear" w:color="auto" w:fill="auto"/>
              <w:rPr>
                <w:rFonts w:hint="eastAsia" w:ascii="宋体" w:hAnsi="宋体" w:eastAsia="宋体" w:cs="宋体"/>
                <w:bCs/>
                <w:color w:val="auto"/>
                <w:kern w:val="2"/>
                <w:sz w:val="21"/>
                <w:szCs w:val="21"/>
                <w:lang w:val="en-US" w:eastAsia="zh-CN" w:bidi="ar-SA"/>
              </w:rPr>
            </w:pPr>
          </w:p>
        </w:tc>
        <w:tc>
          <w:tcPr>
            <w:tcW w:w="218" w:type="pct"/>
            <w:noWrap w:val="0"/>
            <w:vAlign w:val="center"/>
          </w:tcPr>
          <w:p w14:paraId="7EC45FDC">
            <w:pPr>
              <w:keepNext w:val="0"/>
              <w:keepLines w:val="0"/>
              <w:pageBreakBefore w:val="0"/>
              <w:widowControl/>
              <w:shd w:val="clear" w:color="auto" w:fill="auto"/>
              <w:kinsoku/>
              <w:wordWrap/>
              <w:overflowPunct/>
              <w:topLinePunct w:val="0"/>
              <w:autoSpaceDE/>
              <w:autoSpaceDN/>
              <w:bidi w:val="0"/>
              <w:adjustRightInd/>
              <w:snapToGrid/>
              <w:spacing w:line="360" w:lineRule="exact"/>
              <w:jc w:val="left"/>
              <w:textAlignment w:val="auto"/>
              <w:outlineLvl w:val="9"/>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3</w:t>
            </w:r>
          </w:p>
        </w:tc>
        <w:tc>
          <w:tcPr>
            <w:tcW w:w="2968" w:type="pct"/>
            <w:noWrap w:val="0"/>
            <w:vAlign w:val="center"/>
          </w:tcPr>
          <w:p w14:paraId="39F5F557">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360" w:lineRule="auto"/>
              <w:ind w:left="0" w:right="0"/>
              <w:jc w:val="both"/>
              <w:textAlignment w:val="auto"/>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投标保证金汇款凭证和保证金收据或保函</w:t>
            </w:r>
          </w:p>
        </w:tc>
        <w:tc>
          <w:tcPr>
            <w:tcW w:w="698" w:type="pct"/>
            <w:noWrap w:val="0"/>
            <w:vAlign w:val="top"/>
          </w:tcPr>
          <w:p w14:paraId="58B6BDC9">
            <w:pPr>
              <w:shd w:val="clear" w:color="auto" w:fill="auto"/>
              <w:jc w:val="left"/>
              <w:rPr>
                <w:rFonts w:hint="eastAsia" w:ascii="宋体" w:hAnsi="宋体" w:eastAsia="宋体" w:cs="宋体"/>
                <w:bCs/>
                <w:color w:val="auto"/>
                <w:kern w:val="2"/>
                <w:sz w:val="21"/>
                <w:szCs w:val="21"/>
                <w:lang w:val="en-US" w:eastAsia="zh-CN" w:bidi="ar-SA"/>
              </w:rPr>
            </w:pPr>
          </w:p>
        </w:tc>
        <w:tc>
          <w:tcPr>
            <w:tcW w:w="641" w:type="pct"/>
            <w:noWrap w:val="0"/>
            <w:vAlign w:val="top"/>
          </w:tcPr>
          <w:p w14:paraId="2C919323">
            <w:pPr>
              <w:shd w:val="clear" w:color="auto" w:fill="auto"/>
              <w:jc w:val="left"/>
              <w:rPr>
                <w:rFonts w:hint="eastAsia" w:ascii="宋体" w:hAnsi="宋体" w:eastAsia="宋体" w:cs="宋体"/>
                <w:bCs/>
                <w:color w:val="auto"/>
                <w:kern w:val="2"/>
                <w:sz w:val="21"/>
                <w:szCs w:val="21"/>
                <w:lang w:val="en-US" w:eastAsia="zh-CN" w:bidi="ar-SA"/>
              </w:rPr>
            </w:pPr>
          </w:p>
        </w:tc>
      </w:tr>
      <w:tr w14:paraId="66DD15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4" w:hRule="atLeast"/>
          <w:jc w:val="center"/>
        </w:trPr>
        <w:tc>
          <w:tcPr>
            <w:tcW w:w="473" w:type="pct"/>
            <w:vMerge w:val="continue"/>
            <w:noWrap w:val="0"/>
            <w:vAlign w:val="center"/>
          </w:tcPr>
          <w:p w14:paraId="322F97EC">
            <w:pPr>
              <w:shd w:val="clear" w:color="auto" w:fill="auto"/>
              <w:rPr>
                <w:rFonts w:hint="eastAsia" w:ascii="宋体" w:hAnsi="宋体" w:eastAsia="宋体" w:cs="宋体"/>
                <w:bCs/>
                <w:color w:val="auto"/>
                <w:kern w:val="2"/>
                <w:sz w:val="21"/>
                <w:szCs w:val="21"/>
                <w:lang w:val="en-US" w:eastAsia="zh-CN" w:bidi="ar-SA"/>
              </w:rPr>
            </w:pPr>
          </w:p>
        </w:tc>
        <w:tc>
          <w:tcPr>
            <w:tcW w:w="218" w:type="pct"/>
            <w:noWrap w:val="0"/>
            <w:vAlign w:val="center"/>
          </w:tcPr>
          <w:p w14:paraId="36816628">
            <w:pPr>
              <w:keepNext w:val="0"/>
              <w:keepLines w:val="0"/>
              <w:pageBreakBefore w:val="0"/>
              <w:widowControl/>
              <w:shd w:val="clear" w:color="auto" w:fill="auto"/>
              <w:kinsoku/>
              <w:wordWrap/>
              <w:overflowPunct/>
              <w:topLinePunct w:val="0"/>
              <w:autoSpaceDE/>
              <w:autoSpaceDN/>
              <w:bidi w:val="0"/>
              <w:adjustRightInd/>
              <w:snapToGrid/>
              <w:spacing w:line="360" w:lineRule="exact"/>
              <w:jc w:val="left"/>
              <w:textAlignment w:val="auto"/>
              <w:outlineLvl w:val="9"/>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4</w:t>
            </w:r>
          </w:p>
        </w:tc>
        <w:tc>
          <w:tcPr>
            <w:tcW w:w="2968" w:type="pct"/>
            <w:noWrap w:val="0"/>
            <w:vAlign w:val="center"/>
          </w:tcPr>
          <w:p w14:paraId="6129A572">
            <w:pPr>
              <w:tabs>
                <w:tab w:val="left" w:pos="720"/>
              </w:tabs>
              <w:spacing w:line="440" w:lineRule="exact"/>
              <w:jc w:val="left"/>
              <w:rPr>
                <w:rFonts w:hint="eastAsia" w:ascii="宋体" w:hAnsi="宋体" w:eastAsia="宋体" w:cs="宋体"/>
                <w:bCs/>
                <w:color w:val="auto"/>
                <w:kern w:val="2"/>
                <w:sz w:val="21"/>
                <w:szCs w:val="21"/>
                <w:lang w:val="en-US" w:eastAsia="zh-CN" w:bidi="ar-SA"/>
              </w:rPr>
            </w:pPr>
            <w:r>
              <w:rPr>
                <w:rFonts w:hint="eastAsia" w:ascii="宋体" w:hAnsi="宋体" w:eastAsia="宋体" w:cs="宋体"/>
                <w:szCs w:val="21"/>
                <w:lang w:val="en-US" w:eastAsia="zh-CN"/>
              </w:rPr>
              <w:t>投标企业须提供投标人（被授权在职人员）</w:t>
            </w:r>
            <w:r>
              <w:rPr>
                <w:rFonts w:hint="eastAsia" w:ascii="宋体" w:hAnsi="宋体" w:cs="宋体"/>
                <w:szCs w:val="21"/>
                <w:lang w:val="en-US" w:eastAsia="zh-CN"/>
              </w:rPr>
              <w:t>近6个月内任何1月已依法缴纳社会保险的凭据</w:t>
            </w:r>
            <w:r>
              <w:rPr>
                <w:rFonts w:hint="eastAsia" w:ascii="宋体" w:hAnsi="宋体" w:eastAsia="宋体" w:cs="宋体"/>
                <w:szCs w:val="21"/>
                <w:lang w:val="en-US" w:eastAsia="zh-CN"/>
              </w:rPr>
              <w:t>（依法不需要缴纳社会保障资金的供应商，应提供相应证明文件，</w:t>
            </w:r>
            <w:r>
              <w:rPr>
                <w:rFonts w:hint="eastAsia" w:ascii="宋体" w:hAnsi="宋体" w:cs="宋体"/>
                <w:szCs w:val="21"/>
                <w:lang w:val="en-US" w:eastAsia="zh-CN"/>
              </w:rPr>
              <w:t>新成立企业需提供资信证明</w:t>
            </w:r>
            <w:r>
              <w:rPr>
                <w:rFonts w:hint="eastAsia" w:ascii="宋体" w:hAnsi="宋体" w:eastAsia="宋体" w:cs="宋体"/>
                <w:szCs w:val="21"/>
                <w:lang w:val="en-US" w:eastAsia="zh-CN"/>
              </w:rPr>
              <w:t>）</w:t>
            </w:r>
            <w:r>
              <w:rPr>
                <w:rFonts w:hint="eastAsia" w:ascii="宋体" w:hAnsi="宋体" w:eastAsia="宋体" w:cs="宋体"/>
                <w:szCs w:val="21"/>
              </w:rPr>
              <w:t> </w:t>
            </w:r>
          </w:p>
        </w:tc>
        <w:tc>
          <w:tcPr>
            <w:tcW w:w="698" w:type="pct"/>
            <w:noWrap w:val="0"/>
            <w:vAlign w:val="top"/>
          </w:tcPr>
          <w:p w14:paraId="43CD056F">
            <w:pPr>
              <w:shd w:val="clear" w:color="auto" w:fill="auto"/>
              <w:jc w:val="left"/>
              <w:rPr>
                <w:rFonts w:hint="eastAsia" w:ascii="宋体" w:hAnsi="宋体" w:eastAsia="宋体" w:cs="宋体"/>
                <w:bCs/>
                <w:color w:val="auto"/>
                <w:kern w:val="2"/>
                <w:sz w:val="21"/>
                <w:szCs w:val="21"/>
                <w:lang w:val="en-US" w:eastAsia="zh-CN" w:bidi="ar-SA"/>
              </w:rPr>
            </w:pPr>
          </w:p>
        </w:tc>
        <w:tc>
          <w:tcPr>
            <w:tcW w:w="641" w:type="pct"/>
            <w:noWrap w:val="0"/>
            <w:vAlign w:val="top"/>
          </w:tcPr>
          <w:p w14:paraId="616F4884">
            <w:pPr>
              <w:shd w:val="clear" w:color="auto" w:fill="auto"/>
              <w:jc w:val="left"/>
              <w:rPr>
                <w:rFonts w:hint="eastAsia" w:ascii="宋体" w:hAnsi="宋体" w:eastAsia="宋体" w:cs="宋体"/>
                <w:bCs/>
                <w:color w:val="auto"/>
                <w:kern w:val="2"/>
                <w:sz w:val="21"/>
                <w:szCs w:val="21"/>
                <w:lang w:val="en-US" w:eastAsia="zh-CN" w:bidi="ar-SA"/>
              </w:rPr>
            </w:pPr>
          </w:p>
        </w:tc>
      </w:tr>
      <w:tr w14:paraId="6BA84F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473" w:type="pct"/>
            <w:vMerge w:val="continue"/>
            <w:noWrap w:val="0"/>
            <w:vAlign w:val="center"/>
          </w:tcPr>
          <w:p w14:paraId="60AEEE14">
            <w:pPr>
              <w:shd w:val="clear" w:color="auto" w:fill="auto"/>
              <w:rPr>
                <w:rFonts w:hint="eastAsia" w:ascii="宋体" w:hAnsi="宋体" w:eastAsia="宋体" w:cs="宋体"/>
                <w:bCs/>
                <w:color w:val="auto"/>
                <w:kern w:val="2"/>
                <w:sz w:val="21"/>
                <w:szCs w:val="21"/>
                <w:lang w:val="en-US" w:eastAsia="zh-CN" w:bidi="ar-SA"/>
              </w:rPr>
            </w:pPr>
          </w:p>
        </w:tc>
        <w:tc>
          <w:tcPr>
            <w:tcW w:w="218" w:type="pct"/>
            <w:noWrap w:val="0"/>
            <w:vAlign w:val="center"/>
          </w:tcPr>
          <w:p w14:paraId="6EDEFE95">
            <w:pPr>
              <w:keepNext w:val="0"/>
              <w:keepLines w:val="0"/>
              <w:pageBreakBefore w:val="0"/>
              <w:widowControl/>
              <w:shd w:val="clear" w:color="auto" w:fill="auto"/>
              <w:kinsoku/>
              <w:wordWrap/>
              <w:overflowPunct/>
              <w:topLinePunct w:val="0"/>
              <w:autoSpaceDE/>
              <w:autoSpaceDN/>
              <w:bidi w:val="0"/>
              <w:adjustRightInd/>
              <w:snapToGrid/>
              <w:spacing w:line="360" w:lineRule="exact"/>
              <w:jc w:val="left"/>
              <w:textAlignment w:val="auto"/>
              <w:outlineLvl w:val="9"/>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5</w:t>
            </w:r>
          </w:p>
        </w:tc>
        <w:tc>
          <w:tcPr>
            <w:tcW w:w="2968" w:type="pct"/>
            <w:noWrap w:val="0"/>
            <w:vAlign w:val="top"/>
          </w:tcPr>
          <w:p w14:paraId="311EE51D">
            <w:pPr>
              <w:tabs>
                <w:tab w:val="left" w:pos="720"/>
              </w:tabs>
              <w:spacing w:line="440" w:lineRule="exact"/>
              <w:jc w:val="left"/>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活动前三年内未被“信用中国”（www.creditchina.gov.cn）、中国政府采购网（www.ccgp.gov.cn）列入失信被执行人、重大税收违法案件当事人名单、政府采购严重违法失信行为记录名单</w:t>
            </w:r>
          </w:p>
        </w:tc>
        <w:tc>
          <w:tcPr>
            <w:tcW w:w="698" w:type="pct"/>
            <w:noWrap w:val="0"/>
            <w:vAlign w:val="top"/>
          </w:tcPr>
          <w:p w14:paraId="0C9642AE">
            <w:pPr>
              <w:shd w:val="clear" w:color="auto" w:fill="auto"/>
              <w:jc w:val="left"/>
              <w:rPr>
                <w:rFonts w:hint="eastAsia" w:ascii="宋体" w:hAnsi="宋体" w:eastAsia="宋体" w:cs="宋体"/>
                <w:bCs/>
                <w:color w:val="auto"/>
                <w:kern w:val="2"/>
                <w:sz w:val="21"/>
                <w:szCs w:val="21"/>
                <w:lang w:val="en-US" w:eastAsia="zh-CN" w:bidi="ar-SA"/>
              </w:rPr>
            </w:pPr>
          </w:p>
        </w:tc>
        <w:tc>
          <w:tcPr>
            <w:tcW w:w="641" w:type="pct"/>
            <w:noWrap w:val="0"/>
            <w:vAlign w:val="top"/>
          </w:tcPr>
          <w:p w14:paraId="0590CB17">
            <w:pPr>
              <w:shd w:val="clear" w:color="auto" w:fill="auto"/>
              <w:jc w:val="left"/>
              <w:rPr>
                <w:rFonts w:hint="eastAsia" w:ascii="宋体" w:hAnsi="宋体" w:eastAsia="宋体" w:cs="宋体"/>
                <w:bCs/>
                <w:color w:val="auto"/>
                <w:kern w:val="2"/>
                <w:sz w:val="21"/>
                <w:szCs w:val="21"/>
                <w:lang w:val="en-US" w:eastAsia="zh-CN" w:bidi="ar-SA"/>
              </w:rPr>
            </w:pPr>
          </w:p>
        </w:tc>
      </w:tr>
      <w:tr w14:paraId="565A80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6" w:hRule="atLeast"/>
          <w:jc w:val="center"/>
        </w:trPr>
        <w:tc>
          <w:tcPr>
            <w:tcW w:w="473" w:type="pct"/>
            <w:vMerge w:val="continue"/>
            <w:noWrap w:val="0"/>
            <w:vAlign w:val="center"/>
          </w:tcPr>
          <w:p w14:paraId="4F3A3AE8">
            <w:pPr>
              <w:shd w:val="clear" w:color="auto" w:fill="auto"/>
              <w:rPr>
                <w:rFonts w:hint="eastAsia" w:ascii="宋体" w:hAnsi="宋体" w:eastAsia="宋体" w:cs="宋体"/>
                <w:bCs/>
                <w:color w:val="auto"/>
                <w:kern w:val="2"/>
                <w:sz w:val="21"/>
                <w:szCs w:val="21"/>
                <w:lang w:val="en-US" w:eastAsia="zh-CN" w:bidi="ar-SA"/>
              </w:rPr>
            </w:pPr>
          </w:p>
        </w:tc>
        <w:tc>
          <w:tcPr>
            <w:tcW w:w="218" w:type="pct"/>
            <w:noWrap w:val="0"/>
            <w:vAlign w:val="center"/>
          </w:tcPr>
          <w:p w14:paraId="6D849C80">
            <w:pPr>
              <w:keepNext w:val="0"/>
              <w:keepLines w:val="0"/>
              <w:pageBreakBefore w:val="0"/>
              <w:widowControl/>
              <w:shd w:val="clear" w:color="auto" w:fill="auto"/>
              <w:kinsoku/>
              <w:wordWrap/>
              <w:overflowPunct/>
              <w:topLinePunct w:val="0"/>
              <w:autoSpaceDE/>
              <w:autoSpaceDN/>
              <w:bidi w:val="0"/>
              <w:adjustRightInd/>
              <w:snapToGrid/>
              <w:spacing w:line="360" w:lineRule="exact"/>
              <w:jc w:val="left"/>
              <w:textAlignment w:val="auto"/>
              <w:outlineLvl w:val="9"/>
              <w:rPr>
                <w:rFonts w:hint="default" w:ascii="宋体" w:hAnsi="宋体" w:eastAsia="宋体" w:cs="宋体"/>
                <w:bCs/>
                <w:color w:val="auto"/>
                <w:kern w:val="2"/>
                <w:sz w:val="21"/>
                <w:szCs w:val="21"/>
                <w:lang w:val="en-US" w:eastAsia="zh-CN" w:bidi="ar-SA"/>
              </w:rPr>
            </w:pPr>
            <w:r>
              <w:rPr>
                <w:rFonts w:hint="eastAsia" w:ascii="宋体" w:hAnsi="宋体" w:cs="宋体"/>
                <w:bCs/>
                <w:color w:val="auto"/>
                <w:kern w:val="2"/>
                <w:sz w:val="21"/>
                <w:szCs w:val="21"/>
                <w:lang w:val="en-US" w:eastAsia="zh-CN" w:bidi="ar-SA"/>
              </w:rPr>
              <w:t>6</w:t>
            </w:r>
          </w:p>
        </w:tc>
        <w:tc>
          <w:tcPr>
            <w:tcW w:w="2968" w:type="pct"/>
            <w:noWrap w:val="0"/>
            <w:vAlign w:val="top"/>
          </w:tcPr>
          <w:p w14:paraId="16C92349">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360" w:lineRule="auto"/>
              <w:ind w:left="0" w:right="0"/>
              <w:jc w:val="both"/>
              <w:textAlignment w:val="auto"/>
              <w:rPr>
                <w:rFonts w:hint="eastAsia" w:ascii="宋体" w:hAnsi="宋体" w:eastAsia="宋体" w:cs="宋体"/>
                <w:color w:val="333333"/>
                <w:kern w:val="2"/>
                <w:sz w:val="22"/>
                <w:szCs w:val="22"/>
                <w:lang w:val="en-US" w:eastAsia="zh-CN" w:bidi="ar"/>
              </w:rPr>
            </w:pPr>
            <w:r>
              <w:rPr>
                <w:rFonts w:hint="default" w:ascii="宋体" w:hAnsi="宋体" w:cs="宋体"/>
                <w:color w:val="auto"/>
                <w:kern w:val="0"/>
                <w:sz w:val="21"/>
                <w:szCs w:val="21"/>
                <w:highlight w:val="none"/>
                <w:lang w:val="en-US" w:eastAsia="zh-CN"/>
              </w:rPr>
              <w:t>在中华人民共和国境内注册的，经中国保险监督管理委员会批准，具有人身保险业务经营资格</w:t>
            </w:r>
          </w:p>
        </w:tc>
        <w:tc>
          <w:tcPr>
            <w:tcW w:w="698" w:type="pct"/>
            <w:noWrap w:val="0"/>
            <w:vAlign w:val="top"/>
          </w:tcPr>
          <w:p w14:paraId="56AC3501">
            <w:pPr>
              <w:shd w:val="clear" w:color="auto" w:fill="auto"/>
              <w:jc w:val="left"/>
              <w:rPr>
                <w:rFonts w:hint="eastAsia" w:ascii="宋体" w:hAnsi="宋体" w:eastAsia="宋体" w:cs="宋体"/>
                <w:bCs/>
                <w:color w:val="auto"/>
                <w:kern w:val="2"/>
                <w:sz w:val="21"/>
                <w:szCs w:val="21"/>
                <w:lang w:val="en-US" w:eastAsia="zh-CN" w:bidi="ar-SA"/>
              </w:rPr>
            </w:pPr>
          </w:p>
        </w:tc>
        <w:tc>
          <w:tcPr>
            <w:tcW w:w="641" w:type="pct"/>
            <w:noWrap w:val="0"/>
            <w:vAlign w:val="top"/>
          </w:tcPr>
          <w:p w14:paraId="3D14FFCF">
            <w:pPr>
              <w:shd w:val="clear" w:color="auto" w:fill="auto"/>
              <w:jc w:val="left"/>
              <w:rPr>
                <w:rFonts w:hint="eastAsia" w:ascii="宋体" w:hAnsi="宋体" w:eastAsia="宋体" w:cs="宋体"/>
                <w:bCs/>
                <w:color w:val="auto"/>
                <w:kern w:val="2"/>
                <w:sz w:val="21"/>
                <w:szCs w:val="21"/>
                <w:lang w:val="en-US" w:eastAsia="zh-CN" w:bidi="ar-SA"/>
              </w:rPr>
            </w:pPr>
          </w:p>
        </w:tc>
      </w:tr>
      <w:tr w14:paraId="7FB8D8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3" w:hRule="atLeast"/>
          <w:jc w:val="center"/>
        </w:trPr>
        <w:tc>
          <w:tcPr>
            <w:tcW w:w="473" w:type="pct"/>
            <w:vMerge w:val="continue"/>
            <w:noWrap w:val="0"/>
            <w:vAlign w:val="center"/>
          </w:tcPr>
          <w:p w14:paraId="3BB5D843">
            <w:pPr>
              <w:shd w:val="clear" w:color="auto" w:fill="auto"/>
              <w:jc w:val="center"/>
              <w:rPr>
                <w:rFonts w:hint="eastAsia" w:ascii="宋体" w:hAnsi="宋体" w:eastAsia="宋体" w:cs="宋体"/>
                <w:bCs/>
                <w:color w:val="auto"/>
                <w:kern w:val="2"/>
                <w:sz w:val="21"/>
                <w:szCs w:val="21"/>
                <w:lang w:val="en-US" w:eastAsia="zh-CN" w:bidi="ar-SA"/>
              </w:rPr>
            </w:pPr>
          </w:p>
        </w:tc>
        <w:tc>
          <w:tcPr>
            <w:tcW w:w="4526" w:type="pct"/>
            <w:gridSpan w:val="4"/>
            <w:noWrap w:val="0"/>
            <w:vAlign w:val="center"/>
          </w:tcPr>
          <w:p w14:paraId="0FCFA5AC">
            <w:pPr>
              <w:shd w:val="clear" w:color="auto" w:fill="auto"/>
              <w:jc w:val="left"/>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评审结果“√”表示合格；“×”表示不合格，一项不合格结果为不合格，如不合格，请在结果中写明原因。</w:t>
            </w:r>
          </w:p>
        </w:tc>
      </w:tr>
    </w:tbl>
    <w:p w14:paraId="4BDF3C5F">
      <w:pPr>
        <w:shd w:val="clear" w:color="auto" w:fill="auto"/>
        <w:spacing w:before="156" w:beforeLines="50" w:line="440" w:lineRule="exact"/>
        <w:ind w:firstLine="213" w:firstLineChars="100"/>
        <w:rPr>
          <w:rFonts w:hint="eastAsia" w:ascii="宋体" w:hAnsi="宋体"/>
          <w:b/>
          <w:color w:val="auto"/>
          <w:szCs w:val="21"/>
          <w:highlight w:val="none"/>
        </w:rPr>
      </w:pPr>
      <w:r>
        <w:rPr>
          <w:rFonts w:hint="eastAsia" w:ascii="宋体" w:hAnsi="宋体"/>
          <w:b/>
          <w:color w:val="auto"/>
          <w:szCs w:val="21"/>
          <w:highlight w:val="none"/>
          <w:lang w:val="en-US" w:eastAsia="zh-CN"/>
        </w:rPr>
        <w:t>6</w:t>
      </w:r>
      <w:r>
        <w:rPr>
          <w:rFonts w:hint="eastAsia" w:ascii="宋体" w:hAnsi="宋体"/>
          <w:b/>
          <w:color w:val="auto"/>
          <w:szCs w:val="21"/>
          <w:highlight w:val="none"/>
        </w:rPr>
        <w:t>.2如评标专家在检验电子标书过程中，如果由于投标人自身原因导致评标专家无法查看并检验电子标书中以上相关资料的，否决其投标。即使投标单位将原件携带至现场的，同样按无效投标处理。</w:t>
      </w:r>
    </w:p>
    <w:p w14:paraId="14A2630D">
      <w:pPr>
        <w:pStyle w:val="10"/>
        <w:rPr>
          <w:rFonts w:hint="eastAsia" w:ascii="宋体" w:hAnsi="宋体"/>
          <w:b/>
          <w:color w:val="auto"/>
          <w:szCs w:val="21"/>
          <w:highlight w:val="none"/>
        </w:rPr>
      </w:pPr>
    </w:p>
    <w:p w14:paraId="6CA917CB">
      <w:pPr>
        <w:shd w:val="clear" w:color="auto" w:fill="auto"/>
        <w:spacing w:before="156" w:beforeLines="50" w:line="440" w:lineRule="exact"/>
        <w:ind w:firstLine="213" w:firstLineChars="100"/>
        <w:rPr>
          <w:rFonts w:hint="eastAsia" w:ascii="宋体"/>
          <w:b/>
          <w:color w:val="auto"/>
          <w:szCs w:val="21"/>
          <w:highlight w:val="none"/>
        </w:rPr>
      </w:pPr>
      <w:r>
        <w:rPr>
          <w:rFonts w:hint="eastAsia" w:ascii="宋体"/>
          <w:b/>
          <w:color w:val="auto"/>
          <w:szCs w:val="21"/>
          <w:highlight w:val="none"/>
          <w:lang w:val="en-US" w:eastAsia="zh-CN"/>
        </w:rPr>
        <w:t>7</w:t>
      </w:r>
      <w:r>
        <w:rPr>
          <w:rFonts w:hint="eastAsia" w:ascii="宋体"/>
          <w:b/>
          <w:color w:val="auto"/>
          <w:szCs w:val="21"/>
          <w:highlight w:val="none"/>
        </w:rPr>
        <w:t>.符合性审查</w:t>
      </w:r>
    </w:p>
    <w:p w14:paraId="2AF90D19">
      <w:pPr>
        <w:shd w:val="clear" w:color="auto" w:fill="auto"/>
        <w:spacing w:line="440" w:lineRule="exact"/>
        <w:ind w:firstLine="319" w:firstLineChars="150"/>
        <w:rPr>
          <w:rFonts w:hint="eastAsia" w:ascii="宋体"/>
          <w:color w:val="auto"/>
          <w:szCs w:val="21"/>
          <w:highlight w:val="none"/>
        </w:rPr>
      </w:pPr>
      <w:r>
        <w:rPr>
          <w:rFonts w:hint="eastAsia" w:ascii="宋体"/>
          <w:color w:val="auto"/>
          <w:szCs w:val="21"/>
          <w:highlight w:val="none"/>
          <w:lang w:val="en-US" w:eastAsia="zh-CN"/>
        </w:rPr>
        <w:t>7</w:t>
      </w:r>
      <w:r>
        <w:rPr>
          <w:rFonts w:hint="eastAsia" w:ascii="宋体"/>
          <w:color w:val="auto"/>
          <w:szCs w:val="21"/>
          <w:highlight w:val="none"/>
        </w:rPr>
        <w:t>．1评审细则</w:t>
      </w:r>
    </w:p>
    <w:tbl>
      <w:tblPr>
        <w:tblStyle w:val="28"/>
        <w:tblpPr w:leftFromText="180" w:rightFromText="180" w:vertAnchor="text" w:horzAnchor="page" w:tblpX="1293" w:tblpY="544"/>
        <w:tblW w:w="9498"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22"/>
        <w:gridCol w:w="495"/>
        <w:gridCol w:w="6579"/>
        <w:gridCol w:w="753"/>
        <w:gridCol w:w="749"/>
      </w:tblGrid>
      <w:tr w14:paraId="37A5CB9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13" w:hRule="atLeast"/>
        </w:trPr>
        <w:tc>
          <w:tcPr>
            <w:tcW w:w="922" w:type="dxa"/>
            <w:tcBorders>
              <w:top w:val="single" w:color="auto" w:sz="4" w:space="0"/>
              <w:left w:val="single" w:color="auto" w:sz="4" w:space="0"/>
            </w:tcBorders>
            <w:noWrap w:val="0"/>
            <w:vAlign w:val="center"/>
          </w:tcPr>
          <w:p w14:paraId="5D1B1444">
            <w:pPr>
              <w:jc w:val="center"/>
              <w:rPr>
                <w:rFonts w:hint="eastAsia" w:ascii="宋体" w:hAnsi="宋体" w:cs="宋体"/>
                <w:b/>
                <w:sz w:val="24"/>
              </w:rPr>
            </w:pPr>
            <w:r>
              <w:rPr>
                <w:rFonts w:hint="eastAsia" w:ascii="宋体" w:hAnsi="宋体" w:cs="宋体"/>
                <w:b/>
                <w:sz w:val="24"/>
              </w:rPr>
              <w:t>项目</w:t>
            </w:r>
          </w:p>
        </w:tc>
        <w:tc>
          <w:tcPr>
            <w:tcW w:w="7074" w:type="dxa"/>
            <w:gridSpan w:val="2"/>
            <w:tcBorders>
              <w:top w:val="single" w:color="auto" w:sz="4" w:space="0"/>
            </w:tcBorders>
            <w:noWrap w:val="0"/>
            <w:vAlign w:val="center"/>
          </w:tcPr>
          <w:p w14:paraId="0B20448B">
            <w:pPr>
              <w:jc w:val="center"/>
              <w:rPr>
                <w:rFonts w:hint="eastAsia" w:ascii="宋体" w:hAnsi="宋体" w:cs="宋体"/>
                <w:b/>
                <w:sz w:val="24"/>
              </w:rPr>
            </w:pPr>
            <w:r>
              <w:rPr>
                <w:rFonts w:hint="eastAsia" w:ascii="宋体" w:hAnsi="宋体" w:cs="宋体"/>
                <w:b/>
                <w:sz w:val="24"/>
              </w:rPr>
              <w:t>评审内容</w:t>
            </w:r>
          </w:p>
        </w:tc>
        <w:tc>
          <w:tcPr>
            <w:tcW w:w="1502" w:type="dxa"/>
            <w:gridSpan w:val="2"/>
            <w:tcBorders>
              <w:top w:val="single" w:color="auto" w:sz="4" w:space="0"/>
              <w:right w:val="single" w:color="auto" w:sz="4" w:space="0"/>
            </w:tcBorders>
            <w:noWrap w:val="0"/>
            <w:vAlign w:val="center"/>
          </w:tcPr>
          <w:p w14:paraId="020247ED">
            <w:pPr>
              <w:jc w:val="center"/>
              <w:rPr>
                <w:rFonts w:hint="eastAsia" w:ascii="宋体" w:hAnsi="宋体" w:cs="宋体"/>
                <w:b/>
                <w:sz w:val="24"/>
              </w:rPr>
            </w:pPr>
            <w:r>
              <w:rPr>
                <w:rFonts w:hint="eastAsia" w:ascii="宋体" w:hAnsi="宋体" w:cs="宋体"/>
                <w:b/>
                <w:sz w:val="24"/>
              </w:rPr>
              <w:t>评审意见</w:t>
            </w:r>
          </w:p>
        </w:tc>
      </w:tr>
      <w:tr w14:paraId="15342B0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47" w:hRule="atLeast"/>
        </w:trPr>
        <w:tc>
          <w:tcPr>
            <w:tcW w:w="922" w:type="dxa"/>
            <w:tcBorders>
              <w:left w:val="single" w:color="auto" w:sz="4" w:space="0"/>
              <w:bottom w:val="single" w:color="auto" w:sz="4" w:space="0"/>
            </w:tcBorders>
            <w:noWrap w:val="0"/>
            <w:vAlign w:val="center"/>
          </w:tcPr>
          <w:p w14:paraId="62F71D02">
            <w:pPr>
              <w:rPr>
                <w:rFonts w:hint="eastAsia" w:ascii="宋体" w:hAnsi="宋体" w:cs="宋体"/>
              </w:rPr>
            </w:pPr>
          </w:p>
        </w:tc>
        <w:tc>
          <w:tcPr>
            <w:tcW w:w="7074" w:type="dxa"/>
            <w:gridSpan w:val="2"/>
            <w:tcBorders>
              <w:bottom w:val="single" w:color="auto" w:sz="4" w:space="0"/>
            </w:tcBorders>
            <w:noWrap w:val="0"/>
            <w:vAlign w:val="top"/>
          </w:tcPr>
          <w:p w14:paraId="7E8FA768">
            <w:pPr>
              <w:rPr>
                <w:rFonts w:hint="eastAsia" w:ascii="宋体" w:hAnsi="宋体" w:cs="宋体"/>
              </w:rPr>
            </w:pPr>
          </w:p>
        </w:tc>
        <w:tc>
          <w:tcPr>
            <w:tcW w:w="753" w:type="dxa"/>
            <w:noWrap w:val="0"/>
            <w:vAlign w:val="center"/>
          </w:tcPr>
          <w:p w14:paraId="7BBF2025">
            <w:pPr>
              <w:jc w:val="center"/>
              <w:rPr>
                <w:rFonts w:hint="eastAsia" w:ascii="宋体" w:hAnsi="宋体" w:cs="宋体"/>
                <w:b/>
                <w:sz w:val="24"/>
              </w:rPr>
            </w:pPr>
            <w:r>
              <w:rPr>
                <w:rFonts w:hint="eastAsia" w:ascii="宋体" w:hAnsi="宋体" w:cs="宋体"/>
                <w:color w:val="auto"/>
                <w:spacing w:val="-2"/>
                <w:szCs w:val="21"/>
              </w:rPr>
              <w:t>√</w:t>
            </w:r>
          </w:p>
        </w:tc>
        <w:tc>
          <w:tcPr>
            <w:tcW w:w="749" w:type="dxa"/>
            <w:tcBorders>
              <w:right w:val="single" w:color="auto" w:sz="4" w:space="0"/>
            </w:tcBorders>
            <w:noWrap w:val="0"/>
            <w:vAlign w:val="center"/>
          </w:tcPr>
          <w:p w14:paraId="2FF59E41">
            <w:pPr>
              <w:ind w:firstLine="209" w:firstLineChars="100"/>
              <w:rPr>
                <w:rFonts w:hint="eastAsia" w:ascii="宋体" w:hAnsi="宋体" w:cs="宋体"/>
                <w:b/>
                <w:sz w:val="24"/>
              </w:rPr>
            </w:pPr>
            <w:r>
              <w:rPr>
                <w:rFonts w:hint="eastAsia" w:ascii="宋体" w:hAnsi="宋体" w:cs="宋体"/>
                <w:color w:val="auto"/>
                <w:spacing w:val="-2"/>
                <w:szCs w:val="21"/>
              </w:rPr>
              <w:t>×</w:t>
            </w:r>
          </w:p>
        </w:tc>
      </w:tr>
      <w:tr w14:paraId="6C63F2F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40" w:hRule="atLeast"/>
        </w:trPr>
        <w:tc>
          <w:tcPr>
            <w:tcW w:w="922" w:type="dxa"/>
            <w:vMerge w:val="restart"/>
            <w:tcBorders>
              <w:top w:val="single" w:color="auto" w:sz="4" w:space="0"/>
              <w:left w:val="single" w:color="auto" w:sz="4" w:space="0"/>
              <w:right w:val="single" w:color="auto" w:sz="4" w:space="0"/>
            </w:tcBorders>
            <w:noWrap w:val="0"/>
            <w:vAlign w:val="center"/>
          </w:tcPr>
          <w:p w14:paraId="64F951AF">
            <w:pPr>
              <w:jc w:val="center"/>
              <w:rPr>
                <w:rFonts w:hint="eastAsia" w:ascii="宋体" w:hAnsi="宋体" w:cs="宋体"/>
                <w:szCs w:val="21"/>
              </w:rPr>
            </w:pPr>
            <w:r>
              <w:rPr>
                <w:rFonts w:hint="eastAsia" w:ascii="宋体" w:hAnsi="宋体" w:cs="宋体"/>
                <w:szCs w:val="21"/>
              </w:rPr>
              <w:t>审</w:t>
            </w:r>
          </w:p>
          <w:p w14:paraId="46C5CC40">
            <w:pPr>
              <w:jc w:val="center"/>
              <w:rPr>
                <w:rFonts w:hint="eastAsia" w:ascii="宋体" w:hAnsi="宋体" w:cs="宋体"/>
                <w:szCs w:val="21"/>
              </w:rPr>
            </w:pPr>
            <w:r>
              <w:rPr>
                <w:rFonts w:hint="eastAsia" w:ascii="宋体" w:hAnsi="宋体" w:cs="宋体"/>
                <w:szCs w:val="21"/>
              </w:rPr>
              <w:t>查</w:t>
            </w:r>
          </w:p>
          <w:p w14:paraId="5AC84DD8">
            <w:pPr>
              <w:jc w:val="center"/>
              <w:rPr>
                <w:rFonts w:hint="eastAsia" w:ascii="宋体" w:hAnsi="宋体" w:cs="宋体"/>
                <w:szCs w:val="21"/>
              </w:rPr>
            </w:pPr>
            <w:r>
              <w:rPr>
                <w:rFonts w:hint="eastAsia" w:ascii="宋体" w:hAnsi="宋体" w:cs="宋体"/>
                <w:szCs w:val="21"/>
              </w:rPr>
              <w:t>标</w:t>
            </w:r>
          </w:p>
          <w:p w14:paraId="5B9E6DED">
            <w:pPr>
              <w:jc w:val="center"/>
              <w:rPr>
                <w:rFonts w:hint="eastAsia" w:ascii="宋体" w:hAnsi="宋体" w:cs="宋体"/>
                <w:szCs w:val="21"/>
              </w:rPr>
            </w:pPr>
            <w:r>
              <w:rPr>
                <w:rFonts w:hint="eastAsia" w:ascii="宋体" w:hAnsi="宋体" w:cs="宋体"/>
                <w:szCs w:val="21"/>
              </w:rPr>
              <w:t>准</w:t>
            </w:r>
          </w:p>
        </w:tc>
        <w:tc>
          <w:tcPr>
            <w:tcW w:w="495" w:type="dxa"/>
            <w:tcBorders>
              <w:top w:val="single" w:color="auto" w:sz="4" w:space="0"/>
              <w:left w:val="single" w:color="auto" w:sz="4" w:space="0"/>
              <w:right w:val="single" w:color="auto" w:sz="4" w:space="0"/>
            </w:tcBorders>
            <w:noWrap w:val="0"/>
            <w:vAlign w:val="center"/>
          </w:tcPr>
          <w:p w14:paraId="6A679B4E">
            <w:pPr>
              <w:jc w:val="center"/>
              <w:rPr>
                <w:rFonts w:hint="eastAsia" w:ascii="宋体" w:hAnsi="宋体" w:cs="宋体"/>
                <w:sz w:val="20"/>
                <w:szCs w:val="20"/>
              </w:rPr>
            </w:pPr>
            <w:r>
              <w:rPr>
                <w:rFonts w:hint="eastAsia" w:ascii="宋体" w:hAnsi="宋体" w:cs="宋体"/>
                <w:sz w:val="20"/>
                <w:szCs w:val="20"/>
              </w:rPr>
              <w:t>1</w:t>
            </w:r>
          </w:p>
        </w:tc>
        <w:tc>
          <w:tcPr>
            <w:tcW w:w="6579" w:type="dxa"/>
            <w:tcBorders>
              <w:top w:val="single" w:color="auto" w:sz="4" w:space="0"/>
              <w:left w:val="single" w:color="auto" w:sz="4" w:space="0"/>
              <w:right w:val="single" w:color="auto" w:sz="4" w:space="0"/>
            </w:tcBorders>
            <w:noWrap w:val="0"/>
            <w:vAlign w:val="center"/>
          </w:tcPr>
          <w:p w14:paraId="382A348C">
            <w:pPr>
              <w:shd w:val="clear" w:color="auto" w:fill="auto"/>
              <w:spacing w:line="400" w:lineRule="exact"/>
              <w:jc w:val="left"/>
              <w:rPr>
                <w:rFonts w:hint="eastAsia" w:ascii="宋体" w:hAnsi="Times New Roman" w:eastAsia="宋体" w:cs="Times New Roman"/>
                <w:color w:val="auto"/>
                <w:szCs w:val="21"/>
                <w:highlight w:val="none"/>
              </w:rPr>
            </w:pPr>
            <w:r>
              <w:rPr>
                <w:rFonts w:hint="eastAsia" w:ascii="宋体" w:hAnsi="Times New Roman" w:eastAsia="宋体" w:cs="Times New Roman"/>
                <w:color w:val="auto"/>
                <w:szCs w:val="21"/>
                <w:highlight w:val="none"/>
              </w:rPr>
              <w:t>由政府立项核准、审批的采购项目, 报价</w:t>
            </w:r>
            <w:r>
              <w:rPr>
                <w:rFonts w:hint="eastAsia" w:ascii="宋体" w:hAnsi="Times New Roman" w:eastAsia="宋体" w:cs="Times New Roman"/>
                <w:color w:val="auto"/>
                <w:szCs w:val="21"/>
                <w:highlight w:val="none"/>
                <w:lang w:val="en-US" w:eastAsia="zh-CN"/>
              </w:rPr>
              <w:t>未</w:t>
            </w:r>
            <w:r>
              <w:rPr>
                <w:rFonts w:hint="eastAsia" w:ascii="宋体" w:hAnsi="Times New Roman" w:eastAsia="宋体" w:cs="Times New Roman"/>
                <w:color w:val="auto"/>
                <w:szCs w:val="21"/>
                <w:highlight w:val="none"/>
              </w:rPr>
              <w:t>高于设定的采购</w:t>
            </w:r>
            <w:r>
              <w:rPr>
                <w:rFonts w:hint="eastAsia" w:ascii="宋体" w:cs="Times New Roman"/>
                <w:color w:val="auto"/>
                <w:szCs w:val="21"/>
                <w:highlight w:val="none"/>
                <w:lang w:val="en-US" w:eastAsia="zh-CN"/>
              </w:rPr>
              <w:t>最高限价</w:t>
            </w:r>
            <w:r>
              <w:rPr>
                <w:rFonts w:hint="eastAsia" w:ascii="宋体" w:hAnsi="Times New Roman" w:eastAsia="宋体" w:cs="Times New Roman"/>
                <w:color w:val="auto"/>
                <w:szCs w:val="21"/>
                <w:highlight w:val="none"/>
              </w:rPr>
              <w:t>的；</w:t>
            </w:r>
          </w:p>
        </w:tc>
        <w:tc>
          <w:tcPr>
            <w:tcW w:w="753" w:type="dxa"/>
            <w:tcBorders>
              <w:left w:val="single" w:color="auto" w:sz="4" w:space="0"/>
              <w:right w:val="single" w:color="auto" w:sz="4" w:space="0"/>
            </w:tcBorders>
            <w:noWrap w:val="0"/>
            <w:vAlign w:val="top"/>
          </w:tcPr>
          <w:p w14:paraId="7551050F">
            <w:pPr>
              <w:jc w:val="center"/>
              <w:rPr>
                <w:rFonts w:hint="eastAsia" w:ascii="宋体" w:hAnsi="宋体" w:cs="宋体"/>
                <w:b/>
                <w:szCs w:val="21"/>
              </w:rPr>
            </w:pPr>
          </w:p>
        </w:tc>
        <w:tc>
          <w:tcPr>
            <w:tcW w:w="749" w:type="dxa"/>
            <w:tcBorders>
              <w:left w:val="single" w:color="auto" w:sz="4" w:space="0"/>
              <w:right w:val="single" w:color="auto" w:sz="4" w:space="0"/>
            </w:tcBorders>
            <w:noWrap w:val="0"/>
            <w:vAlign w:val="top"/>
          </w:tcPr>
          <w:p w14:paraId="214CF7AE">
            <w:pPr>
              <w:jc w:val="center"/>
              <w:rPr>
                <w:rFonts w:hint="eastAsia" w:ascii="宋体" w:hAnsi="宋体" w:cs="宋体"/>
                <w:b/>
                <w:szCs w:val="21"/>
              </w:rPr>
            </w:pPr>
          </w:p>
        </w:tc>
      </w:tr>
      <w:tr w14:paraId="0EC62DA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40" w:hRule="atLeast"/>
        </w:trPr>
        <w:tc>
          <w:tcPr>
            <w:tcW w:w="922" w:type="dxa"/>
            <w:vMerge w:val="continue"/>
            <w:tcBorders>
              <w:left w:val="single" w:color="auto" w:sz="4" w:space="0"/>
              <w:right w:val="single" w:color="auto" w:sz="4" w:space="0"/>
            </w:tcBorders>
            <w:noWrap w:val="0"/>
            <w:vAlign w:val="center"/>
          </w:tcPr>
          <w:p w14:paraId="6FAB9DC4">
            <w:pPr>
              <w:rPr>
                <w:rFonts w:hint="eastAsia" w:ascii="宋体" w:hAnsi="宋体" w:cs="宋体"/>
              </w:rPr>
            </w:pPr>
          </w:p>
        </w:tc>
        <w:tc>
          <w:tcPr>
            <w:tcW w:w="495" w:type="dxa"/>
            <w:tcBorders>
              <w:top w:val="single" w:color="auto" w:sz="4" w:space="0"/>
              <w:left w:val="single" w:color="auto" w:sz="4" w:space="0"/>
              <w:bottom w:val="single" w:color="auto" w:sz="4" w:space="0"/>
              <w:right w:val="single" w:color="auto" w:sz="4" w:space="0"/>
            </w:tcBorders>
            <w:noWrap w:val="0"/>
            <w:vAlign w:val="center"/>
          </w:tcPr>
          <w:p w14:paraId="1BDDF4DE">
            <w:pPr>
              <w:jc w:val="center"/>
              <w:rPr>
                <w:rFonts w:hint="eastAsia" w:ascii="宋体" w:hAnsi="宋体" w:cs="宋体"/>
                <w:sz w:val="20"/>
                <w:szCs w:val="20"/>
              </w:rPr>
            </w:pPr>
            <w:r>
              <w:rPr>
                <w:rFonts w:hint="eastAsia" w:ascii="宋体" w:hAnsi="宋体" w:cs="宋体"/>
                <w:sz w:val="20"/>
                <w:szCs w:val="20"/>
              </w:rPr>
              <w:t>2</w:t>
            </w:r>
          </w:p>
        </w:tc>
        <w:tc>
          <w:tcPr>
            <w:tcW w:w="6579" w:type="dxa"/>
            <w:tcBorders>
              <w:top w:val="single" w:color="auto" w:sz="4" w:space="0"/>
              <w:left w:val="single" w:color="auto" w:sz="4" w:space="0"/>
              <w:bottom w:val="single" w:color="auto" w:sz="4" w:space="0"/>
              <w:right w:val="single" w:color="auto" w:sz="4" w:space="0"/>
            </w:tcBorders>
            <w:noWrap w:val="0"/>
            <w:vAlign w:val="center"/>
          </w:tcPr>
          <w:p w14:paraId="2B9B5BFE">
            <w:pPr>
              <w:shd w:val="clear" w:color="auto" w:fill="auto"/>
              <w:spacing w:line="400" w:lineRule="exact"/>
              <w:jc w:val="left"/>
              <w:rPr>
                <w:rFonts w:hint="eastAsia" w:ascii="宋体" w:hAnsi="Times New Roman" w:eastAsia="宋体" w:cs="Times New Roman"/>
                <w:color w:val="auto"/>
                <w:szCs w:val="21"/>
                <w:highlight w:val="none"/>
                <w:lang w:eastAsia="zh-CN"/>
              </w:rPr>
            </w:pPr>
            <w:r>
              <w:rPr>
                <w:rFonts w:hint="eastAsia" w:ascii="宋体" w:hAnsi="Times New Roman" w:eastAsia="宋体" w:cs="Times New Roman"/>
                <w:color w:val="auto"/>
                <w:szCs w:val="21"/>
                <w:highlight w:val="none"/>
              </w:rPr>
              <w:t>法定代表人身份证明及授权委托书有效</w:t>
            </w:r>
            <w:r>
              <w:rPr>
                <w:rFonts w:hint="eastAsia" w:ascii="宋体" w:cs="Times New Roman"/>
                <w:color w:val="auto"/>
                <w:szCs w:val="21"/>
                <w:highlight w:val="none"/>
                <w:lang w:eastAsia="zh-CN"/>
              </w:rPr>
              <w:t>；</w:t>
            </w:r>
          </w:p>
        </w:tc>
        <w:tc>
          <w:tcPr>
            <w:tcW w:w="753" w:type="dxa"/>
            <w:tcBorders>
              <w:left w:val="single" w:color="auto" w:sz="4" w:space="0"/>
            </w:tcBorders>
            <w:noWrap w:val="0"/>
            <w:vAlign w:val="top"/>
          </w:tcPr>
          <w:p w14:paraId="56BA37A2">
            <w:pPr>
              <w:rPr>
                <w:rFonts w:hint="eastAsia" w:ascii="宋体" w:hAnsi="宋体" w:cs="宋体"/>
                <w:szCs w:val="21"/>
              </w:rPr>
            </w:pPr>
          </w:p>
        </w:tc>
        <w:tc>
          <w:tcPr>
            <w:tcW w:w="749" w:type="dxa"/>
            <w:tcBorders>
              <w:right w:val="single" w:color="auto" w:sz="4" w:space="0"/>
            </w:tcBorders>
            <w:noWrap w:val="0"/>
            <w:vAlign w:val="top"/>
          </w:tcPr>
          <w:p w14:paraId="451F8C05">
            <w:pPr>
              <w:rPr>
                <w:rFonts w:hint="eastAsia" w:ascii="宋体" w:hAnsi="宋体" w:cs="宋体"/>
                <w:szCs w:val="21"/>
              </w:rPr>
            </w:pPr>
          </w:p>
        </w:tc>
      </w:tr>
      <w:tr w14:paraId="7F8D254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26" w:hRule="atLeast"/>
        </w:trPr>
        <w:tc>
          <w:tcPr>
            <w:tcW w:w="922" w:type="dxa"/>
            <w:vMerge w:val="continue"/>
            <w:tcBorders>
              <w:left w:val="single" w:color="auto" w:sz="4" w:space="0"/>
              <w:right w:val="single" w:color="auto" w:sz="4" w:space="0"/>
            </w:tcBorders>
            <w:noWrap w:val="0"/>
            <w:vAlign w:val="center"/>
          </w:tcPr>
          <w:p w14:paraId="46AA31C1">
            <w:pPr>
              <w:rPr>
                <w:rFonts w:hint="eastAsia" w:ascii="宋体" w:hAnsi="宋体" w:cs="宋体"/>
              </w:rPr>
            </w:pPr>
          </w:p>
        </w:tc>
        <w:tc>
          <w:tcPr>
            <w:tcW w:w="495" w:type="dxa"/>
            <w:tcBorders>
              <w:top w:val="single" w:color="auto" w:sz="4" w:space="0"/>
              <w:left w:val="single" w:color="auto" w:sz="4" w:space="0"/>
              <w:right w:val="single" w:color="auto" w:sz="4" w:space="0"/>
            </w:tcBorders>
            <w:noWrap w:val="0"/>
            <w:vAlign w:val="center"/>
          </w:tcPr>
          <w:p w14:paraId="5E91F42D">
            <w:pPr>
              <w:jc w:val="center"/>
              <w:rPr>
                <w:rFonts w:hint="eastAsia" w:ascii="宋体" w:hAnsi="宋体" w:cs="宋体"/>
                <w:sz w:val="20"/>
                <w:szCs w:val="20"/>
              </w:rPr>
            </w:pPr>
            <w:r>
              <w:rPr>
                <w:rFonts w:hint="eastAsia" w:ascii="宋体" w:hAnsi="宋体" w:cs="宋体"/>
                <w:sz w:val="20"/>
                <w:szCs w:val="20"/>
              </w:rPr>
              <w:t>3</w:t>
            </w:r>
          </w:p>
        </w:tc>
        <w:tc>
          <w:tcPr>
            <w:tcW w:w="6579" w:type="dxa"/>
            <w:tcBorders>
              <w:top w:val="single" w:color="auto" w:sz="4" w:space="0"/>
              <w:left w:val="single" w:color="auto" w:sz="4" w:space="0"/>
              <w:right w:val="single" w:color="auto" w:sz="4" w:space="0"/>
            </w:tcBorders>
            <w:noWrap w:val="0"/>
            <w:vAlign w:val="center"/>
          </w:tcPr>
          <w:p w14:paraId="52E0B71C">
            <w:pPr>
              <w:shd w:val="clear" w:color="auto" w:fill="auto"/>
              <w:spacing w:line="400" w:lineRule="exact"/>
              <w:jc w:val="left"/>
              <w:rPr>
                <w:rFonts w:hint="eastAsia" w:ascii="宋体" w:hAnsi="Times New Roman" w:eastAsia="宋体" w:cs="Times New Roman"/>
                <w:color w:val="auto"/>
                <w:szCs w:val="21"/>
                <w:highlight w:val="none"/>
              </w:rPr>
            </w:pPr>
            <w:r>
              <w:rPr>
                <w:rFonts w:hint="eastAsia" w:ascii="宋体" w:hAnsi="Times New Roman" w:eastAsia="宋体" w:cs="Times New Roman"/>
                <w:color w:val="auto"/>
                <w:szCs w:val="21"/>
                <w:highlight w:val="none"/>
              </w:rPr>
              <w:t>只有一个方案投标。</w:t>
            </w:r>
          </w:p>
        </w:tc>
        <w:tc>
          <w:tcPr>
            <w:tcW w:w="753" w:type="dxa"/>
            <w:tcBorders>
              <w:left w:val="single" w:color="auto" w:sz="4" w:space="0"/>
            </w:tcBorders>
            <w:noWrap w:val="0"/>
            <w:vAlign w:val="top"/>
          </w:tcPr>
          <w:p w14:paraId="5D099DFD">
            <w:pPr>
              <w:rPr>
                <w:rFonts w:hint="eastAsia" w:ascii="宋体" w:hAnsi="宋体" w:cs="宋体"/>
                <w:szCs w:val="21"/>
              </w:rPr>
            </w:pPr>
          </w:p>
        </w:tc>
        <w:tc>
          <w:tcPr>
            <w:tcW w:w="749" w:type="dxa"/>
            <w:tcBorders>
              <w:right w:val="single" w:color="auto" w:sz="4" w:space="0"/>
            </w:tcBorders>
            <w:noWrap w:val="0"/>
            <w:vAlign w:val="top"/>
          </w:tcPr>
          <w:p w14:paraId="59C11A98">
            <w:pPr>
              <w:rPr>
                <w:rFonts w:hint="eastAsia" w:ascii="宋体" w:hAnsi="宋体" w:cs="宋体"/>
                <w:szCs w:val="21"/>
              </w:rPr>
            </w:pPr>
          </w:p>
        </w:tc>
      </w:tr>
      <w:tr w14:paraId="5D75ED2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91" w:hRule="atLeast"/>
        </w:trPr>
        <w:tc>
          <w:tcPr>
            <w:tcW w:w="922" w:type="dxa"/>
            <w:vMerge w:val="continue"/>
            <w:tcBorders>
              <w:left w:val="single" w:color="auto" w:sz="4" w:space="0"/>
              <w:right w:val="single" w:color="auto" w:sz="4" w:space="0"/>
            </w:tcBorders>
            <w:noWrap w:val="0"/>
            <w:vAlign w:val="center"/>
          </w:tcPr>
          <w:p w14:paraId="5D9E69FA">
            <w:pPr>
              <w:rPr>
                <w:rFonts w:hint="eastAsia" w:ascii="宋体" w:hAnsi="宋体" w:cs="宋体"/>
              </w:rPr>
            </w:pPr>
          </w:p>
        </w:tc>
        <w:tc>
          <w:tcPr>
            <w:tcW w:w="495" w:type="dxa"/>
            <w:tcBorders>
              <w:left w:val="single" w:color="auto" w:sz="4" w:space="0"/>
            </w:tcBorders>
            <w:noWrap w:val="0"/>
            <w:vAlign w:val="center"/>
          </w:tcPr>
          <w:p w14:paraId="317C7A22">
            <w:pPr>
              <w:jc w:val="center"/>
              <w:rPr>
                <w:rFonts w:hint="eastAsia" w:ascii="宋体" w:hAnsi="宋体" w:cs="宋体"/>
                <w:sz w:val="20"/>
                <w:szCs w:val="20"/>
              </w:rPr>
            </w:pPr>
            <w:r>
              <w:rPr>
                <w:rFonts w:hint="eastAsia" w:ascii="宋体" w:hAnsi="宋体" w:cs="宋体"/>
                <w:sz w:val="20"/>
                <w:szCs w:val="20"/>
              </w:rPr>
              <w:t>4</w:t>
            </w:r>
          </w:p>
        </w:tc>
        <w:tc>
          <w:tcPr>
            <w:tcW w:w="6579" w:type="dxa"/>
            <w:tcBorders>
              <w:right w:val="single" w:color="auto" w:sz="4" w:space="0"/>
            </w:tcBorders>
            <w:noWrap w:val="0"/>
            <w:vAlign w:val="center"/>
          </w:tcPr>
          <w:p w14:paraId="5CA1A820">
            <w:pPr>
              <w:shd w:val="clear" w:color="auto" w:fill="auto"/>
              <w:spacing w:line="400" w:lineRule="exact"/>
              <w:jc w:val="left"/>
              <w:rPr>
                <w:rFonts w:hint="eastAsia" w:ascii="宋体" w:hAnsi="Times New Roman" w:eastAsia="宋体" w:cs="Times New Roman"/>
                <w:color w:val="auto"/>
                <w:szCs w:val="21"/>
                <w:highlight w:val="none"/>
              </w:rPr>
            </w:pPr>
            <w:r>
              <w:rPr>
                <w:rFonts w:hint="eastAsia" w:ascii="宋体" w:hAnsi="Times New Roman" w:eastAsia="宋体" w:cs="Times New Roman"/>
                <w:color w:val="auto"/>
                <w:szCs w:val="21"/>
                <w:highlight w:val="none"/>
              </w:rPr>
              <w:t>投标文件内容齐全、无遗漏。</w:t>
            </w:r>
          </w:p>
        </w:tc>
        <w:tc>
          <w:tcPr>
            <w:tcW w:w="753" w:type="dxa"/>
            <w:tcBorders>
              <w:left w:val="single" w:color="auto" w:sz="4" w:space="0"/>
            </w:tcBorders>
            <w:noWrap w:val="0"/>
            <w:vAlign w:val="top"/>
          </w:tcPr>
          <w:p w14:paraId="7E6525C7">
            <w:pPr>
              <w:rPr>
                <w:rFonts w:hint="eastAsia" w:ascii="宋体" w:hAnsi="宋体" w:cs="宋体"/>
                <w:szCs w:val="21"/>
              </w:rPr>
            </w:pPr>
          </w:p>
        </w:tc>
        <w:tc>
          <w:tcPr>
            <w:tcW w:w="749" w:type="dxa"/>
            <w:tcBorders>
              <w:right w:val="single" w:color="auto" w:sz="4" w:space="0"/>
            </w:tcBorders>
            <w:noWrap w:val="0"/>
            <w:vAlign w:val="top"/>
          </w:tcPr>
          <w:p w14:paraId="0BC1248C">
            <w:pPr>
              <w:rPr>
                <w:rFonts w:hint="eastAsia" w:ascii="宋体" w:hAnsi="宋体" w:cs="宋体"/>
                <w:szCs w:val="21"/>
              </w:rPr>
            </w:pPr>
          </w:p>
        </w:tc>
      </w:tr>
      <w:tr w14:paraId="20AB281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66" w:hRule="atLeast"/>
        </w:trPr>
        <w:tc>
          <w:tcPr>
            <w:tcW w:w="922" w:type="dxa"/>
            <w:vMerge w:val="continue"/>
            <w:tcBorders>
              <w:left w:val="single" w:color="auto" w:sz="4" w:space="0"/>
              <w:right w:val="single" w:color="auto" w:sz="4" w:space="0"/>
            </w:tcBorders>
            <w:noWrap w:val="0"/>
            <w:vAlign w:val="center"/>
          </w:tcPr>
          <w:p w14:paraId="4A87D152">
            <w:pPr>
              <w:rPr>
                <w:rFonts w:hint="eastAsia" w:ascii="宋体" w:hAnsi="宋体" w:cs="宋体"/>
              </w:rPr>
            </w:pPr>
          </w:p>
        </w:tc>
        <w:tc>
          <w:tcPr>
            <w:tcW w:w="495" w:type="dxa"/>
            <w:tcBorders>
              <w:left w:val="single" w:color="auto" w:sz="4" w:space="0"/>
              <w:bottom w:val="single" w:color="auto" w:sz="4" w:space="0"/>
            </w:tcBorders>
            <w:noWrap w:val="0"/>
            <w:vAlign w:val="center"/>
          </w:tcPr>
          <w:p w14:paraId="6AA7980C">
            <w:pPr>
              <w:jc w:val="center"/>
              <w:rPr>
                <w:rFonts w:hint="eastAsia" w:ascii="宋体" w:hAnsi="宋体" w:cs="宋体"/>
                <w:sz w:val="20"/>
                <w:szCs w:val="20"/>
              </w:rPr>
            </w:pPr>
            <w:r>
              <w:rPr>
                <w:rFonts w:hint="eastAsia" w:ascii="宋体" w:hAnsi="宋体" w:cs="宋体"/>
                <w:sz w:val="20"/>
                <w:szCs w:val="20"/>
              </w:rPr>
              <w:t>5</w:t>
            </w:r>
          </w:p>
        </w:tc>
        <w:tc>
          <w:tcPr>
            <w:tcW w:w="6579" w:type="dxa"/>
            <w:tcBorders>
              <w:bottom w:val="single" w:color="auto" w:sz="4" w:space="0"/>
              <w:right w:val="single" w:color="auto" w:sz="4" w:space="0"/>
            </w:tcBorders>
            <w:noWrap w:val="0"/>
            <w:vAlign w:val="center"/>
          </w:tcPr>
          <w:p w14:paraId="1F6789EC">
            <w:pPr>
              <w:shd w:val="clear" w:color="auto" w:fill="auto"/>
              <w:spacing w:line="400" w:lineRule="exact"/>
              <w:jc w:val="left"/>
              <w:rPr>
                <w:rFonts w:hint="eastAsia" w:ascii="宋体" w:hAnsi="Times New Roman" w:eastAsia="宋体" w:cs="Times New Roman"/>
                <w:color w:val="auto"/>
                <w:szCs w:val="21"/>
                <w:highlight w:val="none"/>
              </w:rPr>
            </w:pPr>
            <w:r>
              <w:rPr>
                <w:rFonts w:hint="eastAsia" w:ascii="宋体" w:hAnsi="Times New Roman" w:eastAsia="宋体" w:cs="Times New Roman"/>
                <w:color w:val="auto"/>
                <w:szCs w:val="21"/>
                <w:highlight w:val="none"/>
              </w:rPr>
              <w:t>对招标文件规定的招标内容全部作出响应。</w:t>
            </w:r>
          </w:p>
        </w:tc>
        <w:tc>
          <w:tcPr>
            <w:tcW w:w="753" w:type="dxa"/>
            <w:tcBorders>
              <w:left w:val="single" w:color="auto" w:sz="4" w:space="0"/>
              <w:bottom w:val="single" w:color="auto" w:sz="4" w:space="0"/>
            </w:tcBorders>
            <w:noWrap w:val="0"/>
            <w:vAlign w:val="top"/>
          </w:tcPr>
          <w:p w14:paraId="28440ACE">
            <w:pPr>
              <w:rPr>
                <w:rFonts w:hint="eastAsia" w:ascii="宋体" w:hAnsi="宋体" w:cs="宋体"/>
                <w:szCs w:val="21"/>
              </w:rPr>
            </w:pPr>
          </w:p>
        </w:tc>
        <w:tc>
          <w:tcPr>
            <w:tcW w:w="749" w:type="dxa"/>
            <w:tcBorders>
              <w:bottom w:val="single" w:color="auto" w:sz="4" w:space="0"/>
              <w:right w:val="single" w:color="auto" w:sz="4" w:space="0"/>
            </w:tcBorders>
            <w:noWrap w:val="0"/>
            <w:vAlign w:val="top"/>
          </w:tcPr>
          <w:p w14:paraId="46C4D094">
            <w:pPr>
              <w:rPr>
                <w:rFonts w:hint="eastAsia" w:ascii="宋体" w:hAnsi="宋体" w:cs="宋体"/>
                <w:szCs w:val="21"/>
              </w:rPr>
            </w:pPr>
          </w:p>
        </w:tc>
      </w:tr>
      <w:tr w14:paraId="3EBC891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922" w:type="dxa"/>
            <w:vMerge w:val="continue"/>
            <w:tcBorders>
              <w:left w:val="single" w:color="auto" w:sz="4" w:space="0"/>
              <w:right w:val="single" w:color="auto" w:sz="4" w:space="0"/>
            </w:tcBorders>
            <w:noWrap w:val="0"/>
            <w:vAlign w:val="center"/>
          </w:tcPr>
          <w:p w14:paraId="5CA3B79F">
            <w:pPr>
              <w:rPr>
                <w:rFonts w:hint="eastAsia" w:ascii="宋体" w:hAnsi="宋体" w:cs="宋体"/>
              </w:rPr>
            </w:pPr>
          </w:p>
        </w:tc>
        <w:tc>
          <w:tcPr>
            <w:tcW w:w="495" w:type="dxa"/>
            <w:tcBorders>
              <w:top w:val="single" w:color="auto" w:sz="4" w:space="0"/>
              <w:left w:val="single" w:color="auto" w:sz="4" w:space="0"/>
              <w:bottom w:val="single" w:color="auto" w:sz="4" w:space="0"/>
              <w:right w:val="single" w:color="auto" w:sz="4" w:space="0"/>
            </w:tcBorders>
            <w:noWrap w:val="0"/>
            <w:vAlign w:val="center"/>
          </w:tcPr>
          <w:p w14:paraId="7252B0D9">
            <w:pPr>
              <w:jc w:val="center"/>
              <w:rPr>
                <w:rFonts w:hint="eastAsia" w:ascii="宋体" w:hAnsi="宋体" w:cs="宋体"/>
                <w:sz w:val="20"/>
                <w:szCs w:val="20"/>
              </w:rPr>
            </w:pPr>
            <w:r>
              <w:rPr>
                <w:rFonts w:hint="eastAsia" w:ascii="宋体" w:hAnsi="宋体" w:cs="宋体"/>
                <w:sz w:val="20"/>
                <w:szCs w:val="20"/>
              </w:rPr>
              <w:t>6</w:t>
            </w:r>
          </w:p>
        </w:tc>
        <w:tc>
          <w:tcPr>
            <w:tcW w:w="6579" w:type="dxa"/>
            <w:tcBorders>
              <w:top w:val="single" w:color="auto" w:sz="4" w:space="0"/>
              <w:left w:val="single" w:color="auto" w:sz="4" w:space="0"/>
              <w:bottom w:val="single" w:color="auto" w:sz="4" w:space="0"/>
              <w:right w:val="single" w:color="auto" w:sz="4" w:space="0"/>
            </w:tcBorders>
            <w:noWrap w:val="0"/>
            <w:vAlign w:val="center"/>
          </w:tcPr>
          <w:p w14:paraId="65179B17">
            <w:pPr>
              <w:shd w:val="clear" w:color="auto" w:fill="auto"/>
              <w:spacing w:line="400" w:lineRule="exact"/>
              <w:jc w:val="left"/>
              <w:rPr>
                <w:rFonts w:hint="eastAsia" w:ascii="宋体" w:hAnsi="Times New Roman" w:eastAsia="宋体" w:cs="Times New Roman"/>
                <w:color w:val="auto"/>
                <w:szCs w:val="21"/>
                <w:highlight w:val="none"/>
              </w:rPr>
            </w:pPr>
            <w:r>
              <w:rPr>
                <w:rFonts w:hint="eastAsia" w:ascii="宋体" w:hAnsi="Times New Roman" w:eastAsia="宋体" w:cs="Times New Roman"/>
                <w:color w:val="auto"/>
                <w:szCs w:val="21"/>
                <w:highlight w:val="none"/>
              </w:rPr>
              <w:t>满足招标文件提出的技术和质量要求。</w:t>
            </w:r>
          </w:p>
        </w:tc>
        <w:tc>
          <w:tcPr>
            <w:tcW w:w="753" w:type="dxa"/>
            <w:tcBorders>
              <w:top w:val="single" w:color="auto" w:sz="4" w:space="0"/>
              <w:left w:val="single" w:color="auto" w:sz="4" w:space="0"/>
              <w:bottom w:val="single" w:color="auto" w:sz="4" w:space="0"/>
              <w:right w:val="single" w:color="auto" w:sz="4" w:space="0"/>
            </w:tcBorders>
            <w:noWrap w:val="0"/>
            <w:vAlign w:val="top"/>
          </w:tcPr>
          <w:p w14:paraId="5090C349">
            <w:pPr>
              <w:rPr>
                <w:rFonts w:hint="eastAsia" w:ascii="宋体" w:hAnsi="宋体" w:cs="宋体"/>
                <w:szCs w:val="21"/>
              </w:rPr>
            </w:pPr>
          </w:p>
        </w:tc>
        <w:tc>
          <w:tcPr>
            <w:tcW w:w="749" w:type="dxa"/>
            <w:tcBorders>
              <w:top w:val="single" w:color="auto" w:sz="4" w:space="0"/>
              <w:left w:val="single" w:color="auto" w:sz="4" w:space="0"/>
              <w:bottom w:val="single" w:color="auto" w:sz="4" w:space="0"/>
              <w:right w:val="single" w:color="auto" w:sz="4" w:space="0"/>
            </w:tcBorders>
            <w:noWrap w:val="0"/>
            <w:vAlign w:val="top"/>
          </w:tcPr>
          <w:p w14:paraId="28CC6E96">
            <w:pPr>
              <w:rPr>
                <w:rFonts w:hint="eastAsia" w:ascii="宋体" w:hAnsi="宋体" w:cs="宋体"/>
                <w:szCs w:val="21"/>
              </w:rPr>
            </w:pPr>
          </w:p>
        </w:tc>
      </w:tr>
      <w:tr w14:paraId="005E8FB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66" w:hRule="atLeast"/>
        </w:trPr>
        <w:tc>
          <w:tcPr>
            <w:tcW w:w="922" w:type="dxa"/>
            <w:vMerge w:val="continue"/>
            <w:tcBorders>
              <w:left w:val="single" w:color="auto" w:sz="4" w:space="0"/>
              <w:right w:val="single" w:color="auto" w:sz="4" w:space="0"/>
            </w:tcBorders>
            <w:noWrap w:val="0"/>
            <w:vAlign w:val="center"/>
          </w:tcPr>
          <w:p w14:paraId="4B16166F">
            <w:pPr>
              <w:rPr>
                <w:rFonts w:hint="eastAsia" w:ascii="宋体" w:hAnsi="宋体" w:cs="宋体"/>
              </w:rPr>
            </w:pPr>
          </w:p>
        </w:tc>
        <w:tc>
          <w:tcPr>
            <w:tcW w:w="495" w:type="dxa"/>
            <w:tcBorders>
              <w:top w:val="single" w:color="auto" w:sz="4" w:space="0"/>
              <w:left w:val="single" w:color="auto" w:sz="4" w:space="0"/>
            </w:tcBorders>
            <w:noWrap w:val="0"/>
            <w:vAlign w:val="center"/>
          </w:tcPr>
          <w:p w14:paraId="028A90B6">
            <w:pPr>
              <w:shd w:val="clear" w:color="auto" w:fill="auto"/>
              <w:spacing w:line="400" w:lineRule="exact"/>
              <w:jc w:val="center"/>
              <w:rPr>
                <w:rFonts w:hint="eastAsia" w:ascii="宋体" w:hAnsi="Times New Roman" w:eastAsia="宋体" w:cs="Times New Roman"/>
                <w:color w:val="auto"/>
                <w:szCs w:val="21"/>
                <w:highlight w:val="none"/>
              </w:rPr>
            </w:pPr>
            <w:r>
              <w:rPr>
                <w:rFonts w:hint="eastAsia" w:ascii="宋体" w:hAnsi="Times New Roman" w:eastAsia="宋体" w:cs="Times New Roman"/>
                <w:color w:val="auto"/>
                <w:szCs w:val="21"/>
                <w:highlight w:val="none"/>
              </w:rPr>
              <w:t>7</w:t>
            </w:r>
          </w:p>
        </w:tc>
        <w:tc>
          <w:tcPr>
            <w:tcW w:w="6579" w:type="dxa"/>
            <w:tcBorders>
              <w:top w:val="single" w:color="auto" w:sz="4" w:space="0"/>
              <w:right w:val="single" w:color="auto" w:sz="4" w:space="0"/>
            </w:tcBorders>
            <w:noWrap w:val="0"/>
            <w:vAlign w:val="center"/>
          </w:tcPr>
          <w:p w14:paraId="47E6433D">
            <w:pPr>
              <w:shd w:val="clear" w:color="auto" w:fill="auto"/>
              <w:spacing w:line="400" w:lineRule="exact"/>
              <w:jc w:val="left"/>
              <w:rPr>
                <w:rFonts w:hint="eastAsia" w:ascii="宋体" w:hAnsi="Times New Roman" w:eastAsia="宋体" w:cs="Times New Roman"/>
                <w:color w:val="auto"/>
                <w:szCs w:val="21"/>
                <w:highlight w:val="none"/>
              </w:rPr>
            </w:pPr>
            <w:r>
              <w:rPr>
                <w:rFonts w:hint="eastAsia" w:ascii="宋体" w:hAnsi="Times New Roman" w:eastAsia="宋体" w:cs="Times New Roman"/>
                <w:color w:val="auto"/>
                <w:szCs w:val="21"/>
                <w:highlight w:val="none"/>
                <w:lang w:val="en-US" w:eastAsia="zh-CN"/>
              </w:rPr>
              <w:t>供货</w:t>
            </w:r>
            <w:r>
              <w:rPr>
                <w:rFonts w:hint="eastAsia" w:ascii="宋体" w:hAnsi="Times New Roman" w:eastAsia="宋体" w:cs="Times New Roman"/>
                <w:color w:val="auto"/>
                <w:szCs w:val="21"/>
                <w:highlight w:val="none"/>
              </w:rPr>
              <w:t>期限满足招标文件要求。</w:t>
            </w:r>
          </w:p>
        </w:tc>
        <w:tc>
          <w:tcPr>
            <w:tcW w:w="753" w:type="dxa"/>
            <w:tcBorders>
              <w:top w:val="single" w:color="auto" w:sz="4" w:space="0"/>
              <w:left w:val="single" w:color="auto" w:sz="4" w:space="0"/>
            </w:tcBorders>
            <w:noWrap w:val="0"/>
            <w:vAlign w:val="top"/>
          </w:tcPr>
          <w:p w14:paraId="29F629CA">
            <w:pPr>
              <w:rPr>
                <w:rFonts w:hint="eastAsia" w:ascii="宋体" w:hAnsi="宋体" w:cs="宋体"/>
                <w:szCs w:val="21"/>
              </w:rPr>
            </w:pPr>
          </w:p>
        </w:tc>
        <w:tc>
          <w:tcPr>
            <w:tcW w:w="749" w:type="dxa"/>
            <w:tcBorders>
              <w:top w:val="single" w:color="auto" w:sz="4" w:space="0"/>
              <w:right w:val="single" w:color="auto" w:sz="4" w:space="0"/>
            </w:tcBorders>
            <w:noWrap w:val="0"/>
            <w:vAlign w:val="top"/>
          </w:tcPr>
          <w:p w14:paraId="06AD6F7A">
            <w:pPr>
              <w:rPr>
                <w:rFonts w:hint="eastAsia" w:ascii="宋体" w:hAnsi="宋体" w:cs="宋体"/>
                <w:szCs w:val="21"/>
              </w:rPr>
            </w:pPr>
          </w:p>
        </w:tc>
      </w:tr>
      <w:tr w14:paraId="42B4649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91" w:hRule="atLeast"/>
        </w:trPr>
        <w:tc>
          <w:tcPr>
            <w:tcW w:w="922" w:type="dxa"/>
            <w:vMerge w:val="continue"/>
            <w:tcBorders>
              <w:left w:val="single" w:color="auto" w:sz="4" w:space="0"/>
              <w:right w:val="single" w:color="auto" w:sz="4" w:space="0"/>
            </w:tcBorders>
            <w:noWrap w:val="0"/>
            <w:vAlign w:val="center"/>
          </w:tcPr>
          <w:p w14:paraId="59C5A0F1">
            <w:pPr>
              <w:rPr>
                <w:rFonts w:hint="eastAsia" w:ascii="宋体" w:hAnsi="宋体" w:cs="宋体"/>
              </w:rPr>
            </w:pPr>
          </w:p>
        </w:tc>
        <w:tc>
          <w:tcPr>
            <w:tcW w:w="495" w:type="dxa"/>
            <w:tcBorders>
              <w:left w:val="single" w:color="auto" w:sz="4" w:space="0"/>
            </w:tcBorders>
            <w:noWrap w:val="0"/>
            <w:vAlign w:val="center"/>
          </w:tcPr>
          <w:p w14:paraId="6BCD7180">
            <w:pPr>
              <w:jc w:val="center"/>
              <w:rPr>
                <w:rFonts w:hint="eastAsia" w:ascii="宋体" w:hAnsi="宋体" w:cs="宋体"/>
                <w:sz w:val="20"/>
                <w:szCs w:val="20"/>
              </w:rPr>
            </w:pPr>
            <w:r>
              <w:rPr>
                <w:rFonts w:hint="eastAsia" w:ascii="宋体" w:hAnsi="宋体" w:cs="宋体"/>
                <w:sz w:val="20"/>
                <w:szCs w:val="20"/>
              </w:rPr>
              <w:t>8</w:t>
            </w:r>
          </w:p>
        </w:tc>
        <w:tc>
          <w:tcPr>
            <w:tcW w:w="6579" w:type="dxa"/>
            <w:tcBorders>
              <w:right w:val="single" w:color="auto" w:sz="4" w:space="0"/>
            </w:tcBorders>
            <w:noWrap w:val="0"/>
            <w:vAlign w:val="center"/>
          </w:tcPr>
          <w:p w14:paraId="0CD1908D">
            <w:pPr>
              <w:shd w:val="clear" w:color="auto" w:fill="auto"/>
              <w:spacing w:line="400" w:lineRule="exact"/>
              <w:jc w:val="left"/>
              <w:rPr>
                <w:rFonts w:hint="eastAsia" w:ascii="宋体" w:hAnsi="Times New Roman" w:eastAsia="宋体" w:cs="Times New Roman"/>
                <w:color w:val="auto"/>
                <w:szCs w:val="21"/>
                <w:highlight w:val="none"/>
              </w:rPr>
            </w:pPr>
            <w:r>
              <w:rPr>
                <w:rFonts w:hint="eastAsia" w:ascii="宋体" w:hAnsi="Times New Roman" w:eastAsia="宋体" w:cs="Times New Roman"/>
                <w:color w:val="auto"/>
                <w:szCs w:val="21"/>
                <w:highlight w:val="none"/>
                <w:lang w:eastAsia="zh-CN"/>
              </w:rPr>
              <w:t>投标文件</w:t>
            </w:r>
            <w:r>
              <w:rPr>
                <w:rFonts w:hint="eastAsia" w:ascii="宋体" w:hAnsi="Times New Roman" w:eastAsia="宋体" w:cs="Times New Roman"/>
                <w:color w:val="auto"/>
                <w:szCs w:val="21"/>
                <w:highlight w:val="none"/>
                <w:lang w:val="en-US" w:eastAsia="zh-CN"/>
              </w:rPr>
              <w:t>未</w:t>
            </w:r>
            <w:r>
              <w:rPr>
                <w:rFonts w:hint="eastAsia" w:ascii="宋体" w:hAnsi="Times New Roman" w:eastAsia="宋体" w:cs="Times New Roman"/>
                <w:color w:val="auto"/>
                <w:szCs w:val="21"/>
                <w:highlight w:val="none"/>
              </w:rPr>
              <w:t>含有采购人不能接受的附加条件；</w:t>
            </w:r>
          </w:p>
        </w:tc>
        <w:tc>
          <w:tcPr>
            <w:tcW w:w="753" w:type="dxa"/>
            <w:tcBorders>
              <w:left w:val="single" w:color="auto" w:sz="4" w:space="0"/>
            </w:tcBorders>
            <w:noWrap w:val="0"/>
            <w:vAlign w:val="top"/>
          </w:tcPr>
          <w:p w14:paraId="45FDC1A7">
            <w:pPr>
              <w:rPr>
                <w:rFonts w:hint="eastAsia" w:ascii="宋体" w:hAnsi="宋体" w:cs="宋体"/>
                <w:szCs w:val="21"/>
              </w:rPr>
            </w:pPr>
          </w:p>
        </w:tc>
        <w:tc>
          <w:tcPr>
            <w:tcW w:w="749" w:type="dxa"/>
            <w:tcBorders>
              <w:right w:val="single" w:color="auto" w:sz="4" w:space="0"/>
            </w:tcBorders>
            <w:noWrap w:val="0"/>
            <w:vAlign w:val="top"/>
          </w:tcPr>
          <w:p w14:paraId="01002D5B">
            <w:pPr>
              <w:rPr>
                <w:rFonts w:hint="eastAsia" w:ascii="宋体" w:hAnsi="宋体" w:cs="宋体"/>
                <w:szCs w:val="21"/>
              </w:rPr>
            </w:pPr>
          </w:p>
        </w:tc>
      </w:tr>
      <w:tr w14:paraId="192D434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6" w:hRule="atLeast"/>
        </w:trPr>
        <w:tc>
          <w:tcPr>
            <w:tcW w:w="922" w:type="dxa"/>
            <w:vMerge w:val="continue"/>
            <w:tcBorders>
              <w:left w:val="single" w:color="auto" w:sz="4" w:space="0"/>
              <w:right w:val="single" w:color="auto" w:sz="4" w:space="0"/>
            </w:tcBorders>
            <w:noWrap w:val="0"/>
            <w:vAlign w:val="center"/>
          </w:tcPr>
          <w:p w14:paraId="0C06DDE9">
            <w:pPr>
              <w:rPr>
                <w:rFonts w:hint="eastAsia" w:ascii="宋体" w:hAnsi="宋体" w:cs="宋体"/>
              </w:rPr>
            </w:pPr>
          </w:p>
        </w:tc>
        <w:tc>
          <w:tcPr>
            <w:tcW w:w="495" w:type="dxa"/>
            <w:tcBorders>
              <w:left w:val="single" w:color="auto" w:sz="4" w:space="0"/>
            </w:tcBorders>
            <w:noWrap w:val="0"/>
            <w:vAlign w:val="center"/>
          </w:tcPr>
          <w:p w14:paraId="0D900034">
            <w:pPr>
              <w:jc w:val="center"/>
              <w:rPr>
                <w:rFonts w:hint="eastAsia" w:ascii="宋体" w:hAnsi="宋体" w:cs="宋体"/>
                <w:sz w:val="20"/>
                <w:szCs w:val="20"/>
              </w:rPr>
            </w:pPr>
            <w:r>
              <w:rPr>
                <w:rFonts w:hint="eastAsia" w:ascii="宋体" w:hAnsi="宋体" w:cs="宋体"/>
                <w:sz w:val="20"/>
                <w:szCs w:val="20"/>
              </w:rPr>
              <w:t>9</w:t>
            </w:r>
          </w:p>
        </w:tc>
        <w:tc>
          <w:tcPr>
            <w:tcW w:w="6579" w:type="dxa"/>
            <w:tcBorders>
              <w:right w:val="single" w:color="auto" w:sz="4" w:space="0"/>
            </w:tcBorders>
            <w:noWrap w:val="0"/>
            <w:vAlign w:val="center"/>
          </w:tcPr>
          <w:p w14:paraId="134F1D3B">
            <w:pPr>
              <w:shd w:val="clear" w:color="auto" w:fill="auto"/>
              <w:spacing w:line="400" w:lineRule="exact"/>
              <w:jc w:val="left"/>
              <w:rPr>
                <w:rFonts w:hint="eastAsia" w:ascii="宋体" w:hAnsi="Times New Roman" w:eastAsia="宋体" w:cs="Times New Roman"/>
                <w:color w:val="auto"/>
                <w:szCs w:val="21"/>
                <w:highlight w:val="none"/>
              </w:rPr>
            </w:pPr>
            <w:r>
              <w:rPr>
                <w:rFonts w:hint="eastAsia" w:ascii="宋体" w:hAnsi="Times New Roman" w:eastAsia="宋体" w:cs="Times New Roman"/>
                <w:color w:val="auto"/>
                <w:szCs w:val="21"/>
                <w:highlight w:val="none"/>
              </w:rPr>
              <w:t>投标有效期满足招标文件要求。</w:t>
            </w:r>
          </w:p>
        </w:tc>
        <w:tc>
          <w:tcPr>
            <w:tcW w:w="753" w:type="dxa"/>
            <w:tcBorders>
              <w:left w:val="single" w:color="auto" w:sz="4" w:space="0"/>
            </w:tcBorders>
            <w:noWrap w:val="0"/>
            <w:vAlign w:val="top"/>
          </w:tcPr>
          <w:p w14:paraId="6B91C9A1">
            <w:pPr>
              <w:rPr>
                <w:rFonts w:hint="eastAsia" w:ascii="宋体" w:hAnsi="宋体" w:cs="宋体"/>
                <w:szCs w:val="21"/>
              </w:rPr>
            </w:pPr>
          </w:p>
        </w:tc>
        <w:tc>
          <w:tcPr>
            <w:tcW w:w="749" w:type="dxa"/>
            <w:tcBorders>
              <w:right w:val="single" w:color="auto" w:sz="4" w:space="0"/>
            </w:tcBorders>
            <w:noWrap w:val="0"/>
            <w:vAlign w:val="top"/>
          </w:tcPr>
          <w:p w14:paraId="37F9FB28">
            <w:pPr>
              <w:rPr>
                <w:rFonts w:hint="eastAsia" w:ascii="宋体" w:hAnsi="宋体" w:cs="宋体"/>
                <w:szCs w:val="21"/>
              </w:rPr>
            </w:pPr>
          </w:p>
        </w:tc>
      </w:tr>
      <w:tr w14:paraId="2480B76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6" w:hRule="atLeast"/>
        </w:trPr>
        <w:tc>
          <w:tcPr>
            <w:tcW w:w="922" w:type="dxa"/>
            <w:vMerge w:val="continue"/>
            <w:tcBorders>
              <w:left w:val="single" w:color="auto" w:sz="4" w:space="0"/>
              <w:right w:val="single" w:color="auto" w:sz="4" w:space="0"/>
            </w:tcBorders>
            <w:noWrap w:val="0"/>
            <w:vAlign w:val="center"/>
          </w:tcPr>
          <w:p w14:paraId="6EF9674D">
            <w:pPr>
              <w:rPr>
                <w:rFonts w:hint="eastAsia" w:ascii="宋体" w:hAnsi="宋体" w:cs="宋体"/>
              </w:rPr>
            </w:pPr>
          </w:p>
        </w:tc>
        <w:tc>
          <w:tcPr>
            <w:tcW w:w="495" w:type="dxa"/>
            <w:tcBorders>
              <w:left w:val="single" w:color="auto" w:sz="4" w:space="0"/>
            </w:tcBorders>
            <w:noWrap w:val="0"/>
            <w:vAlign w:val="center"/>
          </w:tcPr>
          <w:p w14:paraId="625C2ABD">
            <w:pPr>
              <w:jc w:val="center"/>
              <w:rPr>
                <w:rFonts w:hint="eastAsia" w:ascii="宋体" w:hAnsi="宋体" w:cs="宋体"/>
                <w:sz w:val="20"/>
                <w:szCs w:val="20"/>
              </w:rPr>
            </w:pPr>
            <w:r>
              <w:rPr>
                <w:rFonts w:hint="eastAsia" w:ascii="宋体" w:hAnsi="宋体" w:cs="宋体"/>
                <w:sz w:val="20"/>
                <w:szCs w:val="20"/>
              </w:rPr>
              <w:t>10</w:t>
            </w:r>
          </w:p>
        </w:tc>
        <w:tc>
          <w:tcPr>
            <w:tcW w:w="6579" w:type="dxa"/>
            <w:tcBorders>
              <w:right w:val="single" w:color="auto" w:sz="4" w:space="0"/>
            </w:tcBorders>
            <w:noWrap w:val="0"/>
            <w:vAlign w:val="center"/>
          </w:tcPr>
          <w:p w14:paraId="6F7A1EAF">
            <w:pPr>
              <w:shd w:val="clear" w:color="auto" w:fill="auto"/>
              <w:spacing w:line="400" w:lineRule="exact"/>
              <w:jc w:val="left"/>
              <w:rPr>
                <w:rFonts w:hint="eastAsia" w:ascii="宋体" w:hAnsi="Times New Roman" w:eastAsia="宋体" w:cs="Times New Roman"/>
                <w:color w:val="auto"/>
                <w:szCs w:val="21"/>
                <w:highlight w:val="none"/>
                <w:lang w:eastAsia="zh-CN"/>
              </w:rPr>
            </w:pPr>
            <w:r>
              <w:rPr>
                <w:rFonts w:hint="eastAsia" w:ascii="宋体" w:hAnsi="Times New Roman" w:eastAsia="宋体" w:cs="Times New Roman"/>
                <w:color w:val="auto"/>
                <w:szCs w:val="21"/>
                <w:highlight w:val="none"/>
              </w:rPr>
              <w:t>投标人详细地址、联系人、电话</w:t>
            </w:r>
            <w:r>
              <w:rPr>
                <w:rFonts w:hint="eastAsia" w:ascii="宋体" w:hAnsi="Times New Roman" w:eastAsia="宋体" w:cs="Times New Roman"/>
                <w:color w:val="auto"/>
                <w:szCs w:val="21"/>
                <w:highlight w:val="none"/>
                <w:lang w:eastAsia="zh-CN"/>
              </w:rPr>
              <w:t>。</w:t>
            </w:r>
          </w:p>
        </w:tc>
        <w:tc>
          <w:tcPr>
            <w:tcW w:w="753" w:type="dxa"/>
            <w:tcBorders>
              <w:left w:val="single" w:color="auto" w:sz="4" w:space="0"/>
            </w:tcBorders>
            <w:noWrap w:val="0"/>
            <w:vAlign w:val="top"/>
          </w:tcPr>
          <w:p w14:paraId="425EA40F">
            <w:pPr>
              <w:rPr>
                <w:rFonts w:hint="eastAsia" w:ascii="宋体" w:hAnsi="宋体" w:cs="宋体"/>
                <w:szCs w:val="21"/>
              </w:rPr>
            </w:pPr>
          </w:p>
        </w:tc>
        <w:tc>
          <w:tcPr>
            <w:tcW w:w="749" w:type="dxa"/>
            <w:tcBorders>
              <w:right w:val="single" w:color="auto" w:sz="4" w:space="0"/>
            </w:tcBorders>
            <w:noWrap w:val="0"/>
            <w:vAlign w:val="top"/>
          </w:tcPr>
          <w:p w14:paraId="1EFE3A79">
            <w:pPr>
              <w:rPr>
                <w:rFonts w:hint="eastAsia" w:ascii="宋体" w:hAnsi="宋体" w:cs="宋体"/>
                <w:szCs w:val="21"/>
              </w:rPr>
            </w:pPr>
          </w:p>
        </w:tc>
      </w:tr>
      <w:tr w14:paraId="1A91270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61" w:hRule="atLeast"/>
        </w:trPr>
        <w:tc>
          <w:tcPr>
            <w:tcW w:w="7996" w:type="dxa"/>
            <w:gridSpan w:val="3"/>
            <w:tcBorders>
              <w:left w:val="single" w:color="auto" w:sz="4" w:space="0"/>
              <w:right w:val="single" w:color="auto" w:sz="4" w:space="0"/>
            </w:tcBorders>
            <w:noWrap w:val="0"/>
            <w:vAlign w:val="center"/>
          </w:tcPr>
          <w:p w14:paraId="06EA35D3">
            <w:pPr>
              <w:jc w:val="center"/>
              <w:rPr>
                <w:rFonts w:hint="eastAsia" w:ascii="宋体" w:hAnsi="宋体" w:cs="宋体"/>
                <w:sz w:val="20"/>
                <w:szCs w:val="20"/>
              </w:rPr>
            </w:pPr>
            <w:r>
              <w:rPr>
                <w:rFonts w:hint="eastAsia" w:ascii="宋体" w:hAnsi="宋体" w:cs="宋体"/>
                <w:color w:val="auto"/>
                <w:spacing w:val="-2"/>
                <w:szCs w:val="21"/>
                <w:lang w:eastAsia="zh-CN"/>
              </w:rPr>
              <w:t>评审结果：须写通过或者不通过</w:t>
            </w:r>
          </w:p>
        </w:tc>
        <w:tc>
          <w:tcPr>
            <w:tcW w:w="1502" w:type="dxa"/>
            <w:gridSpan w:val="2"/>
            <w:tcBorders>
              <w:left w:val="single" w:color="auto" w:sz="4" w:space="0"/>
              <w:right w:val="single" w:color="auto" w:sz="4" w:space="0"/>
            </w:tcBorders>
            <w:noWrap w:val="0"/>
            <w:vAlign w:val="center"/>
          </w:tcPr>
          <w:p w14:paraId="20D19DEB">
            <w:pPr>
              <w:rPr>
                <w:rFonts w:hint="eastAsia" w:ascii="宋体" w:hAnsi="宋体" w:cs="宋体"/>
                <w:szCs w:val="21"/>
              </w:rPr>
            </w:pPr>
          </w:p>
        </w:tc>
      </w:tr>
      <w:tr w14:paraId="2020E79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3" w:hRule="atLeast"/>
        </w:trPr>
        <w:tc>
          <w:tcPr>
            <w:tcW w:w="9498" w:type="dxa"/>
            <w:gridSpan w:val="5"/>
            <w:tcBorders>
              <w:left w:val="single" w:color="auto" w:sz="4" w:space="0"/>
              <w:bottom w:val="single" w:color="auto" w:sz="4" w:space="0"/>
              <w:right w:val="single" w:color="auto" w:sz="4" w:space="0"/>
            </w:tcBorders>
            <w:noWrap w:val="0"/>
            <w:vAlign w:val="center"/>
          </w:tcPr>
          <w:p w14:paraId="21479762">
            <w:pPr>
              <w:ind w:firstLine="375" w:firstLineChars="180"/>
              <w:rPr>
                <w:rFonts w:hint="eastAsia" w:ascii="宋体" w:hAnsi="宋体" w:cs="宋体"/>
                <w:szCs w:val="21"/>
              </w:rPr>
            </w:pPr>
            <w:r>
              <w:rPr>
                <w:rFonts w:hint="eastAsia" w:ascii="宋体" w:hAnsi="宋体" w:cs="宋体"/>
                <w:color w:val="auto"/>
                <w:spacing w:val="-2"/>
                <w:szCs w:val="21"/>
              </w:rPr>
              <w:t xml:space="preserve">结论：通过评审打“√”，未通过评审打“×”   </w:t>
            </w:r>
            <w:r>
              <w:rPr>
                <w:rFonts w:hint="eastAsia" w:ascii="宋体" w:hAnsi="宋体" w:cs="宋体"/>
                <w:color w:val="auto"/>
                <w:szCs w:val="21"/>
              </w:rPr>
              <w:t>注：如有一项不合格，作废标处理。</w:t>
            </w:r>
          </w:p>
        </w:tc>
      </w:tr>
    </w:tbl>
    <w:p w14:paraId="4A02C853">
      <w:pPr>
        <w:shd w:val="clear" w:color="auto" w:fill="auto"/>
        <w:spacing w:line="400" w:lineRule="exact"/>
        <w:rPr>
          <w:rFonts w:hint="eastAsia" w:ascii="宋体"/>
          <w:color w:val="auto"/>
          <w:szCs w:val="21"/>
          <w:highlight w:val="none"/>
          <w:lang w:val="en-US" w:eastAsia="zh-CN"/>
        </w:rPr>
      </w:pPr>
    </w:p>
    <w:p w14:paraId="18B6351E">
      <w:pPr>
        <w:shd w:val="clear" w:color="auto" w:fill="auto"/>
        <w:spacing w:line="400" w:lineRule="exact"/>
        <w:ind w:firstLine="513" w:firstLineChars="241"/>
        <w:rPr>
          <w:rFonts w:hint="eastAsia" w:ascii="宋体"/>
          <w:color w:val="auto"/>
          <w:szCs w:val="21"/>
          <w:highlight w:val="none"/>
        </w:rPr>
      </w:pPr>
      <w:r>
        <w:rPr>
          <w:rFonts w:hint="eastAsia" w:ascii="宋体"/>
          <w:color w:val="auto"/>
          <w:szCs w:val="21"/>
          <w:highlight w:val="none"/>
          <w:lang w:val="en-US" w:eastAsia="zh-CN"/>
        </w:rPr>
        <w:t>7</w:t>
      </w:r>
      <w:r>
        <w:rPr>
          <w:rFonts w:hint="eastAsia" w:ascii="宋体"/>
          <w:color w:val="auto"/>
          <w:szCs w:val="21"/>
          <w:highlight w:val="none"/>
        </w:rPr>
        <w:t>.2评委会判定投标文件的响应性只根据投标文件本身的内容，而不寻求外部的证据，但投标有不真实不正确的内容时除外。</w:t>
      </w:r>
    </w:p>
    <w:p w14:paraId="7720D499">
      <w:pPr>
        <w:shd w:val="clear" w:color="auto" w:fill="auto"/>
        <w:spacing w:line="400" w:lineRule="exact"/>
        <w:ind w:firstLine="513" w:firstLineChars="241"/>
        <w:rPr>
          <w:rFonts w:hint="eastAsia" w:ascii="宋体"/>
          <w:color w:val="auto"/>
          <w:szCs w:val="21"/>
          <w:highlight w:val="none"/>
        </w:rPr>
      </w:pPr>
      <w:r>
        <w:rPr>
          <w:rFonts w:hint="eastAsia" w:ascii="宋体"/>
          <w:color w:val="auto"/>
          <w:szCs w:val="21"/>
          <w:highlight w:val="none"/>
          <w:lang w:val="en-US" w:eastAsia="zh-CN"/>
        </w:rPr>
        <w:t>7</w:t>
      </w:r>
      <w:r>
        <w:rPr>
          <w:rFonts w:hint="eastAsia" w:ascii="宋体"/>
          <w:color w:val="auto"/>
          <w:szCs w:val="21"/>
          <w:highlight w:val="none"/>
        </w:rPr>
        <w:t>.3如果投标文件实质上没有响应</w:t>
      </w:r>
      <w:r>
        <w:rPr>
          <w:rFonts w:hint="eastAsia" w:ascii="宋体"/>
          <w:color w:val="auto"/>
          <w:szCs w:val="21"/>
          <w:highlight w:val="none"/>
          <w:lang w:eastAsia="zh-CN"/>
        </w:rPr>
        <w:t>采购文件</w:t>
      </w:r>
      <w:r>
        <w:rPr>
          <w:rFonts w:hint="eastAsia" w:ascii="宋体"/>
          <w:color w:val="auto"/>
          <w:szCs w:val="21"/>
          <w:highlight w:val="none"/>
        </w:rPr>
        <w:t>的要求，评委会将予以拒绝，投标人不得通过修正或撤销不符合要求的偏离或保留，而使其投标成为实质上响应的投标。</w:t>
      </w:r>
    </w:p>
    <w:p w14:paraId="62A8792D">
      <w:pPr>
        <w:shd w:val="clear" w:color="auto" w:fill="auto"/>
        <w:spacing w:line="400" w:lineRule="exact"/>
        <w:ind w:firstLine="426" w:firstLineChars="200"/>
        <w:rPr>
          <w:rFonts w:hint="eastAsia" w:ascii="宋体"/>
          <w:color w:val="auto"/>
          <w:szCs w:val="21"/>
          <w:highlight w:val="none"/>
        </w:rPr>
      </w:pPr>
      <w:r>
        <w:rPr>
          <w:rFonts w:hint="eastAsia" w:ascii="宋体"/>
          <w:color w:val="auto"/>
          <w:szCs w:val="21"/>
          <w:highlight w:val="none"/>
        </w:rPr>
        <w:t xml:space="preserve"> </w:t>
      </w:r>
      <w:r>
        <w:rPr>
          <w:rFonts w:hint="eastAsia" w:ascii="宋体"/>
          <w:color w:val="auto"/>
          <w:szCs w:val="21"/>
          <w:highlight w:val="none"/>
          <w:lang w:val="en-US" w:eastAsia="zh-CN"/>
        </w:rPr>
        <w:t>7</w:t>
      </w:r>
      <w:r>
        <w:rPr>
          <w:rFonts w:hint="eastAsia" w:ascii="宋体"/>
          <w:color w:val="auto"/>
          <w:szCs w:val="21"/>
          <w:highlight w:val="none"/>
        </w:rPr>
        <w:t>.4投标人可在现场20分钟内对评标委员会的评审结论提出异议，评标委员会根据</w:t>
      </w:r>
      <w:r>
        <w:rPr>
          <w:rFonts w:hint="eastAsia" w:ascii="宋体"/>
          <w:color w:val="auto"/>
          <w:szCs w:val="21"/>
          <w:highlight w:val="none"/>
          <w:lang w:eastAsia="zh-CN"/>
        </w:rPr>
        <w:t>采购文件</w:t>
      </w:r>
      <w:r>
        <w:rPr>
          <w:rFonts w:hint="eastAsia" w:ascii="宋体"/>
          <w:color w:val="auto"/>
          <w:szCs w:val="21"/>
          <w:highlight w:val="none"/>
        </w:rPr>
        <w:t>及有关规定对投标人的异议进行复议</w:t>
      </w:r>
    </w:p>
    <w:p w14:paraId="4229C17B">
      <w:pPr>
        <w:shd w:val="clear" w:color="auto" w:fill="auto"/>
        <w:spacing w:line="400" w:lineRule="exact"/>
        <w:ind w:firstLine="532" w:firstLineChars="250"/>
        <w:rPr>
          <w:rFonts w:hint="eastAsia" w:ascii="宋体"/>
          <w:color w:val="auto"/>
          <w:szCs w:val="21"/>
          <w:highlight w:val="none"/>
        </w:rPr>
      </w:pPr>
      <w:r>
        <w:rPr>
          <w:rFonts w:hint="eastAsia" w:ascii="宋体"/>
          <w:color w:val="auto"/>
          <w:szCs w:val="21"/>
          <w:highlight w:val="none"/>
          <w:lang w:val="en-US" w:eastAsia="zh-CN"/>
        </w:rPr>
        <w:t>7</w:t>
      </w:r>
      <w:r>
        <w:rPr>
          <w:rFonts w:hint="eastAsia" w:ascii="宋体"/>
          <w:color w:val="auto"/>
          <w:szCs w:val="21"/>
          <w:highlight w:val="none"/>
        </w:rPr>
        <w:t>.5只有通过初审的投标人才能进入下一步评标程序。</w:t>
      </w:r>
    </w:p>
    <w:p w14:paraId="5C54C1A8">
      <w:pPr>
        <w:shd w:val="clear" w:color="auto" w:fill="auto"/>
        <w:spacing w:line="400" w:lineRule="exact"/>
        <w:ind w:firstLine="426" w:firstLineChars="200"/>
        <w:rPr>
          <w:rFonts w:hint="eastAsia" w:ascii="宋体" w:hAnsi="宋体"/>
          <w:b/>
          <w:color w:val="auto"/>
          <w:szCs w:val="21"/>
          <w:highlight w:val="none"/>
        </w:rPr>
      </w:pPr>
      <w:r>
        <w:rPr>
          <w:rFonts w:hint="eastAsia" w:ascii="宋体" w:hAnsi="宋体"/>
          <w:b/>
          <w:color w:val="auto"/>
          <w:szCs w:val="21"/>
          <w:highlight w:val="none"/>
        </w:rPr>
        <w:t>温馨提示：投标文件资格审查资料请精心准备,如评标专家在检验电子标书过程中，如果由于投标人自身原因导致评标专家无法查看并检验电子标书中以上相关资料的，按无效投标处理。即使投标单位将原件携带至现场的，同样按无效投标处理。</w:t>
      </w:r>
      <w:bookmarkStart w:id="53" w:name="_Toc469495734"/>
      <w:bookmarkStart w:id="54" w:name="_Toc362983803"/>
    </w:p>
    <w:p w14:paraId="03C19A5E">
      <w:pPr>
        <w:shd w:val="clear" w:color="auto" w:fill="auto"/>
        <w:spacing w:line="400" w:lineRule="exact"/>
        <w:ind w:firstLine="3113" w:firstLineChars="1100"/>
        <w:rPr>
          <w:rFonts w:hint="eastAsia" w:ascii="宋体"/>
          <w:b/>
          <w:color w:val="auto"/>
          <w:sz w:val="28"/>
          <w:szCs w:val="28"/>
          <w:highlight w:val="none"/>
        </w:rPr>
      </w:pPr>
    </w:p>
    <w:p w14:paraId="4D6BAC3E">
      <w:pPr>
        <w:pStyle w:val="2"/>
        <w:rPr>
          <w:rFonts w:hint="eastAsia"/>
        </w:rPr>
      </w:pPr>
    </w:p>
    <w:p w14:paraId="125A9D37">
      <w:pPr>
        <w:shd w:val="clear" w:color="auto" w:fill="auto"/>
        <w:spacing w:line="400" w:lineRule="exact"/>
        <w:ind w:firstLine="3113" w:firstLineChars="1100"/>
        <w:rPr>
          <w:rFonts w:hint="eastAsia" w:ascii="宋体"/>
          <w:b/>
          <w:color w:val="auto"/>
          <w:sz w:val="24"/>
          <w:highlight w:val="none"/>
        </w:rPr>
      </w:pPr>
      <w:r>
        <w:rPr>
          <w:rFonts w:hint="eastAsia" w:ascii="宋体"/>
          <w:b/>
          <w:color w:val="auto"/>
          <w:sz w:val="28"/>
          <w:szCs w:val="28"/>
          <w:highlight w:val="none"/>
        </w:rPr>
        <w:t>三  投标文件的澄清和补正</w:t>
      </w:r>
      <w:bookmarkEnd w:id="53"/>
      <w:bookmarkEnd w:id="54"/>
    </w:p>
    <w:p w14:paraId="4555FB8E">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8．澄清、说明或补正的形式</w:t>
      </w:r>
    </w:p>
    <w:p w14:paraId="0215AF45">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8.1对于投标文件中含义不明确、同类问题表述不一致或者有明显文字和计算错误的内容，评标委员会将通过“政府采购云平台”在线询标的方式要求投标供应商在规定的时间内作出必要的澄清、说明或者补正，投标供应商澄清、说明或补正时间为20分钟。</w:t>
      </w:r>
    </w:p>
    <w:p w14:paraId="4587408B">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8.2投标供应商的澄清、说明或者补正应当通过“政府采购云平台”在线答复的方式提交，并加盖公章（电子印章），或者由法定代表人（负责人）或其授权的代表签字。投标供应商的澄清、说明或者补正不得超出投标文件的范围或者改变投标文件的实质性内容，不接受投标供应商主动对投标文件的澄清、说明或者补正。</w:t>
      </w:r>
    </w:p>
    <w:p w14:paraId="50785255">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8.3上述询标、澄清、说明和补正工作如因客观原因无法通过“政府采购云平台”在线进行的，将采用电子邮件等形式进行，请供应商保证办理投标事宜人员电话畅通、网络在线。如未及时进行澄清、说明或者补正的，视为放弃澄清、说明或者补正的权利。</w:t>
      </w:r>
    </w:p>
    <w:p w14:paraId="6997712F">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9．错误修正的原则</w:t>
      </w:r>
    </w:p>
    <w:p w14:paraId="089D3E70">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电子交易平台客户端里开标一览表录入的投标报价或优惠率与扫描上传的报价文件信息不一致的，以扫描上传的报价文件信息为准进行修正。</w:t>
      </w:r>
    </w:p>
    <w:p w14:paraId="4C44493D">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投标文件报价出现前后不一致的，除采购文件另有规定外，按照下列规定修正：</w:t>
      </w:r>
    </w:p>
    <w:p w14:paraId="29B5826B">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9.1 投标函中表述的内容与报价表中不一致的，以报价表为准；报价表中的内容与报价明细表不一致的，以报价表为准；</w:t>
      </w:r>
    </w:p>
    <w:p w14:paraId="6ACC7E5E">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9.2 投标文件中的大写金额和小写金额不一致的，以大写金额为准；</w:t>
      </w:r>
    </w:p>
    <w:p w14:paraId="067DF936">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9.3 单价金额小数点或者百分比有明显错位的，以开标一览表的总价为准，并修改单价；</w:t>
      </w:r>
    </w:p>
    <w:p w14:paraId="4B9AA350">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9.4 总价金额与按单价汇总金额不一致的，以单价金额计算结果为准；</w:t>
      </w:r>
    </w:p>
    <w:p w14:paraId="2C86B590">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9.5 若用文字表示的数值与用数字表示的数值不一致，以文字表示的数值为准；</w:t>
      </w:r>
    </w:p>
    <w:p w14:paraId="7494AE68">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9.6 如有多报（指数量超出采购文件需求）、重报（指同一货物重复报价），其投标总价在评标过程中不予调整，如其中标，其合同价按其投标单价予以调整；</w:t>
      </w:r>
    </w:p>
    <w:p w14:paraId="7AF44ED2">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9.7 对不同文字文本投标文件的解释发生异议的，以中文文本为准；</w:t>
      </w:r>
    </w:p>
    <w:p w14:paraId="650B3422">
      <w:pPr>
        <w:shd w:val="clear" w:color="auto" w:fill="auto"/>
        <w:spacing w:line="440" w:lineRule="exact"/>
        <w:ind w:firstLine="213" w:firstLineChars="100"/>
        <w:jc w:val="left"/>
        <w:rPr>
          <w:rFonts w:hint="eastAsia" w:ascii="宋体"/>
          <w:color w:val="auto"/>
          <w:szCs w:val="21"/>
          <w:highlight w:val="none"/>
        </w:rPr>
      </w:pPr>
      <w:r>
        <w:rPr>
          <w:rFonts w:hint="eastAsia" w:ascii="宋体"/>
          <w:b w:val="0"/>
          <w:bCs w:val="0"/>
          <w:color w:val="auto"/>
          <w:szCs w:val="21"/>
          <w:highlight w:val="none"/>
          <w:lang w:val="en-US" w:eastAsia="zh-CN"/>
        </w:rPr>
        <w:t>同时出现两种以上不一致的，按照前款规定的顺序修正。按上述修正错误的原则及方法调整或修正投标文件的投标报价，供应商确认后，以调整或修正后的投标报价为准。如供应商拒绝调整或修正的，其投标文件按无效标处理。修正应当采用电子询标的形式，并加盖公章（电子印章）。</w:t>
      </w:r>
    </w:p>
    <w:p w14:paraId="5890B73B">
      <w:pPr>
        <w:shd w:val="clear" w:color="auto" w:fill="auto"/>
        <w:spacing w:line="400" w:lineRule="exact"/>
        <w:jc w:val="center"/>
        <w:outlineLvl w:val="1"/>
        <w:rPr>
          <w:rFonts w:hint="eastAsia" w:ascii="宋体"/>
          <w:b/>
          <w:color w:val="auto"/>
          <w:sz w:val="24"/>
          <w:highlight w:val="none"/>
        </w:rPr>
      </w:pPr>
      <w:bookmarkStart w:id="55" w:name="_Toc469495735"/>
      <w:r>
        <w:rPr>
          <w:rFonts w:hint="eastAsia" w:ascii="宋体"/>
          <w:b/>
          <w:color w:val="auto"/>
          <w:sz w:val="24"/>
          <w:highlight w:val="none"/>
        </w:rPr>
        <w:t>四 比较与评价</w:t>
      </w:r>
      <w:bookmarkEnd w:id="55"/>
    </w:p>
    <w:p w14:paraId="731A1A32">
      <w:pPr>
        <w:shd w:val="clear" w:color="auto" w:fill="auto"/>
        <w:tabs>
          <w:tab w:val="left" w:pos="720"/>
        </w:tabs>
        <w:spacing w:line="440" w:lineRule="exact"/>
        <w:ind w:firstLine="542" w:firstLineChars="255"/>
        <w:rPr>
          <w:rFonts w:hint="eastAsia" w:ascii="宋体" w:hAnsi="宋体" w:eastAsia="宋体" w:cs="宋体"/>
          <w:color w:val="auto"/>
          <w:szCs w:val="21"/>
          <w:highlight w:val="none"/>
          <w:lang w:bidi="ar-SA"/>
        </w:rPr>
      </w:pPr>
      <w:bookmarkStart w:id="56" w:name="_Toc362983805"/>
      <w:bookmarkStart w:id="57" w:name="_Toc469495736"/>
      <w:r>
        <w:rPr>
          <w:rFonts w:hint="eastAsia" w:ascii="宋体" w:hAnsi="宋体" w:eastAsia="宋体" w:cs="宋体"/>
          <w:color w:val="auto"/>
          <w:szCs w:val="21"/>
          <w:highlight w:val="none"/>
          <w:lang w:val="en-US" w:eastAsia="zh-CN" w:bidi="ar-SA"/>
        </w:rPr>
        <w:t>10.1</w:t>
      </w:r>
      <w:r>
        <w:rPr>
          <w:rFonts w:hint="eastAsia" w:ascii="宋体" w:hAnsi="宋体" w:eastAsia="宋体" w:cs="宋体"/>
          <w:color w:val="auto"/>
          <w:szCs w:val="21"/>
          <w:highlight w:val="none"/>
          <w:lang w:bidi="ar-SA"/>
        </w:rPr>
        <w:t>评标委员会按招标文件中规定的评标方法和标准，对资格性检查和符合性检查合格的投标文件进行商务和技术评估、综合比较与评价。</w:t>
      </w:r>
    </w:p>
    <w:p w14:paraId="4F991032">
      <w:pPr>
        <w:shd w:val="clear" w:color="auto" w:fill="auto"/>
        <w:spacing w:line="440" w:lineRule="exact"/>
        <w:ind w:firstLine="546" w:firstLineChars="257"/>
        <w:rPr>
          <w:rFonts w:hint="eastAsia" w:ascii="宋体" w:hAnsi="宋体" w:eastAsia="宋体" w:cs="宋体"/>
          <w:color w:val="auto"/>
          <w:szCs w:val="21"/>
          <w:highlight w:val="none"/>
          <w:lang w:bidi="ar-SA"/>
        </w:rPr>
      </w:pPr>
      <w:r>
        <w:rPr>
          <w:rFonts w:hint="eastAsia" w:ascii="宋体" w:hAnsi="宋体" w:eastAsia="宋体" w:cs="宋体"/>
          <w:color w:val="auto"/>
          <w:szCs w:val="21"/>
          <w:highlight w:val="none"/>
          <w:lang w:val="en-US" w:eastAsia="zh-CN" w:bidi="ar-SA"/>
        </w:rPr>
        <w:t>10.2</w:t>
      </w:r>
      <w:r>
        <w:rPr>
          <w:rFonts w:hint="eastAsia" w:ascii="宋体" w:hAnsi="宋体" w:eastAsia="宋体" w:cs="宋体"/>
          <w:color w:val="auto"/>
          <w:szCs w:val="21"/>
          <w:highlight w:val="none"/>
          <w:lang w:bidi="ar-SA"/>
        </w:rPr>
        <w:t>评标委员会根据商务和技术评估的结果，采用综合评分法，分别对投标文件的商务、技术、价格等内容进行打分。其中，商务评估、技术评估、价格评估的评分权值（详见附件1）。</w:t>
      </w:r>
    </w:p>
    <w:p w14:paraId="37F65A50">
      <w:pPr>
        <w:shd w:val="clear" w:color="auto" w:fill="auto"/>
        <w:spacing w:line="440" w:lineRule="exact"/>
        <w:ind w:firstLine="546" w:firstLineChars="257"/>
        <w:rPr>
          <w:rFonts w:hint="eastAsia" w:ascii="宋体" w:hAnsi="宋体" w:eastAsia="宋体" w:cs="宋体"/>
          <w:bCs/>
          <w:color w:val="auto"/>
          <w:szCs w:val="21"/>
          <w:highlight w:val="none"/>
          <w:lang w:bidi="ar-SA"/>
        </w:rPr>
      </w:pPr>
      <w:r>
        <w:rPr>
          <w:rFonts w:hint="eastAsia" w:ascii="宋体" w:hAnsi="宋体" w:eastAsia="宋体" w:cs="宋体"/>
          <w:color w:val="auto"/>
          <w:szCs w:val="21"/>
          <w:highlight w:val="none"/>
          <w:lang w:val="en-US" w:eastAsia="zh-CN" w:bidi="ar-SA"/>
        </w:rPr>
        <w:t>10.</w:t>
      </w:r>
      <w:r>
        <w:rPr>
          <w:rFonts w:hint="eastAsia" w:ascii="宋体" w:hAnsi="宋体" w:eastAsia="宋体" w:cs="宋体"/>
          <w:bCs/>
          <w:color w:val="auto"/>
          <w:szCs w:val="21"/>
          <w:highlight w:val="none"/>
          <w:lang w:val="en-US" w:eastAsia="zh-CN" w:bidi="ar-SA"/>
        </w:rPr>
        <w:t>2.1</w:t>
      </w:r>
      <w:r>
        <w:rPr>
          <w:rFonts w:hint="eastAsia" w:ascii="宋体" w:hAnsi="宋体" w:eastAsia="宋体" w:cs="宋体"/>
          <w:bCs/>
          <w:color w:val="auto"/>
          <w:szCs w:val="21"/>
          <w:highlight w:val="none"/>
          <w:lang w:bidi="ar-SA"/>
        </w:rPr>
        <w:t>评委打分办法</w:t>
      </w:r>
    </w:p>
    <w:p w14:paraId="68D51544">
      <w:pPr>
        <w:shd w:val="clear" w:color="auto" w:fill="auto"/>
        <w:spacing w:line="440" w:lineRule="exact"/>
        <w:ind w:firstLine="546" w:firstLineChars="257"/>
        <w:rPr>
          <w:rFonts w:hint="eastAsia" w:ascii="宋体" w:hAnsi="宋体" w:eastAsia="宋体" w:cs="宋体"/>
          <w:color w:val="auto"/>
          <w:szCs w:val="21"/>
          <w:highlight w:val="none"/>
          <w:lang w:bidi="ar-SA"/>
        </w:rPr>
      </w:pPr>
      <w:r>
        <w:rPr>
          <w:rFonts w:hint="eastAsia" w:ascii="宋体" w:hAnsi="宋体" w:eastAsia="宋体" w:cs="宋体"/>
          <w:bCs/>
          <w:color w:val="auto"/>
          <w:szCs w:val="21"/>
          <w:highlight w:val="none"/>
          <w:lang w:bidi="ar-SA"/>
        </w:rPr>
        <w:t>（1）</w:t>
      </w:r>
      <w:r>
        <w:rPr>
          <w:rFonts w:hint="eastAsia" w:ascii="宋体" w:hAnsi="宋体" w:eastAsia="宋体" w:cs="宋体"/>
          <w:color w:val="auto"/>
          <w:szCs w:val="21"/>
          <w:highlight w:val="none"/>
          <w:lang w:bidi="ar-SA"/>
        </w:rPr>
        <w:t>参加评分的评委应尽力体现客观、实事求是，避免学派偏见和个人偏好。</w:t>
      </w:r>
    </w:p>
    <w:p w14:paraId="32554CD6">
      <w:pPr>
        <w:shd w:val="clear" w:color="auto" w:fill="auto"/>
        <w:spacing w:line="440" w:lineRule="exact"/>
        <w:ind w:firstLine="546" w:firstLineChars="257"/>
        <w:rPr>
          <w:rFonts w:hint="eastAsia" w:ascii="宋体" w:hAnsi="宋体" w:eastAsia="宋体" w:cs="宋体"/>
          <w:color w:val="auto"/>
          <w:szCs w:val="21"/>
          <w:highlight w:val="none"/>
          <w:lang w:bidi="ar-SA"/>
        </w:rPr>
      </w:pPr>
      <w:r>
        <w:rPr>
          <w:rFonts w:hint="eastAsia" w:ascii="宋体" w:hAnsi="宋体" w:eastAsia="宋体" w:cs="宋体"/>
          <w:color w:val="auto"/>
          <w:szCs w:val="21"/>
          <w:highlight w:val="none"/>
          <w:lang w:bidi="ar-SA"/>
        </w:rPr>
        <w:t>（2）衡量、对比的依据，应以招标文件、投标文件、提供的正式试验数据、质询澄清中的文字为准，口头回答和收集的资料只作为参考。</w:t>
      </w:r>
    </w:p>
    <w:p w14:paraId="01354BCA">
      <w:pPr>
        <w:shd w:val="clear" w:color="auto" w:fill="auto"/>
        <w:spacing w:line="440" w:lineRule="exact"/>
        <w:ind w:firstLine="546" w:firstLineChars="257"/>
        <w:rPr>
          <w:rFonts w:hint="eastAsia" w:ascii="宋体" w:hAnsi="宋体" w:eastAsia="宋体" w:cs="宋体"/>
          <w:color w:val="auto"/>
          <w:szCs w:val="21"/>
          <w:highlight w:val="none"/>
          <w:lang w:bidi="ar-SA"/>
        </w:rPr>
      </w:pPr>
      <w:r>
        <w:rPr>
          <w:rFonts w:hint="eastAsia" w:ascii="宋体" w:hAnsi="宋体" w:eastAsia="宋体" w:cs="宋体"/>
          <w:color w:val="auto"/>
          <w:szCs w:val="21"/>
          <w:highlight w:val="none"/>
          <w:lang w:bidi="ar-SA"/>
        </w:rPr>
        <w:t>（3）评分主要是为比较各投标人的价格、商务和技术综合排序。</w:t>
      </w:r>
    </w:p>
    <w:p w14:paraId="7562FE24">
      <w:pPr>
        <w:shd w:val="clear" w:color="auto" w:fill="auto"/>
        <w:spacing w:line="440" w:lineRule="exact"/>
        <w:ind w:firstLine="546" w:firstLineChars="257"/>
        <w:rPr>
          <w:rFonts w:hint="eastAsia" w:ascii="宋体" w:hAnsi="宋体" w:eastAsia="宋体" w:cs="宋体"/>
          <w:color w:val="auto"/>
          <w:szCs w:val="21"/>
          <w:highlight w:val="none"/>
          <w:lang w:bidi="ar-SA"/>
        </w:rPr>
      </w:pPr>
      <w:r>
        <w:rPr>
          <w:rFonts w:hint="eastAsia" w:ascii="宋体" w:hAnsi="宋体" w:eastAsia="宋体" w:cs="宋体"/>
          <w:color w:val="auto"/>
          <w:szCs w:val="21"/>
          <w:highlight w:val="none"/>
          <w:lang w:bidi="ar-SA"/>
        </w:rPr>
        <w:t>（4）评委打分采取记名形式。</w:t>
      </w:r>
    </w:p>
    <w:p w14:paraId="3ACFAE6C">
      <w:pPr>
        <w:shd w:val="clear" w:color="auto" w:fill="auto"/>
        <w:spacing w:line="440" w:lineRule="exact"/>
        <w:ind w:firstLine="546" w:firstLineChars="257"/>
        <w:rPr>
          <w:rFonts w:hint="eastAsia" w:ascii="宋体" w:hAnsi="宋体" w:eastAsia="宋体" w:cs="宋体"/>
          <w:color w:val="auto"/>
          <w:szCs w:val="21"/>
          <w:highlight w:val="none"/>
          <w:lang w:bidi="ar-SA"/>
        </w:rPr>
      </w:pPr>
      <w:r>
        <w:rPr>
          <w:rFonts w:hint="eastAsia" w:ascii="宋体" w:hAnsi="宋体" w:eastAsia="宋体" w:cs="宋体"/>
          <w:color w:val="auto"/>
          <w:szCs w:val="21"/>
          <w:highlight w:val="none"/>
          <w:lang w:bidi="ar-SA"/>
        </w:rPr>
        <w:t>（5）各评委根据提供的技术打分表独立自主打分，任何人不得要求评委统一打分或统一确定等次顺序。</w:t>
      </w:r>
    </w:p>
    <w:p w14:paraId="0FB86C45">
      <w:pPr>
        <w:shd w:val="clear" w:color="auto" w:fill="auto"/>
        <w:spacing w:line="440" w:lineRule="exact"/>
        <w:ind w:firstLine="546" w:firstLineChars="257"/>
        <w:rPr>
          <w:rFonts w:hint="eastAsia" w:ascii="宋体" w:hAnsi="宋体" w:eastAsia="宋体" w:cs="宋体"/>
          <w:color w:val="auto"/>
          <w:szCs w:val="21"/>
          <w:highlight w:val="none"/>
          <w:lang w:bidi="ar-SA"/>
        </w:rPr>
      </w:pPr>
      <w:r>
        <w:rPr>
          <w:rFonts w:hint="eastAsia" w:ascii="宋体" w:hAnsi="宋体" w:eastAsia="宋体" w:cs="宋体"/>
          <w:color w:val="auto"/>
          <w:szCs w:val="21"/>
          <w:highlight w:val="none"/>
          <w:lang w:bidi="ar-SA"/>
        </w:rPr>
        <w:t>（6）对打分表中的每项条款，各评委应根据投标文件、澄清材料、招标文件要求，按满足的程度给投标人打分。</w:t>
      </w:r>
    </w:p>
    <w:p w14:paraId="79790C3C">
      <w:pPr>
        <w:shd w:val="clear" w:color="auto" w:fill="auto"/>
        <w:spacing w:line="440" w:lineRule="exact"/>
        <w:ind w:firstLine="546" w:firstLineChars="257"/>
        <w:rPr>
          <w:rFonts w:hint="eastAsia" w:ascii="宋体" w:hAnsi="宋体" w:eastAsia="宋体" w:cs="宋体"/>
          <w:color w:val="auto"/>
          <w:szCs w:val="21"/>
          <w:highlight w:val="none"/>
          <w:lang w:bidi="ar-SA"/>
        </w:rPr>
      </w:pPr>
      <w:r>
        <w:rPr>
          <w:rFonts w:hint="eastAsia" w:ascii="宋体" w:hAnsi="宋体" w:eastAsia="宋体" w:cs="宋体"/>
          <w:color w:val="auto"/>
          <w:szCs w:val="21"/>
          <w:highlight w:val="none"/>
          <w:lang w:bidi="ar-SA"/>
        </w:rPr>
        <w:t>（7）评分程序</w:t>
      </w:r>
    </w:p>
    <w:p w14:paraId="3FC1D4D5">
      <w:pPr>
        <w:shd w:val="clear" w:color="auto" w:fill="auto"/>
        <w:spacing w:line="440" w:lineRule="exact"/>
        <w:ind w:firstLine="546" w:firstLineChars="257"/>
        <w:rPr>
          <w:rFonts w:hint="eastAsia" w:ascii="宋体" w:hAnsi="宋体" w:eastAsia="宋体" w:cs="宋体"/>
          <w:color w:val="auto"/>
          <w:szCs w:val="21"/>
          <w:highlight w:val="none"/>
          <w:lang w:bidi="ar-SA"/>
        </w:rPr>
      </w:pPr>
      <w:r>
        <w:rPr>
          <w:rFonts w:hint="eastAsia" w:ascii="宋体" w:hAnsi="宋体" w:eastAsia="宋体" w:cs="宋体"/>
          <w:color w:val="auto"/>
          <w:szCs w:val="21"/>
          <w:highlight w:val="none"/>
          <w:lang w:bidi="ar-SA"/>
        </w:rPr>
        <w:t>1)就投标人的投标文件对照整理出商务、技术评标因素对比表、偏差表，并在经过校核的基础上逐项打分。</w:t>
      </w:r>
    </w:p>
    <w:p w14:paraId="1FC059AB">
      <w:pPr>
        <w:shd w:val="clear" w:color="auto" w:fill="auto"/>
        <w:spacing w:line="440" w:lineRule="exact"/>
        <w:ind w:firstLine="546" w:firstLineChars="257"/>
        <w:rPr>
          <w:rFonts w:hint="eastAsia" w:ascii="宋体" w:hAnsi="宋体" w:eastAsia="宋体" w:cs="宋体"/>
          <w:color w:val="auto"/>
          <w:szCs w:val="21"/>
          <w:highlight w:val="none"/>
          <w:lang w:bidi="ar-SA"/>
        </w:rPr>
      </w:pPr>
      <w:r>
        <w:rPr>
          <w:rFonts w:hint="eastAsia" w:ascii="宋体" w:hAnsi="宋体" w:eastAsia="宋体" w:cs="宋体"/>
          <w:color w:val="auto"/>
          <w:szCs w:val="21"/>
          <w:highlight w:val="none"/>
          <w:lang w:bidi="ar-SA"/>
        </w:rPr>
        <w:t>2)各评委独立完成打分后，将评分表交给代理机构，由代理机构组织进行分数统计。</w:t>
      </w:r>
    </w:p>
    <w:p w14:paraId="7EAA847F">
      <w:pPr>
        <w:shd w:val="clear" w:color="auto" w:fill="auto"/>
        <w:spacing w:line="440" w:lineRule="exact"/>
        <w:ind w:firstLine="546" w:firstLineChars="257"/>
        <w:rPr>
          <w:rFonts w:hint="eastAsia" w:ascii="宋体" w:hAnsi="宋体" w:eastAsia="宋体" w:cs="宋体"/>
          <w:color w:val="auto"/>
          <w:szCs w:val="21"/>
          <w:highlight w:val="none"/>
          <w:lang w:bidi="ar-SA"/>
        </w:rPr>
      </w:pPr>
      <w:r>
        <w:rPr>
          <w:rFonts w:hint="eastAsia" w:ascii="宋体" w:hAnsi="宋体" w:eastAsia="宋体" w:cs="宋体"/>
          <w:color w:val="auto"/>
          <w:szCs w:val="21"/>
          <w:highlight w:val="none"/>
          <w:lang w:bidi="ar-SA"/>
        </w:rPr>
        <w:t>3)最终汇总表中各投标人得分应为评委打分的算术平均值。</w:t>
      </w:r>
    </w:p>
    <w:p w14:paraId="3393B46A">
      <w:pPr>
        <w:numPr>
          <w:ilvl w:val="0"/>
          <w:numId w:val="0"/>
        </w:numPr>
        <w:shd w:val="clear" w:color="auto" w:fill="auto"/>
        <w:spacing w:line="500" w:lineRule="exact"/>
        <w:ind w:firstLine="426" w:firstLineChars="200"/>
        <w:jc w:val="left"/>
        <w:rPr>
          <w:rFonts w:hint="eastAsia" w:ascii="宋体" w:hAnsi="宋体" w:eastAsia="宋体" w:cs="宋体"/>
          <w:color w:val="auto"/>
          <w:szCs w:val="21"/>
          <w:highlight w:val="none"/>
          <w:lang w:bidi="ar-SA"/>
        </w:rPr>
      </w:pPr>
      <w:r>
        <w:rPr>
          <w:rFonts w:hint="eastAsia" w:ascii="宋体" w:hAnsi="宋体" w:eastAsia="宋体" w:cs="宋体"/>
          <w:color w:val="auto"/>
          <w:szCs w:val="21"/>
          <w:highlight w:val="none"/>
          <w:lang w:bidi="ar-SA"/>
        </w:rPr>
        <w:t>（8）评分标准和细则（综合评分法评分标准）</w:t>
      </w:r>
    </w:p>
    <w:p w14:paraId="69F61885">
      <w:pPr>
        <w:rPr>
          <w:rFonts w:hint="eastAsia"/>
          <w:lang w:val="en-US" w:eastAsia="zh-CN"/>
        </w:rPr>
      </w:pPr>
    </w:p>
    <w:tbl>
      <w:tblPr>
        <w:tblStyle w:val="29"/>
        <w:tblpPr w:leftFromText="180" w:rightFromText="180" w:vertAnchor="text" w:horzAnchor="page" w:tblpX="1777" w:tblpY="446"/>
        <w:tblOverlap w:val="never"/>
        <w:tblW w:w="86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5"/>
        <w:gridCol w:w="1385"/>
        <w:gridCol w:w="6345"/>
      </w:tblGrid>
      <w:tr w14:paraId="7A6A79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trPr>
        <w:tc>
          <w:tcPr>
            <w:tcW w:w="925" w:type="dxa"/>
          </w:tcPr>
          <w:p w14:paraId="11FA499A">
            <w:pPr>
              <w:pStyle w:val="27"/>
              <w:ind w:left="0" w:leftChars="0" w:firstLine="0" w:firstLineChars="0"/>
              <w:jc w:val="center"/>
              <w:rPr>
                <w:rFonts w:hint="eastAsia" w:cs="Times New Roman"/>
                <w:b/>
                <w:bCs/>
                <w:color w:val="000000" w:themeColor="text1"/>
                <w:kern w:val="2"/>
                <w:sz w:val="21"/>
                <w:szCs w:val="21"/>
                <w:highlight w:val="none"/>
                <w:shd w:val="clear" w:color="auto" w:fill="auto"/>
                <w:lang w:val="en-US" w:eastAsia="zh-CN" w:bidi="ar-SA"/>
                <w14:textFill>
                  <w14:solidFill>
                    <w14:schemeClr w14:val="tx1"/>
                  </w14:solidFill>
                </w14:textFill>
              </w:rPr>
            </w:pPr>
            <w:r>
              <w:rPr>
                <w:rFonts w:hint="eastAsia" w:cs="Times New Roman"/>
                <w:b/>
                <w:bCs/>
                <w:color w:val="000000" w:themeColor="text1"/>
                <w:kern w:val="2"/>
                <w:sz w:val="21"/>
                <w:szCs w:val="21"/>
                <w:highlight w:val="none"/>
                <w:shd w:val="clear" w:color="auto" w:fill="auto"/>
                <w:lang w:val="en-US" w:eastAsia="zh-CN" w:bidi="ar-SA"/>
                <w14:textFill>
                  <w14:solidFill>
                    <w14:schemeClr w14:val="tx1"/>
                  </w14:solidFill>
                </w14:textFill>
              </w:rPr>
              <w:t>评审</w:t>
            </w:r>
          </w:p>
          <w:p w14:paraId="5DE02311">
            <w:pPr>
              <w:pStyle w:val="27"/>
              <w:ind w:left="0" w:leftChars="0" w:firstLine="0" w:firstLineChars="0"/>
              <w:jc w:val="center"/>
              <w:rPr>
                <w:rFonts w:hint="default"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pPr>
            <w:r>
              <w:rPr>
                <w:rFonts w:hint="eastAsia" w:cs="Times New Roman"/>
                <w:b/>
                <w:bCs/>
                <w:color w:val="000000" w:themeColor="text1"/>
                <w:kern w:val="2"/>
                <w:sz w:val="21"/>
                <w:szCs w:val="21"/>
                <w:highlight w:val="none"/>
                <w:shd w:val="clear" w:color="auto" w:fill="auto"/>
                <w:lang w:val="en-US" w:eastAsia="zh-CN" w:bidi="ar-SA"/>
                <w14:textFill>
                  <w14:solidFill>
                    <w14:schemeClr w14:val="tx1"/>
                  </w14:solidFill>
                </w14:textFill>
              </w:rPr>
              <w:t>项目</w:t>
            </w:r>
          </w:p>
        </w:tc>
        <w:tc>
          <w:tcPr>
            <w:tcW w:w="1385" w:type="dxa"/>
          </w:tcPr>
          <w:p w14:paraId="71BF365E">
            <w:pPr>
              <w:keepNext w:val="0"/>
              <w:keepLines w:val="0"/>
              <w:widowControl/>
              <w:suppressLineNumbers w:val="0"/>
              <w:jc w:val="cente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pPr>
            <w: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t>评分</w:t>
            </w:r>
          </w:p>
          <w:p w14:paraId="120464A2">
            <w:pPr>
              <w:keepNext w:val="0"/>
              <w:keepLines w:val="0"/>
              <w:widowControl/>
              <w:suppressLineNumbers w:val="0"/>
              <w:jc w:val="cente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pPr>
            <w: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t>因素</w:t>
            </w:r>
          </w:p>
        </w:tc>
        <w:tc>
          <w:tcPr>
            <w:tcW w:w="6345" w:type="dxa"/>
          </w:tcPr>
          <w:p w14:paraId="632783B4">
            <w:pPr>
              <w:pStyle w:val="27"/>
              <w:ind w:left="0" w:leftChars="0" w:firstLine="0" w:firstLineChars="0"/>
              <w:jc w:val="cente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pPr>
            <w: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t>评分标准</w:t>
            </w:r>
          </w:p>
        </w:tc>
      </w:tr>
      <w:tr w14:paraId="30AD8E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7" w:hRule="atLeast"/>
        </w:trPr>
        <w:tc>
          <w:tcPr>
            <w:tcW w:w="925" w:type="dxa"/>
          </w:tcPr>
          <w:p w14:paraId="0CAD8523">
            <w:pPr>
              <w:spacing w:line="180" w:lineRule="atLeast"/>
              <w:jc w:val="center"/>
              <w:rPr>
                <w:rFonts w:hint="eastAsia" w:cs="Times New Roman"/>
                <w:b/>
                <w:bCs/>
                <w:color w:val="000000" w:themeColor="text1"/>
                <w:kern w:val="2"/>
                <w:sz w:val="21"/>
                <w:szCs w:val="21"/>
                <w:highlight w:val="none"/>
                <w:shd w:val="clear" w:color="auto" w:fill="auto"/>
                <w:lang w:val="en-US" w:eastAsia="zh-CN" w:bidi="ar-SA"/>
                <w14:textFill>
                  <w14:solidFill>
                    <w14:schemeClr w14:val="tx1"/>
                  </w14:solidFill>
                </w14:textFill>
              </w:rPr>
            </w:pPr>
          </w:p>
          <w:p w14:paraId="4683A004">
            <w:pPr>
              <w:spacing w:line="180" w:lineRule="atLeast"/>
              <w:jc w:val="center"/>
              <w:rPr>
                <w:rFonts w:hint="eastAsia" w:cs="Times New Roman"/>
                <w:b/>
                <w:bCs/>
                <w:color w:val="000000" w:themeColor="text1"/>
                <w:kern w:val="2"/>
                <w:sz w:val="21"/>
                <w:szCs w:val="21"/>
                <w:highlight w:val="none"/>
                <w:shd w:val="clear" w:color="auto" w:fill="auto"/>
                <w:lang w:val="en-US" w:eastAsia="zh-CN" w:bidi="ar-SA"/>
                <w14:textFill>
                  <w14:solidFill>
                    <w14:schemeClr w14:val="tx1"/>
                  </w14:solidFill>
                </w14:textFill>
              </w:rPr>
            </w:pPr>
          </w:p>
          <w:p w14:paraId="18221BF5">
            <w:pPr>
              <w:spacing w:line="180" w:lineRule="atLeast"/>
              <w:jc w:val="center"/>
              <w:rPr>
                <w:rFonts w:hint="eastAsia" w:cs="Times New Roman"/>
                <w:b/>
                <w:bCs/>
                <w:color w:val="000000" w:themeColor="text1"/>
                <w:kern w:val="2"/>
                <w:sz w:val="21"/>
                <w:szCs w:val="21"/>
                <w:highlight w:val="none"/>
                <w:shd w:val="clear" w:color="auto" w:fill="auto"/>
                <w:lang w:val="en-US" w:eastAsia="zh-CN" w:bidi="ar-SA"/>
                <w14:textFill>
                  <w14:solidFill>
                    <w14:schemeClr w14:val="tx1"/>
                  </w14:solidFill>
                </w14:textFill>
              </w:rPr>
            </w:pPr>
          </w:p>
          <w:p w14:paraId="68FCB2EF">
            <w:pPr>
              <w:spacing w:line="180" w:lineRule="atLeast"/>
              <w:jc w:val="center"/>
              <w:rPr>
                <w:rFonts w:hint="eastAsia" w:cs="Times New Roman"/>
                <w:b/>
                <w:bCs/>
                <w:color w:val="000000" w:themeColor="text1"/>
                <w:kern w:val="2"/>
                <w:sz w:val="21"/>
                <w:szCs w:val="21"/>
                <w:highlight w:val="none"/>
                <w:shd w:val="clear" w:color="auto" w:fill="auto"/>
                <w:lang w:val="en-US" w:eastAsia="zh-CN" w:bidi="ar-SA"/>
                <w14:textFill>
                  <w14:solidFill>
                    <w14:schemeClr w14:val="tx1"/>
                  </w14:solidFill>
                </w14:textFill>
              </w:rPr>
            </w:pPr>
          </w:p>
          <w:p w14:paraId="71AB1523">
            <w:pPr>
              <w:spacing w:line="180" w:lineRule="atLeast"/>
              <w:jc w:val="cente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pPr>
            <w:r>
              <w:rPr>
                <w:rFonts w:hint="eastAsia" w:cs="Times New Roman"/>
                <w:b/>
                <w:bCs/>
                <w:color w:val="000000" w:themeColor="text1"/>
                <w:kern w:val="2"/>
                <w:sz w:val="21"/>
                <w:szCs w:val="21"/>
                <w:highlight w:val="none"/>
                <w:shd w:val="clear" w:color="auto" w:fill="auto"/>
                <w:lang w:val="en-US" w:eastAsia="zh-CN" w:bidi="ar-SA"/>
                <w14:textFill>
                  <w14:solidFill>
                    <w14:schemeClr w14:val="tx1"/>
                  </w14:solidFill>
                </w14:textFill>
              </w:rPr>
              <w:t>价格</w:t>
            </w:r>
          </w:p>
        </w:tc>
        <w:tc>
          <w:tcPr>
            <w:tcW w:w="1385" w:type="dxa"/>
          </w:tcPr>
          <w:p w14:paraId="03540640">
            <w:pPr>
              <w:spacing w:line="180" w:lineRule="atLeast"/>
              <w:jc w:val="cente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pPr>
          </w:p>
          <w:p w14:paraId="40F8F9F1">
            <w:pPr>
              <w:spacing w:line="180" w:lineRule="atLeast"/>
              <w:jc w:val="cente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pPr>
          </w:p>
          <w:p w14:paraId="03B03FAC">
            <w:pPr>
              <w:spacing w:line="180" w:lineRule="atLeast"/>
              <w:jc w:val="cente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pPr>
          </w:p>
          <w:p w14:paraId="5A256155">
            <w:pPr>
              <w:spacing w:line="180" w:lineRule="atLeast"/>
              <w:jc w:val="cente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pPr>
          </w:p>
          <w:p w14:paraId="4B64AD38">
            <w:pPr>
              <w:spacing w:line="180" w:lineRule="atLeast"/>
              <w:jc w:val="cente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pPr>
            <w: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t>投标报价</w:t>
            </w:r>
          </w:p>
          <w:p w14:paraId="57B2B539">
            <w:pPr>
              <w:spacing w:line="180" w:lineRule="atLeast"/>
              <w:jc w:val="cente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pPr>
            <w:r>
              <w:rPr>
                <w:rFonts w:hint="eastAsia" w:cs="Times New Roman"/>
                <w:b/>
                <w:bCs/>
                <w:color w:val="000000" w:themeColor="text1"/>
                <w:kern w:val="2"/>
                <w:sz w:val="21"/>
                <w:szCs w:val="21"/>
                <w:highlight w:val="none"/>
                <w:shd w:val="clear" w:color="auto" w:fill="auto"/>
                <w:lang w:val="en-US" w:eastAsia="zh-CN" w:bidi="ar-SA"/>
                <w14:textFill>
                  <w14:solidFill>
                    <w14:schemeClr w14:val="tx1"/>
                  </w14:solidFill>
                </w14:textFill>
              </w:rPr>
              <w:t>（15分）</w:t>
            </w:r>
          </w:p>
        </w:tc>
        <w:tc>
          <w:tcPr>
            <w:tcW w:w="6345" w:type="dxa"/>
          </w:tcPr>
          <w:p w14:paraId="7AAD7E1D">
            <w:pPr>
              <w:spacing w:line="180" w:lineRule="atLeast"/>
              <w:jc w:val="left"/>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pPr>
            <w: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t>投标报价得分＝（基准价/投标报价）×价格权重×100。</w:t>
            </w:r>
          </w:p>
          <w:p w14:paraId="5E54F37A">
            <w:pPr>
              <w:spacing w:line="180" w:lineRule="atLeast"/>
              <w:jc w:val="left"/>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pPr>
            <w: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t>注：投标报价超过采购预算价的按废标处理</w:t>
            </w:r>
          </w:p>
          <w:p w14:paraId="7A717A08">
            <w:pPr>
              <w:spacing w:line="180" w:lineRule="atLeast"/>
              <w:jc w:val="left"/>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pPr>
            <w:r>
              <w:rPr>
                <w:rFonts w:hint="default"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t>1)</w:t>
            </w:r>
            <w: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t xml:space="preserve">确定评标基准价：经评标委员会甄别确认，满足招标文件要求的合理的最低有效投标报价为评标基准价。 </w:t>
            </w:r>
          </w:p>
          <w:p w14:paraId="30DFB488">
            <w:pPr>
              <w:spacing w:line="180" w:lineRule="atLeast"/>
              <w:jc w:val="left"/>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pPr>
            <w:r>
              <w:rPr>
                <w:rFonts w:hint="default"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t>2)</w:t>
            </w:r>
            <w: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t>确定其他投标报价分： 计算公式为投标报价得分</w:t>
            </w:r>
            <w:r>
              <w:rPr>
                <w:rFonts w:hint="default"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t>= (</w:t>
            </w:r>
            <w: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t>评标基准价</w:t>
            </w:r>
            <w:r>
              <w:rPr>
                <w:rFonts w:hint="default"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t xml:space="preserve">/ </w:t>
            </w:r>
            <w: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t>打分报价单位的投标报价</w:t>
            </w:r>
            <w:r>
              <w:rPr>
                <w:rFonts w:hint="default"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t>) × (</w:t>
            </w:r>
            <w:r>
              <w:rPr>
                <w:rFonts w:hint="eastAsia" w:cs="Times New Roman"/>
                <w:b/>
                <w:bCs/>
                <w:color w:val="000000" w:themeColor="text1"/>
                <w:kern w:val="2"/>
                <w:sz w:val="21"/>
                <w:szCs w:val="21"/>
                <w:highlight w:val="none"/>
                <w:shd w:val="clear" w:color="auto" w:fill="auto"/>
                <w:lang w:val="en-US" w:eastAsia="zh-CN" w:bidi="ar-SA"/>
                <w14:textFill>
                  <w14:solidFill>
                    <w14:schemeClr w14:val="tx1"/>
                  </w14:solidFill>
                </w14:textFill>
              </w:rPr>
              <w:t>15</w:t>
            </w:r>
            <w:r>
              <w:rPr>
                <w:rFonts w:hint="default"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t>%) ×100</w:t>
            </w:r>
            <w: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t>，分值计算保留</w:t>
            </w:r>
            <w:r>
              <w:rPr>
                <w:rFonts w:hint="eastAsia" w:cs="Times New Roman"/>
                <w:b/>
                <w:bCs/>
                <w:color w:val="000000" w:themeColor="text1"/>
                <w:kern w:val="2"/>
                <w:sz w:val="21"/>
                <w:szCs w:val="21"/>
                <w:highlight w:val="none"/>
                <w:shd w:val="clear" w:color="auto" w:fill="auto"/>
                <w:lang w:val="en-US" w:eastAsia="zh-CN" w:bidi="ar-SA"/>
                <w14:textFill>
                  <w14:solidFill>
                    <w14:schemeClr w14:val="tx1"/>
                  </w14:solidFill>
                </w14:textFill>
              </w:rPr>
              <w:t>两</w:t>
            </w:r>
            <w: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t xml:space="preserve">位小数点。 </w:t>
            </w:r>
          </w:p>
        </w:tc>
      </w:tr>
      <w:tr w14:paraId="63EA56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25" w:type="dxa"/>
            <w:vMerge w:val="restart"/>
          </w:tcPr>
          <w:p w14:paraId="4EA30DF7">
            <w:pPr>
              <w:spacing w:line="180" w:lineRule="atLeast"/>
              <w:jc w:val="center"/>
              <w:rPr>
                <w:rFonts w:hint="eastAsia" w:cs="Times New Roman"/>
                <w:b/>
                <w:bCs/>
                <w:color w:val="000000" w:themeColor="text1"/>
                <w:kern w:val="2"/>
                <w:sz w:val="21"/>
                <w:szCs w:val="21"/>
                <w:highlight w:val="none"/>
                <w:shd w:val="clear" w:color="auto" w:fill="auto"/>
                <w:lang w:val="en-US" w:eastAsia="zh-CN" w:bidi="ar-SA"/>
                <w14:textFill>
                  <w14:solidFill>
                    <w14:schemeClr w14:val="tx1"/>
                  </w14:solidFill>
                </w14:textFill>
              </w:rPr>
            </w:pPr>
          </w:p>
          <w:p w14:paraId="59A7BE1B">
            <w:pPr>
              <w:spacing w:line="180" w:lineRule="atLeast"/>
              <w:jc w:val="center"/>
              <w:rPr>
                <w:rFonts w:hint="eastAsia" w:cs="Times New Roman"/>
                <w:b/>
                <w:bCs/>
                <w:color w:val="000000" w:themeColor="text1"/>
                <w:kern w:val="2"/>
                <w:sz w:val="21"/>
                <w:szCs w:val="21"/>
                <w:highlight w:val="none"/>
                <w:shd w:val="clear" w:color="auto" w:fill="auto"/>
                <w:lang w:val="en-US" w:eastAsia="zh-CN" w:bidi="ar-SA"/>
                <w14:textFill>
                  <w14:solidFill>
                    <w14:schemeClr w14:val="tx1"/>
                  </w14:solidFill>
                </w14:textFill>
              </w:rPr>
            </w:pPr>
          </w:p>
          <w:p w14:paraId="2B16FF15">
            <w:pPr>
              <w:spacing w:line="180" w:lineRule="atLeast"/>
              <w:jc w:val="center"/>
              <w:rPr>
                <w:rFonts w:hint="eastAsia" w:cs="Times New Roman"/>
                <w:b/>
                <w:bCs/>
                <w:color w:val="000000" w:themeColor="text1"/>
                <w:kern w:val="2"/>
                <w:sz w:val="21"/>
                <w:szCs w:val="21"/>
                <w:highlight w:val="none"/>
                <w:shd w:val="clear" w:color="auto" w:fill="auto"/>
                <w:lang w:val="en-US" w:eastAsia="zh-CN" w:bidi="ar-SA"/>
                <w14:textFill>
                  <w14:solidFill>
                    <w14:schemeClr w14:val="tx1"/>
                  </w14:solidFill>
                </w14:textFill>
              </w:rPr>
            </w:pPr>
          </w:p>
          <w:p w14:paraId="2FFA8A2D">
            <w:pPr>
              <w:spacing w:line="180" w:lineRule="atLeast"/>
              <w:jc w:val="center"/>
              <w:rPr>
                <w:rFonts w:hint="eastAsia" w:cs="Times New Roman"/>
                <w:b/>
                <w:bCs/>
                <w:color w:val="000000" w:themeColor="text1"/>
                <w:kern w:val="2"/>
                <w:sz w:val="21"/>
                <w:szCs w:val="21"/>
                <w:highlight w:val="none"/>
                <w:shd w:val="clear" w:color="auto" w:fill="auto"/>
                <w:lang w:val="en-US" w:eastAsia="zh-CN" w:bidi="ar-SA"/>
                <w14:textFill>
                  <w14:solidFill>
                    <w14:schemeClr w14:val="tx1"/>
                  </w14:solidFill>
                </w14:textFill>
              </w:rPr>
            </w:pPr>
          </w:p>
          <w:p w14:paraId="0119C76F">
            <w:pPr>
              <w:spacing w:line="180" w:lineRule="atLeast"/>
              <w:jc w:val="center"/>
              <w:rPr>
                <w:rFonts w:hint="eastAsia" w:cs="Times New Roman"/>
                <w:b/>
                <w:bCs/>
                <w:color w:val="000000" w:themeColor="text1"/>
                <w:kern w:val="2"/>
                <w:sz w:val="21"/>
                <w:szCs w:val="21"/>
                <w:highlight w:val="none"/>
                <w:shd w:val="clear" w:color="auto" w:fill="auto"/>
                <w:lang w:val="en-US" w:eastAsia="zh-CN" w:bidi="ar-SA"/>
                <w14:textFill>
                  <w14:solidFill>
                    <w14:schemeClr w14:val="tx1"/>
                  </w14:solidFill>
                </w14:textFill>
              </w:rPr>
            </w:pPr>
          </w:p>
          <w:p w14:paraId="5C6B6B7A">
            <w:pPr>
              <w:spacing w:line="180" w:lineRule="atLeast"/>
              <w:jc w:val="center"/>
              <w:rPr>
                <w:rFonts w:hint="eastAsia" w:cs="Times New Roman"/>
                <w:b/>
                <w:bCs/>
                <w:color w:val="000000" w:themeColor="text1"/>
                <w:kern w:val="2"/>
                <w:sz w:val="21"/>
                <w:szCs w:val="21"/>
                <w:highlight w:val="none"/>
                <w:shd w:val="clear" w:color="auto" w:fill="auto"/>
                <w:lang w:val="en-US" w:eastAsia="zh-CN" w:bidi="ar-SA"/>
                <w14:textFill>
                  <w14:solidFill>
                    <w14:schemeClr w14:val="tx1"/>
                  </w14:solidFill>
                </w14:textFill>
              </w:rPr>
            </w:pPr>
          </w:p>
          <w:p w14:paraId="0E4F959B">
            <w:pPr>
              <w:spacing w:line="180" w:lineRule="atLeast"/>
              <w:jc w:val="center"/>
              <w:rPr>
                <w:rFonts w:hint="eastAsia" w:cs="Times New Roman"/>
                <w:b/>
                <w:bCs/>
                <w:color w:val="000000" w:themeColor="text1"/>
                <w:kern w:val="2"/>
                <w:sz w:val="21"/>
                <w:szCs w:val="21"/>
                <w:highlight w:val="none"/>
                <w:shd w:val="clear" w:color="auto" w:fill="auto"/>
                <w:lang w:val="en-US" w:eastAsia="zh-CN" w:bidi="ar-SA"/>
                <w14:textFill>
                  <w14:solidFill>
                    <w14:schemeClr w14:val="tx1"/>
                  </w14:solidFill>
                </w14:textFill>
              </w:rPr>
            </w:pPr>
          </w:p>
          <w:p w14:paraId="3E1A5193">
            <w:pPr>
              <w:spacing w:line="180" w:lineRule="atLeast"/>
              <w:jc w:val="center"/>
              <w:rPr>
                <w:rFonts w:hint="eastAsia" w:cs="Times New Roman"/>
                <w:b/>
                <w:bCs/>
                <w:color w:val="000000" w:themeColor="text1"/>
                <w:kern w:val="2"/>
                <w:sz w:val="21"/>
                <w:szCs w:val="21"/>
                <w:highlight w:val="none"/>
                <w:shd w:val="clear" w:color="auto" w:fill="auto"/>
                <w:lang w:val="en-US" w:eastAsia="zh-CN" w:bidi="ar-SA"/>
                <w14:textFill>
                  <w14:solidFill>
                    <w14:schemeClr w14:val="tx1"/>
                  </w14:solidFill>
                </w14:textFill>
              </w:rPr>
            </w:pPr>
          </w:p>
          <w:p w14:paraId="705DF88F">
            <w:pPr>
              <w:spacing w:line="180" w:lineRule="atLeast"/>
              <w:jc w:val="center"/>
              <w:rPr>
                <w:rFonts w:hint="eastAsia" w:cs="Times New Roman"/>
                <w:b/>
                <w:bCs/>
                <w:color w:val="000000" w:themeColor="text1"/>
                <w:kern w:val="2"/>
                <w:sz w:val="21"/>
                <w:szCs w:val="21"/>
                <w:highlight w:val="none"/>
                <w:shd w:val="clear" w:color="auto" w:fill="auto"/>
                <w:lang w:val="en-US" w:eastAsia="zh-CN" w:bidi="ar-SA"/>
                <w14:textFill>
                  <w14:solidFill>
                    <w14:schemeClr w14:val="tx1"/>
                  </w14:solidFill>
                </w14:textFill>
              </w:rPr>
            </w:pPr>
          </w:p>
          <w:p w14:paraId="294738D4">
            <w:pPr>
              <w:spacing w:line="180" w:lineRule="atLeast"/>
              <w:jc w:val="center"/>
              <w:rPr>
                <w:rFonts w:hint="eastAsia" w:cs="Times New Roman"/>
                <w:b/>
                <w:bCs/>
                <w:color w:val="000000" w:themeColor="text1"/>
                <w:kern w:val="2"/>
                <w:sz w:val="21"/>
                <w:szCs w:val="21"/>
                <w:highlight w:val="none"/>
                <w:shd w:val="clear" w:color="auto" w:fill="auto"/>
                <w:lang w:val="en-US" w:eastAsia="zh-CN" w:bidi="ar-SA"/>
                <w14:textFill>
                  <w14:solidFill>
                    <w14:schemeClr w14:val="tx1"/>
                  </w14:solidFill>
                </w14:textFill>
              </w:rPr>
            </w:pPr>
          </w:p>
          <w:p w14:paraId="0135176F">
            <w:pPr>
              <w:spacing w:line="180" w:lineRule="atLeast"/>
              <w:jc w:val="center"/>
              <w:rPr>
                <w:rFonts w:hint="default"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pPr>
            <w:r>
              <w:rPr>
                <w:rFonts w:hint="eastAsia" w:cs="Times New Roman"/>
                <w:b/>
                <w:bCs/>
                <w:color w:val="000000" w:themeColor="text1"/>
                <w:kern w:val="2"/>
                <w:sz w:val="21"/>
                <w:szCs w:val="21"/>
                <w:highlight w:val="none"/>
                <w:shd w:val="clear" w:color="auto" w:fill="auto"/>
                <w:lang w:val="en-US" w:eastAsia="zh-CN" w:bidi="ar-SA"/>
                <w14:textFill>
                  <w14:solidFill>
                    <w14:schemeClr w14:val="tx1"/>
                  </w14:solidFill>
                </w14:textFill>
              </w:rPr>
              <w:t>技术及商务部分（85分）</w:t>
            </w:r>
          </w:p>
        </w:tc>
        <w:tc>
          <w:tcPr>
            <w:tcW w:w="1385" w:type="dxa"/>
            <w:vAlign w:val="center"/>
          </w:tcPr>
          <w:p w14:paraId="40A8C3B5">
            <w:pPr>
              <w:spacing w:line="180" w:lineRule="atLeast"/>
              <w:jc w:val="center"/>
              <w:rPr>
                <w:rFonts w:hint="eastAsia" w:ascii="宋体" w:hAnsi="宋体"/>
                <w:b/>
                <w:bCs/>
                <w:color w:val="000000" w:themeColor="text1"/>
                <w:sz w:val="21"/>
                <w:szCs w:val="21"/>
                <w:shd w:val="clear" w:color="auto" w:fill="auto"/>
                <w:lang w:val="en-US" w:eastAsia="zh-CN"/>
                <w14:textFill>
                  <w14:solidFill>
                    <w14:schemeClr w14:val="tx1"/>
                  </w14:solidFill>
                </w14:textFill>
              </w:rPr>
            </w:pPr>
          </w:p>
          <w:p w14:paraId="0018B16B">
            <w:pPr>
              <w:spacing w:line="180" w:lineRule="atLeast"/>
              <w:jc w:val="center"/>
              <w:rPr>
                <w:rFonts w:hint="eastAsia" w:ascii="宋体" w:hAnsi="宋体"/>
                <w:b/>
                <w:bCs/>
                <w:color w:val="000000" w:themeColor="text1"/>
                <w:sz w:val="21"/>
                <w:szCs w:val="21"/>
                <w:shd w:val="clear" w:color="auto" w:fill="auto"/>
                <w:lang w:val="en-US" w:eastAsia="zh-CN"/>
                <w14:textFill>
                  <w14:solidFill>
                    <w14:schemeClr w14:val="tx1"/>
                  </w14:solidFill>
                </w14:textFill>
              </w:rPr>
            </w:pPr>
          </w:p>
          <w:p w14:paraId="1AAED22D">
            <w:pPr>
              <w:spacing w:line="180" w:lineRule="atLeast"/>
              <w:jc w:val="center"/>
              <w:rPr>
                <w:rFonts w:hint="eastAsia" w:ascii="宋体" w:hAnsi="宋体"/>
                <w:b/>
                <w:bCs/>
                <w:color w:val="000000" w:themeColor="text1"/>
                <w:sz w:val="21"/>
                <w:szCs w:val="21"/>
                <w:shd w:val="clear" w:color="auto" w:fill="auto"/>
                <w:lang w:val="en-US" w:eastAsia="zh-CN"/>
                <w14:textFill>
                  <w14:solidFill>
                    <w14:schemeClr w14:val="tx1"/>
                  </w14:solidFill>
                </w14:textFill>
              </w:rPr>
            </w:pPr>
          </w:p>
          <w:p w14:paraId="3426B33F">
            <w:pPr>
              <w:pStyle w:val="10"/>
              <w:rPr>
                <w:rFonts w:hint="eastAsia"/>
                <w:lang w:val="en-US" w:eastAsia="zh-CN"/>
              </w:rPr>
            </w:pPr>
          </w:p>
          <w:p w14:paraId="5273ADFC">
            <w:pPr>
              <w:spacing w:line="180" w:lineRule="atLeast"/>
              <w:jc w:val="cente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pPr>
            <w:r>
              <w:rPr>
                <w:rFonts w:hint="eastAsia" w:ascii="宋体" w:hAnsi="宋体"/>
                <w:b/>
                <w:bCs/>
                <w:color w:val="000000" w:themeColor="text1"/>
                <w:sz w:val="21"/>
                <w:szCs w:val="21"/>
                <w:shd w:val="clear" w:color="auto" w:fill="auto"/>
                <w:lang w:val="en-US" w:eastAsia="zh-CN"/>
                <w14:textFill>
                  <w14:solidFill>
                    <w14:schemeClr w14:val="tx1"/>
                  </w14:solidFill>
                </w14:textFill>
              </w:rPr>
              <w:t>具体</w:t>
            </w:r>
            <w:r>
              <w:rPr>
                <w:rFonts w:hint="eastAsia" w:ascii="宋体" w:hAnsi="宋体"/>
                <w:b/>
                <w:bCs/>
                <w:color w:val="000000" w:themeColor="text1"/>
                <w:sz w:val="21"/>
                <w:szCs w:val="21"/>
                <w:shd w:val="clear" w:color="auto" w:fill="auto"/>
                <w:lang w:eastAsia="zh-CN"/>
                <w14:textFill>
                  <w14:solidFill>
                    <w14:schemeClr w14:val="tx1"/>
                  </w14:solidFill>
                </w14:textFill>
              </w:rPr>
              <w:t>承保</w:t>
            </w:r>
            <w:r>
              <w:rPr>
                <w:rFonts w:hint="eastAsia" w:ascii="宋体" w:hAnsi="宋体"/>
                <w:b/>
                <w:bCs/>
                <w:color w:val="000000" w:themeColor="text1"/>
                <w:sz w:val="21"/>
                <w:szCs w:val="21"/>
                <w:shd w:val="clear" w:color="auto" w:fill="auto"/>
                <w:lang w:val="en-US" w:eastAsia="zh-CN"/>
                <w14:textFill>
                  <w14:solidFill>
                    <w14:schemeClr w14:val="tx1"/>
                  </w14:solidFill>
                </w14:textFill>
              </w:rPr>
              <w:t>服务内容</w:t>
            </w:r>
            <w:r>
              <w:rPr>
                <w:rFonts w:ascii="宋体" w:hAnsi="宋体"/>
                <w:b/>
                <w:bCs/>
                <w:color w:val="000000" w:themeColor="text1"/>
                <w:sz w:val="21"/>
                <w:szCs w:val="21"/>
                <w:shd w:val="clear" w:color="auto" w:fill="auto"/>
                <w14:textFill>
                  <w14:solidFill>
                    <w14:schemeClr w14:val="tx1"/>
                  </w14:solidFill>
                </w14:textFill>
              </w:rPr>
              <w:t>方案</w:t>
            </w:r>
            <w:r>
              <w:rPr>
                <w:rFonts w:hint="eastAsia" w:ascii="宋体" w:hAnsi="宋体"/>
                <w:b/>
                <w:bCs/>
                <w:color w:val="000000" w:themeColor="text1"/>
                <w:sz w:val="21"/>
                <w:szCs w:val="21"/>
                <w:shd w:val="clear" w:color="auto" w:fill="auto"/>
                <w:lang w:eastAsia="zh-CN"/>
                <w14:textFill>
                  <w14:solidFill>
                    <w14:schemeClr w14:val="tx1"/>
                  </w14:solidFill>
                </w14:textFill>
              </w:rPr>
              <w:t>（</w:t>
            </w:r>
            <w:r>
              <w:rPr>
                <w:rFonts w:hint="eastAsia" w:ascii="宋体" w:hAnsi="宋体"/>
                <w:b/>
                <w:bCs/>
                <w:color w:val="000000" w:themeColor="text1"/>
                <w:sz w:val="21"/>
                <w:szCs w:val="21"/>
                <w:shd w:val="clear" w:color="auto" w:fill="auto"/>
                <w:lang w:val="en-US" w:eastAsia="zh-CN"/>
                <w14:textFill>
                  <w14:solidFill>
                    <w14:schemeClr w14:val="tx1"/>
                  </w14:solidFill>
                </w14:textFill>
              </w:rPr>
              <w:t>25分</w:t>
            </w:r>
            <w:r>
              <w:rPr>
                <w:rFonts w:hint="eastAsia" w:ascii="宋体" w:hAnsi="宋体"/>
                <w:b/>
                <w:bCs/>
                <w:color w:val="000000" w:themeColor="text1"/>
                <w:sz w:val="21"/>
                <w:szCs w:val="21"/>
                <w:shd w:val="clear" w:color="auto" w:fill="auto"/>
                <w:lang w:eastAsia="zh-CN"/>
                <w14:textFill>
                  <w14:solidFill>
                    <w14:schemeClr w14:val="tx1"/>
                  </w14:solidFill>
                </w14:textFill>
              </w:rPr>
              <w:t>）</w:t>
            </w:r>
          </w:p>
        </w:tc>
        <w:tc>
          <w:tcPr>
            <w:tcW w:w="6345" w:type="dxa"/>
            <w:vAlign w:val="center"/>
          </w:tcPr>
          <w:p w14:paraId="37BB3A45">
            <w:pPr>
              <w:spacing w:line="180" w:lineRule="atLeast"/>
              <w:jc w:val="left"/>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pPr>
          </w:p>
          <w:p w14:paraId="7B29F2FA">
            <w:pPr>
              <w:spacing w:line="180" w:lineRule="atLeast"/>
              <w:jc w:val="left"/>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pPr>
            <w: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t>要求：根据投标人须根据本项目需求编制承保服务方案，方案要具体详实、有针对性、可操作性强，能最大限度的考虑招标人的需求和利益。</w:t>
            </w:r>
          </w:p>
          <w:p w14:paraId="4AE09002">
            <w:pPr>
              <w:spacing w:line="180" w:lineRule="atLeast"/>
              <w:jc w:val="left"/>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pPr>
            <w:r>
              <w:rPr>
                <w:rFonts w:hint="eastAsia" w:cs="Times New Roman"/>
                <w:b/>
                <w:bCs/>
                <w:color w:val="000000" w:themeColor="text1"/>
                <w:kern w:val="2"/>
                <w:sz w:val="21"/>
                <w:szCs w:val="21"/>
                <w:highlight w:val="none"/>
                <w:shd w:val="clear" w:color="auto" w:fill="auto"/>
                <w:lang w:val="en-US" w:eastAsia="zh-CN" w:bidi="ar-SA"/>
                <w14:textFill>
                  <w14:solidFill>
                    <w14:schemeClr w14:val="tx1"/>
                  </w14:solidFill>
                </w14:textFill>
              </w:rPr>
              <w:t>通过对投标企业做横向对比，</w:t>
            </w:r>
            <w: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t>方案内容进行了详细的阐述，措施得力，针对性强，并能结合项目实际情况能提供</w:t>
            </w:r>
            <w:r>
              <w:rPr>
                <w:rFonts w:hint="eastAsia"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t>不限于本项目的</w:t>
            </w:r>
            <w: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t>优质高效服务，得</w:t>
            </w:r>
            <w:r>
              <w:rPr>
                <w:rFonts w:hint="eastAsia" w:cs="Times New Roman"/>
                <w:b/>
                <w:bCs/>
                <w:color w:val="000000" w:themeColor="text1"/>
                <w:kern w:val="2"/>
                <w:sz w:val="21"/>
                <w:szCs w:val="21"/>
                <w:highlight w:val="none"/>
                <w:shd w:val="clear" w:color="auto" w:fill="auto"/>
                <w:lang w:val="en-US" w:eastAsia="zh-CN" w:bidi="ar-SA"/>
                <w14:textFill>
                  <w14:solidFill>
                    <w14:schemeClr w14:val="tx1"/>
                  </w14:solidFill>
                </w14:textFill>
              </w:rPr>
              <w:t>25</w:t>
            </w:r>
            <w: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t>分；</w:t>
            </w:r>
          </w:p>
          <w:p w14:paraId="4762729D">
            <w:pPr>
              <w:spacing w:line="180" w:lineRule="atLeast"/>
              <w:jc w:val="left"/>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pPr>
            <w: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t>方案虽进行阐述，但服务质量与效率一般的，得</w:t>
            </w:r>
            <w:r>
              <w:rPr>
                <w:rFonts w:hint="eastAsia" w:cs="Times New Roman"/>
                <w:b/>
                <w:bCs/>
                <w:color w:val="000000" w:themeColor="text1"/>
                <w:kern w:val="2"/>
                <w:sz w:val="21"/>
                <w:szCs w:val="21"/>
                <w:highlight w:val="none"/>
                <w:shd w:val="clear" w:color="auto" w:fill="auto"/>
                <w:lang w:val="en-US" w:eastAsia="zh-CN" w:bidi="ar-SA"/>
                <w14:textFill>
                  <w14:solidFill>
                    <w14:schemeClr w14:val="tx1"/>
                  </w14:solidFill>
                </w14:textFill>
              </w:rPr>
              <w:t>15</w:t>
            </w:r>
            <w: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t>分；</w:t>
            </w:r>
          </w:p>
          <w:p w14:paraId="41BBDE9B">
            <w:pPr>
              <w:spacing w:line="180" w:lineRule="atLeast"/>
              <w:jc w:val="left"/>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pPr>
            <w: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t>方案仅针对招标需求进行应答阐述，服务质量与效率较差的，得</w:t>
            </w:r>
            <w:r>
              <w:rPr>
                <w:rFonts w:hint="eastAsia" w:cs="Times New Roman"/>
                <w:b/>
                <w:bCs/>
                <w:color w:val="000000" w:themeColor="text1"/>
                <w:kern w:val="2"/>
                <w:sz w:val="21"/>
                <w:szCs w:val="21"/>
                <w:highlight w:val="none"/>
                <w:shd w:val="clear" w:color="auto" w:fill="auto"/>
                <w:lang w:val="en-US" w:eastAsia="zh-CN" w:bidi="ar-SA"/>
                <w14:textFill>
                  <w14:solidFill>
                    <w14:schemeClr w14:val="tx1"/>
                  </w14:solidFill>
                </w14:textFill>
              </w:rPr>
              <w:t>10</w:t>
            </w:r>
            <w: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t>分；</w:t>
            </w:r>
          </w:p>
          <w:p w14:paraId="3187382A">
            <w:pPr>
              <w:spacing w:line="180" w:lineRule="atLeast"/>
              <w:jc w:val="left"/>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pPr>
            <w: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t>未提供方案或方案内容未进行任何阐述</w:t>
            </w:r>
            <w:r>
              <w:rPr>
                <w:rFonts w:hint="eastAsia" w:cs="Times New Roman"/>
                <w:b/>
                <w:bCs/>
                <w:color w:val="000000" w:themeColor="text1"/>
                <w:kern w:val="2"/>
                <w:sz w:val="21"/>
                <w:szCs w:val="21"/>
                <w:highlight w:val="none"/>
                <w:shd w:val="clear" w:color="auto" w:fill="auto"/>
                <w:lang w:val="en-US" w:eastAsia="zh-CN" w:bidi="ar-SA"/>
                <w14:textFill>
                  <w14:solidFill>
                    <w14:schemeClr w14:val="tx1"/>
                  </w14:solidFill>
                </w14:textFill>
              </w:rPr>
              <w:t>无法满足服务要求的</w:t>
            </w:r>
            <w: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t>，得0分。</w:t>
            </w:r>
          </w:p>
        </w:tc>
      </w:tr>
      <w:tr w14:paraId="6633F8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trPr>
        <w:tc>
          <w:tcPr>
            <w:tcW w:w="925" w:type="dxa"/>
            <w:vMerge w:val="continue"/>
          </w:tcPr>
          <w:p w14:paraId="76F296C3">
            <w:pPr>
              <w:spacing w:line="180" w:lineRule="atLeast"/>
              <w:jc w:val="cente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pPr>
          </w:p>
        </w:tc>
        <w:tc>
          <w:tcPr>
            <w:tcW w:w="1385" w:type="dxa"/>
            <w:vAlign w:val="top"/>
          </w:tcPr>
          <w:p w14:paraId="51D555B9">
            <w:pPr>
              <w:spacing w:line="180" w:lineRule="atLeast"/>
              <w:jc w:val="left"/>
              <w:rPr>
                <w:rFonts w:hint="eastAsia" w:cs="Times New Roman"/>
                <w:b/>
                <w:bCs/>
                <w:color w:val="000000" w:themeColor="text1"/>
                <w:kern w:val="2"/>
                <w:sz w:val="21"/>
                <w:szCs w:val="21"/>
                <w:highlight w:val="none"/>
                <w:shd w:val="clear" w:color="auto" w:fill="auto"/>
                <w:lang w:val="en-US" w:eastAsia="zh-CN" w:bidi="ar-SA"/>
                <w14:textFill>
                  <w14:solidFill>
                    <w14:schemeClr w14:val="tx1"/>
                  </w14:solidFill>
                </w14:textFill>
              </w:rPr>
            </w:pPr>
          </w:p>
          <w:p w14:paraId="57A0F5E4">
            <w:pPr>
              <w:spacing w:line="180" w:lineRule="atLeast"/>
              <w:jc w:val="left"/>
              <w:rPr>
                <w:rFonts w:hint="eastAsia" w:cs="Times New Roman"/>
                <w:b/>
                <w:bCs/>
                <w:color w:val="000000" w:themeColor="text1"/>
                <w:kern w:val="2"/>
                <w:sz w:val="21"/>
                <w:szCs w:val="21"/>
                <w:highlight w:val="none"/>
                <w:shd w:val="clear" w:color="auto" w:fill="auto"/>
                <w:lang w:val="en-US" w:eastAsia="zh-CN" w:bidi="ar-SA"/>
                <w14:textFill>
                  <w14:solidFill>
                    <w14:schemeClr w14:val="tx1"/>
                  </w14:solidFill>
                </w14:textFill>
              </w:rPr>
            </w:pPr>
          </w:p>
          <w:p w14:paraId="18D95305">
            <w:pPr>
              <w:spacing w:line="180" w:lineRule="atLeast"/>
              <w:jc w:val="left"/>
              <w:rPr>
                <w:rFonts w:hint="eastAsia" w:cs="Times New Roman"/>
                <w:b/>
                <w:bCs/>
                <w:color w:val="000000" w:themeColor="text1"/>
                <w:kern w:val="2"/>
                <w:sz w:val="21"/>
                <w:szCs w:val="21"/>
                <w:highlight w:val="none"/>
                <w:shd w:val="clear" w:color="auto" w:fill="auto"/>
                <w:lang w:val="en-US" w:eastAsia="zh-CN" w:bidi="ar-SA"/>
                <w14:textFill>
                  <w14:solidFill>
                    <w14:schemeClr w14:val="tx1"/>
                  </w14:solidFill>
                </w14:textFill>
              </w:rPr>
            </w:pPr>
          </w:p>
          <w:p w14:paraId="73A481AC">
            <w:pPr>
              <w:spacing w:line="180" w:lineRule="atLeast"/>
              <w:jc w:val="left"/>
              <w:rPr>
                <w:rFonts w:hint="default"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pPr>
            <w:r>
              <w:rPr>
                <w:rFonts w:hint="eastAsia" w:cs="Times New Roman"/>
                <w:b/>
                <w:bCs/>
                <w:color w:val="000000" w:themeColor="text1"/>
                <w:kern w:val="2"/>
                <w:sz w:val="21"/>
                <w:szCs w:val="21"/>
                <w:highlight w:val="none"/>
                <w:shd w:val="clear" w:color="auto" w:fill="auto"/>
                <w:lang w:val="en-US" w:eastAsia="zh-CN" w:bidi="ar-SA"/>
                <w14:textFill>
                  <w14:solidFill>
                    <w14:schemeClr w14:val="tx1"/>
                  </w14:solidFill>
                </w14:textFill>
              </w:rPr>
              <w:t>理赔程序和理赔标准（25分）</w:t>
            </w:r>
          </w:p>
        </w:tc>
        <w:tc>
          <w:tcPr>
            <w:tcW w:w="6345" w:type="dxa"/>
            <w:vAlign w:val="top"/>
          </w:tcPr>
          <w:p w14:paraId="75C03200">
            <w:pPr>
              <w:spacing w:line="180" w:lineRule="atLeast"/>
              <w:jc w:val="left"/>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pPr>
            <w: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t>要求：根据投标人提供的理赔服务原则、理赔程序流程，理赔服务内容、理赔权限</w:t>
            </w:r>
            <w:r>
              <w:rPr>
                <w:rFonts w:hint="eastAsia" w:cs="Times New Roman"/>
                <w:b/>
                <w:bCs/>
                <w:color w:val="000000" w:themeColor="text1"/>
                <w:kern w:val="2"/>
                <w:sz w:val="21"/>
                <w:szCs w:val="21"/>
                <w:highlight w:val="none"/>
                <w:shd w:val="clear" w:color="auto" w:fill="auto"/>
                <w:lang w:val="en-US" w:eastAsia="zh-CN" w:bidi="ar-SA"/>
                <w14:textFill>
                  <w14:solidFill>
                    <w14:schemeClr w14:val="tx1"/>
                  </w14:solidFill>
                </w14:textFill>
              </w:rPr>
              <w:t>事故处理到场时间、理赔到账时间</w:t>
            </w:r>
            <w: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t xml:space="preserve">等内容是否明确清晰、能够有效地简化各项程序、预付赔付比例承诺等对投标人进行综合评分。 </w:t>
            </w:r>
          </w:p>
          <w:p w14:paraId="272B0117">
            <w:pPr>
              <w:spacing w:line="180" w:lineRule="atLeast"/>
              <w:jc w:val="left"/>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pPr>
            <w: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t xml:space="preserve">评分标准： </w:t>
            </w:r>
          </w:p>
          <w:p w14:paraId="6B3AC12A">
            <w:pPr>
              <w:spacing w:line="180" w:lineRule="atLeast"/>
              <w:jc w:val="left"/>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pPr>
            <w:r>
              <w:rPr>
                <w:rFonts w:hint="eastAsia" w:cs="Times New Roman"/>
                <w:b/>
                <w:bCs/>
                <w:color w:val="000000" w:themeColor="text1"/>
                <w:kern w:val="2"/>
                <w:sz w:val="21"/>
                <w:szCs w:val="21"/>
                <w:highlight w:val="none"/>
                <w:shd w:val="clear" w:color="auto" w:fill="auto"/>
                <w:lang w:val="en-US" w:eastAsia="zh-CN" w:bidi="ar-SA"/>
                <w14:textFill>
                  <w14:solidFill>
                    <w14:schemeClr w14:val="tx1"/>
                  </w14:solidFill>
                </w14:textFill>
              </w:rPr>
              <w:t>通过对投标企业做横向对比，</w:t>
            </w:r>
            <w: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t>投标人所提供理赔服务原则和理赔权限清晰详尽、理赔程序流程详尽、服务内容科学合理、预付赔付比例</w:t>
            </w:r>
            <w:r>
              <w:rPr>
                <w:rFonts w:hint="eastAsia" w:cs="Times New Roman"/>
                <w:b/>
                <w:bCs/>
                <w:color w:val="000000" w:themeColor="text1"/>
                <w:kern w:val="2"/>
                <w:sz w:val="21"/>
                <w:szCs w:val="21"/>
                <w:highlight w:val="none"/>
                <w:shd w:val="clear" w:color="auto" w:fill="auto"/>
                <w:lang w:val="en-US" w:eastAsia="zh-CN" w:bidi="ar-SA"/>
                <w14:textFill>
                  <w14:solidFill>
                    <w14:schemeClr w14:val="tx1"/>
                  </w14:solidFill>
                </w14:textFill>
              </w:rPr>
              <w:t>、时间</w:t>
            </w:r>
            <w: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t>承诺科学可行的，得</w:t>
            </w:r>
            <w:r>
              <w:rPr>
                <w:rFonts w:hint="eastAsia" w:cs="Times New Roman"/>
                <w:b/>
                <w:bCs/>
                <w:color w:val="000000" w:themeColor="text1"/>
                <w:kern w:val="2"/>
                <w:sz w:val="21"/>
                <w:szCs w:val="21"/>
                <w:highlight w:val="none"/>
                <w:shd w:val="clear" w:color="auto" w:fill="auto"/>
                <w:lang w:val="en-US" w:eastAsia="zh-CN" w:bidi="ar-SA"/>
                <w14:textFill>
                  <w14:solidFill>
                    <w14:schemeClr w14:val="tx1"/>
                  </w14:solidFill>
                </w14:textFill>
              </w:rPr>
              <w:t>25</w:t>
            </w:r>
            <w: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t xml:space="preserve">分； </w:t>
            </w:r>
          </w:p>
          <w:p w14:paraId="2E96BEB8">
            <w:pPr>
              <w:spacing w:line="180" w:lineRule="atLeast"/>
              <w:jc w:val="left"/>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pPr>
            <w: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t>投标人所提供理赔服务原则和理赔主要权限清晰、理赔程序有主要流程、服务内容有一定科学合理性、预付赔付比例</w:t>
            </w:r>
            <w:r>
              <w:rPr>
                <w:rFonts w:hint="eastAsia" w:cs="Times New Roman"/>
                <w:b/>
                <w:bCs/>
                <w:color w:val="000000" w:themeColor="text1"/>
                <w:kern w:val="2"/>
                <w:sz w:val="21"/>
                <w:szCs w:val="21"/>
                <w:highlight w:val="none"/>
                <w:shd w:val="clear" w:color="auto" w:fill="auto"/>
                <w:lang w:val="en-US" w:eastAsia="zh-CN" w:bidi="ar-SA"/>
                <w14:textFill>
                  <w14:solidFill>
                    <w14:schemeClr w14:val="tx1"/>
                  </w14:solidFill>
                </w14:textFill>
              </w:rPr>
              <w:t>、时间</w:t>
            </w:r>
            <w: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t>承诺科学可行的，得</w:t>
            </w:r>
            <w:r>
              <w:rPr>
                <w:rFonts w:hint="eastAsia" w:cs="Times New Roman"/>
                <w:b/>
                <w:bCs/>
                <w:color w:val="000000" w:themeColor="text1"/>
                <w:kern w:val="2"/>
                <w:sz w:val="21"/>
                <w:szCs w:val="21"/>
                <w:highlight w:val="none"/>
                <w:shd w:val="clear" w:color="auto" w:fill="auto"/>
                <w:lang w:val="en-US" w:eastAsia="zh-CN" w:bidi="ar-SA"/>
                <w14:textFill>
                  <w14:solidFill>
                    <w14:schemeClr w14:val="tx1"/>
                  </w14:solidFill>
                </w14:textFill>
              </w:rPr>
              <w:t>15</w:t>
            </w:r>
            <w: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t xml:space="preserve">分； </w:t>
            </w:r>
          </w:p>
          <w:p w14:paraId="26874A25">
            <w:pPr>
              <w:spacing w:line="180" w:lineRule="atLeast"/>
              <w:jc w:val="left"/>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pPr>
            <w: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t>投标人所提供理赔服务原则和理赔有权限框架、理赔程序有一定的流程但缺乏细节、服务内容有一定科学合理性、预付赔付比例</w:t>
            </w:r>
            <w:r>
              <w:rPr>
                <w:rFonts w:hint="eastAsia" w:cs="Times New Roman"/>
                <w:b/>
                <w:bCs/>
                <w:color w:val="000000" w:themeColor="text1"/>
                <w:kern w:val="2"/>
                <w:sz w:val="21"/>
                <w:szCs w:val="21"/>
                <w:highlight w:val="none"/>
                <w:shd w:val="clear" w:color="auto" w:fill="auto"/>
                <w:lang w:val="en-US" w:eastAsia="zh-CN" w:bidi="ar-SA"/>
                <w14:textFill>
                  <w14:solidFill>
                    <w14:schemeClr w14:val="tx1"/>
                  </w14:solidFill>
                </w14:textFill>
              </w:rPr>
              <w:t>、时间</w:t>
            </w:r>
            <w: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t>承诺有一定可行性的，</w:t>
            </w:r>
            <w:r>
              <w:rPr>
                <w:rFonts w:hint="eastAsia" w:cs="Times New Roman"/>
                <w:b/>
                <w:bCs/>
                <w:color w:val="000000" w:themeColor="text1"/>
                <w:kern w:val="2"/>
                <w:sz w:val="21"/>
                <w:szCs w:val="21"/>
                <w:highlight w:val="none"/>
                <w:shd w:val="clear" w:color="auto" w:fill="auto"/>
                <w:lang w:val="en-US" w:eastAsia="zh-CN" w:bidi="ar-SA"/>
                <w14:textFill>
                  <w14:solidFill>
                    <w14:schemeClr w14:val="tx1"/>
                  </w14:solidFill>
                </w14:textFill>
              </w:rPr>
              <w:t>10</w:t>
            </w:r>
            <w: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t xml:space="preserve">分； </w:t>
            </w:r>
          </w:p>
          <w:p w14:paraId="7D4D805F">
            <w:pPr>
              <w:spacing w:line="180" w:lineRule="atLeast"/>
              <w:jc w:val="left"/>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pPr>
            <w: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t>投标人所提供理赔服务原则和理赔权限缺乏条理性与清晰度但不影响理赔程序实施、理赔程序流程阐述缺乏条理脉络不清、服务内容有一定科学合理性但与落地有一定差距、预付赔付比例承诺有一定可行性的，得</w:t>
            </w:r>
            <w:r>
              <w:rPr>
                <w:rFonts w:hint="eastAsia" w:cs="Times New Roman"/>
                <w:b/>
                <w:bCs/>
                <w:color w:val="000000" w:themeColor="text1"/>
                <w:kern w:val="2"/>
                <w:sz w:val="21"/>
                <w:szCs w:val="21"/>
                <w:highlight w:val="none"/>
                <w:shd w:val="clear" w:color="auto" w:fill="auto"/>
                <w:lang w:val="en-US" w:eastAsia="zh-CN" w:bidi="ar-SA"/>
                <w14:textFill>
                  <w14:solidFill>
                    <w14:schemeClr w14:val="tx1"/>
                  </w14:solidFill>
                </w14:textFill>
              </w:rPr>
              <w:t>5</w:t>
            </w:r>
            <w: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t xml:space="preserve">分； </w:t>
            </w:r>
          </w:p>
          <w:p w14:paraId="03BD85BA">
            <w:pPr>
              <w:spacing w:line="180" w:lineRule="atLeast"/>
              <w:jc w:val="left"/>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pPr>
            <w: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t xml:space="preserve">未提供理赔程序和理赔标准的，或所提交理赔程序和理赔标准完全不匹配项目实际情况且不具备可操作性，得 </w:t>
            </w:r>
            <w:r>
              <w:rPr>
                <w:rFonts w:hint="default"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t xml:space="preserve">0 </w:t>
            </w:r>
            <w: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t>分</w:t>
            </w:r>
          </w:p>
        </w:tc>
      </w:tr>
      <w:tr w14:paraId="56417A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2" w:hRule="atLeast"/>
        </w:trPr>
        <w:tc>
          <w:tcPr>
            <w:tcW w:w="925" w:type="dxa"/>
            <w:vMerge w:val="continue"/>
          </w:tcPr>
          <w:p w14:paraId="24F8C318">
            <w:pPr>
              <w:spacing w:line="180" w:lineRule="atLeast"/>
              <w:jc w:val="cente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pPr>
          </w:p>
        </w:tc>
        <w:tc>
          <w:tcPr>
            <w:tcW w:w="1385" w:type="dxa"/>
            <w:vAlign w:val="top"/>
          </w:tcPr>
          <w:p w14:paraId="0B2F390D">
            <w:pPr>
              <w:spacing w:line="180" w:lineRule="atLeast"/>
              <w:jc w:val="center"/>
              <w:rPr>
                <w:rFonts w:hint="eastAsia" w:ascii="Times New Roman" w:hAnsi="Times New Roman" w:eastAsia="宋体" w:cs="Times New Roman"/>
                <w:b/>
                <w:bCs/>
                <w:color w:val="auto"/>
                <w:kern w:val="2"/>
                <w:sz w:val="21"/>
                <w:szCs w:val="21"/>
                <w:highlight w:val="none"/>
                <w:shd w:val="clear" w:color="auto" w:fill="auto"/>
                <w:lang w:val="en-US" w:eastAsia="zh-CN" w:bidi="ar-SA"/>
              </w:rPr>
            </w:pPr>
          </w:p>
          <w:p w14:paraId="0A8C86F7">
            <w:pPr>
              <w:spacing w:line="180" w:lineRule="atLeast"/>
              <w:jc w:val="center"/>
              <w:rPr>
                <w:rFonts w:hint="default" w:ascii="Times New Roman" w:hAnsi="Times New Roman" w:eastAsia="宋体" w:cs="Times New Roman"/>
                <w:b/>
                <w:bCs/>
                <w:color w:val="auto"/>
                <w:kern w:val="2"/>
                <w:sz w:val="21"/>
                <w:szCs w:val="21"/>
                <w:highlight w:val="none"/>
                <w:shd w:val="clear" w:color="auto" w:fill="auto"/>
                <w:lang w:val="en-US" w:eastAsia="zh-CN" w:bidi="ar-SA"/>
              </w:rPr>
            </w:pPr>
            <w:r>
              <w:rPr>
                <w:rFonts w:hint="eastAsia" w:ascii="Times New Roman" w:hAnsi="Times New Roman" w:eastAsia="宋体" w:cs="Times New Roman"/>
                <w:b/>
                <w:bCs/>
                <w:color w:val="auto"/>
                <w:kern w:val="2"/>
                <w:sz w:val="21"/>
                <w:szCs w:val="21"/>
                <w:highlight w:val="none"/>
                <w:shd w:val="clear" w:color="auto" w:fill="auto"/>
                <w:lang w:val="en-US" w:eastAsia="zh-CN" w:bidi="ar-SA"/>
              </w:rPr>
              <w:t>售后服务（</w:t>
            </w:r>
            <w:r>
              <w:rPr>
                <w:rFonts w:hint="eastAsia" w:cs="Times New Roman"/>
                <w:b/>
                <w:bCs/>
                <w:color w:val="auto"/>
                <w:kern w:val="2"/>
                <w:sz w:val="21"/>
                <w:szCs w:val="21"/>
                <w:highlight w:val="none"/>
                <w:shd w:val="clear" w:color="auto" w:fill="auto"/>
                <w:lang w:val="en-US" w:eastAsia="zh-CN" w:bidi="ar-SA"/>
              </w:rPr>
              <w:t>12</w:t>
            </w:r>
            <w:r>
              <w:rPr>
                <w:rFonts w:hint="eastAsia" w:ascii="Times New Roman" w:hAnsi="Times New Roman" w:eastAsia="宋体" w:cs="Times New Roman"/>
                <w:b/>
                <w:bCs/>
                <w:color w:val="auto"/>
                <w:kern w:val="2"/>
                <w:sz w:val="21"/>
                <w:szCs w:val="21"/>
                <w:highlight w:val="none"/>
                <w:shd w:val="clear" w:color="auto" w:fill="auto"/>
                <w:lang w:val="en-US" w:eastAsia="zh-CN" w:bidi="ar-SA"/>
              </w:rPr>
              <w:t>分）</w:t>
            </w:r>
          </w:p>
        </w:tc>
        <w:tc>
          <w:tcPr>
            <w:tcW w:w="6345" w:type="dxa"/>
            <w:vAlign w:val="top"/>
          </w:tcPr>
          <w:p w14:paraId="474D5B34">
            <w:pPr>
              <w:spacing w:line="180" w:lineRule="atLeast"/>
              <w:jc w:val="left"/>
              <w:rPr>
                <w:rFonts w:hint="eastAsia" w:ascii="Times New Roman" w:hAnsi="Times New Roman" w:eastAsia="宋体" w:cs="Times New Roman"/>
                <w:b/>
                <w:bCs/>
                <w:color w:val="auto"/>
                <w:kern w:val="2"/>
                <w:sz w:val="21"/>
                <w:szCs w:val="21"/>
                <w:highlight w:val="none"/>
                <w:shd w:val="clear" w:color="auto" w:fill="auto"/>
                <w:lang w:val="en-US" w:eastAsia="zh-CN" w:bidi="ar-SA"/>
              </w:rPr>
            </w:pPr>
            <w:r>
              <w:rPr>
                <w:rFonts w:hint="eastAsia" w:ascii="Times New Roman" w:hAnsi="Times New Roman" w:eastAsia="宋体" w:cs="Times New Roman"/>
                <w:b/>
                <w:bCs/>
                <w:color w:val="auto"/>
                <w:kern w:val="2"/>
                <w:sz w:val="21"/>
                <w:szCs w:val="21"/>
                <w:highlight w:val="none"/>
                <w:shd w:val="clear" w:color="auto" w:fill="auto"/>
                <w:lang w:val="en-US" w:eastAsia="zh-CN" w:bidi="ar-SA"/>
              </w:rPr>
              <w:t>对供应商承诺的承保服务、理赔服务手续繁简程度、快速理赔通道、配备的保险服务专员情况、日常服务回访机制</w:t>
            </w:r>
            <w:r>
              <w:rPr>
                <w:rFonts w:hint="eastAsia" w:cs="Times New Roman"/>
                <w:b/>
                <w:bCs/>
                <w:color w:val="auto"/>
                <w:kern w:val="2"/>
                <w:sz w:val="21"/>
                <w:szCs w:val="21"/>
                <w:highlight w:val="none"/>
                <w:shd w:val="clear" w:color="auto" w:fill="auto"/>
                <w:lang w:val="en-US" w:eastAsia="zh-CN" w:bidi="ar-SA"/>
              </w:rPr>
              <w:t>等</w:t>
            </w:r>
            <w:r>
              <w:rPr>
                <w:rFonts w:hint="eastAsia" w:ascii="Times New Roman" w:hAnsi="Times New Roman" w:eastAsia="宋体" w:cs="Times New Roman"/>
                <w:b/>
                <w:bCs/>
                <w:color w:val="auto"/>
                <w:kern w:val="2"/>
                <w:sz w:val="21"/>
                <w:szCs w:val="21"/>
                <w:highlight w:val="none"/>
                <w:shd w:val="clear" w:color="auto" w:fill="auto"/>
                <w:lang w:val="en-US" w:eastAsia="zh-CN" w:bidi="ar-SA"/>
              </w:rPr>
              <w:t>情况进行横向对比,</w:t>
            </w:r>
            <w:r>
              <w:rPr>
                <w:rFonts w:hint="eastAsia" w:cs="Times New Roman"/>
                <w:b/>
                <w:bCs/>
                <w:color w:val="auto"/>
                <w:kern w:val="2"/>
                <w:sz w:val="21"/>
                <w:szCs w:val="21"/>
                <w:highlight w:val="none"/>
                <w:shd w:val="clear" w:color="auto" w:fill="auto"/>
                <w:lang w:val="en-US" w:eastAsia="zh-CN" w:bidi="ar-SA"/>
              </w:rPr>
              <w:t>科学合理、可操作性强得12</w:t>
            </w:r>
            <w:r>
              <w:rPr>
                <w:rFonts w:hint="eastAsia" w:ascii="Times New Roman" w:hAnsi="Times New Roman" w:eastAsia="宋体" w:cs="Times New Roman"/>
                <w:b/>
                <w:bCs/>
                <w:color w:val="auto"/>
                <w:kern w:val="2"/>
                <w:sz w:val="21"/>
                <w:szCs w:val="21"/>
                <w:highlight w:val="none"/>
                <w:shd w:val="clear" w:color="auto" w:fill="auto"/>
                <w:lang w:val="en-US" w:eastAsia="zh-CN" w:bidi="ar-SA"/>
              </w:rPr>
              <w:t>分，有一定科学合理性</w:t>
            </w:r>
            <w:r>
              <w:rPr>
                <w:rFonts w:hint="eastAsia" w:cs="Times New Roman"/>
                <w:b/>
                <w:bCs/>
                <w:color w:val="auto"/>
                <w:kern w:val="2"/>
                <w:sz w:val="21"/>
                <w:szCs w:val="21"/>
                <w:highlight w:val="none"/>
                <w:shd w:val="clear" w:color="auto" w:fill="auto"/>
                <w:lang w:val="en-US" w:eastAsia="zh-CN" w:bidi="ar-SA"/>
              </w:rPr>
              <w:t>、可操作性较差</w:t>
            </w:r>
            <w:r>
              <w:rPr>
                <w:rFonts w:hint="eastAsia" w:ascii="Times New Roman" w:hAnsi="Times New Roman" w:eastAsia="宋体" w:cs="Times New Roman"/>
                <w:b/>
                <w:bCs/>
                <w:color w:val="auto"/>
                <w:kern w:val="2"/>
                <w:sz w:val="21"/>
                <w:szCs w:val="21"/>
                <w:highlight w:val="none"/>
                <w:shd w:val="clear" w:color="auto" w:fill="auto"/>
                <w:lang w:val="en-US" w:eastAsia="zh-CN" w:bidi="ar-SA"/>
              </w:rPr>
              <w:t>得</w:t>
            </w:r>
            <w:r>
              <w:rPr>
                <w:rFonts w:hint="eastAsia" w:cs="Times New Roman"/>
                <w:b/>
                <w:bCs/>
                <w:color w:val="auto"/>
                <w:kern w:val="2"/>
                <w:sz w:val="21"/>
                <w:szCs w:val="21"/>
                <w:highlight w:val="none"/>
                <w:shd w:val="clear" w:color="auto" w:fill="auto"/>
                <w:lang w:val="en-US" w:eastAsia="zh-CN" w:bidi="ar-SA"/>
              </w:rPr>
              <w:t>6</w:t>
            </w:r>
            <w:r>
              <w:rPr>
                <w:rFonts w:hint="eastAsia" w:ascii="Times New Roman" w:hAnsi="Times New Roman" w:eastAsia="宋体" w:cs="Times New Roman"/>
                <w:b/>
                <w:bCs/>
                <w:color w:val="auto"/>
                <w:kern w:val="2"/>
                <w:sz w:val="21"/>
                <w:szCs w:val="21"/>
                <w:highlight w:val="none"/>
                <w:shd w:val="clear" w:color="auto" w:fill="auto"/>
                <w:lang w:val="en-US" w:eastAsia="zh-CN" w:bidi="ar-SA"/>
              </w:rPr>
              <w:t>分，</w:t>
            </w:r>
            <w:r>
              <w:rPr>
                <w:rFonts w:hint="eastAsia" w:cs="Times New Roman"/>
                <w:b/>
                <w:bCs/>
                <w:color w:val="auto"/>
                <w:kern w:val="2"/>
                <w:sz w:val="21"/>
                <w:szCs w:val="21"/>
                <w:highlight w:val="none"/>
                <w:shd w:val="clear" w:color="auto" w:fill="auto"/>
                <w:lang w:val="en-US" w:eastAsia="zh-CN" w:bidi="ar-SA"/>
              </w:rPr>
              <w:t>不提相应说明</w:t>
            </w:r>
            <w:r>
              <w:rPr>
                <w:rFonts w:hint="eastAsia" w:ascii="Times New Roman" w:hAnsi="Times New Roman" w:eastAsia="宋体" w:cs="Times New Roman"/>
                <w:b/>
                <w:bCs/>
                <w:color w:val="auto"/>
                <w:kern w:val="2"/>
                <w:sz w:val="21"/>
                <w:szCs w:val="21"/>
                <w:highlight w:val="none"/>
                <w:shd w:val="clear" w:color="auto" w:fill="auto"/>
                <w:lang w:val="en-US" w:eastAsia="zh-CN" w:bidi="ar-SA"/>
              </w:rPr>
              <w:t>得</w:t>
            </w:r>
            <w:r>
              <w:rPr>
                <w:rFonts w:hint="eastAsia" w:cs="Times New Roman"/>
                <w:b/>
                <w:bCs/>
                <w:color w:val="auto"/>
                <w:kern w:val="2"/>
                <w:sz w:val="21"/>
                <w:szCs w:val="21"/>
                <w:highlight w:val="none"/>
                <w:shd w:val="clear" w:color="auto" w:fill="auto"/>
                <w:lang w:val="en-US" w:eastAsia="zh-CN" w:bidi="ar-SA"/>
              </w:rPr>
              <w:t>0</w:t>
            </w:r>
            <w:r>
              <w:rPr>
                <w:rFonts w:hint="eastAsia" w:ascii="Times New Roman" w:hAnsi="Times New Roman" w:eastAsia="宋体" w:cs="Times New Roman"/>
                <w:b/>
                <w:bCs/>
                <w:color w:val="auto"/>
                <w:kern w:val="2"/>
                <w:sz w:val="21"/>
                <w:szCs w:val="21"/>
                <w:highlight w:val="none"/>
                <w:shd w:val="clear" w:color="auto" w:fill="auto"/>
                <w:lang w:val="en-US" w:eastAsia="zh-CN" w:bidi="ar-SA"/>
              </w:rPr>
              <w:t>分。</w:t>
            </w:r>
          </w:p>
        </w:tc>
      </w:tr>
      <w:tr w14:paraId="021BCA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trPr>
        <w:tc>
          <w:tcPr>
            <w:tcW w:w="925" w:type="dxa"/>
            <w:vMerge w:val="continue"/>
          </w:tcPr>
          <w:p w14:paraId="711E1451">
            <w:pPr>
              <w:spacing w:line="180" w:lineRule="atLeast"/>
              <w:jc w:val="cente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pPr>
          </w:p>
        </w:tc>
        <w:tc>
          <w:tcPr>
            <w:tcW w:w="1385" w:type="dxa"/>
            <w:vAlign w:val="top"/>
          </w:tcPr>
          <w:p w14:paraId="2C19C62D">
            <w:pPr>
              <w:spacing w:line="180" w:lineRule="atLeast"/>
              <w:jc w:val="center"/>
              <w:rPr>
                <w:rFonts w:hint="eastAsia" w:ascii="Times New Roman" w:hAnsi="Times New Roman" w:eastAsia="宋体" w:cs="Times New Roman"/>
                <w:b/>
                <w:bCs/>
                <w:color w:val="auto"/>
                <w:kern w:val="2"/>
                <w:sz w:val="21"/>
                <w:szCs w:val="21"/>
                <w:highlight w:val="none"/>
                <w:shd w:val="clear" w:color="auto" w:fill="auto"/>
                <w:lang w:val="en-US" w:eastAsia="zh-CN" w:bidi="ar-SA"/>
              </w:rPr>
            </w:pPr>
            <w:r>
              <w:rPr>
                <w:rFonts w:hint="eastAsia" w:ascii="Times New Roman" w:hAnsi="Times New Roman" w:eastAsia="宋体" w:cs="Times New Roman"/>
                <w:b/>
                <w:bCs/>
                <w:color w:val="auto"/>
                <w:kern w:val="2"/>
                <w:sz w:val="21"/>
                <w:szCs w:val="21"/>
                <w:highlight w:val="none"/>
                <w:shd w:val="clear" w:color="auto" w:fill="auto"/>
                <w:lang w:val="en-US" w:eastAsia="zh-CN" w:bidi="ar-SA"/>
              </w:rPr>
              <w:t>业绩</w:t>
            </w:r>
          </w:p>
          <w:p w14:paraId="504A2FBD">
            <w:pPr>
              <w:spacing w:line="180" w:lineRule="atLeast"/>
              <w:jc w:val="center"/>
              <w:rPr>
                <w:rFonts w:hint="default"/>
                <w:color w:val="auto"/>
                <w:lang w:val="en-US" w:eastAsia="zh-CN"/>
              </w:rPr>
            </w:pPr>
            <w:r>
              <w:rPr>
                <w:rFonts w:hint="eastAsia" w:ascii="Times New Roman" w:hAnsi="Times New Roman" w:eastAsia="宋体" w:cs="Times New Roman"/>
                <w:b/>
                <w:bCs/>
                <w:color w:val="auto"/>
                <w:kern w:val="2"/>
                <w:sz w:val="21"/>
                <w:szCs w:val="21"/>
                <w:highlight w:val="none"/>
                <w:shd w:val="clear" w:color="auto" w:fill="auto"/>
                <w:lang w:val="en-US" w:eastAsia="zh-CN" w:bidi="ar-SA"/>
              </w:rPr>
              <w:t>（</w:t>
            </w:r>
            <w:r>
              <w:rPr>
                <w:rFonts w:hint="eastAsia" w:cs="Times New Roman"/>
                <w:b/>
                <w:bCs/>
                <w:color w:val="auto"/>
                <w:kern w:val="2"/>
                <w:sz w:val="21"/>
                <w:szCs w:val="21"/>
                <w:highlight w:val="none"/>
                <w:shd w:val="clear" w:color="auto" w:fill="auto"/>
                <w:lang w:val="en-US" w:eastAsia="zh-CN" w:bidi="ar-SA"/>
              </w:rPr>
              <w:t>5</w:t>
            </w:r>
            <w:r>
              <w:rPr>
                <w:rFonts w:hint="eastAsia" w:ascii="Times New Roman" w:hAnsi="Times New Roman" w:eastAsia="宋体" w:cs="Times New Roman"/>
                <w:b/>
                <w:bCs/>
                <w:color w:val="auto"/>
                <w:kern w:val="2"/>
                <w:sz w:val="21"/>
                <w:szCs w:val="21"/>
                <w:highlight w:val="none"/>
                <w:shd w:val="clear" w:color="auto" w:fill="auto"/>
                <w:lang w:val="en-US" w:eastAsia="zh-CN" w:bidi="ar-SA"/>
              </w:rPr>
              <w:t>分）</w:t>
            </w:r>
          </w:p>
        </w:tc>
        <w:tc>
          <w:tcPr>
            <w:tcW w:w="6345" w:type="dxa"/>
            <w:vAlign w:val="top"/>
          </w:tcPr>
          <w:p w14:paraId="2B59FA3B">
            <w:pPr>
              <w:spacing w:line="180" w:lineRule="atLeast"/>
              <w:jc w:val="left"/>
              <w:rPr>
                <w:rFonts w:hint="eastAsia" w:ascii="Times New Roman" w:hAnsi="Times New Roman" w:eastAsia="宋体" w:cs="Times New Roman"/>
                <w:b/>
                <w:bCs/>
                <w:color w:val="auto"/>
                <w:kern w:val="2"/>
                <w:sz w:val="21"/>
                <w:szCs w:val="21"/>
                <w:highlight w:val="none"/>
                <w:shd w:val="clear" w:color="auto" w:fill="auto"/>
                <w:lang w:val="en-US" w:eastAsia="zh-CN" w:bidi="ar-SA"/>
              </w:rPr>
            </w:pPr>
            <w:r>
              <w:rPr>
                <w:rFonts w:hint="eastAsia" w:cs="Times New Roman"/>
                <w:b/>
                <w:bCs/>
                <w:color w:val="auto"/>
                <w:kern w:val="2"/>
                <w:sz w:val="21"/>
                <w:szCs w:val="21"/>
                <w:highlight w:val="none"/>
                <w:shd w:val="clear" w:color="auto" w:fill="auto"/>
                <w:lang w:val="en-US" w:eastAsia="zh-CN" w:bidi="ar-SA"/>
              </w:rPr>
              <w:t>每</w:t>
            </w:r>
            <w:r>
              <w:rPr>
                <w:rFonts w:hint="eastAsia" w:ascii="Times New Roman" w:hAnsi="Times New Roman" w:eastAsia="宋体" w:cs="Times New Roman"/>
                <w:b/>
                <w:bCs/>
                <w:color w:val="auto"/>
                <w:kern w:val="2"/>
                <w:sz w:val="21"/>
                <w:szCs w:val="21"/>
                <w:highlight w:val="none"/>
                <w:shd w:val="clear" w:color="auto" w:fill="auto"/>
                <w:lang w:val="en-US" w:eastAsia="zh-CN" w:bidi="ar-SA"/>
              </w:rPr>
              <w:t>提供</w:t>
            </w:r>
            <w:r>
              <w:rPr>
                <w:rFonts w:hint="eastAsia" w:cs="Times New Roman"/>
                <w:b/>
                <w:bCs/>
                <w:color w:val="auto"/>
                <w:kern w:val="2"/>
                <w:sz w:val="21"/>
                <w:szCs w:val="21"/>
                <w:highlight w:val="none"/>
                <w:shd w:val="clear" w:color="auto" w:fill="auto"/>
                <w:lang w:val="en-US" w:eastAsia="zh-CN" w:bidi="ar-SA"/>
              </w:rPr>
              <w:t>1</w:t>
            </w:r>
            <w:r>
              <w:rPr>
                <w:rFonts w:hint="eastAsia" w:ascii="Times New Roman" w:hAnsi="Times New Roman" w:eastAsia="宋体" w:cs="Times New Roman"/>
                <w:b/>
                <w:bCs/>
                <w:color w:val="auto"/>
                <w:kern w:val="2"/>
                <w:sz w:val="21"/>
                <w:szCs w:val="21"/>
                <w:highlight w:val="none"/>
                <w:shd w:val="clear" w:color="auto" w:fill="auto"/>
                <w:lang w:val="en-US" w:eastAsia="zh-CN" w:bidi="ar-SA"/>
              </w:rPr>
              <w:t>个</w:t>
            </w:r>
            <w:r>
              <w:rPr>
                <w:rFonts w:hint="eastAsia" w:cs="Times New Roman"/>
                <w:b/>
                <w:bCs/>
                <w:color w:val="auto"/>
                <w:kern w:val="2"/>
                <w:sz w:val="21"/>
                <w:szCs w:val="21"/>
                <w:highlight w:val="none"/>
                <w:shd w:val="clear" w:color="auto" w:fill="auto"/>
                <w:lang w:val="en-US" w:eastAsia="zh-CN" w:bidi="ar-SA"/>
              </w:rPr>
              <w:t>近三年(2023年1月1日至今)</w:t>
            </w:r>
            <w:r>
              <w:rPr>
                <w:rFonts w:hint="eastAsia" w:ascii="Times New Roman" w:hAnsi="Times New Roman" w:eastAsia="宋体" w:cs="Times New Roman"/>
                <w:b/>
                <w:bCs/>
                <w:color w:val="auto"/>
                <w:kern w:val="2"/>
                <w:sz w:val="21"/>
                <w:szCs w:val="21"/>
                <w:highlight w:val="none"/>
                <w:shd w:val="clear" w:color="auto" w:fill="auto"/>
                <w:lang w:val="en-US" w:eastAsia="zh-CN" w:bidi="ar-SA"/>
              </w:rPr>
              <w:t>同类项目案例得</w:t>
            </w:r>
            <w:r>
              <w:rPr>
                <w:rFonts w:hint="eastAsia" w:cs="Times New Roman"/>
                <w:b/>
                <w:bCs/>
                <w:color w:val="auto"/>
                <w:kern w:val="2"/>
                <w:sz w:val="21"/>
                <w:szCs w:val="21"/>
                <w:highlight w:val="none"/>
                <w:shd w:val="clear" w:color="auto" w:fill="auto"/>
                <w:lang w:val="en-US" w:eastAsia="zh-CN" w:bidi="ar-SA"/>
              </w:rPr>
              <w:t>1</w:t>
            </w:r>
            <w:r>
              <w:rPr>
                <w:rFonts w:hint="eastAsia" w:ascii="Times New Roman" w:hAnsi="Times New Roman" w:eastAsia="宋体" w:cs="Times New Roman"/>
                <w:b/>
                <w:bCs/>
                <w:color w:val="auto"/>
                <w:kern w:val="2"/>
                <w:sz w:val="21"/>
                <w:szCs w:val="21"/>
                <w:highlight w:val="none"/>
                <w:shd w:val="clear" w:color="auto" w:fill="auto"/>
                <w:lang w:val="en-US" w:eastAsia="zh-CN" w:bidi="ar-SA"/>
              </w:rPr>
              <w:t>分，</w:t>
            </w:r>
            <w:r>
              <w:rPr>
                <w:rFonts w:hint="eastAsia" w:cs="Times New Roman"/>
                <w:b/>
                <w:bCs/>
                <w:color w:val="auto"/>
                <w:kern w:val="2"/>
                <w:sz w:val="21"/>
                <w:szCs w:val="21"/>
                <w:highlight w:val="none"/>
                <w:shd w:val="clear" w:color="auto" w:fill="auto"/>
                <w:lang w:val="en-US" w:eastAsia="zh-CN" w:bidi="ar-SA"/>
              </w:rPr>
              <w:t>（提供中标通知书(成交通知书)原件扫描件或合同原件扫描件，不提供不得分）</w:t>
            </w:r>
            <w:r>
              <w:rPr>
                <w:rFonts w:hint="eastAsia" w:ascii="Times New Roman" w:hAnsi="Times New Roman" w:eastAsia="宋体" w:cs="Times New Roman"/>
                <w:b/>
                <w:bCs/>
                <w:color w:val="auto"/>
                <w:kern w:val="2"/>
                <w:sz w:val="21"/>
                <w:szCs w:val="21"/>
                <w:highlight w:val="none"/>
                <w:shd w:val="clear" w:color="auto" w:fill="auto"/>
                <w:lang w:val="en-US" w:eastAsia="zh-CN" w:bidi="ar-SA"/>
              </w:rPr>
              <w:t xml:space="preserve"> ，</w:t>
            </w:r>
            <w:r>
              <w:rPr>
                <w:rFonts w:hint="eastAsia" w:cs="Times New Roman"/>
                <w:b/>
                <w:bCs/>
                <w:color w:val="auto"/>
                <w:kern w:val="2"/>
                <w:sz w:val="21"/>
                <w:szCs w:val="21"/>
                <w:highlight w:val="none"/>
                <w:shd w:val="clear" w:color="auto" w:fill="auto"/>
                <w:lang w:val="en-US" w:eastAsia="zh-CN" w:bidi="ar-SA"/>
              </w:rPr>
              <w:t>此项</w:t>
            </w:r>
            <w:r>
              <w:rPr>
                <w:rFonts w:hint="eastAsia" w:ascii="Times New Roman" w:hAnsi="Times New Roman" w:eastAsia="宋体" w:cs="Times New Roman"/>
                <w:b/>
                <w:bCs/>
                <w:color w:val="auto"/>
                <w:kern w:val="2"/>
                <w:sz w:val="21"/>
                <w:szCs w:val="21"/>
                <w:highlight w:val="none"/>
                <w:shd w:val="clear" w:color="auto" w:fill="auto"/>
                <w:lang w:val="en-US" w:eastAsia="zh-CN" w:bidi="ar-SA"/>
              </w:rPr>
              <w:t>最多得</w:t>
            </w:r>
            <w:r>
              <w:rPr>
                <w:rFonts w:hint="eastAsia" w:cs="Times New Roman"/>
                <w:b/>
                <w:bCs/>
                <w:color w:val="auto"/>
                <w:kern w:val="2"/>
                <w:sz w:val="21"/>
                <w:szCs w:val="21"/>
                <w:highlight w:val="none"/>
                <w:shd w:val="clear" w:color="auto" w:fill="auto"/>
                <w:lang w:val="en-US" w:eastAsia="zh-CN" w:bidi="ar-SA"/>
              </w:rPr>
              <w:t>5</w:t>
            </w:r>
            <w:r>
              <w:rPr>
                <w:rFonts w:hint="eastAsia" w:ascii="Times New Roman" w:hAnsi="Times New Roman" w:eastAsia="宋体" w:cs="Times New Roman"/>
                <w:b/>
                <w:bCs/>
                <w:color w:val="auto"/>
                <w:kern w:val="2"/>
                <w:sz w:val="21"/>
                <w:szCs w:val="21"/>
                <w:highlight w:val="none"/>
                <w:shd w:val="clear" w:color="auto" w:fill="auto"/>
                <w:lang w:val="en-US" w:eastAsia="zh-CN" w:bidi="ar-SA"/>
              </w:rPr>
              <w:t>分。</w:t>
            </w:r>
          </w:p>
        </w:tc>
      </w:tr>
      <w:tr w14:paraId="62C793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trPr>
        <w:tc>
          <w:tcPr>
            <w:tcW w:w="925" w:type="dxa"/>
            <w:vMerge w:val="continue"/>
          </w:tcPr>
          <w:p w14:paraId="42460143">
            <w:pPr>
              <w:spacing w:line="180" w:lineRule="atLeast"/>
              <w:jc w:val="cente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pPr>
          </w:p>
        </w:tc>
        <w:tc>
          <w:tcPr>
            <w:tcW w:w="1385" w:type="dxa"/>
            <w:vAlign w:val="top"/>
          </w:tcPr>
          <w:p w14:paraId="788915A8">
            <w:pPr>
              <w:spacing w:line="180" w:lineRule="atLeast"/>
              <w:jc w:val="center"/>
              <w:rPr>
                <w:rFonts w:hint="eastAsia" w:ascii="Times New Roman" w:hAnsi="Times New Roman" w:eastAsia="宋体" w:cs="Times New Roman"/>
                <w:b/>
                <w:bCs/>
                <w:color w:val="auto"/>
                <w:kern w:val="2"/>
                <w:sz w:val="21"/>
                <w:szCs w:val="21"/>
                <w:highlight w:val="none"/>
                <w:shd w:val="clear" w:color="auto" w:fill="auto"/>
                <w:lang w:val="en-US" w:eastAsia="zh-CN" w:bidi="ar-SA"/>
              </w:rPr>
            </w:pPr>
            <w:r>
              <w:rPr>
                <w:rFonts w:hint="eastAsia" w:ascii="Times New Roman" w:hAnsi="Times New Roman" w:eastAsia="宋体" w:cs="Times New Roman"/>
                <w:b/>
                <w:bCs/>
                <w:color w:val="auto"/>
                <w:kern w:val="2"/>
                <w:sz w:val="21"/>
                <w:szCs w:val="21"/>
                <w:highlight w:val="none"/>
                <w:shd w:val="clear" w:color="auto" w:fill="auto"/>
                <w:lang w:val="en-US" w:eastAsia="zh-CN" w:bidi="ar-SA"/>
              </w:rPr>
              <w:t>增值服务</w:t>
            </w:r>
          </w:p>
          <w:p w14:paraId="0DC9340E">
            <w:pPr>
              <w:pStyle w:val="10"/>
              <w:jc w:val="center"/>
              <w:rPr>
                <w:rFonts w:hint="default"/>
                <w:color w:val="auto"/>
                <w:lang w:val="en-US" w:eastAsia="zh-CN"/>
              </w:rPr>
            </w:pPr>
            <w:r>
              <w:rPr>
                <w:rFonts w:hint="eastAsia" w:ascii="Times New Roman" w:hAnsi="Times New Roman" w:eastAsia="宋体" w:cs="Times New Roman"/>
                <w:b/>
                <w:bCs/>
                <w:color w:val="auto"/>
                <w:kern w:val="2"/>
                <w:sz w:val="21"/>
                <w:szCs w:val="21"/>
                <w:highlight w:val="none"/>
                <w:shd w:val="clear" w:color="auto" w:fill="auto"/>
                <w:lang w:val="en-US" w:eastAsia="zh-CN" w:bidi="ar-SA"/>
              </w:rPr>
              <w:t>（</w:t>
            </w:r>
            <w:r>
              <w:rPr>
                <w:rFonts w:hint="eastAsia" w:cs="Times New Roman"/>
                <w:b/>
                <w:bCs/>
                <w:color w:val="auto"/>
                <w:kern w:val="2"/>
                <w:sz w:val="21"/>
                <w:szCs w:val="21"/>
                <w:highlight w:val="none"/>
                <w:shd w:val="clear" w:color="auto" w:fill="auto"/>
                <w:lang w:val="en-US" w:eastAsia="zh-CN" w:bidi="ar-SA"/>
              </w:rPr>
              <w:t>6</w:t>
            </w:r>
            <w:r>
              <w:rPr>
                <w:rFonts w:hint="eastAsia" w:ascii="Times New Roman" w:hAnsi="Times New Roman" w:eastAsia="宋体" w:cs="Times New Roman"/>
                <w:b/>
                <w:bCs/>
                <w:color w:val="auto"/>
                <w:kern w:val="2"/>
                <w:sz w:val="21"/>
                <w:szCs w:val="21"/>
                <w:highlight w:val="none"/>
                <w:shd w:val="clear" w:color="auto" w:fill="auto"/>
                <w:lang w:val="en-US" w:eastAsia="zh-CN" w:bidi="ar-SA"/>
              </w:rPr>
              <w:t>分）</w:t>
            </w:r>
          </w:p>
        </w:tc>
        <w:tc>
          <w:tcPr>
            <w:tcW w:w="6345" w:type="dxa"/>
            <w:vAlign w:val="top"/>
          </w:tcPr>
          <w:p w14:paraId="766118C1">
            <w:pPr>
              <w:spacing w:line="180" w:lineRule="atLeast"/>
              <w:jc w:val="left"/>
              <w:rPr>
                <w:rFonts w:hint="eastAsia" w:ascii="Times New Roman" w:hAnsi="Times New Roman" w:eastAsia="宋体" w:cs="Times New Roman"/>
                <w:b/>
                <w:bCs/>
                <w:color w:val="auto"/>
                <w:kern w:val="2"/>
                <w:sz w:val="21"/>
                <w:szCs w:val="21"/>
                <w:highlight w:val="none"/>
                <w:shd w:val="clear" w:color="auto" w:fill="auto"/>
                <w:lang w:val="en-US" w:eastAsia="zh-CN" w:bidi="ar-SA"/>
              </w:rPr>
            </w:pPr>
            <w:r>
              <w:rPr>
                <w:rFonts w:hint="eastAsia" w:ascii="Times New Roman" w:hAnsi="Times New Roman" w:eastAsia="宋体" w:cs="Times New Roman"/>
                <w:b/>
                <w:bCs/>
                <w:color w:val="auto"/>
                <w:kern w:val="2"/>
                <w:sz w:val="21"/>
                <w:szCs w:val="21"/>
                <w:highlight w:val="none"/>
                <w:shd w:val="clear" w:color="auto" w:fill="auto"/>
                <w:lang w:val="en-US" w:eastAsia="zh-CN" w:bidi="ar-SA"/>
              </w:rPr>
              <w:t>供应商在满足本项目要求的基础上，每增加一条更有利于采购人的承诺或增值服务（在原有的技术参数上增加的保额和承诺服务项目）且有详尽的计划的得1分，</w:t>
            </w:r>
            <w:r>
              <w:rPr>
                <w:rFonts w:hint="eastAsia" w:cs="Times New Roman"/>
                <w:b/>
                <w:bCs/>
                <w:color w:val="auto"/>
                <w:kern w:val="2"/>
                <w:sz w:val="21"/>
                <w:szCs w:val="21"/>
                <w:highlight w:val="none"/>
                <w:shd w:val="clear" w:color="auto" w:fill="auto"/>
                <w:lang w:val="en-US" w:eastAsia="zh-CN" w:bidi="ar-SA"/>
              </w:rPr>
              <w:t>此项</w:t>
            </w:r>
            <w:r>
              <w:rPr>
                <w:rFonts w:hint="eastAsia" w:ascii="Times New Roman" w:hAnsi="Times New Roman" w:eastAsia="宋体" w:cs="Times New Roman"/>
                <w:b/>
                <w:bCs/>
                <w:color w:val="auto"/>
                <w:kern w:val="2"/>
                <w:sz w:val="21"/>
                <w:szCs w:val="21"/>
                <w:highlight w:val="none"/>
                <w:shd w:val="clear" w:color="auto" w:fill="auto"/>
                <w:lang w:val="en-US" w:eastAsia="zh-CN" w:bidi="ar-SA"/>
              </w:rPr>
              <w:t>最高得</w:t>
            </w:r>
            <w:r>
              <w:rPr>
                <w:rFonts w:hint="eastAsia" w:cs="Times New Roman"/>
                <w:b/>
                <w:bCs/>
                <w:color w:val="auto"/>
                <w:kern w:val="2"/>
                <w:sz w:val="21"/>
                <w:szCs w:val="21"/>
                <w:highlight w:val="none"/>
                <w:shd w:val="clear" w:color="auto" w:fill="auto"/>
                <w:lang w:val="en-US" w:eastAsia="zh-CN" w:bidi="ar-SA"/>
              </w:rPr>
              <w:t>6</w:t>
            </w:r>
            <w:r>
              <w:rPr>
                <w:rFonts w:hint="eastAsia" w:ascii="Times New Roman" w:hAnsi="Times New Roman" w:eastAsia="宋体" w:cs="Times New Roman"/>
                <w:b/>
                <w:bCs/>
                <w:color w:val="auto"/>
                <w:kern w:val="2"/>
                <w:sz w:val="21"/>
                <w:szCs w:val="21"/>
                <w:highlight w:val="none"/>
                <w:shd w:val="clear" w:color="auto" w:fill="auto"/>
                <w:lang w:val="en-US" w:eastAsia="zh-CN" w:bidi="ar-SA"/>
              </w:rPr>
              <w:t>分。</w:t>
            </w:r>
          </w:p>
        </w:tc>
      </w:tr>
      <w:tr w14:paraId="7DB364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trPr>
        <w:tc>
          <w:tcPr>
            <w:tcW w:w="925" w:type="dxa"/>
          </w:tcPr>
          <w:p w14:paraId="4EEEFB5C">
            <w:pPr>
              <w:spacing w:line="180" w:lineRule="atLeast"/>
              <w:jc w:val="center"/>
              <w:rPr>
                <w:rFonts w:hint="eastAsia" w:ascii="Times New Roman" w:hAnsi="Times New Roman" w:eastAsia="宋体" w:cs="Times New Roman"/>
                <w:b/>
                <w:bCs/>
                <w:color w:val="000000" w:themeColor="text1"/>
                <w:kern w:val="2"/>
                <w:sz w:val="21"/>
                <w:szCs w:val="21"/>
                <w:highlight w:val="none"/>
                <w:shd w:val="clear" w:color="auto" w:fill="auto"/>
                <w:lang w:val="en-US" w:eastAsia="zh-CN" w:bidi="ar-SA"/>
                <w14:textFill>
                  <w14:solidFill>
                    <w14:schemeClr w14:val="tx1"/>
                  </w14:solidFill>
                </w14:textFill>
              </w:rPr>
            </w:pPr>
          </w:p>
        </w:tc>
        <w:tc>
          <w:tcPr>
            <w:tcW w:w="1385" w:type="dxa"/>
            <w:vAlign w:val="top"/>
          </w:tcPr>
          <w:p w14:paraId="3E05607D">
            <w:pPr>
              <w:pStyle w:val="10"/>
              <w:jc w:val="center"/>
              <w:rPr>
                <w:rFonts w:hint="eastAsia" w:ascii="Times New Roman" w:hAnsi="Times New Roman" w:eastAsia="宋体" w:cs="Times New Roman"/>
                <w:b/>
                <w:bCs/>
                <w:color w:val="auto"/>
                <w:kern w:val="2"/>
                <w:sz w:val="21"/>
                <w:szCs w:val="21"/>
                <w:highlight w:val="none"/>
                <w:shd w:val="clear" w:color="auto" w:fill="auto"/>
                <w:lang w:val="en-US" w:eastAsia="zh-CN" w:bidi="ar-SA"/>
              </w:rPr>
            </w:pPr>
            <w:r>
              <w:rPr>
                <w:rFonts w:hint="eastAsia" w:ascii="Times New Roman" w:hAnsi="Times New Roman" w:eastAsia="宋体" w:cs="Times New Roman"/>
                <w:b/>
                <w:bCs/>
                <w:color w:val="auto"/>
                <w:kern w:val="2"/>
                <w:sz w:val="21"/>
                <w:szCs w:val="21"/>
                <w:highlight w:val="none"/>
                <w:shd w:val="clear" w:color="auto" w:fill="auto"/>
                <w:lang w:val="en-US" w:eastAsia="zh-CN" w:bidi="ar-SA"/>
              </w:rPr>
              <w:t>追诉时效(12分)</w:t>
            </w:r>
          </w:p>
        </w:tc>
        <w:tc>
          <w:tcPr>
            <w:tcW w:w="6345" w:type="dxa"/>
            <w:vAlign w:val="top"/>
          </w:tcPr>
          <w:p w14:paraId="336286A3">
            <w:pPr>
              <w:numPr>
                <w:ilvl w:val="0"/>
                <w:numId w:val="7"/>
              </w:numPr>
              <w:spacing w:line="180" w:lineRule="atLeast"/>
              <w:jc w:val="left"/>
              <w:rPr>
                <w:rFonts w:hint="default"/>
                <w:lang w:val="en-US" w:eastAsia="zh-CN"/>
              </w:rPr>
            </w:pPr>
            <w:r>
              <w:rPr>
                <w:rFonts w:hint="eastAsia" w:cs="Times New Roman"/>
                <w:b/>
                <w:bCs/>
                <w:color w:val="auto"/>
                <w:kern w:val="2"/>
                <w:sz w:val="21"/>
                <w:szCs w:val="21"/>
                <w:highlight w:val="none"/>
                <w:shd w:val="clear" w:color="auto" w:fill="auto"/>
                <w:lang w:val="en-US" w:eastAsia="zh-CN" w:bidi="ar-SA"/>
              </w:rPr>
              <w:t>各投标企业承诺对上年度保险期满与本项目保单生效之前的空白期之间发生的保单进行全额赔付得6分；2、</w:t>
            </w:r>
            <w:r>
              <w:rPr>
                <w:rFonts w:hint="eastAsia" w:ascii="Times New Roman" w:hAnsi="Times New Roman" w:eastAsia="宋体" w:cs="Times New Roman"/>
                <w:b/>
                <w:bCs/>
                <w:color w:val="auto"/>
                <w:kern w:val="2"/>
                <w:sz w:val="21"/>
                <w:szCs w:val="21"/>
                <w:highlight w:val="none"/>
                <w:shd w:val="clear" w:color="auto" w:fill="auto"/>
                <w:lang w:val="en-US" w:eastAsia="zh-CN" w:bidi="ar-SA"/>
              </w:rPr>
              <w:t>承诺本项目合同期满与下年度保单生效之前的空白期之间发生的保单进行</w:t>
            </w:r>
            <w:r>
              <w:rPr>
                <w:rFonts w:hint="eastAsia" w:cs="Times New Roman"/>
                <w:b/>
                <w:bCs/>
                <w:color w:val="auto"/>
                <w:kern w:val="2"/>
                <w:sz w:val="21"/>
                <w:szCs w:val="21"/>
                <w:highlight w:val="none"/>
                <w:shd w:val="clear" w:color="auto" w:fill="auto"/>
                <w:lang w:val="en-US" w:eastAsia="zh-CN" w:bidi="ar-SA"/>
              </w:rPr>
              <w:t>全额</w:t>
            </w:r>
            <w:r>
              <w:rPr>
                <w:rFonts w:hint="eastAsia" w:ascii="Times New Roman" w:hAnsi="Times New Roman" w:eastAsia="宋体" w:cs="Times New Roman"/>
                <w:b/>
                <w:bCs/>
                <w:color w:val="auto"/>
                <w:kern w:val="2"/>
                <w:sz w:val="21"/>
                <w:szCs w:val="21"/>
                <w:highlight w:val="none"/>
                <w:shd w:val="clear" w:color="auto" w:fill="auto"/>
                <w:lang w:val="en-US" w:eastAsia="zh-CN" w:bidi="ar-SA"/>
              </w:rPr>
              <w:t>赔付得6分</w:t>
            </w:r>
            <w:r>
              <w:rPr>
                <w:rFonts w:hint="eastAsia" w:cs="Times New Roman"/>
                <w:b/>
                <w:bCs/>
                <w:color w:val="auto"/>
                <w:kern w:val="2"/>
                <w:sz w:val="21"/>
                <w:szCs w:val="21"/>
                <w:highlight w:val="none"/>
                <w:shd w:val="clear" w:color="auto" w:fill="auto"/>
                <w:lang w:val="en-US" w:eastAsia="zh-CN" w:bidi="ar-SA"/>
              </w:rPr>
              <w:t>.(此项最高得12分）。</w:t>
            </w:r>
          </w:p>
        </w:tc>
      </w:tr>
    </w:tbl>
    <w:p w14:paraId="6265B367">
      <w:pPr>
        <w:shd w:val="clear" w:color="auto" w:fill="auto"/>
        <w:snapToGrid w:val="0"/>
        <w:spacing w:line="400" w:lineRule="exact"/>
        <w:jc w:val="left"/>
        <w:rPr>
          <w:rFonts w:hint="eastAsia" w:ascii="宋体" w:hAnsi="宋体" w:eastAsia="宋体" w:cs="宋体"/>
          <w:color w:val="auto"/>
          <w:szCs w:val="21"/>
          <w:highlight w:val="none"/>
          <w:lang w:val="en-US" w:eastAsia="zh-CN"/>
        </w:rPr>
      </w:pPr>
    </w:p>
    <w:p w14:paraId="3978985D">
      <w:pPr>
        <w:shd w:val="clear" w:color="auto" w:fill="auto"/>
        <w:snapToGrid w:val="0"/>
        <w:spacing w:line="400" w:lineRule="exact"/>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备注:</w:t>
      </w:r>
    </w:p>
    <w:p w14:paraId="7744178C">
      <w:pPr>
        <w:shd w:val="clear" w:color="auto" w:fill="auto"/>
        <w:snapToGrid w:val="0"/>
        <w:spacing w:line="400" w:lineRule="exact"/>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根据《政府采购服务和服务招投标管理办法》第87号令第六十条：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165F83B8">
      <w:pPr>
        <w:shd w:val="clear" w:color="auto" w:fill="auto"/>
        <w:snapToGrid w:val="0"/>
        <w:spacing w:line="400" w:lineRule="exact"/>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2、供应商在评标过程中，所进行的力图影响评标结果的不符合招标规则的活动，可能导致其被取消中标资格。</w:t>
      </w:r>
    </w:p>
    <w:p w14:paraId="6E22EECA">
      <w:pPr>
        <w:shd w:val="clear" w:color="auto" w:fill="auto"/>
        <w:snapToGrid w:val="0"/>
        <w:spacing w:line="400" w:lineRule="exact"/>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3、与招标文件有重大偏离的投标文件将被拒绝。</w:t>
      </w:r>
    </w:p>
    <w:p w14:paraId="587935DE">
      <w:pPr>
        <w:shd w:val="clear" w:color="auto" w:fill="auto"/>
        <w:snapToGrid w:val="0"/>
        <w:spacing w:line="400" w:lineRule="exact"/>
        <w:ind w:firstLine="426" w:firstLineChars="200"/>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附：对于商务部分（投标报价）的评分，按以下方法进行：价格分统一采用低价优先法计算，即满足招标文件要求且评标价格最低的报价为评标基准价，其价格分为满分。其他投标人的价格分统一按照下列公式计算：</w:t>
      </w:r>
      <w:r>
        <w:rPr>
          <w:rFonts w:hint="eastAsia" w:ascii="宋体" w:hAnsi="宋体" w:eastAsia="宋体" w:cs="宋体"/>
          <w:color w:val="0000FF"/>
          <w:szCs w:val="21"/>
          <w:highlight w:val="none"/>
          <w:lang w:val="en-US" w:eastAsia="zh-CN"/>
        </w:rPr>
        <w:t>报价得分=(评标基准价／评标价格)×</w:t>
      </w:r>
      <w:r>
        <w:rPr>
          <w:rFonts w:hint="eastAsia" w:ascii="宋体" w:hAnsi="宋体" w:cs="宋体"/>
          <w:color w:val="0000FF"/>
          <w:szCs w:val="21"/>
          <w:highlight w:val="none"/>
          <w:lang w:val="en-US" w:eastAsia="zh-CN"/>
        </w:rPr>
        <w:t>15%</w:t>
      </w:r>
      <w:r>
        <w:rPr>
          <w:rFonts w:hint="eastAsia" w:ascii="宋体" w:hAnsi="宋体" w:eastAsia="宋体" w:cs="宋体"/>
          <w:color w:val="0000FF"/>
          <w:szCs w:val="21"/>
          <w:highlight w:val="none"/>
          <w:lang w:val="en-US" w:eastAsia="zh-CN"/>
        </w:rPr>
        <w:t>×100</w:t>
      </w:r>
    </w:p>
    <w:p w14:paraId="0F8861B0">
      <w:pPr>
        <w:shd w:val="clear" w:color="auto" w:fill="auto"/>
        <w:snapToGrid w:val="0"/>
        <w:spacing w:line="400" w:lineRule="exact"/>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4、各评标委员会成员对每个投标人的上述指标的打分（除报价外）的算术平均分，加上经计算的报价得分，即为该投标人的最终综合评估分。评标委员会将按投标人得分顺序由高到低依次排名，得分相同的，按投标报价由低到高顺序排列。得分及报价相同的，按技术指标优劣顺序排列。得分最高的前一名至前三名投标人将成为中标候选人。</w:t>
      </w:r>
    </w:p>
    <w:p w14:paraId="0C0D5278">
      <w:pPr>
        <w:shd w:val="clear" w:color="auto" w:fill="auto"/>
        <w:snapToGrid w:val="0"/>
        <w:spacing w:line="400" w:lineRule="exact"/>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5、最低报价不作为评标的唯一依据。采购人不承诺将合同授予报价最低的投标人。</w:t>
      </w:r>
    </w:p>
    <w:p w14:paraId="3A483E4F">
      <w:pPr>
        <w:shd w:val="clear" w:color="auto" w:fill="auto"/>
        <w:snapToGrid w:val="0"/>
        <w:spacing w:line="400" w:lineRule="exact"/>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6、经评标委员会评议，认为投标报价过高、超出采购人预算的项目，可以不确立中标人，做为废标处理。</w:t>
      </w:r>
    </w:p>
    <w:p w14:paraId="0AB428BE">
      <w:pPr>
        <w:shd w:val="clear" w:color="auto" w:fill="auto"/>
        <w:spacing w:before="156" w:beforeLines="50" w:line="400" w:lineRule="exact"/>
        <w:jc w:val="center"/>
        <w:outlineLvl w:val="1"/>
        <w:rPr>
          <w:rFonts w:hint="eastAsia" w:ascii="宋体"/>
          <w:b w:val="0"/>
          <w:bCs/>
          <w:color w:val="auto"/>
          <w:sz w:val="24"/>
          <w:highlight w:val="none"/>
        </w:rPr>
      </w:pPr>
      <w:r>
        <w:rPr>
          <w:rFonts w:hint="eastAsia" w:ascii="宋体"/>
          <w:b w:val="0"/>
          <w:bCs/>
          <w:color w:val="auto"/>
          <w:sz w:val="24"/>
          <w:highlight w:val="none"/>
        </w:rPr>
        <w:t>五</w:t>
      </w:r>
      <w:r>
        <w:rPr>
          <w:rFonts w:hint="eastAsia" w:ascii="宋体"/>
          <w:b w:val="0"/>
          <w:bCs/>
          <w:color w:val="auto"/>
          <w:sz w:val="24"/>
          <w:highlight w:val="none"/>
          <w:lang w:eastAsia="zh-CN"/>
        </w:rPr>
        <w:t>、</w:t>
      </w:r>
      <w:r>
        <w:rPr>
          <w:rFonts w:hint="eastAsia" w:ascii="宋体"/>
          <w:b w:val="0"/>
          <w:bCs/>
          <w:color w:val="auto"/>
          <w:sz w:val="24"/>
          <w:highlight w:val="none"/>
        </w:rPr>
        <w:t>推荐中标候选人</w:t>
      </w:r>
    </w:p>
    <w:p w14:paraId="1503C321">
      <w:pPr>
        <w:shd w:val="clear" w:color="auto" w:fill="auto"/>
        <w:snapToGrid w:val="0"/>
        <w:spacing w:line="400" w:lineRule="exact"/>
        <w:ind w:firstLine="426" w:firstLineChars="200"/>
        <w:rPr>
          <w:rFonts w:hint="eastAsia" w:ascii="宋体"/>
          <w:b w:val="0"/>
          <w:bCs/>
          <w:color w:val="auto"/>
          <w:szCs w:val="21"/>
          <w:highlight w:val="none"/>
        </w:rPr>
      </w:pPr>
      <w:r>
        <w:rPr>
          <w:rFonts w:hint="eastAsia" w:ascii="宋体"/>
          <w:b w:val="0"/>
          <w:bCs/>
          <w:color w:val="auto"/>
          <w:szCs w:val="21"/>
          <w:highlight w:val="none"/>
          <w:lang w:val="en-US" w:eastAsia="zh-CN"/>
        </w:rPr>
        <w:t>11.1</w:t>
      </w:r>
      <w:r>
        <w:rPr>
          <w:rFonts w:hint="eastAsia" w:ascii="宋体" w:hAnsi="宋体"/>
          <w:b w:val="0"/>
          <w:bCs/>
          <w:color w:val="auto"/>
          <w:szCs w:val="21"/>
          <w:highlight w:val="none"/>
        </w:rPr>
        <w:t>评标委员会推荐</w:t>
      </w:r>
      <w:r>
        <w:rPr>
          <w:rFonts w:hint="eastAsia" w:ascii="宋体" w:hAnsi="宋体"/>
          <w:b w:val="0"/>
          <w:bCs/>
          <w:color w:val="auto"/>
          <w:szCs w:val="21"/>
          <w:highlight w:val="none"/>
          <w:lang w:val="en-US" w:eastAsia="zh-CN"/>
        </w:rPr>
        <w:t>3</w:t>
      </w:r>
      <w:r>
        <w:rPr>
          <w:rFonts w:hint="eastAsia" w:ascii="宋体" w:hAnsi="宋体"/>
          <w:b w:val="0"/>
          <w:bCs/>
          <w:color w:val="auto"/>
          <w:szCs w:val="21"/>
          <w:highlight w:val="none"/>
        </w:rPr>
        <w:t>名中标候选人，并标明排序。</w:t>
      </w:r>
    </w:p>
    <w:p w14:paraId="56F900C6">
      <w:pPr>
        <w:shd w:val="clear" w:color="auto" w:fill="auto"/>
        <w:spacing w:line="400" w:lineRule="exact"/>
        <w:ind w:firstLine="416" w:firstLineChars="196"/>
        <w:rPr>
          <w:rFonts w:hint="eastAsia" w:ascii="宋体" w:hAnsi="宋体"/>
          <w:b w:val="0"/>
          <w:bCs/>
          <w:color w:val="auto"/>
          <w:szCs w:val="21"/>
          <w:highlight w:val="none"/>
        </w:rPr>
      </w:pPr>
      <w:r>
        <w:rPr>
          <w:rFonts w:hint="eastAsia" w:ascii="宋体" w:hAnsi="宋体"/>
          <w:b w:val="0"/>
          <w:bCs/>
          <w:color w:val="auto"/>
          <w:szCs w:val="21"/>
          <w:highlight w:val="none"/>
          <w:lang w:val="en-US" w:eastAsia="zh-CN"/>
        </w:rPr>
        <w:t>11.2</w:t>
      </w:r>
      <w:r>
        <w:rPr>
          <w:rFonts w:hint="eastAsia" w:ascii="宋体" w:hAnsi="宋体"/>
          <w:b w:val="0"/>
          <w:bCs/>
          <w:color w:val="auto"/>
          <w:szCs w:val="21"/>
          <w:highlight w:val="none"/>
        </w:rPr>
        <w:t>如出现报价相同情况，则由招标人现场抽签确定中标候选人排名顺序。</w:t>
      </w:r>
    </w:p>
    <w:p w14:paraId="3629ADB1">
      <w:pPr>
        <w:shd w:val="clear" w:color="auto" w:fill="auto"/>
        <w:snapToGrid w:val="0"/>
        <w:spacing w:line="400" w:lineRule="exact"/>
        <w:ind w:firstLine="426" w:firstLineChars="200"/>
        <w:rPr>
          <w:rFonts w:hint="eastAsia" w:ascii="宋体" w:hAnsi="宋体"/>
          <w:b w:val="0"/>
          <w:bCs/>
          <w:color w:val="auto"/>
          <w:szCs w:val="21"/>
          <w:highlight w:val="none"/>
        </w:rPr>
      </w:pPr>
      <w:r>
        <w:rPr>
          <w:rFonts w:hint="eastAsia" w:ascii="宋体" w:hAnsi="宋体"/>
          <w:b w:val="0"/>
          <w:bCs/>
          <w:color w:val="auto"/>
          <w:szCs w:val="21"/>
          <w:highlight w:val="none"/>
          <w:lang w:val="en-US" w:eastAsia="zh-CN"/>
        </w:rPr>
        <w:t>12.</w:t>
      </w:r>
      <w:r>
        <w:rPr>
          <w:rFonts w:hint="eastAsia" w:ascii="宋体" w:hAnsi="宋体"/>
          <w:b w:val="0"/>
          <w:bCs/>
          <w:color w:val="auto"/>
          <w:szCs w:val="21"/>
          <w:highlight w:val="none"/>
        </w:rPr>
        <w:t>无效投标条款</w:t>
      </w:r>
    </w:p>
    <w:p w14:paraId="09BA9C7A">
      <w:pPr>
        <w:shd w:val="clear" w:color="auto" w:fill="auto"/>
        <w:snapToGrid w:val="0"/>
        <w:spacing w:line="400" w:lineRule="exact"/>
        <w:ind w:firstLine="426" w:firstLineChars="200"/>
        <w:rPr>
          <w:rFonts w:hint="eastAsia" w:ascii="宋体" w:hAnsi="宋体" w:cs="宋体"/>
          <w:b w:val="0"/>
          <w:bCs/>
          <w:color w:val="auto"/>
          <w:szCs w:val="21"/>
          <w:highlight w:val="none"/>
        </w:rPr>
      </w:pPr>
      <w:r>
        <w:rPr>
          <w:rFonts w:hint="eastAsia" w:ascii="宋体" w:hAnsi="宋体" w:cs="宋体"/>
          <w:b w:val="0"/>
          <w:bCs/>
          <w:color w:val="auto"/>
          <w:szCs w:val="21"/>
          <w:highlight w:val="none"/>
          <w:lang w:val="en-US" w:eastAsia="zh-CN"/>
        </w:rPr>
        <w:t>12</w:t>
      </w:r>
      <w:r>
        <w:rPr>
          <w:rFonts w:hint="eastAsia" w:ascii="宋体" w:hAnsi="宋体" w:cs="宋体"/>
          <w:b w:val="0"/>
          <w:bCs/>
          <w:color w:val="auto"/>
          <w:szCs w:val="21"/>
          <w:highlight w:val="none"/>
        </w:rPr>
        <w:t>.1投标文件有下列情形之一的,其投标文件拒收:</w:t>
      </w:r>
    </w:p>
    <w:p w14:paraId="34E3206D">
      <w:pPr>
        <w:shd w:val="clear" w:color="auto" w:fill="auto"/>
        <w:snapToGrid w:val="0"/>
        <w:spacing w:line="400" w:lineRule="exact"/>
        <w:ind w:firstLine="426" w:firstLineChars="200"/>
        <w:jc w:val="left"/>
        <w:rPr>
          <w:rFonts w:hint="eastAsia" w:ascii="宋体" w:hAnsi="宋体" w:cs="宋体"/>
          <w:b w:val="0"/>
          <w:bCs/>
          <w:color w:val="auto"/>
          <w:szCs w:val="21"/>
          <w:highlight w:val="none"/>
        </w:rPr>
      </w:pPr>
      <w:r>
        <w:rPr>
          <w:rFonts w:hint="eastAsia" w:ascii="宋体" w:hAnsi="宋体" w:eastAsia="宋体" w:cs="宋体"/>
          <w:b w:val="0"/>
          <w:bCs/>
          <w:color w:val="auto"/>
          <w:szCs w:val="21"/>
          <w:highlight w:val="none"/>
          <w:lang w:eastAsia="zh-CN"/>
        </w:rPr>
        <w:t>（</w:t>
      </w:r>
      <w:r>
        <w:rPr>
          <w:rFonts w:hint="eastAsia" w:ascii="宋体" w:hAnsi="宋体" w:eastAsia="宋体" w:cs="宋体"/>
          <w:b w:val="0"/>
          <w:bCs/>
          <w:color w:val="auto"/>
          <w:szCs w:val="21"/>
          <w:highlight w:val="none"/>
          <w:lang w:val="en-US" w:eastAsia="zh-CN"/>
        </w:rPr>
        <w:t>1</w:t>
      </w:r>
      <w:r>
        <w:rPr>
          <w:rFonts w:hint="eastAsia" w:ascii="宋体" w:hAnsi="宋体" w:eastAsia="宋体" w:cs="宋体"/>
          <w:b w:val="0"/>
          <w:bCs/>
          <w:color w:val="auto"/>
          <w:szCs w:val="21"/>
          <w:highlight w:val="none"/>
          <w:lang w:eastAsia="zh-CN"/>
        </w:rPr>
        <w:t>）</w:t>
      </w:r>
      <w:r>
        <w:rPr>
          <w:rFonts w:hint="eastAsia" w:ascii="宋体" w:hAnsi="宋体" w:cs="宋体"/>
          <w:b w:val="0"/>
          <w:bCs/>
          <w:color w:val="auto"/>
          <w:szCs w:val="21"/>
          <w:highlight w:val="none"/>
        </w:rPr>
        <w:t>未在开标截止时间前通过网上招标投标系统递交有效电子投标文件的，开标系统不予接收。</w:t>
      </w:r>
    </w:p>
    <w:p w14:paraId="5E7B16A2">
      <w:pPr>
        <w:shd w:val="clear" w:color="auto" w:fill="auto"/>
        <w:snapToGrid w:val="0"/>
        <w:spacing w:line="400" w:lineRule="exact"/>
        <w:ind w:firstLine="426" w:firstLineChars="200"/>
        <w:jc w:val="left"/>
        <w:rPr>
          <w:rFonts w:hint="eastAsia" w:ascii="宋体" w:hAnsi="宋体"/>
          <w:b w:val="0"/>
          <w:bCs/>
          <w:color w:val="auto"/>
          <w:szCs w:val="21"/>
          <w:highlight w:val="none"/>
        </w:rPr>
      </w:pPr>
      <w:r>
        <w:rPr>
          <w:rFonts w:hint="eastAsia" w:ascii="宋体" w:hAnsi="宋体" w:cs="宋体"/>
          <w:b w:val="0"/>
          <w:bCs/>
          <w:color w:val="auto"/>
          <w:szCs w:val="21"/>
          <w:highlight w:val="none"/>
        </w:rPr>
        <w:t>（2）</w:t>
      </w:r>
      <w:r>
        <w:rPr>
          <w:rFonts w:hint="eastAsia" w:ascii="宋体" w:hAnsi="宋体"/>
          <w:b w:val="0"/>
          <w:bCs/>
          <w:color w:val="auto"/>
          <w:szCs w:val="21"/>
          <w:highlight w:val="none"/>
        </w:rPr>
        <w:t>所有投标人应在规定时间里完成投标文件的解密工作【投标人</w:t>
      </w:r>
      <w:r>
        <w:rPr>
          <w:rFonts w:hint="eastAsia" w:ascii="宋体" w:hAnsi="宋体"/>
          <w:b w:val="0"/>
          <w:bCs/>
          <w:color w:val="auto"/>
          <w:szCs w:val="21"/>
          <w:highlight w:val="none"/>
          <w:lang w:eastAsia="zh-CN"/>
        </w:rPr>
        <w:t>使用</w:t>
      </w:r>
      <w:r>
        <w:rPr>
          <w:rFonts w:hint="eastAsia" w:ascii="宋体" w:hAnsi="宋体"/>
          <w:b w:val="0"/>
          <w:bCs/>
          <w:color w:val="auto"/>
          <w:szCs w:val="21"/>
          <w:highlight w:val="none"/>
        </w:rPr>
        <w:t>其有效加密</w:t>
      </w:r>
    </w:p>
    <w:p w14:paraId="733F89D2">
      <w:pPr>
        <w:shd w:val="clear" w:color="auto" w:fill="auto"/>
        <w:snapToGrid w:val="0"/>
        <w:spacing w:line="400" w:lineRule="exact"/>
        <w:jc w:val="left"/>
        <w:rPr>
          <w:rFonts w:hint="eastAsia" w:ascii="宋体" w:hAnsi="宋体" w:cs="宋体"/>
          <w:b w:val="0"/>
          <w:bCs/>
          <w:color w:val="auto"/>
          <w:szCs w:val="21"/>
          <w:highlight w:val="none"/>
        </w:rPr>
      </w:pPr>
      <w:r>
        <w:rPr>
          <w:rFonts w:hint="eastAsia" w:ascii="宋体" w:hAnsi="宋体"/>
          <w:b w:val="0"/>
          <w:bCs/>
          <w:color w:val="auto"/>
          <w:szCs w:val="21"/>
          <w:highlight w:val="none"/>
        </w:rPr>
        <w:t>锁（CA锁）</w:t>
      </w:r>
      <w:r>
        <w:rPr>
          <w:rFonts w:hint="eastAsia" w:ascii="宋体" w:hAnsi="宋体"/>
          <w:b w:val="0"/>
          <w:bCs/>
          <w:color w:val="auto"/>
          <w:szCs w:val="21"/>
          <w:highlight w:val="none"/>
          <w:lang w:eastAsia="zh-CN"/>
        </w:rPr>
        <w:t>进行</w:t>
      </w:r>
      <w:r>
        <w:rPr>
          <w:rFonts w:hint="eastAsia" w:ascii="宋体" w:hAnsi="宋体"/>
          <w:b w:val="0"/>
          <w:bCs/>
          <w:color w:val="auto"/>
          <w:szCs w:val="21"/>
          <w:highlight w:val="none"/>
        </w:rPr>
        <w:t>解密（因投标人原因未能提供有效CA锁对其投标文件进行解密的，其投标文件按无效标处理），以网上招投标系统解密倒计时为准】，因系统原因未能成功解密的投标文件，可导入</w:t>
      </w:r>
      <w:r>
        <w:rPr>
          <w:rFonts w:hint="eastAsia" w:ascii="宋体" w:hAnsi="宋体"/>
          <w:b w:val="0"/>
          <w:bCs/>
          <w:color w:val="auto"/>
          <w:szCs w:val="21"/>
          <w:highlight w:val="none"/>
          <w:lang w:eastAsia="zh-CN"/>
        </w:rPr>
        <w:t>备份投标文件</w:t>
      </w:r>
      <w:r>
        <w:rPr>
          <w:rFonts w:hint="eastAsia" w:ascii="宋体" w:hAnsi="宋体"/>
          <w:b w:val="0"/>
          <w:bCs/>
          <w:color w:val="auto"/>
          <w:szCs w:val="21"/>
          <w:highlight w:val="none"/>
        </w:rPr>
        <w:t>。</w:t>
      </w:r>
      <w:r>
        <w:rPr>
          <w:rFonts w:hint="eastAsia" w:ascii="宋体" w:hAnsi="宋体"/>
          <w:b w:val="0"/>
          <w:bCs/>
          <w:color w:val="auto"/>
          <w:szCs w:val="21"/>
          <w:highlight w:val="none"/>
          <w:lang w:eastAsia="zh-CN"/>
        </w:rPr>
        <w:t>备份投标文件</w:t>
      </w:r>
      <w:r>
        <w:rPr>
          <w:rFonts w:hint="eastAsia" w:ascii="宋体" w:hAnsi="宋体"/>
          <w:b w:val="0"/>
          <w:bCs/>
          <w:color w:val="auto"/>
          <w:szCs w:val="21"/>
          <w:highlight w:val="none"/>
        </w:rPr>
        <w:t>也无法导入的，则投标文件被否决。</w:t>
      </w:r>
    </w:p>
    <w:p w14:paraId="6CC9507B">
      <w:pPr>
        <w:shd w:val="clear" w:color="auto" w:fill="auto"/>
        <w:snapToGrid w:val="0"/>
        <w:spacing w:line="400" w:lineRule="exact"/>
        <w:rPr>
          <w:rFonts w:hint="eastAsia" w:ascii="宋体" w:hAnsi="宋体" w:cs="宋体"/>
          <w:b w:val="0"/>
          <w:bCs/>
          <w:color w:val="auto"/>
          <w:szCs w:val="21"/>
          <w:highlight w:val="none"/>
        </w:rPr>
      </w:pPr>
      <w:r>
        <w:rPr>
          <w:rFonts w:hint="eastAsia" w:ascii="宋体" w:hAnsi="宋体" w:cs="宋体"/>
          <w:b w:val="0"/>
          <w:bCs/>
          <w:color w:val="auto"/>
          <w:szCs w:val="21"/>
          <w:highlight w:val="none"/>
        </w:rPr>
        <w:t xml:space="preserve">  </w:t>
      </w:r>
      <w:r>
        <w:rPr>
          <w:rFonts w:hint="eastAsia" w:ascii="宋体" w:hAnsi="宋体" w:cs="宋体"/>
          <w:b w:val="0"/>
          <w:bCs/>
          <w:color w:val="auto"/>
          <w:szCs w:val="21"/>
          <w:highlight w:val="none"/>
          <w:lang w:val="en-US" w:eastAsia="zh-CN"/>
        </w:rPr>
        <w:t>12</w:t>
      </w:r>
      <w:r>
        <w:rPr>
          <w:rFonts w:hint="eastAsia" w:ascii="宋体" w:hAnsi="宋体" w:cs="宋体"/>
          <w:b w:val="0"/>
          <w:bCs/>
          <w:color w:val="auto"/>
          <w:szCs w:val="21"/>
          <w:highlight w:val="none"/>
        </w:rPr>
        <w:t>.2投标人有下列情形之一的,资格审查后其投标作无效投标处理：</w:t>
      </w:r>
    </w:p>
    <w:p w14:paraId="10BF76B1">
      <w:pPr>
        <w:shd w:val="clear" w:color="auto" w:fill="auto"/>
        <w:snapToGrid w:val="0"/>
        <w:spacing w:line="400" w:lineRule="exact"/>
        <w:ind w:firstLine="426" w:firstLineChars="200"/>
        <w:rPr>
          <w:rFonts w:hint="eastAsia" w:ascii="宋体" w:hAnsi="宋体" w:cs="宋体"/>
          <w:b w:val="0"/>
          <w:bCs/>
          <w:color w:val="auto"/>
          <w:szCs w:val="21"/>
          <w:highlight w:val="none"/>
        </w:rPr>
      </w:pPr>
      <w:r>
        <w:rPr>
          <w:rFonts w:hint="eastAsia" w:ascii="宋体" w:hAnsi="宋体" w:cs="宋体"/>
          <w:b w:val="0"/>
          <w:bCs/>
          <w:color w:val="auto"/>
          <w:szCs w:val="21"/>
          <w:highlight w:val="none"/>
        </w:rPr>
        <w:t>(1)法定代表人参加开标会议未携带有效的法定代表人身份证明原件和本人身份证的；委托代理人参加开标会议未携带有效的法定代表人授权书和本人身份证；</w:t>
      </w:r>
    </w:p>
    <w:p w14:paraId="50A533CA">
      <w:pPr>
        <w:shd w:val="clear" w:color="auto" w:fill="auto"/>
        <w:snapToGrid w:val="0"/>
        <w:spacing w:line="400" w:lineRule="exact"/>
        <w:ind w:firstLine="426" w:firstLineChars="200"/>
        <w:rPr>
          <w:rFonts w:hint="eastAsia" w:ascii="宋体" w:hAnsi="宋体" w:cs="宋体"/>
          <w:b w:val="0"/>
          <w:bCs/>
          <w:color w:val="auto"/>
          <w:szCs w:val="21"/>
          <w:highlight w:val="none"/>
        </w:rPr>
      </w:pPr>
      <w:r>
        <w:rPr>
          <w:rFonts w:hint="eastAsia" w:ascii="宋体" w:hAnsi="宋体" w:cs="宋体"/>
          <w:b w:val="0"/>
          <w:bCs/>
          <w:color w:val="auto"/>
          <w:szCs w:val="21"/>
          <w:highlight w:val="none"/>
        </w:rPr>
        <w:t>(2)投标人为本项目提供招标代理服务的；</w:t>
      </w:r>
    </w:p>
    <w:p w14:paraId="4821CEBD">
      <w:pPr>
        <w:shd w:val="clear" w:color="auto" w:fill="auto"/>
        <w:snapToGrid w:val="0"/>
        <w:spacing w:line="400" w:lineRule="exact"/>
        <w:ind w:firstLine="426" w:firstLineChars="200"/>
        <w:rPr>
          <w:rFonts w:hint="eastAsia" w:ascii="宋体" w:hAnsi="宋体" w:cs="宋体"/>
          <w:b w:val="0"/>
          <w:bCs/>
          <w:color w:val="auto"/>
          <w:szCs w:val="21"/>
          <w:highlight w:val="none"/>
        </w:rPr>
      </w:pPr>
      <w:r>
        <w:rPr>
          <w:rFonts w:hint="eastAsia" w:ascii="宋体" w:hAnsi="宋体" w:cs="宋体"/>
          <w:b w:val="0"/>
          <w:bCs/>
          <w:color w:val="auto"/>
          <w:szCs w:val="21"/>
          <w:highlight w:val="none"/>
        </w:rPr>
        <w:t>(3)投标人与在本项目代理机构存在相互任职或工作的；</w:t>
      </w:r>
    </w:p>
    <w:p w14:paraId="1129E57D">
      <w:pPr>
        <w:shd w:val="clear" w:color="auto" w:fill="auto"/>
        <w:snapToGrid w:val="0"/>
        <w:spacing w:line="400" w:lineRule="exact"/>
        <w:ind w:firstLine="426" w:firstLineChars="200"/>
        <w:rPr>
          <w:rFonts w:hint="eastAsia" w:ascii="宋体" w:hAnsi="宋体" w:cs="宋体"/>
          <w:b w:val="0"/>
          <w:bCs/>
          <w:color w:val="auto"/>
          <w:szCs w:val="21"/>
          <w:highlight w:val="none"/>
        </w:rPr>
      </w:pPr>
      <w:r>
        <w:rPr>
          <w:rFonts w:hint="eastAsia" w:ascii="宋体" w:hAnsi="宋体" w:cs="宋体"/>
          <w:b w:val="0"/>
          <w:bCs/>
          <w:color w:val="auto"/>
          <w:szCs w:val="21"/>
          <w:highlight w:val="none"/>
        </w:rPr>
        <w:t>(4)投标保证金未按规定要求缴纳的；</w:t>
      </w:r>
    </w:p>
    <w:p w14:paraId="3A37C736">
      <w:pPr>
        <w:shd w:val="clear" w:color="auto" w:fill="auto"/>
        <w:snapToGrid w:val="0"/>
        <w:spacing w:line="400" w:lineRule="exact"/>
        <w:ind w:firstLine="426" w:firstLineChars="200"/>
        <w:rPr>
          <w:rFonts w:hint="eastAsia" w:ascii="宋体" w:hAnsi="宋体" w:cs="宋体"/>
          <w:b w:val="0"/>
          <w:bCs/>
          <w:color w:val="auto"/>
          <w:szCs w:val="21"/>
          <w:highlight w:val="none"/>
        </w:rPr>
      </w:pPr>
      <w:r>
        <w:rPr>
          <w:rFonts w:hint="eastAsia" w:ascii="宋体" w:hAnsi="宋体" w:cs="宋体"/>
          <w:b w:val="0"/>
          <w:bCs/>
          <w:color w:val="auto"/>
          <w:szCs w:val="21"/>
          <w:highlight w:val="none"/>
        </w:rPr>
        <w:t>(5)</w:t>
      </w:r>
      <w:r>
        <w:rPr>
          <w:rFonts w:hint="eastAsia" w:ascii="宋体" w:hAnsi="宋体"/>
          <w:b w:val="0"/>
          <w:bCs/>
          <w:color w:val="auto"/>
          <w:szCs w:val="21"/>
          <w:highlight w:val="none"/>
        </w:rPr>
        <w:t>评标专家无法查看并检验电子标书中相关资料的；</w:t>
      </w:r>
    </w:p>
    <w:p w14:paraId="7528B5EE">
      <w:pPr>
        <w:shd w:val="clear" w:color="auto" w:fill="auto"/>
        <w:snapToGrid w:val="0"/>
        <w:spacing w:line="400" w:lineRule="exact"/>
        <w:ind w:firstLine="426" w:firstLineChars="200"/>
        <w:rPr>
          <w:rFonts w:hint="eastAsia" w:ascii="宋体" w:hAnsi="宋体" w:cs="宋体"/>
          <w:b w:val="0"/>
          <w:bCs/>
          <w:color w:val="auto"/>
          <w:szCs w:val="21"/>
          <w:highlight w:val="none"/>
        </w:rPr>
      </w:pPr>
      <w:r>
        <w:rPr>
          <w:rFonts w:hint="eastAsia" w:ascii="宋体" w:hAnsi="宋体" w:cs="宋体"/>
          <w:b w:val="0"/>
          <w:bCs/>
          <w:color w:val="auto"/>
          <w:szCs w:val="21"/>
          <w:highlight w:val="none"/>
        </w:rPr>
        <w:t>(6)投标人超出营业范围投标的；</w:t>
      </w:r>
    </w:p>
    <w:p w14:paraId="5249C99A">
      <w:pPr>
        <w:shd w:val="clear" w:color="auto" w:fill="auto"/>
        <w:snapToGrid w:val="0"/>
        <w:spacing w:line="400" w:lineRule="exact"/>
        <w:ind w:firstLine="426" w:firstLineChars="200"/>
        <w:rPr>
          <w:rFonts w:hint="eastAsia" w:ascii="宋体" w:hAnsi="宋体" w:cs="宋体"/>
          <w:b w:val="0"/>
          <w:bCs/>
          <w:color w:val="auto"/>
          <w:szCs w:val="21"/>
          <w:highlight w:val="none"/>
        </w:rPr>
      </w:pPr>
      <w:r>
        <w:rPr>
          <w:rFonts w:hint="eastAsia" w:ascii="宋体" w:hAnsi="宋体" w:cs="宋体"/>
          <w:b w:val="0"/>
          <w:bCs/>
          <w:color w:val="auto"/>
          <w:szCs w:val="21"/>
          <w:highlight w:val="none"/>
        </w:rPr>
        <w:t>(7)联合体投标未提交联合体协议的；</w:t>
      </w:r>
    </w:p>
    <w:p w14:paraId="708BBF08">
      <w:pPr>
        <w:shd w:val="clear" w:color="auto" w:fill="auto"/>
        <w:snapToGrid w:val="0"/>
        <w:spacing w:line="400" w:lineRule="exact"/>
        <w:ind w:firstLine="426" w:firstLineChars="200"/>
        <w:rPr>
          <w:rFonts w:hint="eastAsia" w:ascii="宋体" w:hAnsi="宋体" w:cs="宋体"/>
          <w:b w:val="0"/>
          <w:bCs/>
          <w:color w:val="auto"/>
          <w:szCs w:val="21"/>
          <w:highlight w:val="none"/>
        </w:rPr>
      </w:pPr>
      <w:r>
        <w:rPr>
          <w:rFonts w:hint="eastAsia" w:ascii="宋体" w:hAnsi="宋体" w:cs="宋体"/>
          <w:b w:val="0"/>
          <w:bCs/>
          <w:color w:val="auto"/>
          <w:szCs w:val="21"/>
          <w:highlight w:val="none"/>
        </w:rPr>
        <w:t>(8)被暂停营业的；</w:t>
      </w:r>
    </w:p>
    <w:p w14:paraId="01DE1F96">
      <w:pPr>
        <w:shd w:val="clear" w:color="auto" w:fill="auto"/>
        <w:snapToGrid w:val="0"/>
        <w:spacing w:line="400" w:lineRule="exact"/>
        <w:ind w:firstLine="426" w:firstLineChars="200"/>
        <w:rPr>
          <w:rFonts w:hint="eastAsia" w:ascii="宋体" w:hAnsi="宋体" w:cs="宋体"/>
          <w:b w:val="0"/>
          <w:bCs/>
          <w:color w:val="auto"/>
          <w:szCs w:val="21"/>
          <w:highlight w:val="none"/>
        </w:rPr>
      </w:pPr>
      <w:r>
        <w:rPr>
          <w:rFonts w:hint="eastAsia" w:ascii="宋体" w:hAnsi="宋体" w:cs="宋体"/>
          <w:b w:val="0"/>
          <w:bCs/>
          <w:color w:val="auto"/>
          <w:szCs w:val="21"/>
          <w:highlight w:val="none"/>
        </w:rPr>
        <w:t>(9)被暂停或取消投标资格的；</w:t>
      </w:r>
    </w:p>
    <w:p w14:paraId="0A93B2DD">
      <w:pPr>
        <w:shd w:val="clear" w:color="auto" w:fill="auto"/>
        <w:snapToGrid w:val="0"/>
        <w:spacing w:line="400" w:lineRule="exact"/>
        <w:ind w:firstLine="426" w:firstLineChars="200"/>
        <w:rPr>
          <w:rFonts w:hint="eastAsia" w:ascii="宋体" w:hAnsi="宋体" w:cs="宋体"/>
          <w:b w:val="0"/>
          <w:bCs/>
          <w:color w:val="auto"/>
          <w:szCs w:val="21"/>
          <w:highlight w:val="none"/>
        </w:rPr>
      </w:pPr>
      <w:r>
        <w:rPr>
          <w:rFonts w:hint="eastAsia" w:ascii="宋体" w:hAnsi="宋体" w:cs="宋体"/>
          <w:b w:val="0"/>
          <w:bCs/>
          <w:color w:val="auto"/>
          <w:szCs w:val="21"/>
          <w:highlight w:val="none"/>
        </w:rPr>
        <w:t>(10)财产被接管或冻结的；</w:t>
      </w:r>
    </w:p>
    <w:p w14:paraId="354B0EA7">
      <w:pPr>
        <w:shd w:val="clear" w:color="auto" w:fill="auto"/>
        <w:snapToGrid w:val="0"/>
        <w:spacing w:line="400" w:lineRule="exact"/>
        <w:ind w:firstLine="426" w:firstLineChars="200"/>
        <w:rPr>
          <w:rFonts w:hint="eastAsia" w:ascii="宋体" w:hAnsi="宋体" w:cs="宋体"/>
          <w:b w:val="0"/>
          <w:bCs/>
          <w:color w:val="auto"/>
          <w:szCs w:val="21"/>
          <w:highlight w:val="none"/>
        </w:rPr>
      </w:pPr>
      <w:r>
        <w:rPr>
          <w:rFonts w:hint="eastAsia" w:ascii="宋体" w:hAnsi="宋体" w:cs="宋体"/>
          <w:b w:val="0"/>
          <w:bCs/>
          <w:color w:val="auto"/>
          <w:szCs w:val="21"/>
          <w:highlight w:val="none"/>
        </w:rPr>
        <w:t>(11)投标人单位负责人为同一人或者存在控股、管理关系的不同单位的；</w:t>
      </w:r>
    </w:p>
    <w:p w14:paraId="704FC4D3">
      <w:pPr>
        <w:shd w:val="clear" w:color="auto" w:fill="auto"/>
        <w:snapToGrid w:val="0"/>
        <w:spacing w:line="400" w:lineRule="exact"/>
        <w:ind w:firstLine="319" w:firstLineChars="150"/>
        <w:jc w:val="left"/>
        <w:rPr>
          <w:rFonts w:hint="eastAsia" w:ascii="宋体" w:hAnsi="宋体" w:cs="宋体"/>
          <w:b w:val="0"/>
          <w:bCs/>
          <w:color w:val="auto"/>
          <w:szCs w:val="21"/>
          <w:highlight w:val="none"/>
        </w:rPr>
      </w:pPr>
      <w:r>
        <w:rPr>
          <w:rFonts w:hint="eastAsia" w:ascii="宋体" w:hAnsi="宋体" w:eastAsia="宋体" w:cs="宋体"/>
          <w:b w:val="0"/>
          <w:bCs/>
          <w:color w:val="auto"/>
          <w:szCs w:val="21"/>
          <w:highlight w:val="none"/>
          <w:lang w:eastAsia="zh-CN"/>
        </w:rPr>
        <w:t>（</w:t>
      </w:r>
      <w:r>
        <w:rPr>
          <w:rFonts w:hint="eastAsia" w:ascii="宋体" w:hAnsi="宋体" w:eastAsia="宋体" w:cs="宋体"/>
          <w:b w:val="0"/>
          <w:bCs/>
          <w:color w:val="auto"/>
          <w:szCs w:val="21"/>
          <w:highlight w:val="none"/>
          <w:lang w:val="en-US" w:eastAsia="zh-CN"/>
        </w:rPr>
        <w:t>12</w:t>
      </w:r>
      <w:r>
        <w:rPr>
          <w:rFonts w:hint="eastAsia" w:ascii="宋体" w:hAnsi="宋体" w:eastAsia="宋体" w:cs="宋体"/>
          <w:b w:val="0"/>
          <w:bCs/>
          <w:color w:val="auto"/>
          <w:szCs w:val="21"/>
          <w:highlight w:val="none"/>
          <w:lang w:eastAsia="zh-CN"/>
        </w:rPr>
        <w:t>）</w:t>
      </w:r>
      <w:r>
        <w:rPr>
          <w:rFonts w:hint="eastAsia" w:ascii="宋体" w:hAnsi="宋体" w:eastAsia="宋体" w:cs="宋体"/>
          <w:b w:val="0"/>
          <w:bCs/>
          <w:color w:val="auto"/>
          <w:szCs w:val="21"/>
          <w:highlight w:val="none"/>
        </w:rPr>
        <w:t>投</w:t>
      </w:r>
      <w:r>
        <w:rPr>
          <w:rFonts w:hint="eastAsia" w:ascii="宋体" w:hAnsi="宋体" w:cs="宋体"/>
          <w:b w:val="0"/>
          <w:bCs/>
          <w:color w:val="auto"/>
          <w:szCs w:val="21"/>
          <w:highlight w:val="none"/>
        </w:rPr>
        <w:t>标人基本资格条件和特定资格条件中有一项及以上不符合要求的；</w:t>
      </w:r>
    </w:p>
    <w:p w14:paraId="4DB244C3">
      <w:pPr>
        <w:shd w:val="clear" w:color="auto" w:fill="auto"/>
        <w:snapToGrid w:val="0"/>
        <w:spacing w:line="400" w:lineRule="exact"/>
        <w:ind w:firstLine="426" w:firstLineChars="200"/>
        <w:rPr>
          <w:rFonts w:hint="eastAsia" w:ascii="宋体" w:hAnsi="宋体" w:cs="宋体"/>
          <w:b w:val="0"/>
          <w:bCs/>
          <w:color w:val="auto"/>
          <w:szCs w:val="21"/>
          <w:highlight w:val="none"/>
        </w:rPr>
      </w:pPr>
      <w:r>
        <w:rPr>
          <w:rFonts w:hint="eastAsia" w:ascii="宋体" w:hAnsi="宋体" w:cs="宋体"/>
          <w:b w:val="0"/>
          <w:bCs/>
          <w:color w:val="auto"/>
          <w:szCs w:val="21"/>
          <w:highlight w:val="none"/>
        </w:rPr>
        <w:t>（13）投标人使用相同的MAC地址进行报名的；</w:t>
      </w:r>
    </w:p>
    <w:p w14:paraId="07854DAC">
      <w:pPr>
        <w:shd w:val="clear" w:color="auto" w:fill="auto"/>
        <w:snapToGrid w:val="0"/>
        <w:spacing w:line="400" w:lineRule="exact"/>
        <w:ind w:firstLine="426" w:firstLineChars="200"/>
        <w:rPr>
          <w:rFonts w:hint="eastAsia" w:ascii="宋体" w:hAnsi="宋体" w:cs="宋体"/>
          <w:b w:val="0"/>
          <w:bCs/>
          <w:color w:val="auto"/>
          <w:szCs w:val="21"/>
          <w:highlight w:val="none"/>
        </w:rPr>
      </w:pPr>
      <w:r>
        <w:rPr>
          <w:rFonts w:hint="eastAsia" w:ascii="宋体" w:hAnsi="宋体" w:cs="宋体"/>
          <w:b w:val="0"/>
          <w:bCs/>
          <w:color w:val="auto"/>
          <w:szCs w:val="21"/>
          <w:highlight w:val="none"/>
        </w:rPr>
        <w:t>（14）其它情形，经评标委员会委提出按无效投标处理，并经公共资源交易监督部门核准的；</w:t>
      </w:r>
    </w:p>
    <w:p w14:paraId="3BBEA6C9">
      <w:pPr>
        <w:shd w:val="clear" w:color="auto" w:fill="auto"/>
        <w:snapToGrid w:val="0"/>
        <w:spacing w:line="400" w:lineRule="exact"/>
        <w:ind w:firstLine="426" w:firstLineChars="200"/>
        <w:rPr>
          <w:rFonts w:hint="eastAsia" w:ascii="宋体" w:hAnsi="宋体" w:cs="宋体"/>
          <w:b w:val="0"/>
          <w:bCs/>
          <w:color w:val="auto"/>
          <w:szCs w:val="21"/>
          <w:highlight w:val="none"/>
        </w:rPr>
      </w:pPr>
      <w:r>
        <w:rPr>
          <w:rFonts w:hint="eastAsia" w:ascii="宋体" w:hAnsi="宋体" w:cs="宋体"/>
          <w:b w:val="0"/>
          <w:bCs/>
          <w:color w:val="auto"/>
          <w:szCs w:val="21"/>
          <w:highlight w:val="none"/>
        </w:rPr>
        <w:t>（15）投标人使用相同IP地址报名的，一经发现，监管部门将进一步核实，查实后按串通投标处理；</w:t>
      </w:r>
    </w:p>
    <w:p w14:paraId="2BB2E1D3">
      <w:pPr>
        <w:shd w:val="clear" w:color="auto" w:fill="auto"/>
        <w:snapToGrid w:val="0"/>
        <w:spacing w:line="400" w:lineRule="exact"/>
        <w:ind w:firstLine="426" w:firstLineChars="200"/>
        <w:rPr>
          <w:rFonts w:hint="eastAsia" w:ascii="宋体" w:hAnsi="宋体" w:cs="宋体"/>
          <w:b w:val="0"/>
          <w:bCs/>
          <w:color w:val="auto"/>
          <w:szCs w:val="21"/>
          <w:highlight w:val="none"/>
        </w:rPr>
      </w:pPr>
      <w:r>
        <w:rPr>
          <w:rFonts w:hint="eastAsia" w:ascii="宋体" w:hAnsi="宋体" w:cs="宋体"/>
          <w:b w:val="0"/>
          <w:bCs/>
          <w:color w:val="auto"/>
          <w:szCs w:val="21"/>
          <w:highlight w:val="none"/>
        </w:rPr>
        <w:t>（16）</w:t>
      </w:r>
      <w:r>
        <w:rPr>
          <w:rFonts w:hint="eastAsia" w:ascii="宋体" w:hAnsi="宋体" w:cs="宋体"/>
          <w:b w:val="0"/>
          <w:bCs/>
          <w:color w:val="auto"/>
          <w:szCs w:val="21"/>
          <w:highlight w:val="none"/>
          <w:lang w:eastAsia="zh-CN"/>
        </w:rPr>
        <w:t>采购文件</w:t>
      </w:r>
      <w:r>
        <w:rPr>
          <w:rFonts w:hint="eastAsia" w:ascii="宋体" w:hAnsi="宋体" w:cs="宋体"/>
          <w:b w:val="0"/>
          <w:bCs/>
          <w:color w:val="auto"/>
          <w:szCs w:val="21"/>
          <w:highlight w:val="none"/>
        </w:rPr>
        <w:t>规定的其它无效投标情形。</w:t>
      </w:r>
    </w:p>
    <w:p w14:paraId="2A8A6F9B">
      <w:pPr>
        <w:shd w:val="clear" w:color="auto" w:fill="auto"/>
        <w:snapToGrid w:val="0"/>
        <w:spacing w:line="400" w:lineRule="exact"/>
        <w:ind w:firstLine="426" w:firstLineChars="200"/>
        <w:jc w:val="left"/>
        <w:rPr>
          <w:rFonts w:hint="eastAsia" w:ascii="宋体" w:hAnsi="宋体" w:cs="宋体"/>
          <w:b w:val="0"/>
          <w:bCs/>
          <w:color w:val="auto"/>
          <w:szCs w:val="21"/>
          <w:highlight w:val="none"/>
        </w:rPr>
      </w:pPr>
      <w:r>
        <w:rPr>
          <w:rFonts w:hint="eastAsia" w:ascii="宋体" w:hAnsi="宋体" w:cs="宋体"/>
          <w:b w:val="0"/>
          <w:bCs/>
          <w:color w:val="auto"/>
          <w:szCs w:val="21"/>
          <w:highlight w:val="none"/>
          <w:lang w:val="en-US" w:eastAsia="zh-CN"/>
        </w:rPr>
        <w:t>12</w:t>
      </w:r>
      <w:r>
        <w:rPr>
          <w:rFonts w:hint="eastAsia" w:ascii="宋体" w:hAnsi="宋体" w:cs="宋体"/>
          <w:b w:val="0"/>
          <w:bCs/>
          <w:color w:val="auto"/>
          <w:szCs w:val="21"/>
          <w:highlight w:val="none"/>
        </w:rPr>
        <w:t>.3 投标人有下列情形之一的,符合性审查后其投标按无效投标处理：</w:t>
      </w:r>
    </w:p>
    <w:p w14:paraId="3D8F8366">
      <w:pPr>
        <w:shd w:val="clear" w:color="auto" w:fill="auto"/>
        <w:snapToGrid w:val="0"/>
        <w:spacing w:line="400" w:lineRule="exact"/>
        <w:ind w:firstLine="426"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(1)投标文件签字、盖章不全，经评标委员会一致认定对开评标内容有实质性影响并经监督部门核准的；</w:t>
      </w:r>
    </w:p>
    <w:p w14:paraId="299AB998">
      <w:pPr>
        <w:shd w:val="clear" w:color="auto" w:fill="auto"/>
        <w:snapToGrid w:val="0"/>
        <w:spacing w:line="400" w:lineRule="exact"/>
        <w:ind w:firstLine="426"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w:t>
      </w:r>
      <w:r>
        <w:rPr>
          <w:rFonts w:hint="eastAsia" w:ascii="宋体" w:hAnsi="宋体" w:eastAsia="宋体" w:cs="宋体"/>
          <w:b w:val="0"/>
          <w:bCs/>
          <w:color w:val="auto"/>
          <w:szCs w:val="21"/>
          <w:highlight w:val="none"/>
          <w:lang w:val="en-US" w:eastAsia="zh-CN"/>
        </w:rPr>
        <w:t>2</w:t>
      </w:r>
      <w:r>
        <w:rPr>
          <w:rFonts w:hint="eastAsia" w:ascii="宋体" w:hAnsi="宋体" w:eastAsia="宋体" w:cs="宋体"/>
          <w:b w:val="0"/>
          <w:bCs/>
          <w:color w:val="auto"/>
          <w:szCs w:val="21"/>
          <w:highlight w:val="none"/>
        </w:rPr>
        <w:t>)未按规定的格式填写，实质性内容不全或关键字迹模糊、无法辨认; 经监督部门核准的；</w:t>
      </w:r>
    </w:p>
    <w:p w14:paraId="48E68A40">
      <w:pPr>
        <w:shd w:val="clear" w:color="auto" w:fill="auto"/>
        <w:snapToGrid w:val="0"/>
        <w:spacing w:line="400" w:lineRule="exact"/>
        <w:ind w:firstLine="426"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w:t>
      </w:r>
      <w:r>
        <w:rPr>
          <w:rFonts w:hint="eastAsia" w:ascii="宋体" w:hAnsi="宋体" w:eastAsia="宋体" w:cs="宋体"/>
          <w:b w:val="0"/>
          <w:bCs/>
          <w:color w:val="auto"/>
          <w:szCs w:val="21"/>
          <w:highlight w:val="none"/>
          <w:lang w:val="en-US" w:eastAsia="zh-CN"/>
        </w:rPr>
        <w:t>3</w:t>
      </w:r>
      <w:r>
        <w:rPr>
          <w:rFonts w:hint="eastAsia" w:ascii="宋体" w:hAnsi="宋体" w:eastAsia="宋体" w:cs="宋体"/>
          <w:b w:val="0"/>
          <w:bCs/>
          <w:color w:val="auto"/>
          <w:szCs w:val="21"/>
          <w:highlight w:val="none"/>
        </w:rPr>
        <w:t>)同一投标人提交两个以上不同的投标文件或者投标报价，但</w:t>
      </w:r>
      <w:r>
        <w:rPr>
          <w:rFonts w:hint="eastAsia" w:ascii="宋体" w:hAnsi="宋体" w:eastAsia="宋体" w:cs="宋体"/>
          <w:b w:val="0"/>
          <w:bCs/>
          <w:color w:val="auto"/>
          <w:szCs w:val="21"/>
          <w:highlight w:val="none"/>
          <w:lang w:eastAsia="zh-CN"/>
        </w:rPr>
        <w:t>采购文件</w:t>
      </w:r>
      <w:r>
        <w:rPr>
          <w:rFonts w:hint="eastAsia" w:ascii="宋体" w:hAnsi="宋体" w:eastAsia="宋体" w:cs="宋体"/>
          <w:b w:val="0"/>
          <w:bCs/>
          <w:color w:val="auto"/>
          <w:szCs w:val="21"/>
          <w:highlight w:val="none"/>
        </w:rPr>
        <w:t>规定提交备选方案的除外；</w:t>
      </w:r>
    </w:p>
    <w:p w14:paraId="6EEDB3EB">
      <w:pPr>
        <w:shd w:val="clear" w:color="auto" w:fill="auto"/>
        <w:snapToGrid w:val="0"/>
        <w:spacing w:line="400" w:lineRule="exact"/>
        <w:ind w:firstLine="426"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w:t>
      </w:r>
      <w:r>
        <w:rPr>
          <w:rFonts w:hint="eastAsia" w:ascii="宋体" w:hAnsi="宋体" w:eastAsia="宋体" w:cs="宋体"/>
          <w:b w:val="0"/>
          <w:bCs/>
          <w:color w:val="auto"/>
          <w:szCs w:val="21"/>
          <w:highlight w:val="none"/>
          <w:lang w:val="en-US" w:eastAsia="zh-CN"/>
        </w:rPr>
        <w:t>4</w:t>
      </w:r>
      <w:r>
        <w:rPr>
          <w:rFonts w:hint="eastAsia" w:ascii="宋体" w:hAnsi="宋体" w:eastAsia="宋体" w:cs="宋体"/>
          <w:b w:val="0"/>
          <w:bCs/>
          <w:color w:val="auto"/>
          <w:szCs w:val="21"/>
          <w:highlight w:val="none"/>
        </w:rPr>
        <w:t>)投标文件没有对</w:t>
      </w:r>
      <w:r>
        <w:rPr>
          <w:rFonts w:hint="eastAsia" w:ascii="宋体" w:hAnsi="宋体" w:eastAsia="宋体" w:cs="宋体"/>
          <w:b w:val="0"/>
          <w:bCs/>
          <w:color w:val="auto"/>
          <w:szCs w:val="21"/>
          <w:highlight w:val="none"/>
          <w:lang w:eastAsia="zh-CN"/>
        </w:rPr>
        <w:t>采购文件</w:t>
      </w:r>
      <w:r>
        <w:rPr>
          <w:rFonts w:hint="eastAsia" w:ascii="宋体" w:hAnsi="宋体" w:eastAsia="宋体" w:cs="宋体"/>
          <w:b w:val="0"/>
          <w:bCs/>
          <w:color w:val="auto"/>
          <w:szCs w:val="21"/>
          <w:highlight w:val="none"/>
        </w:rPr>
        <w:t>的实质性要求和条件作出响应;</w:t>
      </w:r>
    </w:p>
    <w:p w14:paraId="0A2E953D">
      <w:pPr>
        <w:shd w:val="clear" w:color="auto" w:fill="auto"/>
        <w:snapToGrid w:val="0"/>
        <w:spacing w:line="400" w:lineRule="exact"/>
        <w:ind w:firstLine="426"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w:t>
      </w:r>
      <w:r>
        <w:rPr>
          <w:rFonts w:hint="eastAsia" w:ascii="宋体" w:hAnsi="宋体" w:eastAsia="宋体" w:cs="宋体"/>
          <w:b w:val="0"/>
          <w:bCs/>
          <w:color w:val="auto"/>
          <w:szCs w:val="21"/>
          <w:highlight w:val="none"/>
          <w:lang w:val="en-US" w:eastAsia="zh-CN"/>
        </w:rPr>
        <w:t>5</w:t>
      </w:r>
      <w:r>
        <w:rPr>
          <w:rFonts w:hint="eastAsia" w:ascii="宋体" w:hAnsi="宋体" w:eastAsia="宋体" w:cs="宋体"/>
          <w:b w:val="0"/>
          <w:bCs/>
          <w:color w:val="auto"/>
          <w:szCs w:val="21"/>
          <w:highlight w:val="none"/>
        </w:rPr>
        <w:t>)投标报价超出规定的投标限价或公布的采购预算的；注：投标人的投标报价各项单价均不得高于</w:t>
      </w:r>
      <w:r>
        <w:rPr>
          <w:rFonts w:hint="eastAsia" w:ascii="宋体" w:hAnsi="宋体" w:eastAsia="宋体" w:cs="宋体"/>
          <w:b w:val="0"/>
          <w:bCs/>
          <w:color w:val="auto"/>
          <w:szCs w:val="21"/>
          <w:highlight w:val="none"/>
          <w:lang w:eastAsia="zh-CN"/>
        </w:rPr>
        <w:t>招标文件</w:t>
      </w:r>
      <w:r>
        <w:rPr>
          <w:rFonts w:hint="eastAsia" w:ascii="宋体" w:hAnsi="宋体" w:eastAsia="宋体" w:cs="宋体"/>
          <w:b w:val="0"/>
          <w:bCs/>
          <w:color w:val="auto"/>
          <w:szCs w:val="21"/>
          <w:highlight w:val="none"/>
        </w:rPr>
        <w:t>给定的单价最高限价，否则，其投标文件将按无效投标处理。</w:t>
      </w:r>
    </w:p>
    <w:p w14:paraId="3B4123C0">
      <w:pPr>
        <w:shd w:val="clear" w:color="auto" w:fill="auto"/>
        <w:snapToGrid w:val="0"/>
        <w:spacing w:line="400" w:lineRule="exact"/>
        <w:ind w:firstLine="426"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w:t>
      </w:r>
      <w:r>
        <w:rPr>
          <w:rFonts w:hint="eastAsia" w:ascii="宋体" w:hAnsi="宋体" w:eastAsia="宋体" w:cs="宋体"/>
          <w:b w:val="0"/>
          <w:bCs/>
          <w:color w:val="auto"/>
          <w:szCs w:val="21"/>
          <w:highlight w:val="none"/>
          <w:lang w:val="en-US" w:eastAsia="zh-CN"/>
        </w:rPr>
        <w:t>6</w:t>
      </w:r>
      <w:r>
        <w:rPr>
          <w:rFonts w:hint="eastAsia" w:ascii="宋体" w:hAnsi="宋体" w:eastAsia="宋体" w:cs="宋体"/>
          <w:b w:val="0"/>
          <w:bCs/>
          <w:color w:val="auto"/>
          <w:szCs w:val="21"/>
          <w:highlight w:val="none"/>
        </w:rPr>
        <w:t>)不按评标委员会要求澄清、说明或补正的，或者评标委员会根据</w:t>
      </w:r>
      <w:r>
        <w:rPr>
          <w:rFonts w:hint="eastAsia" w:ascii="宋体" w:hAnsi="宋体" w:eastAsia="宋体" w:cs="宋体"/>
          <w:b w:val="0"/>
          <w:bCs/>
          <w:color w:val="auto"/>
          <w:szCs w:val="21"/>
          <w:highlight w:val="none"/>
          <w:lang w:eastAsia="zh-CN"/>
        </w:rPr>
        <w:t>采购文件</w:t>
      </w:r>
      <w:r>
        <w:rPr>
          <w:rFonts w:hint="eastAsia" w:ascii="宋体" w:hAnsi="宋体" w:eastAsia="宋体" w:cs="宋体"/>
          <w:b w:val="0"/>
          <w:bCs/>
          <w:color w:val="auto"/>
          <w:szCs w:val="21"/>
          <w:highlight w:val="none"/>
        </w:rPr>
        <w:t>的规定对</w:t>
      </w:r>
      <w:r>
        <w:rPr>
          <w:rFonts w:hint="eastAsia" w:ascii="宋体" w:hAnsi="宋体" w:eastAsia="宋体" w:cs="宋体"/>
          <w:b w:val="0"/>
          <w:bCs/>
          <w:color w:val="auto"/>
          <w:szCs w:val="21"/>
          <w:highlight w:val="none"/>
          <w:lang w:eastAsia="zh-CN"/>
        </w:rPr>
        <w:t>采购文件</w:t>
      </w:r>
      <w:r>
        <w:rPr>
          <w:rFonts w:hint="eastAsia" w:ascii="宋体" w:hAnsi="宋体" w:eastAsia="宋体" w:cs="宋体"/>
          <w:b w:val="0"/>
          <w:bCs/>
          <w:color w:val="auto"/>
          <w:szCs w:val="21"/>
          <w:highlight w:val="none"/>
        </w:rPr>
        <w:t>的计算错误进行修正后，投标人不接受修正的投标报价的。</w:t>
      </w:r>
    </w:p>
    <w:p w14:paraId="477161EF">
      <w:pPr>
        <w:shd w:val="clear" w:color="auto" w:fill="auto"/>
        <w:snapToGrid w:val="0"/>
        <w:spacing w:line="400" w:lineRule="exact"/>
        <w:ind w:firstLine="426"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w:t>
      </w:r>
      <w:r>
        <w:rPr>
          <w:rFonts w:hint="eastAsia" w:ascii="宋体" w:hAnsi="宋体" w:eastAsia="宋体" w:cs="宋体"/>
          <w:b w:val="0"/>
          <w:bCs/>
          <w:color w:val="auto"/>
          <w:szCs w:val="21"/>
          <w:highlight w:val="none"/>
          <w:lang w:val="en-US" w:eastAsia="zh-CN"/>
        </w:rPr>
        <w:t>7</w:t>
      </w:r>
      <w:r>
        <w:rPr>
          <w:rFonts w:hint="eastAsia" w:ascii="宋体" w:hAnsi="宋体" w:eastAsia="宋体" w:cs="宋体"/>
          <w:b w:val="0"/>
          <w:bCs/>
          <w:color w:val="auto"/>
          <w:szCs w:val="21"/>
          <w:highlight w:val="none"/>
        </w:rPr>
        <w:t>）其它情形，经评标委员会委提出按无效投标处理，并经公共资源交易监督部门核准的；</w:t>
      </w:r>
    </w:p>
    <w:p w14:paraId="48C9E61B">
      <w:pPr>
        <w:shd w:val="clear" w:color="auto" w:fill="auto"/>
        <w:snapToGrid w:val="0"/>
        <w:spacing w:line="400" w:lineRule="exact"/>
        <w:ind w:firstLine="426"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w:t>
      </w:r>
      <w:r>
        <w:rPr>
          <w:rFonts w:hint="eastAsia" w:ascii="宋体" w:hAnsi="宋体" w:eastAsia="宋体" w:cs="宋体"/>
          <w:b w:val="0"/>
          <w:bCs/>
          <w:color w:val="auto"/>
          <w:szCs w:val="21"/>
          <w:highlight w:val="none"/>
          <w:lang w:val="en-US" w:eastAsia="zh-CN"/>
        </w:rPr>
        <w:t>8</w:t>
      </w:r>
      <w:r>
        <w:rPr>
          <w:rFonts w:hint="eastAsia" w:ascii="宋体" w:hAnsi="宋体" w:eastAsia="宋体" w:cs="宋体"/>
          <w:b w:val="0"/>
          <w:bCs/>
          <w:color w:val="auto"/>
          <w:szCs w:val="21"/>
          <w:highlight w:val="none"/>
        </w:rPr>
        <w:t>）未按照</w:t>
      </w:r>
      <w:r>
        <w:rPr>
          <w:rFonts w:hint="eastAsia" w:ascii="宋体" w:hAnsi="宋体" w:eastAsia="宋体" w:cs="宋体"/>
          <w:b w:val="0"/>
          <w:bCs/>
          <w:color w:val="auto"/>
          <w:szCs w:val="21"/>
          <w:highlight w:val="none"/>
          <w:lang w:eastAsia="zh-CN"/>
        </w:rPr>
        <w:t>招标文件</w:t>
      </w:r>
      <w:r>
        <w:rPr>
          <w:rFonts w:hint="eastAsia" w:ascii="宋体" w:hAnsi="宋体" w:eastAsia="宋体" w:cs="宋体"/>
          <w:b w:val="0"/>
          <w:bCs/>
          <w:color w:val="auto"/>
          <w:szCs w:val="21"/>
          <w:highlight w:val="none"/>
        </w:rPr>
        <w:t>的规定提交投标保证金的；</w:t>
      </w:r>
    </w:p>
    <w:p w14:paraId="38BE9BE5">
      <w:pPr>
        <w:shd w:val="clear" w:color="auto" w:fill="auto"/>
        <w:snapToGrid w:val="0"/>
        <w:spacing w:line="400" w:lineRule="exact"/>
        <w:ind w:firstLine="426"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w:t>
      </w:r>
      <w:r>
        <w:rPr>
          <w:rFonts w:hint="eastAsia" w:ascii="宋体" w:hAnsi="宋体" w:eastAsia="宋体" w:cs="宋体"/>
          <w:b w:val="0"/>
          <w:bCs/>
          <w:color w:val="auto"/>
          <w:szCs w:val="21"/>
          <w:highlight w:val="none"/>
          <w:lang w:val="en-US" w:eastAsia="zh-CN"/>
        </w:rPr>
        <w:t>9</w:t>
      </w:r>
      <w:r>
        <w:rPr>
          <w:rFonts w:hint="eastAsia" w:ascii="宋体" w:hAnsi="宋体" w:eastAsia="宋体" w:cs="宋体"/>
          <w:b w:val="0"/>
          <w:bCs/>
          <w:color w:val="auto"/>
          <w:szCs w:val="21"/>
          <w:highlight w:val="none"/>
        </w:rPr>
        <w:t>）投标文件含有采购人不能接受的附加条件的;</w:t>
      </w:r>
    </w:p>
    <w:p w14:paraId="5C95C0C0">
      <w:pPr>
        <w:shd w:val="clear" w:color="auto" w:fill="auto"/>
        <w:snapToGrid w:val="0"/>
        <w:spacing w:line="400" w:lineRule="exact"/>
        <w:ind w:firstLine="426"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w:t>
      </w:r>
      <w:r>
        <w:rPr>
          <w:rFonts w:hint="eastAsia" w:ascii="宋体" w:hAnsi="宋体" w:eastAsia="宋体" w:cs="宋体"/>
          <w:b w:val="0"/>
          <w:bCs/>
          <w:color w:val="auto"/>
          <w:szCs w:val="21"/>
          <w:highlight w:val="none"/>
          <w:lang w:val="en-US" w:eastAsia="zh-CN"/>
        </w:rPr>
        <w:t>10</w:t>
      </w:r>
      <w:r>
        <w:rPr>
          <w:rFonts w:hint="eastAsia" w:ascii="宋体" w:hAnsi="宋体" w:eastAsia="宋体" w:cs="宋体"/>
          <w:b w:val="0"/>
          <w:bCs/>
          <w:color w:val="auto"/>
          <w:szCs w:val="21"/>
          <w:highlight w:val="none"/>
        </w:rPr>
        <w:t>）</w:t>
      </w:r>
      <w:r>
        <w:rPr>
          <w:rFonts w:hint="eastAsia" w:ascii="宋体" w:hAnsi="宋体" w:eastAsia="宋体" w:cs="宋体"/>
          <w:b w:val="0"/>
          <w:bCs/>
          <w:color w:val="auto"/>
          <w:szCs w:val="21"/>
          <w:highlight w:val="none"/>
          <w:lang w:eastAsia="zh-CN"/>
        </w:rPr>
        <w:t>采购文件</w:t>
      </w:r>
      <w:r>
        <w:rPr>
          <w:rFonts w:hint="eastAsia" w:ascii="宋体" w:hAnsi="宋体" w:eastAsia="宋体" w:cs="宋体"/>
          <w:b w:val="0"/>
          <w:bCs/>
          <w:color w:val="auto"/>
          <w:szCs w:val="21"/>
          <w:highlight w:val="none"/>
        </w:rPr>
        <w:t>规定的其它无效投标情形。</w:t>
      </w:r>
    </w:p>
    <w:p w14:paraId="193AD847">
      <w:pPr>
        <w:shd w:val="clear" w:color="auto" w:fill="auto"/>
        <w:snapToGrid w:val="0"/>
        <w:spacing w:line="400" w:lineRule="exact"/>
        <w:ind w:firstLine="426" w:firstLineChars="200"/>
        <w:rPr>
          <w:rFonts w:hint="eastAsia" w:ascii="宋体" w:hAnsi="宋体" w:cs="宋体"/>
          <w:color w:val="auto"/>
          <w:szCs w:val="21"/>
          <w:highlight w:val="none"/>
        </w:rPr>
      </w:pPr>
      <w:r>
        <w:rPr>
          <w:rFonts w:hint="eastAsia" w:ascii="宋体" w:hAnsi="宋体" w:cs="宋体"/>
          <w:color w:val="auto"/>
          <w:szCs w:val="21"/>
          <w:highlight w:val="none"/>
          <w:lang w:val="en-US" w:eastAsia="zh-CN"/>
        </w:rPr>
        <w:t>12</w:t>
      </w:r>
      <w:r>
        <w:rPr>
          <w:rFonts w:hint="eastAsia" w:ascii="宋体" w:hAnsi="宋体" w:cs="宋体"/>
          <w:color w:val="auto"/>
          <w:szCs w:val="21"/>
          <w:highlight w:val="none"/>
        </w:rPr>
        <w:t>.4 投标人有下列情形之一的, 详细评审后其投标按无效投标处理：</w:t>
      </w:r>
    </w:p>
    <w:p w14:paraId="7F9E6A0C">
      <w:pPr>
        <w:shd w:val="clear" w:color="auto" w:fill="auto"/>
        <w:snapToGrid w:val="0"/>
        <w:spacing w:line="400" w:lineRule="exact"/>
        <w:ind w:firstLine="426"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1</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投标产品不符合必须强制执行的国家标准的；</w:t>
      </w:r>
    </w:p>
    <w:p w14:paraId="7600E964">
      <w:pPr>
        <w:shd w:val="clear" w:color="auto" w:fill="auto"/>
        <w:snapToGrid w:val="0"/>
        <w:spacing w:line="400" w:lineRule="exact"/>
        <w:ind w:firstLine="426"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投标人有串通投标、弄虚作假、行贿等违法行为；</w:t>
      </w:r>
    </w:p>
    <w:p w14:paraId="01CAACFB">
      <w:pPr>
        <w:shd w:val="clear" w:color="auto" w:fill="auto"/>
        <w:snapToGrid w:val="0"/>
        <w:spacing w:line="400" w:lineRule="exact"/>
        <w:ind w:firstLine="426"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3</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投标文件含有违反国家法律、法规的内容，或附有招标人不能接受的条件的；</w:t>
      </w:r>
    </w:p>
    <w:p w14:paraId="2D7FE7EF">
      <w:pPr>
        <w:shd w:val="clear" w:color="auto" w:fill="auto"/>
        <w:snapToGrid w:val="0"/>
        <w:spacing w:line="400" w:lineRule="exact"/>
        <w:ind w:firstLine="426"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在同一项目（或同一标段）中有多个投标人有效投标报价接近最高限价，且评标委员会认为报价出现异常的，可以宣布其投标无效；</w:t>
      </w:r>
    </w:p>
    <w:p w14:paraId="30E7A8B3">
      <w:pPr>
        <w:shd w:val="clear" w:color="auto" w:fill="auto"/>
        <w:snapToGrid w:val="0"/>
        <w:spacing w:line="400" w:lineRule="exact"/>
        <w:ind w:firstLine="426"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（5）报价明显低于其他投标人，且不能证明报价合理性的投标无效；</w:t>
      </w:r>
    </w:p>
    <w:p w14:paraId="48AB6421">
      <w:pPr>
        <w:shd w:val="clear" w:color="auto" w:fill="auto"/>
        <w:snapToGrid w:val="0"/>
        <w:spacing w:line="400" w:lineRule="exact"/>
        <w:ind w:firstLine="426"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（6）拒不确认评标委员会评审修正的投标无效；</w:t>
      </w:r>
    </w:p>
    <w:p w14:paraId="674280C7">
      <w:pPr>
        <w:shd w:val="clear" w:color="auto" w:fill="auto"/>
        <w:snapToGrid w:val="0"/>
        <w:spacing w:line="400" w:lineRule="exact"/>
        <w:ind w:firstLine="426"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（7）其它情形，经评标委员会委提出按无效投标处理，并经公共资源交易监督部门核准的；</w:t>
      </w:r>
    </w:p>
    <w:p w14:paraId="7BC28ACF">
      <w:pPr>
        <w:shd w:val="clear" w:color="auto" w:fill="auto"/>
        <w:snapToGrid w:val="0"/>
        <w:spacing w:line="400" w:lineRule="exact"/>
        <w:ind w:firstLine="426" w:firstLineChars="200"/>
        <w:rPr>
          <w:rFonts w:hint="eastAsia" w:ascii="宋体" w:hAnsi="宋体" w:eastAsia="宋体" w:cs="宋体"/>
          <w:b/>
          <w:bCs/>
          <w:kern w:val="2"/>
          <w:sz w:val="30"/>
          <w:szCs w:val="30"/>
          <w:lang w:val="en-US" w:eastAsia="zh-CN" w:bidi="ar-SA"/>
        </w:rPr>
      </w:pPr>
      <w:r>
        <w:rPr>
          <w:rFonts w:hint="eastAsia" w:ascii="宋体" w:hAnsi="宋体" w:eastAsia="宋体" w:cs="宋体"/>
          <w:color w:val="auto"/>
          <w:szCs w:val="21"/>
          <w:highlight w:val="none"/>
        </w:rPr>
        <w:t>（8）</w:t>
      </w:r>
      <w:r>
        <w:rPr>
          <w:rFonts w:hint="eastAsia" w:ascii="宋体" w:hAnsi="宋体" w:eastAsia="宋体" w:cs="宋体"/>
          <w:color w:val="auto"/>
          <w:szCs w:val="21"/>
          <w:highlight w:val="none"/>
          <w:lang w:eastAsia="zh-CN"/>
        </w:rPr>
        <w:t>采购文件</w:t>
      </w:r>
      <w:r>
        <w:rPr>
          <w:rFonts w:hint="eastAsia" w:ascii="宋体" w:hAnsi="宋体" w:eastAsia="宋体" w:cs="宋体"/>
          <w:color w:val="auto"/>
          <w:szCs w:val="21"/>
          <w:highlight w:val="none"/>
        </w:rPr>
        <w:t>规定的其它无效投标情形。</w:t>
      </w:r>
      <w:bookmarkEnd w:id="51"/>
      <w:bookmarkEnd w:id="52"/>
      <w:bookmarkEnd w:id="56"/>
      <w:bookmarkEnd w:id="57"/>
      <w:bookmarkStart w:id="58" w:name="OLE_LINK4"/>
    </w:p>
    <w:p w14:paraId="56BA8B97">
      <w:pPr>
        <w:pStyle w:val="27"/>
        <w:rPr>
          <w:rFonts w:hint="eastAsia" w:ascii="宋体" w:hAnsi="宋体" w:eastAsia="宋体" w:cs="宋体"/>
          <w:b/>
          <w:bCs/>
          <w:kern w:val="2"/>
          <w:sz w:val="30"/>
          <w:szCs w:val="30"/>
          <w:lang w:val="en-US" w:eastAsia="zh-CN" w:bidi="ar-SA"/>
        </w:rPr>
      </w:pPr>
    </w:p>
    <w:p w14:paraId="6204D04A">
      <w:pPr>
        <w:rPr>
          <w:rFonts w:hint="eastAsia" w:ascii="宋体" w:hAnsi="宋体" w:eastAsia="宋体" w:cs="宋体"/>
          <w:b/>
          <w:bCs/>
          <w:kern w:val="2"/>
          <w:sz w:val="30"/>
          <w:szCs w:val="30"/>
          <w:lang w:val="en-US" w:eastAsia="zh-CN" w:bidi="ar-SA"/>
        </w:rPr>
      </w:pPr>
    </w:p>
    <w:p w14:paraId="716F8498">
      <w:pPr>
        <w:pStyle w:val="10"/>
        <w:rPr>
          <w:rFonts w:hint="eastAsia" w:ascii="宋体" w:hAnsi="宋体" w:eastAsia="宋体" w:cs="宋体"/>
          <w:b/>
          <w:bCs/>
          <w:kern w:val="2"/>
          <w:sz w:val="30"/>
          <w:szCs w:val="30"/>
          <w:lang w:val="en-US" w:eastAsia="zh-CN" w:bidi="ar-SA"/>
        </w:rPr>
      </w:pPr>
    </w:p>
    <w:p w14:paraId="36040DB9">
      <w:pPr>
        <w:pStyle w:val="10"/>
        <w:rPr>
          <w:rFonts w:hint="eastAsia" w:ascii="宋体" w:hAnsi="宋体" w:eastAsia="宋体" w:cs="宋体"/>
          <w:b/>
          <w:bCs/>
          <w:kern w:val="2"/>
          <w:sz w:val="30"/>
          <w:szCs w:val="30"/>
          <w:lang w:val="en-US" w:eastAsia="zh-CN" w:bidi="ar-SA"/>
        </w:rPr>
      </w:pPr>
    </w:p>
    <w:p w14:paraId="2174639F">
      <w:pPr>
        <w:pStyle w:val="12"/>
        <w:rPr>
          <w:rFonts w:hint="eastAsia" w:ascii="宋体" w:hAnsi="宋体" w:eastAsia="宋体" w:cs="宋体"/>
          <w:b/>
          <w:bCs/>
          <w:kern w:val="2"/>
          <w:sz w:val="30"/>
          <w:szCs w:val="30"/>
          <w:lang w:val="en-US" w:eastAsia="zh-CN" w:bidi="ar-SA"/>
        </w:rPr>
      </w:pPr>
    </w:p>
    <w:p w14:paraId="56EDBD45">
      <w:pPr>
        <w:rPr>
          <w:rFonts w:hint="eastAsia" w:ascii="宋体" w:hAnsi="宋体" w:eastAsia="宋体" w:cs="宋体"/>
          <w:b/>
          <w:bCs/>
          <w:kern w:val="2"/>
          <w:sz w:val="30"/>
          <w:szCs w:val="30"/>
          <w:lang w:val="en-US" w:eastAsia="zh-CN" w:bidi="ar-SA"/>
        </w:rPr>
      </w:pPr>
    </w:p>
    <w:p w14:paraId="15B0C256">
      <w:pPr>
        <w:pStyle w:val="10"/>
        <w:rPr>
          <w:rFonts w:hint="eastAsia" w:ascii="宋体" w:hAnsi="宋体" w:eastAsia="宋体" w:cs="宋体"/>
          <w:b/>
          <w:bCs/>
          <w:kern w:val="2"/>
          <w:sz w:val="30"/>
          <w:szCs w:val="30"/>
          <w:lang w:val="en-US" w:eastAsia="zh-CN" w:bidi="ar-SA"/>
        </w:rPr>
      </w:pPr>
    </w:p>
    <w:p w14:paraId="5B5CF3D6">
      <w:pPr>
        <w:pStyle w:val="12"/>
        <w:rPr>
          <w:rFonts w:hint="eastAsia" w:ascii="宋体" w:hAnsi="宋体" w:eastAsia="宋体" w:cs="宋体"/>
          <w:b/>
          <w:bCs/>
          <w:kern w:val="2"/>
          <w:sz w:val="30"/>
          <w:szCs w:val="30"/>
          <w:lang w:val="en-US" w:eastAsia="zh-CN" w:bidi="ar-SA"/>
        </w:rPr>
      </w:pPr>
    </w:p>
    <w:p w14:paraId="355B49FA">
      <w:pPr>
        <w:rPr>
          <w:rFonts w:hint="eastAsia" w:ascii="宋体" w:hAnsi="宋体" w:eastAsia="宋体" w:cs="宋体"/>
          <w:b/>
          <w:bCs/>
          <w:kern w:val="2"/>
          <w:sz w:val="30"/>
          <w:szCs w:val="30"/>
          <w:lang w:val="en-US" w:eastAsia="zh-CN" w:bidi="ar-SA"/>
        </w:rPr>
      </w:pPr>
    </w:p>
    <w:p w14:paraId="446DDD0F">
      <w:pPr>
        <w:pStyle w:val="10"/>
        <w:rPr>
          <w:rFonts w:hint="eastAsia" w:ascii="宋体" w:hAnsi="宋体" w:eastAsia="宋体" w:cs="宋体"/>
          <w:b/>
          <w:bCs/>
          <w:kern w:val="2"/>
          <w:sz w:val="30"/>
          <w:szCs w:val="30"/>
          <w:lang w:val="en-US" w:eastAsia="zh-CN" w:bidi="ar-SA"/>
        </w:rPr>
      </w:pPr>
    </w:p>
    <w:p w14:paraId="1A5DC14C">
      <w:pPr>
        <w:pStyle w:val="12"/>
        <w:rPr>
          <w:rFonts w:hint="eastAsia" w:ascii="宋体" w:hAnsi="宋体" w:eastAsia="宋体" w:cs="宋体"/>
          <w:b/>
          <w:bCs/>
          <w:kern w:val="2"/>
          <w:sz w:val="30"/>
          <w:szCs w:val="30"/>
          <w:lang w:val="en-US" w:eastAsia="zh-CN" w:bidi="ar-SA"/>
        </w:rPr>
      </w:pPr>
    </w:p>
    <w:p w14:paraId="3020165D">
      <w:pPr>
        <w:rPr>
          <w:rFonts w:hint="eastAsia" w:ascii="宋体" w:hAnsi="宋体" w:eastAsia="宋体" w:cs="宋体"/>
          <w:b/>
          <w:bCs/>
          <w:kern w:val="2"/>
          <w:sz w:val="30"/>
          <w:szCs w:val="30"/>
          <w:lang w:val="en-US" w:eastAsia="zh-CN" w:bidi="ar-SA"/>
        </w:rPr>
      </w:pPr>
    </w:p>
    <w:p w14:paraId="21E36930">
      <w:pPr>
        <w:pStyle w:val="10"/>
        <w:rPr>
          <w:rFonts w:hint="eastAsia" w:ascii="宋体" w:hAnsi="宋体" w:eastAsia="宋体" w:cs="宋体"/>
          <w:b/>
          <w:bCs/>
          <w:kern w:val="2"/>
          <w:sz w:val="30"/>
          <w:szCs w:val="30"/>
          <w:lang w:val="en-US" w:eastAsia="zh-CN" w:bidi="ar-SA"/>
        </w:rPr>
      </w:pPr>
    </w:p>
    <w:p w14:paraId="2EDA736C">
      <w:pPr>
        <w:jc w:val="center"/>
        <w:rPr>
          <w:rFonts w:hint="eastAsia" w:ascii="Times New Roman" w:hAnsi="Times New Roman" w:eastAsia="宋体" w:cs="Times New Roman"/>
          <w:b/>
          <w:bCs/>
          <w:sz w:val="32"/>
          <w:szCs w:val="40"/>
          <w:lang w:val="en-US" w:eastAsia="zh-CN"/>
        </w:rPr>
      </w:pPr>
      <w:r>
        <w:rPr>
          <w:rFonts w:hint="eastAsia" w:ascii="Times New Roman" w:hAnsi="Times New Roman" w:eastAsia="宋体" w:cs="Times New Roman"/>
          <w:b/>
          <w:bCs/>
          <w:sz w:val="32"/>
          <w:szCs w:val="40"/>
          <w:lang w:val="en-US" w:eastAsia="zh-CN"/>
        </w:rPr>
        <w:t>第四章、采购内容及</w:t>
      </w:r>
      <w:r>
        <w:rPr>
          <w:rFonts w:hint="eastAsia" w:cs="Times New Roman"/>
          <w:b/>
          <w:bCs/>
          <w:sz w:val="32"/>
          <w:szCs w:val="40"/>
          <w:lang w:val="en-US" w:eastAsia="zh-CN"/>
        </w:rPr>
        <w:t>需</w:t>
      </w:r>
      <w:r>
        <w:rPr>
          <w:rFonts w:hint="eastAsia" w:ascii="Times New Roman" w:hAnsi="Times New Roman" w:eastAsia="宋体" w:cs="Times New Roman"/>
          <w:b/>
          <w:bCs/>
          <w:sz w:val="32"/>
          <w:szCs w:val="40"/>
          <w:lang w:val="en-US" w:eastAsia="zh-CN"/>
        </w:rPr>
        <w:t>求</w:t>
      </w:r>
    </w:p>
    <w:p w14:paraId="2E75EAFA">
      <w:pPr>
        <w:rPr>
          <w:rFonts w:hint="eastAsia" w:ascii="宋体" w:hAnsi="宋体" w:cs="宋体"/>
          <w:b/>
          <w:bCs/>
          <w:color w:val="000000" w:themeColor="text1"/>
          <w:kern w:val="2"/>
          <w:sz w:val="24"/>
          <w:szCs w:val="24"/>
          <w:lang w:val="en-US" w:eastAsia="zh-CN" w:bidi="ar-SA"/>
          <w14:textFill>
            <w14:solidFill>
              <w14:schemeClr w14:val="tx1"/>
            </w14:solidFill>
          </w14:textFill>
        </w:rPr>
      </w:pPr>
      <w:r>
        <w:rPr>
          <w:rFonts w:hint="eastAsia" w:ascii="宋体" w:hAnsi="宋体" w:cs="宋体"/>
          <w:b/>
          <w:bCs/>
          <w:color w:val="000000" w:themeColor="text1"/>
          <w:kern w:val="2"/>
          <w:sz w:val="24"/>
          <w:szCs w:val="24"/>
          <w:lang w:val="en-US" w:eastAsia="zh-CN" w:bidi="ar-SA"/>
          <w14:textFill>
            <w14:solidFill>
              <w14:schemeClr w14:val="tx1"/>
            </w14:solidFill>
          </w14:textFill>
        </w:rPr>
        <w:t>一、采购内容及需求</w:t>
      </w:r>
    </w:p>
    <w:p w14:paraId="51A37252">
      <w:pPr>
        <w:jc w:val="center"/>
        <w:rPr>
          <w:rFonts w:hint="eastAsia" w:cs="宋体"/>
          <w:b/>
          <w:bCs/>
          <w:color w:val="FF0000"/>
          <w:kern w:val="2"/>
          <w:sz w:val="22"/>
          <w:szCs w:val="22"/>
          <w:lang w:val="en-US" w:eastAsia="zh-CN" w:bidi="ar-SA"/>
        </w:rPr>
      </w:pPr>
      <w:r>
        <w:rPr>
          <w:rFonts w:hint="eastAsia" w:cs="宋体"/>
          <w:b/>
          <w:bCs/>
          <w:color w:val="FF0000"/>
          <w:kern w:val="2"/>
          <w:sz w:val="22"/>
          <w:szCs w:val="22"/>
          <w:lang w:val="en-US" w:eastAsia="zh-CN" w:bidi="ar-SA"/>
        </w:rPr>
        <w:t>第三方雇主责任保险方案</w:t>
      </w:r>
    </w:p>
    <w:tbl>
      <w:tblPr>
        <w:tblStyle w:val="29"/>
        <w:tblW w:w="85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00"/>
        <w:gridCol w:w="2958"/>
        <w:gridCol w:w="1506"/>
        <w:gridCol w:w="2090"/>
      </w:tblGrid>
      <w:tr w14:paraId="40B7F7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2000" w:type="dxa"/>
            <w:vAlign w:val="center"/>
          </w:tcPr>
          <w:p w14:paraId="25429F38">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both"/>
              <w:textAlignment w:val="auto"/>
              <w:rPr>
                <w:rFonts w:hint="eastAsia" w:cs="宋体"/>
                <w:b/>
                <w:bCs/>
                <w:color w:val="FF0000"/>
                <w:kern w:val="2"/>
                <w:sz w:val="22"/>
                <w:szCs w:val="22"/>
                <w:lang w:val="en-US" w:eastAsia="zh-CN" w:bidi="ar-SA"/>
              </w:rPr>
            </w:pPr>
            <w:r>
              <w:rPr>
                <w:rFonts w:hint="eastAsia" w:cs="宋体"/>
                <w:b/>
                <w:bCs/>
                <w:color w:val="FF0000"/>
                <w:kern w:val="2"/>
                <w:sz w:val="22"/>
                <w:szCs w:val="22"/>
                <w:lang w:val="en-US" w:eastAsia="zh-CN" w:bidi="ar-SA"/>
              </w:rPr>
              <w:t>保险责任</w:t>
            </w:r>
          </w:p>
        </w:tc>
        <w:tc>
          <w:tcPr>
            <w:tcW w:w="2958" w:type="dxa"/>
            <w:vAlign w:val="center"/>
          </w:tcPr>
          <w:p w14:paraId="69769C8C">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both"/>
              <w:textAlignment w:val="auto"/>
              <w:rPr>
                <w:rFonts w:hint="eastAsia" w:cs="宋体"/>
                <w:b/>
                <w:bCs/>
                <w:color w:val="FF0000"/>
                <w:kern w:val="2"/>
                <w:sz w:val="22"/>
                <w:szCs w:val="22"/>
                <w:lang w:val="en-US" w:eastAsia="zh-CN" w:bidi="ar-SA"/>
              </w:rPr>
            </w:pPr>
            <w:r>
              <w:rPr>
                <w:rFonts w:hint="eastAsia" w:cs="宋体"/>
                <w:b/>
                <w:bCs/>
                <w:color w:val="FF0000"/>
                <w:kern w:val="2"/>
                <w:sz w:val="22"/>
                <w:szCs w:val="22"/>
                <w:lang w:val="en-US" w:eastAsia="zh-CN" w:bidi="ar-SA"/>
              </w:rPr>
              <w:t>保险责任</w:t>
            </w:r>
          </w:p>
        </w:tc>
        <w:tc>
          <w:tcPr>
            <w:tcW w:w="1506" w:type="dxa"/>
            <w:vAlign w:val="center"/>
          </w:tcPr>
          <w:p w14:paraId="059784FC">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both"/>
              <w:textAlignment w:val="auto"/>
              <w:rPr>
                <w:rFonts w:hint="eastAsia" w:cs="宋体"/>
                <w:b/>
                <w:bCs/>
                <w:color w:val="FF0000"/>
                <w:kern w:val="2"/>
                <w:sz w:val="22"/>
                <w:szCs w:val="22"/>
                <w:lang w:val="en-US" w:eastAsia="zh-CN" w:bidi="ar-SA"/>
              </w:rPr>
            </w:pPr>
            <w:r>
              <w:rPr>
                <w:rFonts w:hint="eastAsia" w:cs="宋体"/>
                <w:b/>
                <w:bCs/>
                <w:color w:val="FF0000"/>
                <w:kern w:val="2"/>
                <w:sz w:val="22"/>
                <w:szCs w:val="22"/>
                <w:lang w:val="en-US" w:eastAsia="zh-CN" w:bidi="ar-SA"/>
              </w:rPr>
              <w:t>保额</w:t>
            </w:r>
          </w:p>
        </w:tc>
        <w:tc>
          <w:tcPr>
            <w:tcW w:w="2090" w:type="dxa"/>
            <w:vAlign w:val="center"/>
          </w:tcPr>
          <w:p w14:paraId="1B4DF6FA">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both"/>
              <w:textAlignment w:val="auto"/>
              <w:rPr>
                <w:rFonts w:hint="eastAsia" w:cs="宋体"/>
                <w:b/>
                <w:bCs/>
                <w:color w:val="FF0000"/>
                <w:kern w:val="2"/>
                <w:sz w:val="22"/>
                <w:szCs w:val="22"/>
                <w:lang w:val="en-US" w:eastAsia="zh-CN" w:bidi="ar-SA"/>
              </w:rPr>
            </w:pPr>
            <w:r>
              <w:rPr>
                <w:rFonts w:hint="eastAsia" w:cs="宋体"/>
                <w:b/>
                <w:bCs/>
                <w:color w:val="FF0000"/>
                <w:kern w:val="2"/>
                <w:sz w:val="22"/>
                <w:szCs w:val="22"/>
                <w:lang w:val="en-US" w:eastAsia="zh-CN" w:bidi="ar-SA"/>
              </w:rPr>
              <w:t>保险费</w:t>
            </w:r>
          </w:p>
        </w:tc>
      </w:tr>
      <w:tr w14:paraId="3B4765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2000" w:type="dxa"/>
            <w:vMerge w:val="restart"/>
            <w:vAlign w:val="center"/>
          </w:tcPr>
          <w:p w14:paraId="56AC9B1C">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center"/>
              <w:textAlignment w:val="auto"/>
              <w:rPr>
                <w:rFonts w:hint="eastAsia" w:cs="宋体"/>
                <w:b/>
                <w:bCs/>
                <w:color w:val="FF0000"/>
                <w:kern w:val="2"/>
                <w:sz w:val="22"/>
                <w:szCs w:val="22"/>
                <w:lang w:val="en-US" w:eastAsia="zh-CN" w:bidi="ar-SA"/>
              </w:rPr>
            </w:pPr>
            <w:r>
              <w:rPr>
                <w:rFonts w:hint="eastAsia" w:cs="宋体"/>
                <w:b/>
                <w:bCs/>
                <w:color w:val="FF0000"/>
                <w:kern w:val="2"/>
                <w:sz w:val="22"/>
                <w:szCs w:val="22"/>
                <w:lang w:val="en-US" w:eastAsia="zh-CN" w:bidi="ar-SA"/>
              </w:rPr>
              <w:t>雇主责任保险条款</w:t>
            </w:r>
          </w:p>
        </w:tc>
        <w:tc>
          <w:tcPr>
            <w:tcW w:w="2958" w:type="dxa"/>
            <w:vAlign w:val="center"/>
          </w:tcPr>
          <w:p w14:paraId="39CE74E2">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both"/>
              <w:textAlignment w:val="auto"/>
              <w:rPr>
                <w:rFonts w:hint="eastAsia" w:cs="宋体"/>
                <w:b/>
                <w:bCs/>
                <w:color w:val="FF0000"/>
                <w:kern w:val="2"/>
                <w:sz w:val="22"/>
                <w:szCs w:val="22"/>
                <w:lang w:val="en-US" w:eastAsia="zh-CN" w:bidi="ar-SA"/>
              </w:rPr>
            </w:pPr>
            <w:r>
              <w:rPr>
                <w:rFonts w:hint="eastAsia" w:cs="宋体"/>
                <w:b/>
                <w:bCs/>
                <w:color w:val="FF0000"/>
                <w:kern w:val="2"/>
                <w:sz w:val="22"/>
                <w:szCs w:val="22"/>
                <w:lang w:val="en-US" w:eastAsia="zh-CN" w:bidi="ar-SA"/>
              </w:rPr>
              <w:t>人身伤亡责任</w:t>
            </w:r>
          </w:p>
        </w:tc>
        <w:tc>
          <w:tcPr>
            <w:tcW w:w="1506" w:type="dxa"/>
            <w:vAlign w:val="center"/>
          </w:tcPr>
          <w:p w14:paraId="72FD7A8E">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both"/>
              <w:textAlignment w:val="auto"/>
              <w:rPr>
                <w:rFonts w:hint="eastAsia" w:cs="宋体"/>
                <w:b/>
                <w:bCs/>
                <w:color w:val="FF0000"/>
                <w:kern w:val="2"/>
                <w:sz w:val="22"/>
                <w:szCs w:val="22"/>
                <w:lang w:val="en-US" w:eastAsia="zh-CN" w:bidi="ar-SA"/>
              </w:rPr>
            </w:pPr>
            <w:r>
              <w:rPr>
                <w:rFonts w:hint="eastAsia" w:cs="宋体"/>
                <w:b/>
                <w:bCs/>
                <w:color w:val="FF0000"/>
                <w:kern w:val="2"/>
                <w:sz w:val="22"/>
                <w:szCs w:val="22"/>
                <w:lang w:val="en-US" w:eastAsia="zh-CN" w:bidi="ar-SA"/>
              </w:rPr>
              <w:t>30万</w:t>
            </w:r>
          </w:p>
        </w:tc>
        <w:tc>
          <w:tcPr>
            <w:tcW w:w="2090" w:type="dxa"/>
            <w:vMerge w:val="restart"/>
            <w:vAlign w:val="center"/>
          </w:tcPr>
          <w:p w14:paraId="0CFE203E">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both"/>
              <w:textAlignment w:val="auto"/>
              <w:rPr>
                <w:rFonts w:hint="eastAsia" w:cs="宋体"/>
                <w:b/>
                <w:bCs/>
                <w:color w:val="FF0000"/>
                <w:kern w:val="2"/>
                <w:sz w:val="22"/>
                <w:szCs w:val="22"/>
                <w:lang w:val="en-US" w:eastAsia="zh-CN" w:bidi="ar-SA"/>
              </w:rPr>
            </w:pPr>
            <w:r>
              <w:rPr>
                <w:rFonts w:hint="eastAsia" w:cs="宋体"/>
                <w:b/>
                <w:bCs/>
                <w:color w:val="FF0000"/>
                <w:kern w:val="2"/>
                <w:sz w:val="22"/>
                <w:szCs w:val="22"/>
                <w:lang w:val="en-US" w:eastAsia="zh-CN" w:bidi="ar-SA"/>
              </w:rPr>
              <w:t>150元/人</w:t>
            </w:r>
          </w:p>
        </w:tc>
      </w:tr>
      <w:tr w14:paraId="0F25FD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2000" w:type="dxa"/>
            <w:vMerge w:val="continue"/>
            <w:vAlign w:val="center"/>
          </w:tcPr>
          <w:p w14:paraId="2A9401F0">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center"/>
              <w:textAlignment w:val="auto"/>
              <w:rPr>
                <w:rFonts w:hint="eastAsia" w:cs="宋体"/>
                <w:b/>
                <w:bCs/>
                <w:color w:val="FF0000"/>
                <w:kern w:val="2"/>
                <w:sz w:val="22"/>
                <w:szCs w:val="22"/>
                <w:lang w:val="en-US" w:eastAsia="zh-CN" w:bidi="ar-SA"/>
              </w:rPr>
            </w:pPr>
          </w:p>
        </w:tc>
        <w:tc>
          <w:tcPr>
            <w:tcW w:w="2958" w:type="dxa"/>
            <w:vAlign w:val="center"/>
          </w:tcPr>
          <w:p w14:paraId="2BA9BEED">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both"/>
              <w:textAlignment w:val="auto"/>
              <w:rPr>
                <w:rFonts w:hint="eastAsia" w:cs="宋体"/>
                <w:b/>
                <w:bCs/>
                <w:color w:val="FF0000"/>
                <w:kern w:val="2"/>
                <w:sz w:val="22"/>
                <w:szCs w:val="22"/>
                <w:lang w:val="en-US" w:eastAsia="zh-CN" w:bidi="ar-SA"/>
              </w:rPr>
            </w:pPr>
            <w:r>
              <w:rPr>
                <w:rFonts w:hint="eastAsia" w:cs="宋体"/>
                <w:b/>
                <w:bCs/>
                <w:color w:val="FF0000"/>
                <w:kern w:val="2"/>
                <w:sz w:val="22"/>
                <w:szCs w:val="22"/>
                <w:lang w:val="en-US" w:eastAsia="zh-CN" w:bidi="ar-SA"/>
              </w:rPr>
              <w:t>医疗费用责任</w:t>
            </w:r>
          </w:p>
        </w:tc>
        <w:tc>
          <w:tcPr>
            <w:tcW w:w="1506" w:type="dxa"/>
            <w:vAlign w:val="center"/>
          </w:tcPr>
          <w:p w14:paraId="4CE1541A">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both"/>
              <w:textAlignment w:val="auto"/>
              <w:rPr>
                <w:rFonts w:hint="eastAsia" w:cs="宋体"/>
                <w:b/>
                <w:bCs/>
                <w:color w:val="FF0000"/>
                <w:kern w:val="2"/>
                <w:sz w:val="22"/>
                <w:szCs w:val="22"/>
                <w:lang w:val="en-US" w:eastAsia="zh-CN" w:bidi="ar-SA"/>
              </w:rPr>
            </w:pPr>
            <w:r>
              <w:rPr>
                <w:rFonts w:hint="eastAsia" w:cs="宋体"/>
                <w:b/>
                <w:bCs/>
                <w:color w:val="FF0000"/>
                <w:kern w:val="2"/>
                <w:sz w:val="22"/>
                <w:szCs w:val="22"/>
                <w:lang w:val="en-US" w:eastAsia="zh-CN" w:bidi="ar-SA"/>
              </w:rPr>
              <w:t>3.5万</w:t>
            </w:r>
          </w:p>
        </w:tc>
        <w:tc>
          <w:tcPr>
            <w:tcW w:w="2090" w:type="dxa"/>
            <w:vMerge w:val="continue"/>
            <w:vAlign w:val="center"/>
          </w:tcPr>
          <w:p w14:paraId="2F530778">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both"/>
              <w:textAlignment w:val="auto"/>
              <w:rPr>
                <w:rFonts w:hint="eastAsia" w:cs="宋体"/>
                <w:b/>
                <w:bCs/>
                <w:color w:val="FF0000"/>
                <w:kern w:val="2"/>
                <w:sz w:val="22"/>
                <w:szCs w:val="22"/>
                <w:lang w:val="en-US" w:eastAsia="zh-CN" w:bidi="ar-SA"/>
              </w:rPr>
            </w:pPr>
          </w:p>
        </w:tc>
      </w:tr>
      <w:tr w14:paraId="0DBABA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2000" w:type="dxa"/>
            <w:vMerge w:val="restart"/>
            <w:vAlign w:val="center"/>
          </w:tcPr>
          <w:p w14:paraId="3774B866">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center"/>
              <w:textAlignment w:val="auto"/>
              <w:rPr>
                <w:rFonts w:hint="eastAsia" w:cs="宋体"/>
                <w:b/>
                <w:bCs/>
                <w:color w:val="FF0000"/>
                <w:kern w:val="2"/>
                <w:sz w:val="22"/>
                <w:szCs w:val="22"/>
                <w:lang w:val="en-US" w:eastAsia="zh-CN" w:bidi="ar-SA"/>
              </w:rPr>
            </w:pPr>
            <w:r>
              <w:rPr>
                <w:rFonts w:hint="eastAsia" w:cs="宋体"/>
                <w:b/>
                <w:bCs/>
                <w:color w:val="FF0000"/>
                <w:kern w:val="2"/>
                <w:sz w:val="22"/>
                <w:szCs w:val="22"/>
                <w:lang w:val="en-US" w:eastAsia="zh-CN" w:bidi="ar-SA"/>
              </w:rPr>
              <w:t>附加24小时扩展条款</w:t>
            </w:r>
          </w:p>
        </w:tc>
        <w:tc>
          <w:tcPr>
            <w:tcW w:w="2958" w:type="dxa"/>
            <w:vAlign w:val="center"/>
          </w:tcPr>
          <w:p w14:paraId="27C8B1B2">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both"/>
              <w:textAlignment w:val="auto"/>
              <w:rPr>
                <w:rFonts w:hint="eastAsia" w:cs="宋体"/>
                <w:b/>
                <w:bCs/>
                <w:color w:val="FF0000"/>
                <w:kern w:val="2"/>
                <w:sz w:val="22"/>
                <w:szCs w:val="22"/>
                <w:lang w:val="en-US" w:eastAsia="zh-CN" w:bidi="ar-SA"/>
              </w:rPr>
            </w:pPr>
            <w:r>
              <w:rPr>
                <w:rFonts w:hint="eastAsia" w:cs="宋体"/>
                <w:b/>
                <w:bCs/>
                <w:color w:val="FF0000"/>
                <w:kern w:val="2"/>
                <w:sz w:val="22"/>
                <w:szCs w:val="22"/>
                <w:lang w:val="en-US" w:eastAsia="zh-CN" w:bidi="ar-SA"/>
              </w:rPr>
              <w:t>人身伤亡责任</w:t>
            </w:r>
          </w:p>
        </w:tc>
        <w:tc>
          <w:tcPr>
            <w:tcW w:w="1506" w:type="dxa"/>
            <w:vAlign w:val="center"/>
          </w:tcPr>
          <w:p w14:paraId="00D00DC1">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both"/>
              <w:textAlignment w:val="auto"/>
              <w:rPr>
                <w:rFonts w:hint="eastAsia" w:cs="宋体"/>
                <w:b/>
                <w:bCs/>
                <w:color w:val="FF0000"/>
                <w:kern w:val="2"/>
                <w:sz w:val="22"/>
                <w:szCs w:val="22"/>
                <w:lang w:val="en-US" w:eastAsia="zh-CN" w:bidi="ar-SA"/>
              </w:rPr>
            </w:pPr>
            <w:r>
              <w:rPr>
                <w:rFonts w:hint="eastAsia" w:cs="宋体"/>
                <w:b/>
                <w:bCs/>
                <w:color w:val="FF0000"/>
                <w:kern w:val="2"/>
                <w:sz w:val="22"/>
                <w:szCs w:val="22"/>
                <w:lang w:val="en-US" w:eastAsia="zh-CN" w:bidi="ar-SA"/>
              </w:rPr>
              <w:t>30万</w:t>
            </w:r>
          </w:p>
        </w:tc>
        <w:tc>
          <w:tcPr>
            <w:tcW w:w="2090" w:type="dxa"/>
            <w:vMerge w:val="continue"/>
            <w:vAlign w:val="center"/>
          </w:tcPr>
          <w:p w14:paraId="4F58D27E">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both"/>
              <w:textAlignment w:val="auto"/>
              <w:rPr>
                <w:rFonts w:hint="eastAsia" w:cs="宋体"/>
                <w:b/>
                <w:bCs/>
                <w:color w:val="FF0000"/>
                <w:kern w:val="2"/>
                <w:sz w:val="22"/>
                <w:szCs w:val="22"/>
                <w:lang w:val="en-US" w:eastAsia="zh-CN" w:bidi="ar-SA"/>
              </w:rPr>
            </w:pPr>
          </w:p>
        </w:tc>
      </w:tr>
      <w:tr w14:paraId="6050DB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2000" w:type="dxa"/>
            <w:vMerge w:val="continue"/>
            <w:vAlign w:val="center"/>
          </w:tcPr>
          <w:p w14:paraId="67EF82CE">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both"/>
              <w:textAlignment w:val="auto"/>
              <w:rPr>
                <w:rFonts w:hint="eastAsia" w:cs="宋体"/>
                <w:b/>
                <w:bCs/>
                <w:color w:val="FF0000"/>
                <w:kern w:val="2"/>
                <w:sz w:val="22"/>
                <w:szCs w:val="22"/>
                <w:lang w:val="en-US" w:eastAsia="zh-CN" w:bidi="ar-SA"/>
              </w:rPr>
            </w:pPr>
          </w:p>
        </w:tc>
        <w:tc>
          <w:tcPr>
            <w:tcW w:w="2958" w:type="dxa"/>
            <w:vAlign w:val="center"/>
          </w:tcPr>
          <w:p w14:paraId="4F9120E5">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both"/>
              <w:textAlignment w:val="auto"/>
              <w:rPr>
                <w:rFonts w:hint="eastAsia" w:cs="宋体"/>
                <w:b/>
                <w:bCs/>
                <w:color w:val="FF0000"/>
                <w:kern w:val="2"/>
                <w:sz w:val="22"/>
                <w:szCs w:val="22"/>
                <w:lang w:val="en-US" w:eastAsia="zh-CN" w:bidi="ar-SA"/>
              </w:rPr>
            </w:pPr>
            <w:r>
              <w:rPr>
                <w:rFonts w:hint="eastAsia" w:cs="宋体"/>
                <w:b/>
                <w:bCs/>
                <w:color w:val="FF0000"/>
                <w:kern w:val="2"/>
                <w:sz w:val="22"/>
                <w:szCs w:val="22"/>
                <w:lang w:val="en-US" w:eastAsia="zh-CN" w:bidi="ar-SA"/>
              </w:rPr>
              <w:t>医疗费用责任</w:t>
            </w:r>
          </w:p>
        </w:tc>
        <w:tc>
          <w:tcPr>
            <w:tcW w:w="1506" w:type="dxa"/>
            <w:vAlign w:val="center"/>
          </w:tcPr>
          <w:p w14:paraId="1D280923">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both"/>
              <w:textAlignment w:val="auto"/>
              <w:rPr>
                <w:rFonts w:hint="eastAsia" w:cs="宋体"/>
                <w:b/>
                <w:bCs/>
                <w:color w:val="FF0000"/>
                <w:kern w:val="2"/>
                <w:sz w:val="22"/>
                <w:szCs w:val="22"/>
                <w:lang w:val="en-US" w:eastAsia="zh-CN" w:bidi="ar-SA"/>
              </w:rPr>
            </w:pPr>
            <w:r>
              <w:rPr>
                <w:rFonts w:hint="eastAsia" w:cs="宋体"/>
                <w:b/>
                <w:bCs/>
                <w:color w:val="FF0000"/>
                <w:kern w:val="2"/>
                <w:sz w:val="22"/>
                <w:szCs w:val="22"/>
                <w:lang w:val="en-US" w:eastAsia="zh-CN" w:bidi="ar-SA"/>
              </w:rPr>
              <w:t>3.5万</w:t>
            </w:r>
          </w:p>
        </w:tc>
        <w:tc>
          <w:tcPr>
            <w:tcW w:w="2090" w:type="dxa"/>
            <w:vMerge w:val="continue"/>
            <w:vAlign w:val="center"/>
          </w:tcPr>
          <w:p w14:paraId="0536D0F8">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both"/>
              <w:textAlignment w:val="auto"/>
              <w:rPr>
                <w:rFonts w:hint="eastAsia" w:cs="宋体"/>
                <w:b/>
                <w:bCs/>
                <w:color w:val="FF0000"/>
                <w:kern w:val="2"/>
                <w:sz w:val="22"/>
                <w:szCs w:val="22"/>
                <w:lang w:val="en-US" w:eastAsia="zh-CN" w:bidi="ar-SA"/>
              </w:rPr>
            </w:pPr>
          </w:p>
        </w:tc>
      </w:tr>
      <w:tr w14:paraId="48A7F6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6464" w:type="dxa"/>
            <w:gridSpan w:val="3"/>
            <w:vAlign w:val="center"/>
          </w:tcPr>
          <w:p w14:paraId="7968E02C">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both"/>
              <w:textAlignment w:val="auto"/>
              <w:rPr>
                <w:rFonts w:hint="eastAsia" w:cs="宋体"/>
                <w:b/>
                <w:bCs/>
                <w:color w:val="FF0000"/>
                <w:kern w:val="2"/>
                <w:sz w:val="22"/>
                <w:szCs w:val="22"/>
                <w:lang w:val="en-US" w:eastAsia="zh-CN" w:bidi="ar-SA"/>
              </w:rPr>
            </w:pPr>
            <w:r>
              <w:rPr>
                <w:rFonts w:hint="eastAsia" w:cs="宋体"/>
                <w:b/>
                <w:bCs/>
                <w:color w:val="FF0000"/>
                <w:kern w:val="2"/>
                <w:sz w:val="22"/>
                <w:szCs w:val="22"/>
                <w:lang w:val="en-US" w:eastAsia="zh-CN" w:bidi="ar-SA"/>
              </w:rPr>
              <w:t>保险费合计</w:t>
            </w:r>
          </w:p>
        </w:tc>
        <w:tc>
          <w:tcPr>
            <w:tcW w:w="2090" w:type="dxa"/>
            <w:vAlign w:val="center"/>
          </w:tcPr>
          <w:p w14:paraId="2927E9B5">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664" w:leftChars="312" w:right="0" w:firstLine="446" w:firstLineChars="200"/>
              <w:jc w:val="both"/>
              <w:textAlignment w:val="auto"/>
              <w:rPr>
                <w:rFonts w:hint="eastAsia" w:cs="宋体"/>
                <w:b/>
                <w:bCs/>
                <w:color w:val="FF0000"/>
                <w:kern w:val="2"/>
                <w:sz w:val="22"/>
                <w:szCs w:val="22"/>
                <w:lang w:val="en-US" w:eastAsia="zh-CN" w:bidi="ar-SA"/>
              </w:rPr>
            </w:pPr>
            <w:r>
              <w:rPr>
                <w:rFonts w:hint="eastAsia" w:cs="宋体"/>
                <w:b/>
                <w:bCs/>
                <w:color w:val="FF0000"/>
                <w:kern w:val="2"/>
                <w:sz w:val="22"/>
                <w:szCs w:val="22"/>
                <w:lang w:val="en-US" w:eastAsia="zh-CN" w:bidi="ar-SA"/>
              </w:rPr>
              <w:t xml:space="preserve"> 元</w:t>
            </w:r>
          </w:p>
        </w:tc>
      </w:tr>
    </w:tbl>
    <w:p w14:paraId="14CE64AB">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both"/>
        <w:textAlignment w:val="auto"/>
        <w:rPr>
          <w:rFonts w:hint="eastAsia" w:cs="宋体"/>
          <w:b/>
          <w:bCs/>
          <w:color w:val="FF0000"/>
          <w:kern w:val="2"/>
          <w:sz w:val="22"/>
          <w:szCs w:val="22"/>
          <w:lang w:val="en-US" w:eastAsia="zh-CN" w:bidi="ar-SA"/>
        </w:rPr>
      </w:pPr>
      <w:r>
        <w:rPr>
          <w:rFonts w:hint="eastAsia" w:cs="宋体"/>
          <w:b/>
          <w:bCs/>
          <w:color w:val="FF0000"/>
          <w:kern w:val="2"/>
          <w:sz w:val="22"/>
          <w:szCs w:val="22"/>
          <w:lang w:val="en-US" w:eastAsia="zh-CN" w:bidi="ar-SA"/>
        </w:rPr>
        <w:t>备注:发生保险责任时附加恐怖主义或24小时扩展条款与主险不重复赔偿。预计投保人数为6288（上下500人浮动），最终以实际人数为准，人员名单的更换，根据乌恰县财政局供的更换人员名单，及时配合修改雇员信息。</w:t>
      </w:r>
    </w:p>
    <w:p w14:paraId="3BCBFDB6">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right="0"/>
        <w:jc w:val="center"/>
        <w:textAlignment w:val="auto"/>
        <w:rPr>
          <w:rFonts w:hint="eastAsia" w:cs="宋体"/>
          <w:b/>
          <w:bCs/>
          <w:color w:val="FF0000"/>
          <w:kern w:val="2"/>
          <w:sz w:val="22"/>
          <w:szCs w:val="22"/>
          <w:lang w:val="en-US" w:eastAsia="zh-CN" w:bidi="ar-SA"/>
        </w:rPr>
      </w:pPr>
      <w:r>
        <w:rPr>
          <w:rFonts w:hint="eastAsia" w:cs="宋体"/>
          <w:b/>
          <w:bCs/>
          <w:color w:val="FF0000"/>
          <w:kern w:val="2"/>
          <w:sz w:val="22"/>
          <w:szCs w:val="22"/>
          <w:lang w:val="en-US" w:eastAsia="zh-CN" w:bidi="ar-SA"/>
        </w:rPr>
        <w:t>伤亡责任限额比例支付表</w:t>
      </w:r>
    </w:p>
    <w:tbl>
      <w:tblPr>
        <w:tblStyle w:val="29"/>
        <w:tblW w:w="4644"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23"/>
        <w:gridCol w:w="3962"/>
        <w:gridCol w:w="2935"/>
      </w:tblGrid>
      <w:tr w14:paraId="6942A0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646" w:type="pct"/>
            <w:vAlign w:val="top"/>
          </w:tcPr>
          <w:p w14:paraId="0C9BA471">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right="0"/>
              <w:jc w:val="center"/>
              <w:textAlignment w:val="auto"/>
              <w:rPr>
                <w:rFonts w:hint="eastAsia" w:cs="宋体"/>
                <w:b/>
                <w:bCs/>
                <w:color w:val="FF0000"/>
                <w:kern w:val="2"/>
                <w:sz w:val="22"/>
                <w:szCs w:val="22"/>
                <w:lang w:val="en-US" w:eastAsia="zh-CN" w:bidi="ar-SA"/>
              </w:rPr>
            </w:pPr>
            <w:r>
              <w:rPr>
                <w:rFonts w:hint="eastAsia" w:cs="宋体"/>
                <w:b/>
                <w:bCs/>
                <w:color w:val="FF0000"/>
                <w:kern w:val="2"/>
                <w:sz w:val="22"/>
                <w:szCs w:val="22"/>
                <w:lang w:val="en-US" w:eastAsia="zh-CN" w:bidi="ar-SA"/>
              </w:rPr>
              <w:t>项目</w:t>
            </w:r>
          </w:p>
        </w:tc>
        <w:tc>
          <w:tcPr>
            <w:tcW w:w="2500" w:type="pct"/>
            <w:vAlign w:val="top"/>
          </w:tcPr>
          <w:p w14:paraId="31ABBC3D">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both"/>
              <w:textAlignment w:val="auto"/>
              <w:rPr>
                <w:rFonts w:hint="eastAsia" w:cs="宋体"/>
                <w:b/>
                <w:bCs/>
                <w:color w:val="FF0000"/>
                <w:kern w:val="2"/>
                <w:sz w:val="22"/>
                <w:szCs w:val="22"/>
                <w:lang w:val="en-US" w:eastAsia="zh-CN" w:bidi="ar-SA"/>
              </w:rPr>
            </w:pPr>
            <w:r>
              <w:rPr>
                <w:rFonts w:hint="eastAsia" w:cs="宋体"/>
                <w:b/>
                <w:bCs/>
                <w:color w:val="FF0000"/>
                <w:kern w:val="2"/>
                <w:sz w:val="22"/>
                <w:szCs w:val="22"/>
                <w:lang w:val="en-US" w:eastAsia="zh-CN" w:bidi="ar-SA"/>
              </w:rPr>
              <w:t>伤害程度</w:t>
            </w:r>
          </w:p>
        </w:tc>
        <w:tc>
          <w:tcPr>
            <w:tcW w:w="1852" w:type="pct"/>
            <w:vAlign w:val="top"/>
          </w:tcPr>
          <w:p w14:paraId="24712D26">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both"/>
              <w:textAlignment w:val="auto"/>
              <w:rPr>
                <w:rFonts w:hint="eastAsia" w:cs="宋体"/>
                <w:b/>
                <w:bCs/>
                <w:color w:val="FF0000"/>
                <w:kern w:val="2"/>
                <w:sz w:val="22"/>
                <w:szCs w:val="22"/>
                <w:lang w:val="en-US" w:eastAsia="zh-CN" w:bidi="ar-SA"/>
              </w:rPr>
            </w:pPr>
            <w:r>
              <w:rPr>
                <w:rFonts w:hint="eastAsia" w:cs="宋体"/>
                <w:b/>
                <w:bCs/>
                <w:color w:val="FF0000"/>
                <w:kern w:val="2"/>
                <w:sz w:val="22"/>
                <w:szCs w:val="22"/>
                <w:lang w:val="en-US" w:eastAsia="zh-CN" w:bidi="ar-SA"/>
              </w:rPr>
              <w:t>保险合同约定每人伤亡责任限额的百分比</w:t>
            </w:r>
          </w:p>
        </w:tc>
      </w:tr>
      <w:tr w14:paraId="7BBB0A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646" w:type="pct"/>
            <w:vAlign w:val="top"/>
          </w:tcPr>
          <w:p w14:paraId="54333400">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both"/>
              <w:textAlignment w:val="auto"/>
              <w:rPr>
                <w:rFonts w:hint="eastAsia" w:cs="宋体"/>
                <w:b/>
                <w:bCs/>
                <w:color w:val="FF0000"/>
                <w:kern w:val="2"/>
                <w:sz w:val="22"/>
                <w:szCs w:val="22"/>
                <w:lang w:val="en-US" w:eastAsia="zh-CN" w:bidi="ar-SA"/>
              </w:rPr>
            </w:pPr>
            <w:r>
              <w:rPr>
                <w:rFonts w:hint="eastAsia" w:cs="宋体"/>
                <w:b/>
                <w:bCs/>
                <w:color w:val="FF0000"/>
                <w:kern w:val="2"/>
                <w:sz w:val="22"/>
                <w:szCs w:val="22"/>
                <w:lang w:val="en-US" w:eastAsia="zh-CN" w:bidi="ar-SA"/>
              </w:rPr>
              <w:t>1</w:t>
            </w:r>
          </w:p>
        </w:tc>
        <w:tc>
          <w:tcPr>
            <w:tcW w:w="2500" w:type="pct"/>
            <w:vAlign w:val="top"/>
          </w:tcPr>
          <w:p w14:paraId="3A3B79EB">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both"/>
              <w:textAlignment w:val="auto"/>
              <w:rPr>
                <w:rFonts w:hint="eastAsia" w:cs="宋体"/>
                <w:b/>
                <w:bCs/>
                <w:color w:val="FF0000"/>
                <w:kern w:val="2"/>
                <w:sz w:val="22"/>
                <w:szCs w:val="22"/>
                <w:lang w:val="en-US" w:eastAsia="zh-CN" w:bidi="ar-SA"/>
              </w:rPr>
            </w:pPr>
            <w:r>
              <w:rPr>
                <w:rFonts w:hint="eastAsia" w:cs="宋体"/>
                <w:b/>
                <w:bCs/>
                <w:color w:val="FF0000"/>
                <w:kern w:val="2"/>
                <w:sz w:val="22"/>
                <w:szCs w:val="22"/>
                <w:lang w:val="en-US" w:eastAsia="zh-CN" w:bidi="ar-SA"/>
              </w:rPr>
              <w:t>死亡、永久丧失工作能力或一级伤残</w:t>
            </w:r>
          </w:p>
        </w:tc>
        <w:tc>
          <w:tcPr>
            <w:tcW w:w="1852" w:type="pct"/>
            <w:vAlign w:val="top"/>
          </w:tcPr>
          <w:p w14:paraId="1B469471">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both"/>
              <w:textAlignment w:val="auto"/>
              <w:rPr>
                <w:rFonts w:hint="eastAsia" w:cs="宋体"/>
                <w:b/>
                <w:bCs/>
                <w:color w:val="FF0000"/>
                <w:kern w:val="2"/>
                <w:sz w:val="22"/>
                <w:szCs w:val="22"/>
                <w:lang w:val="en-US" w:eastAsia="zh-CN" w:bidi="ar-SA"/>
              </w:rPr>
            </w:pPr>
            <w:r>
              <w:rPr>
                <w:rFonts w:hint="eastAsia" w:cs="宋体"/>
                <w:b/>
                <w:bCs/>
                <w:color w:val="FF0000"/>
                <w:kern w:val="2"/>
                <w:sz w:val="22"/>
                <w:szCs w:val="22"/>
                <w:lang w:val="en-US" w:eastAsia="zh-CN" w:bidi="ar-SA"/>
              </w:rPr>
              <w:t>100%</w:t>
            </w:r>
          </w:p>
        </w:tc>
      </w:tr>
      <w:tr w14:paraId="0D7432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646" w:type="pct"/>
            <w:vAlign w:val="top"/>
          </w:tcPr>
          <w:p w14:paraId="73BD10A2">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both"/>
              <w:textAlignment w:val="auto"/>
              <w:rPr>
                <w:rFonts w:hint="eastAsia" w:cs="宋体"/>
                <w:b/>
                <w:bCs/>
                <w:color w:val="FF0000"/>
                <w:kern w:val="2"/>
                <w:sz w:val="22"/>
                <w:szCs w:val="22"/>
                <w:lang w:val="en-US" w:eastAsia="zh-CN" w:bidi="ar-SA"/>
              </w:rPr>
            </w:pPr>
            <w:r>
              <w:rPr>
                <w:rFonts w:hint="eastAsia" w:cs="宋体"/>
                <w:b/>
                <w:bCs/>
                <w:color w:val="FF0000"/>
                <w:kern w:val="2"/>
                <w:sz w:val="22"/>
                <w:szCs w:val="22"/>
                <w:lang w:val="en-US" w:eastAsia="zh-CN" w:bidi="ar-SA"/>
              </w:rPr>
              <w:t>2</w:t>
            </w:r>
          </w:p>
        </w:tc>
        <w:tc>
          <w:tcPr>
            <w:tcW w:w="2500" w:type="pct"/>
            <w:vAlign w:val="top"/>
          </w:tcPr>
          <w:p w14:paraId="035C3346">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both"/>
              <w:textAlignment w:val="auto"/>
              <w:rPr>
                <w:rFonts w:hint="eastAsia" w:cs="宋体"/>
                <w:b/>
                <w:bCs/>
                <w:color w:val="FF0000"/>
                <w:kern w:val="2"/>
                <w:sz w:val="22"/>
                <w:szCs w:val="22"/>
                <w:lang w:val="en-US" w:eastAsia="zh-CN" w:bidi="ar-SA"/>
              </w:rPr>
            </w:pPr>
            <w:r>
              <w:rPr>
                <w:rFonts w:hint="eastAsia" w:cs="宋体"/>
                <w:b/>
                <w:bCs/>
                <w:color w:val="FF0000"/>
                <w:kern w:val="2"/>
                <w:sz w:val="22"/>
                <w:szCs w:val="22"/>
                <w:lang w:val="en-US" w:eastAsia="zh-CN" w:bidi="ar-SA"/>
              </w:rPr>
              <w:t>二级伤残</w:t>
            </w:r>
          </w:p>
        </w:tc>
        <w:tc>
          <w:tcPr>
            <w:tcW w:w="1852" w:type="pct"/>
            <w:vAlign w:val="top"/>
          </w:tcPr>
          <w:p w14:paraId="0D5BD145">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both"/>
              <w:textAlignment w:val="auto"/>
              <w:rPr>
                <w:rFonts w:hint="eastAsia" w:cs="宋体"/>
                <w:b/>
                <w:bCs/>
                <w:color w:val="FF0000"/>
                <w:kern w:val="2"/>
                <w:sz w:val="22"/>
                <w:szCs w:val="22"/>
                <w:lang w:val="en-US" w:eastAsia="zh-CN" w:bidi="ar-SA"/>
              </w:rPr>
            </w:pPr>
            <w:r>
              <w:rPr>
                <w:rFonts w:hint="eastAsia" w:cs="宋体"/>
                <w:b/>
                <w:bCs/>
                <w:color w:val="FF0000"/>
                <w:kern w:val="2"/>
                <w:sz w:val="22"/>
                <w:szCs w:val="22"/>
                <w:lang w:val="en-US" w:eastAsia="zh-CN" w:bidi="ar-SA"/>
              </w:rPr>
              <w:t>80%</w:t>
            </w:r>
          </w:p>
        </w:tc>
      </w:tr>
      <w:tr w14:paraId="431880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646" w:type="pct"/>
            <w:vAlign w:val="top"/>
          </w:tcPr>
          <w:p w14:paraId="181E0766">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both"/>
              <w:textAlignment w:val="auto"/>
              <w:rPr>
                <w:rFonts w:hint="eastAsia" w:cs="宋体"/>
                <w:b/>
                <w:bCs/>
                <w:color w:val="FF0000"/>
                <w:kern w:val="2"/>
                <w:sz w:val="22"/>
                <w:szCs w:val="22"/>
                <w:lang w:val="en-US" w:eastAsia="zh-CN" w:bidi="ar-SA"/>
              </w:rPr>
            </w:pPr>
            <w:r>
              <w:rPr>
                <w:rFonts w:hint="eastAsia" w:cs="宋体"/>
                <w:b/>
                <w:bCs/>
                <w:color w:val="FF0000"/>
                <w:kern w:val="2"/>
                <w:sz w:val="22"/>
                <w:szCs w:val="22"/>
                <w:lang w:val="en-US" w:eastAsia="zh-CN" w:bidi="ar-SA"/>
              </w:rPr>
              <w:t>3</w:t>
            </w:r>
          </w:p>
        </w:tc>
        <w:tc>
          <w:tcPr>
            <w:tcW w:w="2500" w:type="pct"/>
            <w:vAlign w:val="top"/>
          </w:tcPr>
          <w:p w14:paraId="0305F6C3">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both"/>
              <w:textAlignment w:val="auto"/>
              <w:rPr>
                <w:rFonts w:hint="eastAsia" w:cs="宋体"/>
                <w:b/>
                <w:bCs/>
                <w:color w:val="FF0000"/>
                <w:kern w:val="2"/>
                <w:sz w:val="22"/>
                <w:szCs w:val="22"/>
                <w:lang w:val="en-US" w:eastAsia="zh-CN" w:bidi="ar-SA"/>
              </w:rPr>
            </w:pPr>
            <w:r>
              <w:rPr>
                <w:rFonts w:hint="eastAsia" w:cs="宋体"/>
                <w:b/>
                <w:bCs/>
                <w:color w:val="FF0000"/>
                <w:kern w:val="2"/>
                <w:sz w:val="22"/>
                <w:szCs w:val="22"/>
                <w:lang w:val="en-US" w:eastAsia="zh-CN" w:bidi="ar-SA"/>
              </w:rPr>
              <w:t>三级伤残</w:t>
            </w:r>
          </w:p>
        </w:tc>
        <w:tc>
          <w:tcPr>
            <w:tcW w:w="1852" w:type="pct"/>
            <w:vAlign w:val="top"/>
          </w:tcPr>
          <w:p w14:paraId="10065F40">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both"/>
              <w:textAlignment w:val="auto"/>
              <w:rPr>
                <w:rFonts w:hint="eastAsia" w:cs="宋体"/>
                <w:b/>
                <w:bCs/>
                <w:color w:val="FF0000"/>
                <w:kern w:val="2"/>
                <w:sz w:val="22"/>
                <w:szCs w:val="22"/>
                <w:lang w:val="en-US" w:eastAsia="zh-CN" w:bidi="ar-SA"/>
              </w:rPr>
            </w:pPr>
            <w:r>
              <w:rPr>
                <w:rFonts w:hint="eastAsia" w:cs="宋体"/>
                <w:b/>
                <w:bCs/>
                <w:color w:val="FF0000"/>
                <w:kern w:val="2"/>
                <w:sz w:val="22"/>
                <w:szCs w:val="22"/>
                <w:lang w:val="en-US" w:eastAsia="zh-CN" w:bidi="ar-SA"/>
              </w:rPr>
              <w:t>65%</w:t>
            </w:r>
          </w:p>
        </w:tc>
      </w:tr>
      <w:tr w14:paraId="4AC033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646" w:type="pct"/>
            <w:vAlign w:val="top"/>
          </w:tcPr>
          <w:p w14:paraId="613D2405">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both"/>
              <w:textAlignment w:val="auto"/>
              <w:rPr>
                <w:rFonts w:hint="eastAsia" w:cs="宋体"/>
                <w:b/>
                <w:bCs/>
                <w:color w:val="FF0000"/>
                <w:kern w:val="2"/>
                <w:sz w:val="22"/>
                <w:szCs w:val="22"/>
                <w:lang w:val="en-US" w:eastAsia="zh-CN" w:bidi="ar-SA"/>
              </w:rPr>
            </w:pPr>
            <w:r>
              <w:rPr>
                <w:rFonts w:hint="eastAsia" w:cs="宋体"/>
                <w:b/>
                <w:bCs/>
                <w:color w:val="FF0000"/>
                <w:kern w:val="2"/>
                <w:sz w:val="22"/>
                <w:szCs w:val="22"/>
                <w:lang w:val="en-US" w:eastAsia="zh-CN" w:bidi="ar-SA"/>
              </w:rPr>
              <w:t>4</w:t>
            </w:r>
          </w:p>
        </w:tc>
        <w:tc>
          <w:tcPr>
            <w:tcW w:w="2500" w:type="pct"/>
            <w:vAlign w:val="top"/>
          </w:tcPr>
          <w:p w14:paraId="218B2A11">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both"/>
              <w:textAlignment w:val="auto"/>
              <w:rPr>
                <w:rFonts w:hint="eastAsia" w:cs="宋体"/>
                <w:b/>
                <w:bCs/>
                <w:color w:val="FF0000"/>
                <w:kern w:val="2"/>
                <w:sz w:val="22"/>
                <w:szCs w:val="22"/>
                <w:lang w:val="en-US" w:eastAsia="zh-CN" w:bidi="ar-SA"/>
              </w:rPr>
            </w:pPr>
            <w:r>
              <w:rPr>
                <w:rFonts w:hint="eastAsia" w:cs="宋体"/>
                <w:b/>
                <w:bCs/>
                <w:color w:val="FF0000"/>
                <w:kern w:val="2"/>
                <w:sz w:val="22"/>
                <w:szCs w:val="22"/>
                <w:lang w:val="en-US" w:eastAsia="zh-CN" w:bidi="ar-SA"/>
              </w:rPr>
              <w:t>四级伤残</w:t>
            </w:r>
          </w:p>
        </w:tc>
        <w:tc>
          <w:tcPr>
            <w:tcW w:w="1852" w:type="pct"/>
            <w:vAlign w:val="top"/>
          </w:tcPr>
          <w:p w14:paraId="5A2C5359">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both"/>
              <w:textAlignment w:val="auto"/>
              <w:rPr>
                <w:rFonts w:hint="eastAsia" w:cs="宋体"/>
                <w:b/>
                <w:bCs/>
                <w:color w:val="FF0000"/>
                <w:kern w:val="2"/>
                <w:sz w:val="22"/>
                <w:szCs w:val="22"/>
                <w:lang w:val="en-US" w:eastAsia="zh-CN" w:bidi="ar-SA"/>
              </w:rPr>
            </w:pPr>
            <w:r>
              <w:rPr>
                <w:rFonts w:hint="eastAsia" w:cs="宋体"/>
                <w:b/>
                <w:bCs/>
                <w:color w:val="FF0000"/>
                <w:kern w:val="2"/>
                <w:sz w:val="22"/>
                <w:szCs w:val="22"/>
                <w:lang w:val="en-US" w:eastAsia="zh-CN" w:bidi="ar-SA"/>
              </w:rPr>
              <w:t>55%</w:t>
            </w:r>
          </w:p>
        </w:tc>
      </w:tr>
      <w:tr w14:paraId="5EEADE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646" w:type="pct"/>
            <w:vAlign w:val="top"/>
          </w:tcPr>
          <w:p w14:paraId="4F1B4D59">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both"/>
              <w:textAlignment w:val="auto"/>
              <w:rPr>
                <w:rFonts w:hint="eastAsia" w:cs="宋体"/>
                <w:b/>
                <w:bCs/>
                <w:color w:val="FF0000"/>
                <w:kern w:val="2"/>
                <w:sz w:val="22"/>
                <w:szCs w:val="22"/>
                <w:lang w:val="en-US" w:eastAsia="zh-CN" w:bidi="ar-SA"/>
              </w:rPr>
            </w:pPr>
            <w:r>
              <w:rPr>
                <w:rFonts w:hint="eastAsia" w:cs="宋体"/>
                <w:b/>
                <w:bCs/>
                <w:color w:val="FF0000"/>
                <w:kern w:val="2"/>
                <w:sz w:val="22"/>
                <w:szCs w:val="22"/>
                <w:lang w:val="en-US" w:eastAsia="zh-CN" w:bidi="ar-SA"/>
              </w:rPr>
              <w:t>5</w:t>
            </w:r>
          </w:p>
        </w:tc>
        <w:tc>
          <w:tcPr>
            <w:tcW w:w="2500" w:type="pct"/>
            <w:vAlign w:val="top"/>
          </w:tcPr>
          <w:p w14:paraId="16807EB9">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both"/>
              <w:textAlignment w:val="auto"/>
              <w:rPr>
                <w:rFonts w:hint="eastAsia" w:cs="宋体"/>
                <w:b/>
                <w:bCs/>
                <w:color w:val="FF0000"/>
                <w:kern w:val="2"/>
                <w:sz w:val="22"/>
                <w:szCs w:val="22"/>
                <w:lang w:val="en-US" w:eastAsia="zh-CN" w:bidi="ar-SA"/>
              </w:rPr>
            </w:pPr>
            <w:r>
              <w:rPr>
                <w:rFonts w:hint="eastAsia" w:cs="宋体"/>
                <w:b/>
                <w:bCs/>
                <w:color w:val="FF0000"/>
                <w:kern w:val="2"/>
                <w:sz w:val="22"/>
                <w:szCs w:val="22"/>
                <w:lang w:val="en-US" w:eastAsia="zh-CN" w:bidi="ar-SA"/>
              </w:rPr>
              <w:t>五级伤残</w:t>
            </w:r>
          </w:p>
        </w:tc>
        <w:tc>
          <w:tcPr>
            <w:tcW w:w="1852" w:type="pct"/>
            <w:vAlign w:val="top"/>
          </w:tcPr>
          <w:p w14:paraId="1C2554CE">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both"/>
              <w:textAlignment w:val="auto"/>
              <w:rPr>
                <w:rFonts w:hint="eastAsia" w:cs="宋体"/>
                <w:b/>
                <w:bCs/>
                <w:color w:val="FF0000"/>
                <w:kern w:val="2"/>
                <w:sz w:val="22"/>
                <w:szCs w:val="22"/>
                <w:lang w:val="en-US" w:eastAsia="zh-CN" w:bidi="ar-SA"/>
              </w:rPr>
            </w:pPr>
            <w:r>
              <w:rPr>
                <w:rFonts w:hint="eastAsia" w:cs="宋体"/>
                <w:b/>
                <w:bCs/>
                <w:color w:val="FF0000"/>
                <w:kern w:val="2"/>
                <w:sz w:val="22"/>
                <w:szCs w:val="22"/>
                <w:lang w:val="en-US" w:eastAsia="zh-CN" w:bidi="ar-SA"/>
              </w:rPr>
              <w:t>45%</w:t>
            </w:r>
          </w:p>
        </w:tc>
      </w:tr>
      <w:tr w14:paraId="79733D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646" w:type="pct"/>
            <w:vAlign w:val="top"/>
          </w:tcPr>
          <w:p w14:paraId="6B72EF6D">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both"/>
              <w:textAlignment w:val="auto"/>
              <w:rPr>
                <w:rFonts w:hint="eastAsia" w:cs="宋体"/>
                <w:b/>
                <w:bCs/>
                <w:color w:val="FF0000"/>
                <w:kern w:val="2"/>
                <w:sz w:val="22"/>
                <w:szCs w:val="22"/>
                <w:lang w:val="en-US" w:eastAsia="zh-CN" w:bidi="ar-SA"/>
              </w:rPr>
            </w:pPr>
            <w:r>
              <w:rPr>
                <w:rFonts w:hint="eastAsia" w:cs="宋体"/>
                <w:b/>
                <w:bCs/>
                <w:color w:val="FF0000"/>
                <w:kern w:val="2"/>
                <w:sz w:val="22"/>
                <w:szCs w:val="22"/>
                <w:lang w:val="en-US" w:eastAsia="zh-CN" w:bidi="ar-SA"/>
              </w:rPr>
              <w:t>6</w:t>
            </w:r>
          </w:p>
        </w:tc>
        <w:tc>
          <w:tcPr>
            <w:tcW w:w="2500" w:type="pct"/>
            <w:vAlign w:val="top"/>
          </w:tcPr>
          <w:p w14:paraId="5C6A441E">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both"/>
              <w:textAlignment w:val="auto"/>
              <w:rPr>
                <w:rFonts w:hint="eastAsia" w:cs="宋体"/>
                <w:b/>
                <w:bCs/>
                <w:color w:val="FF0000"/>
                <w:kern w:val="2"/>
                <w:sz w:val="22"/>
                <w:szCs w:val="22"/>
                <w:lang w:val="en-US" w:eastAsia="zh-CN" w:bidi="ar-SA"/>
              </w:rPr>
            </w:pPr>
            <w:r>
              <w:rPr>
                <w:rFonts w:hint="eastAsia" w:cs="宋体"/>
                <w:b/>
                <w:bCs/>
                <w:color w:val="FF0000"/>
                <w:kern w:val="2"/>
                <w:sz w:val="22"/>
                <w:szCs w:val="22"/>
                <w:lang w:val="en-US" w:eastAsia="zh-CN" w:bidi="ar-SA"/>
              </w:rPr>
              <w:t>六级伤残</w:t>
            </w:r>
          </w:p>
        </w:tc>
        <w:tc>
          <w:tcPr>
            <w:tcW w:w="1852" w:type="pct"/>
            <w:vAlign w:val="top"/>
          </w:tcPr>
          <w:p w14:paraId="6150078E">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both"/>
              <w:textAlignment w:val="auto"/>
              <w:rPr>
                <w:rFonts w:hint="eastAsia" w:cs="宋体"/>
                <w:b/>
                <w:bCs/>
                <w:color w:val="FF0000"/>
                <w:kern w:val="2"/>
                <w:sz w:val="22"/>
                <w:szCs w:val="22"/>
                <w:lang w:val="en-US" w:eastAsia="zh-CN" w:bidi="ar-SA"/>
              </w:rPr>
            </w:pPr>
            <w:r>
              <w:rPr>
                <w:rFonts w:hint="eastAsia" w:cs="宋体"/>
                <w:b/>
                <w:bCs/>
                <w:color w:val="FF0000"/>
                <w:kern w:val="2"/>
                <w:sz w:val="22"/>
                <w:szCs w:val="22"/>
                <w:lang w:val="en-US" w:eastAsia="zh-CN" w:bidi="ar-SA"/>
              </w:rPr>
              <w:t>25%</w:t>
            </w:r>
          </w:p>
        </w:tc>
      </w:tr>
      <w:tr w14:paraId="6D03A1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646" w:type="pct"/>
            <w:vAlign w:val="top"/>
          </w:tcPr>
          <w:p w14:paraId="616BA8FD">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both"/>
              <w:textAlignment w:val="auto"/>
              <w:rPr>
                <w:rFonts w:hint="eastAsia" w:cs="宋体"/>
                <w:b/>
                <w:bCs/>
                <w:color w:val="FF0000"/>
                <w:kern w:val="2"/>
                <w:sz w:val="22"/>
                <w:szCs w:val="22"/>
                <w:lang w:val="en-US" w:eastAsia="zh-CN" w:bidi="ar-SA"/>
              </w:rPr>
            </w:pPr>
            <w:r>
              <w:rPr>
                <w:rFonts w:hint="eastAsia" w:cs="宋体"/>
                <w:b/>
                <w:bCs/>
                <w:color w:val="FF0000"/>
                <w:kern w:val="2"/>
                <w:sz w:val="22"/>
                <w:szCs w:val="22"/>
                <w:lang w:val="en-US" w:eastAsia="zh-CN" w:bidi="ar-SA"/>
              </w:rPr>
              <w:t>7</w:t>
            </w:r>
          </w:p>
        </w:tc>
        <w:tc>
          <w:tcPr>
            <w:tcW w:w="2500" w:type="pct"/>
            <w:vAlign w:val="top"/>
          </w:tcPr>
          <w:p w14:paraId="1BB9AE2C">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both"/>
              <w:textAlignment w:val="auto"/>
              <w:rPr>
                <w:rFonts w:hint="eastAsia" w:cs="宋体"/>
                <w:b/>
                <w:bCs/>
                <w:color w:val="FF0000"/>
                <w:kern w:val="2"/>
                <w:sz w:val="22"/>
                <w:szCs w:val="22"/>
                <w:lang w:val="en-US" w:eastAsia="zh-CN" w:bidi="ar-SA"/>
              </w:rPr>
            </w:pPr>
            <w:r>
              <w:rPr>
                <w:rFonts w:hint="eastAsia" w:cs="宋体"/>
                <w:b/>
                <w:bCs/>
                <w:color w:val="FF0000"/>
                <w:kern w:val="2"/>
                <w:sz w:val="22"/>
                <w:szCs w:val="22"/>
                <w:lang w:val="en-US" w:eastAsia="zh-CN" w:bidi="ar-SA"/>
              </w:rPr>
              <w:t>七级伤残</w:t>
            </w:r>
          </w:p>
        </w:tc>
        <w:tc>
          <w:tcPr>
            <w:tcW w:w="1852" w:type="pct"/>
            <w:vAlign w:val="top"/>
          </w:tcPr>
          <w:p w14:paraId="06B9D4E8">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both"/>
              <w:textAlignment w:val="auto"/>
              <w:rPr>
                <w:rFonts w:hint="eastAsia" w:cs="宋体"/>
                <w:b/>
                <w:bCs/>
                <w:color w:val="FF0000"/>
                <w:kern w:val="2"/>
                <w:sz w:val="22"/>
                <w:szCs w:val="22"/>
                <w:lang w:val="en-US" w:eastAsia="zh-CN" w:bidi="ar-SA"/>
              </w:rPr>
            </w:pPr>
            <w:r>
              <w:rPr>
                <w:rFonts w:hint="eastAsia" w:cs="宋体"/>
                <w:b/>
                <w:bCs/>
                <w:color w:val="FF0000"/>
                <w:kern w:val="2"/>
                <w:sz w:val="22"/>
                <w:szCs w:val="22"/>
                <w:lang w:val="en-US" w:eastAsia="zh-CN" w:bidi="ar-SA"/>
              </w:rPr>
              <w:t>15%</w:t>
            </w:r>
          </w:p>
        </w:tc>
      </w:tr>
      <w:tr w14:paraId="101718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646" w:type="pct"/>
            <w:vAlign w:val="top"/>
          </w:tcPr>
          <w:p w14:paraId="38193FAC">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both"/>
              <w:textAlignment w:val="auto"/>
              <w:rPr>
                <w:rFonts w:hint="eastAsia" w:cs="宋体"/>
                <w:b/>
                <w:bCs/>
                <w:color w:val="FF0000"/>
                <w:kern w:val="2"/>
                <w:sz w:val="22"/>
                <w:szCs w:val="22"/>
                <w:lang w:val="en-US" w:eastAsia="zh-CN" w:bidi="ar-SA"/>
              </w:rPr>
            </w:pPr>
            <w:r>
              <w:rPr>
                <w:rFonts w:hint="eastAsia" w:cs="宋体"/>
                <w:b/>
                <w:bCs/>
                <w:color w:val="FF0000"/>
                <w:kern w:val="2"/>
                <w:sz w:val="22"/>
                <w:szCs w:val="22"/>
                <w:lang w:val="en-US" w:eastAsia="zh-CN" w:bidi="ar-SA"/>
              </w:rPr>
              <w:t>8</w:t>
            </w:r>
          </w:p>
        </w:tc>
        <w:tc>
          <w:tcPr>
            <w:tcW w:w="2500" w:type="pct"/>
            <w:vAlign w:val="top"/>
          </w:tcPr>
          <w:p w14:paraId="58B6A570">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both"/>
              <w:textAlignment w:val="auto"/>
              <w:rPr>
                <w:rFonts w:hint="eastAsia" w:cs="宋体"/>
                <w:b/>
                <w:bCs/>
                <w:color w:val="FF0000"/>
                <w:kern w:val="2"/>
                <w:sz w:val="22"/>
                <w:szCs w:val="22"/>
                <w:lang w:val="en-US" w:eastAsia="zh-CN" w:bidi="ar-SA"/>
              </w:rPr>
            </w:pPr>
            <w:r>
              <w:rPr>
                <w:rFonts w:hint="eastAsia" w:cs="宋体"/>
                <w:b/>
                <w:bCs/>
                <w:color w:val="FF0000"/>
                <w:kern w:val="2"/>
                <w:sz w:val="22"/>
                <w:szCs w:val="22"/>
                <w:lang w:val="en-US" w:eastAsia="zh-CN" w:bidi="ar-SA"/>
              </w:rPr>
              <w:t>八级伤残</w:t>
            </w:r>
          </w:p>
        </w:tc>
        <w:tc>
          <w:tcPr>
            <w:tcW w:w="1852" w:type="pct"/>
            <w:vAlign w:val="top"/>
          </w:tcPr>
          <w:p w14:paraId="562CD4C6">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both"/>
              <w:textAlignment w:val="auto"/>
              <w:rPr>
                <w:rFonts w:hint="eastAsia" w:cs="宋体"/>
                <w:b/>
                <w:bCs/>
                <w:color w:val="FF0000"/>
                <w:kern w:val="2"/>
                <w:sz w:val="22"/>
                <w:szCs w:val="22"/>
                <w:lang w:val="en-US" w:eastAsia="zh-CN" w:bidi="ar-SA"/>
              </w:rPr>
            </w:pPr>
            <w:r>
              <w:rPr>
                <w:rFonts w:hint="eastAsia" w:cs="宋体"/>
                <w:b/>
                <w:bCs/>
                <w:color w:val="FF0000"/>
                <w:kern w:val="2"/>
                <w:sz w:val="22"/>
                <w:szCs w:val="22"/>
                <w:lang w:val="en-US" w:eastAsia="zh-CN" w:bidi="ar-SA"/>
              </w:rPr>
              <w:t>10%</w:t>
            </w:r>
          </w:p>
        </w:tc>
      </w:tr>
      <w:tr w14:paraId="69D79F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646" w:type="pct"/>
            <w:vAlign w:val="top"/>
          </w:tcPr>
          <w:p w14:paraId="1BF779ED">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both"/>
              <w:textAlignment w:val="auto"/>
              <w:rPr>
                <w:rFonts w:hint="eastAsia" w:cs="宋体"/>
                <w:b/>
                <w:bCs/>
                <w:color w:val="FF0000"/>
                <w:kern w:val="2"/>
                <w:sz w:val="22"/>
                <w:szCs w:val="22"/>
                <w:lang w:val="en-US" w:eastAsia="zh-CN" w:bidi="ar-SA"/>
              </w:rPr>
            </w:pPr>
            <w:r>
              <w:rPr>
                <w:rFonts w:hint="eastAsia" w:cs="宋体"/>
                <w:b/>
                <w:bCs/>
                <w:color w:val="FF0000"/>
                <w:kern w:val="2"/>
                <w:sz w:val="22"/>
                <w:szCs w:val="22"/>
                <w:lang w:val="en-US" w:eastAsia="zh-CN" w:bidi="ar-SA"/>
              </w:rPr>
              <w:t>9</w:t>
            </w:r>
          </w:p>
        </w:tc>
        <w:tc>
          <w:tcPr>
            <w:tcW w:w="2500" w:type="pct"/>
            <w:vAlign w:val="top"/>
          </w:tcPr>
          <w:p w14:paraId="3808ECC4">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both"/>
              <w:textAlignment w:val="auto"/>
              <w:rPr>
                <w:rFonts w:hint="eastAsia" w:cs="宋体"/>
                <w:b/>
                <w:bCs/>
                <w:color w:val="FF0000"/>
                <w:kern w:val="2"/>
                <w:sz w:val="22"/>
                <w:szCs w:val="22"/>
                <w:lang w:val="en-US" w:eastAsia="zh-CN" w:bidi="ar-SA"/>
              </w:rPr>
            </w:pPr>
            <w:r>
              <w:rPr>
                <w:rFonts w:hint="eastAsia" w:cs="宋体"/>
                <w:b/>
                <w:bCs/>
                <w:color w:val="FF0000"/>
                <w:kern w:val="2"/>
                <w:sz w:val="22"/>
                <w:szCs w:val="22"/>
                <w:lang w:val="en-US" w:eastAsia="zh-CN" w:bidi="ar-SA"/>
              </w:rPr>
              <w:t>九级伤残</w:t>
            </w:r>
          </w:p>
        </w:tc>
        <w:tc>
          <w:tcPr>
            <w:tcW w:w="1852" w:type="pct"/>
            <w:vAlign w:val="top"/>
          </w:tcPr>
          <w:p w14:paraId="287E39E9">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both"/>
              <w:textAlignment w:val="auto"/>
              <w:rPr>
                <w:rFonts w:hint="eastAsia" w:cs="宋体"/>
                <w:b/>
                <w:bCs/>
                <w:color w:val="FF0000"/>
                <w:kern w:val="2"/>
                <w:sz w:val="22"/>
                <w:szCs w:val="22"/>
                <w:lang w:val="en-US" w:eastAsia="zh-CN" w:bidi="ar-SA"/>
              </w:rPr>
            </w:pPr>
            <w:r>
              <w:rPr>
                <w:rFonts w:hint="eastAsia" w:cs="宋体"/>
                <w:b/>
                <w:bCs/>
                <w:color w:val="FF0000"/>
                <w:kern w:val="2"/>
                <w:sz w:val="22"/>
                <w:szCs w:val="22"/>
                <w:lang w:val="en-US" w:eastAsia="zh-CN" w:bidi="ar-SA"/>
              </w:rPr>
              <w:t>4%</w:t>
            </w:r>
          </w:p>
        </w:tc>
      </w:tr>
      <w:tr w14:paraId="4EC2CB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646" w:type="pct"/>
            <w:vAlign w:val="top"/>
          </w:tcPr>
          <w:p w14:paraId="50BED316">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both"/>
              <w:textAlignment w:val="auto"/>
              <w:rPr>
                <w:rFonts w:hint="eastAsia" w:cs="宋体"/>
                <w:b/>
                <w:bCs/>
                <w:color w:val="FF0000"/>
                <w:kern w:val="2"/>
                <w:sz w:val="22"/>
                <w:szCs w:val="22"/>
                <w:lang w:val="en-US" w:eastAsia="zh-CN" w:bidi="ar-SA"/>
              </w:rPr>
            </w:pPr>
            <w:r>
              <w:rPr>
                <w:rFonts w:hint="eastAsia" w:cs="宋体"/>
                <w:b/>
                <w:bCs/>
                <w:color w:val="FF0000"/>
                <w:kern w:val="2"/>
                <w:sz w:val="22"/>
                <w:szCs w:val="22"/>
                <w:lang w:val="en-US" w:eastAsia="zh-CN" w:bidi="ar-SA"/>
              </w:rPr>
              <w:t>10</w:t>
            </w:r>
          </w:p>
        </w:tc>
        <w:tc>
          <w:tcPr>
            <w:tcW w:w="2500" w:type="pct"/>
            <w:vAlign w:val="top"/>
          </w:tcPr>
          <w:p w14:paraId="02AFA3A0">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both"/>
              <w:textAlignment w:val="auto"/>
              <w:rPr>
                <w:rFonts w:hint="eastAsia" w:cs="宋体"/>
                <w:b/>
                <w:bCs/>
                <w:color w:val="FF0000"/>
                <w:kern w:val="2"/>
                <w:sz w:val="22"/>
                <w:szCs w:val="22"/>
                <w:lang w:val="en-US" w:eastAsia="zh-CN" w:bidi="ar-SA"/>
              </w:rPr>
            </w:pPr>
            <w:r>
              <w:rPr>
                <w:rFonts w:hint="eastAsia" w:cs="宋体"/>
                <w:b/>
                <w:bCs/>
                <w:color w:val="FF0000"/>
                <w:kern w:val="2"/>
                <w:sz w:val="22"/>
                <w:szCs w:val="22"/>
                <w:lang w:val="en-US" w:eastAsia="zh-CN" w:bidi="ar-SA"/>
              </w:rPr>
              <w:t>十级伤残</w:t>
            </w:r>
          </w:p>
        </w:tc>
        <w:tc>
          <w:tcPr>
            <w:tcW w:w="1852" w:type="pct"/>
            <w:vAlign w:val="top"/>
          </w:tcPr>
          <w:p w14:paraId="681723B8">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46" w:firstLineChars="200"/>
              <w:jc w:val="both"/>
              <w:textAlignment w:val="auto"/>
              <w:rPr>
                <w:rFonts w:hint="eastAsia" w:cs="宋体"/>
                <w:b/>
                <w:bCs/>
                <w:color w:val="FF0000"/>
                <w:kern w:val="2"/>
                <w:sz w:val="22"/>
                <w:szCs w:val="22"/>
                <w:lang w:val="en-US" w:eastAsia="zh-CN" w:bidi="ar-SA"/>
              </w:rPr>
            </w:pPr>
            <w:r>
              <w:rPr>
                <w:rFonts w:hint="eastAsia" w:cs="宋体"/>
                <w:b/>
                <w:bCs/>
                <w:color w:val="FF0000"/>
                <w:kern w:val="2"/>
                <w:sz w:val="22"/>
                <w:szCs w:val="22"/>
                <w:lang w:val="en-US" w:eastAsia="zh-CN" w:bidi="ar-SA"/>
              </w:rPr>
              <w:t>1%</w:t>
            </w:r>
          </w:p>
        </w:tc>
      </w:tr>
    </w:tbl>
    <w:p w14:paraId="726D80D7">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right="0"/>
        <w:jc w:val="both"/>
        <w:textAlignment w:val="auto"/>
        <w:rPr>
          <w:rFonts w:hint="eastAsia" w:cs="宋体"/>
          <w:b/>
          <w:bCs/>
          <w:color w:val="FF0000"/>
          <w:kern w:val="2"/>
          <w:sz w:val="22"/>
          <w:szCs w:val="22"/>
          <w:lang w:val="en-US" w:eastAsia="zh-CN" w:bidi="ar-SA"/>
        </w:rPr>
      </w:pPr>
    </w:p>
    <w:p w14:paraId="0F1BE687">
      <w:pPr>
        <w:keepNext w:val="0"/>
        <w:keepLines w:val="0"/>
        <w:widowControl/>
        <w:suppressLineNumbers w:val="0"/>
        <w:jc w:val="left"/>
        <w:rPr>
          <w:rFonts w:hint="eastAsia" w:ascii="宋体" w:hAnsi="宋体" w:eastAsia="宋体" w:cs="宋体"/>
          <w:b/>
          <w:bCs/>
          <w:color w:val="000000" w:themeColor="text1"/>
          <w:kern w:val="2"/>
          <w:sz w:val="22"/>
          <w:szCs w:val="22"/>
          <w:lang w:val="en-US" w:eastAsia="zh-CN" w:bidi="ar-SA"/>
          <w14:textFill>
            <w14:solidFill>
              <w14:schemeClr w14:val="tx1"/>
            </w14:solidFill>
          </w14:textFill>
        </w:rPr>
      </w:pPr>
      <w:r>
        <w:rPr>
          <w:rFonts w:hint="eastAsia" w:ascii="宋体" w:hAnsi="宋体" w:eastAsia="宋体" w:cs="宋体"/>
          <w:b/>
          <w:bCs/>
          <w:color w:val="000000" w:themeColor="text1"/>
          <w:kern w:val="2"/>
          <w:sz w:val="22"/>
          <w:szCs w:val="22"/>
          <w:lang w:val="en-US" w:eastAsia="zh-CN" w:bidi="ar-SA"/>
          <w14:textFill>
            <w14:solidFill>
              <w14:schemeClr w14:val="tx1"/>
            </w14:solidFill>
          </w14:textFill>
        </w:rPr>
        <w:t>采购需求：</w:t>
      </w:r>
    </w:p>
    <w:p w14:paraId="537FE6C8">
      <w:pPr>
        <w:keepNext w:val="0"/>
        <w:keepLines w:val="0"/>
        <w:widowControl/>
        <w:suppressLineNumbers w:val="0"/>
        <w:jc w:val="left"/>
        <w:rPr>
          <w:rFonts w:hint="eastAsia" w:ascii="宋体" w:hAnsi="宋体" w:eastAsia="宋体" w:cs="宋体"/>
          <w:b/>
          <w:bCs/>
          <w:color w:val="000000" w:themeColor="text1"/>
          <w:kern w:val="2"/>
          <w:sz w:val="22"/>
          <w:szCs w:val="22"/>
          <w:lang w:val="en-US" w:eastAsia="zh-CN" w:bidi="ar-SA"/>
          <w14:textFill>
            <w14:solidFill>
              <w14:schemeClr w14:val="tx1"/>
            </w14:solidFill>
          </w14:textFill>
        </w:rPr>
      </w:pPr>
      <w:r>
        <w:rPr>
          <w:rFonts w:hint="default" w:ascii="宋体" w:hAnsi="宋体" w:eastAsia="宋体" w:cs="宋体"/>
          <w:b/>
          <w:bCs/>
          <w:color w:val="000000" w:themeColor="text1"/>
          <w:kern w:val="2"/>
          <w:sz w:val="22"/>
          <w:szCs w:val="22"/>
          <w:lang w:val="en-US" w:eastAsia="zh-CN" w:bidi="ar-SA"/>
          <w14:textFill>
            <w14:solidFill>
              <w14:schemeClr w14:val="tx1"/>
            </w14:solidFill>
          </w14:textFill>
        </w:rPr>
        <w:t>1</w:t>
      </w:r>
      <w:r>
        <w:rPr>
          <w:rFonts w:hint="eastAsia" w:ascii="宋体" w:hAnsi="宋体" w:eastAsia="宋体" w:cs="宋体"/>
          <w:b/>
          <w:bCs/>
          <w:color w:val="000000" w:themeColor="text1"/>
          <w:kern w:val="2"/>
          <w:sz w:val="22"/>
          <w:szCs w:val="22"/>
          <w:lang w:val="en-US" w:eastAsia="zh-CN" w:bidi="ar-SA"/>
          <w14:textFill>
            <w14:solidFill>
              <w14:schemeClr w14:val="tx1"/>
            </w14:solidFill>
          </w14:textFill>
        </w:rPr>
        <w:t xml:space="preserve">、出单速度快，针对本项目的所有保全事项，接到保全申请后快速完成并递交投保人。 </w:t>
      </w:r>
    </w:p>
    <w:p w14:paraId="54BB886A">
      <w:pPr>
        <w:keepNext w:val="0"/>
        <w:keepLines w:val="0"/>
        <w:widowControl/>
        <w:suppressLineNumbers w:val="0"/>
        <w:jc w:val="left"/>
        <w:rPr>
          <w:rFonts w:hint="eastAsia" w:ascii="宋体" w:hAnsi="宋体" w:eastAsia="宋体" w:cs="宋体"/>
          <w:b/>
          <w:bCs/>
          <w:color w:val="000000" w:themeColor="text1"/>
          <w:kern w:val="2"/>
          <w:sz w:val="22"/>
          <w:szCs w:val="22"/>
          <w:lang w:val="en-US" w:eastAsia="zh-CN" w:bidi="ar-SA"/>
          <w14:textFill>
            <w14:solidFill>
              <w14:schemeClr w14:val="tx1"/>
            </w14:solidFill>
          </w14:textFill>
        </w:rPr>
      </w:pPr>
      <w:r>
        <w:rPr>
          <w:rFonts w:hint="eastAsia" w:ascii="宋体" w:hAnsi="宋体" w:eastAsia="宋体" w:cs="宋体"/>
          <w:b/>
          <w:bCs/>
          <w:color w:val="000000" w:themeColor="text1"/>
          <w:kern w:val="2"/>
          <w:sz w:val="22"/>
          <w:szCs w:val="22"/>
          <w:lang w:val="en-US" w:eastAsia="zh-CN" w:bidi="ar-SA"/>
          <w14:textFill>
            <w14:solidFill>
              <w14:schemeClr w14:val="tx1"/>
            </w14:solidFill>
          </w14:textFill>
        </w:rPr>
        <w:t xml:space="preserve">2、成立专门服务团队、开通理赔绿色通道。提供优质、快速理赔服务。当被保险人发生责任范围内的保险事故后，尽快协助出险人报案，并在理赔过程中将尽力协助被保险办理理赔相关事宜。 </w:t>
      </w:r>
    </w:p>
    <w:p w14:paraId="22EC8274">
      <w:pPr>
        <w:keepNext w:val="0"/>
        <w:keepLines w:val="0"/>
        <w:widowControl/>
        <w:suppressLineNumbers w:val="0"/>
        <w:jc w:val="left"/>
        <w:rPr>
          <w:rFonts w:hint="default" w:ascii="宋体" w:hAnsi="宋体" w:eastAsia="宋体" w:cs="宋体"/>
          <w:b/>
          <w:bCs/>
          <w:color w:val="000000" w:themeColor="text1"/>
          <w:kern w:val="2"/>
          <w:sz w:val="22"/>
          <w:szCs w:val="22"/>
          <w:lang w:val="en-US" w:eastAsia="zh-CN" w:bidi="ar-SA"/>
          <w14:textFill>
            <w14:solidFill>
              <w14:schemeClr w14:val="tx1"/>
            </w14:solidFill>
          </w14:textFill>
        </w:rPr>
      </w:pPr>
      <w:r>
        <w:rPr>
          <w:rFonts w:hint="eastAsia" w:ascii="宋体" w:hAnsi="宋体" w:eastAsia="宋体" w:cs="宋体"/>
          <w:b/>
          <w:bCs/>
          <w:color w:val="000000" w:themeColor="text1"/>
          <w:kern w:val="2"/>
          <w:sz w:val="22"/>
          <w:szCs w:val="22"/>
          <w:lang w:val="en-US" w:eastAsia="zh-CN" w:bidi="ar-SA"/>
          <w14:textFill>
            <w14:solidFill>
              <w14:schemeClr w14:val="tx1"/>
            </w14:solidFill>
          </w14:textFill>
        </w:rPr>
        <w:t>3、对本项目提交的各类医疗报销单证进行审核，并根据出险人实际情况进行调查。对属于保险责任人范围内的赔案，理赔申请资料齐全后，快速结案</w:t>
      </w:r>
      <w:r>
        <w:rPr>
          <w:rFonts w:hint="eastAsia" w:ascii="宋体" w:hAnsi="宋体" w:cs="宋体"/>
          <w:b/>
          <w:bCs/>
          <w:color w:val="000000" w:themeColor="text1"/>
          <w:kern w:val="2"/>
          <w:sz w:val="22"/>
          <w:szCs w:val="22"/>
          <w:lang w:val="en-US" w:eastAsia="zh-CN" w:bidi="ar-SA"/>
          <w14:textFill>
            <w14:solidFill>
              <w14:schemeClr w14:val="tx1"/>
            </w14:solidFill>
          </w14:textFill>
        </w:rPr>
        <w:t>。</w:t>
      </w:r>
    </w:p>
    <w:p w14:paraId="297B3634">
      <w:pPr>
        <w:spacing w:line="240" w:lineRule="auto"/>
        <w:rPr>
          <w:rFonts w:hint="eastAsia"/>
          <w:b/>
          <w:bCs/>
          <w:color w:val="000000" w:themeColor="text1"/>
          <w:sz w:val="24"/>
          <w:szCs w:val="32"/>
          <w:lang w:val="en-US" w:eastAsia="zh-CN"/>
          <w14:textFill>
            <w14:solidFill>
              <w14:schemeClr w14:val="tx1"/>
            </w14:solidFill>
          </w14:textFill>
        </w:rPr>
      </w:pPr>
    </w:p>
    <w:p w14:paraId="6E1D2120">
      <w:pPr>
        <w:spacing w:line="240" w:lineRule="auto"/>
        <w:rPr>
          <w:rFonts w:hint="eastAsia" w:ascii="宋体" w:hAnsi="宋体" w:cs="宋体"/>
          <w:b/>
          <w:color w:val="000000" w:themeColor="text1"/>
          <w:szCs w:val="21"/>
          <w14:textFill>
            <w14:solidFill>
              <w14:schemeClr w14:val="tx1"/>
            </w14:solidFill>
          </w14:textFill>
        </w:rPr>
      </w:pPr>
      <w:r>
        <w:rPr>
          <w:rFonts w:hint="eastAsia"/>
          <w:b/>
          <w:bCs/>
          <w:color w:val="000000" w:themeColor="text1"/>
          <w:sz w:val="24"/>
          <w:szCs w:val="32"/>
          <w:lang w:val="en-US" w:eastAsia="zh-CN"/>
          <w14:textFill>
            <w14:solidFill>
              <w14:schemeClr w14:val="tx1"/>
            </w14:solidFill>
          </w14:textFill>
        </w:rPr>
        <w:t>二、</w:t>
      </w:r>
      <w:bookmarkStart w:id="59" w:name="_Toc267320049"/>
      <w:bookmarkStart w:id="60" w:name="_Toc340225290"/>
      <w:r>
        <w:rPr>
          <w:rFonts w:hint="eastAsia"/>
          <w:b/>
          <w:bCs/>
          <w:color w:val="000000" w:themeColor="text1"/>
          <w:sz w:val="22"/>
          <w:szCs w:val="28"/>
          <w:lang w:val="en-US" w:eastAsia="zh-CN"/>
          <w14:textFill>
            <w14:solidFill>
              <w14:schemeClr w14:val="tx1"/>
            </w14:solidFill>
          </w14:textFill>
        </w:rPr>
        <w:t>项目验收、质保、售后服务等要求</w:t>
      </w:r>
      <w:bookmarkEnd w:id="59"/>
      <w:bookmarkEnd w:id="60"/>
    </w:p>
    <w:p w14:paraId="42D3F19E">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cs="宋体"/>
          <w:b/>
          <w:color w:val="000000" w:themeColor="text1"/>
          <w:szCs w:val="21"/>
          <w:highlight w:val="yellow"/>
          <w14:textFill>
            <w14:solidFill>
              <w14:schemeClr w14:val="tx1"/>
            </w14:solidFill>
          </w14:textFill>
        </w:rPr>
      </w:pPr>
      <w:r>
        <w:rPr>
          <w:rFonts w:hint="eastAsia" w:ascii="宋体" w:hAnsi="宋体" w:cs="宋体"/>
          <w:b/>
          <w:color w:val="000000" w:themeColor="text1"/>
          <w:szCs w:val="21"/>
          <w:highlight w:val="yellow"/>
          <w14:textFill>
            <w14:solidFill>
              <w14:schemeClr w14:val="tx1"/>
            </w14:solidFill>
          </w14:textFill>
        </w:rPr>
        <w:t>（一）</w:t>
      </w:r>
      <w:r>
        <w:rPr>
          <w:rFonts w:hint="eastAsia" w:ascii="宋体" w:hAnsi="宋体" w:cs="宋体"/>
          <w:b/>
          <w:color w:val="000000" w:themeColor="text1"/>
          <w:szCs w:val="21"/>
          <w:highlight w:val="yellow"/>
          <w:lang w:val="en-US" w:eastAsia="zh-CN"/>
          <w14:textFill>
            <w14:solidFill>
              <w14:schemeClr w14:val="tx1"/>
            </w14:solidFill>
          </w14:textFill>
        </w:rPr>
        <w:t xml:space="preserve"> 供货</w:t>
      </w:r>
      <w:r>
        <w:rPr>
          <w:rFonts w:hint="eastAsia" w:ascii="宋体" w:hAnsi="宋体" w:cs="宋体"/>
          <w:b/>
          <w:color w:val="000000" w:themeColor="text1"/>
          <w:szCs w:val="21"/>
          <w:highlight w:val="yellow"/>
          <w14:textFill>
            <w14:solidFill>
              <w14:schemeClr w14:val="tx1"/>
            </w14:solidFill>
          </w14:textFill>
        </w:rPr>
        <w:t>时间</w:t>
      </w:r>
    </w:p>
    <w:p w14:paraId="4EC44BA8">
      <w:pPr>
        <w:keepNext w:val="0"/>
        <w:keepLines w:val="0"/>
        <w:pageBreakBefore w:val="0"/>
        <w:numPr>
          <w:ilvl w:val="0"/>
          <w:numId w:val="0"/>
        </w:numPr>
        <w:kinsoku/>
        <w:wordWrap/>
        <w:overflowPunct/>
        <w:topLinePunct w:val="0"/>
        <w:autoSpaceDE/>
        <w:autoSpaceDN/>
        <w:bidi w:val="0"/>
        <w:adjustRightInd/>
        <w:snapToGrid/>
        <w:spacing w:line="360" w:lineRule="auto"/>
        <w:ind w:firstLine="426" w:firstLineChars="200"/>
        <w:textAlignment w:val="auto"/>
        <w:rPr>
          <w:rFonts w:hint="eastAsia" w:ascii="宋体" w:hAnsi="宋体" w:cs="宋体"/>
          <w:b/>
          <w:color w:val="000000" w:themeColor="text1"/>
          <w:szCs w:val="21"/>
          <w:highlight w:val="yellow"/>
          <w14:textFill>
            <w14:solidFill>
              <w14:schemeClr w14:val="tx1"/>
            </w14:solidFill>
          </w14:textFill>
        </w:rPr>
      </w:pPr>
      <w:r>
        <w:rPr>
          <w:rFonts w:hint="eastAsia" w:cs="Times New Roman"/>
          <w:b/>
          <w:bCs w:val="0"/>
          <w:color w:val="000000" w:themeColor="text1"/>
          <w:kern w:val="2"/>
          <w:sz w:val="21"/>
          <w:szCs w:val="21"/>
          <w:highlight w:val="yellow"/>
          <w:lang w:val="en-US" w:eastAsia="zh-CN" w:bidi="ar-SA"/>
          <w14:textFill>
            <w14:solidFill>
              <w14:schemeClr w14:val="tx1"/>
            </w14:solidFill>
          </w14:textFill>
        </w:rPr>
        <w:t>甲乙双方签订合同后3个工作日内完成保险单</w:t>
      </w:r>
      <w:r>
        <w:rPr>
          <w:rFonts w:hint="eastAsia" w:ascii="Times New Roman" w:hAnsi="Times New Roman" w:eastAsia="宋体" w:cs="Times New Roman"/>
          <w:b/>
          <w:bCs w:val="0"/>
          <w:color w:val="000000" w:themeColor="text1"/>
          <w:kern w:val="2"/>
          <w:sz w:val="21"/>
          <w:szCs w:val="21"/>
          <w:highlight w:val="yellow"/>
          <w:lang w:val="en-US" w:eastAsia="zh-CN" w:bidi="ar-SA"/>
          <w14:textFill>
            <w14:solidFill>
              <w14:schemeClr w14:val="tx1"/>
            </w14:solidFill>
          </w14:textFill>
        </w:rPr>
        <w:t>。</w:t>
      </w:r>
    </w:p>
    <w:p w14:paraId="223EC2ED">
      <w:pPr>
        <w:keepNext w:val="0"/>
        <w:keepLines w:val="0"/>
        <w:pageBreakBefore w:val="0"/>
        <w:numPr>
          <w:ilvl w:val="0"/>
          <w:numId w:val="8"/>
        </w:numPr>
        <w:kinsoku/>
        <w:wordWrap/>
        <w:overflowPunct/>
        <w:topLinePunct w:val="0"/>
        <w:autoSpaceDE/>
        <w:autoSpaceDN/>
        <w:bidi w:val="0"/>
        <w:adjustRightInd/>
        <w:snapToGrid/>
        <w:spacing w:line="360" w:lineRule="auto"/>
        <w:textAlignment w:val="auto"/>
        <w:rPr>
          <w:rFonts w:hint="eastAsia" w:ascii="宋体" w:hAnsi="宋体" w:cs="宋体"/>
          <w:b/>
          <w:color w:val="auto"/>
          <w:szCs w:val="21"/>
          <w:highlight w:val="yellow"/>
        </w:rPr>
      </w:pPr>
      <w:r>
        <w:rPr>
          <w:rFonts w:hint="eastAsia" w:ascii="宋体" w:hAnsi="宋体" w:cs="宋体"/>
          <w:b/>
          <w:color w:val="auto"/>
          <w:szCs w:val="21"/>
          <w:highlight w:val="yellow"/>
          <w:lang w:val="en-US" w:eastAsia="zh-CN"/>
        </w:rPr>
        <w:t>供货</w:t>
      </w:r>
      <w:r>
        <w:rPr>
          <w:rFonts w:hint="eastAsia" w:ascii="宋体" w:hAnsi="宋体" w:cs="宋体"/>
          <w:b/>
          <w:color w:val="auto"/>
          <w:szCs w:val="21"/>
          <w:highlight w:val="yellow"/>
        </w:rPr>
        <w:t>地点</w:t>
      </w:r>
    </w:p>
    <w:p w14:paraId="757B894D">
      <w:pPr>
        <w:keepNext w:val="0"/>
        <w:keepLines w:val="0"/>
        <w:pageBreakBefore w:val="0"/>
        <w:kinsoku/>
        <w:wordWrap/>
        <w:overflowPunct/>
        <w:topLinePunct w:val="0"/>
        <w:autoSpaceDE/>
        <w:autoSpaceDN/>
        <w:bidi w:val="0"/>
        <w:adjustRightInd/>
        <w:snapToGrid/>
        <w:spacing w:line="360" w:lineRule="auto"/>
        <w:ind w:firstLine="426" w:firstLineChars="200"/>
        <w:textAlignment w:val="auto"/>
        <w:rPr>
          <w:rFonts w:hint="default" w:ascii="宋体" w:hAnsi="宋体" w:cs="宋体"/>
          <w:b/>
          <w:color w:val="auto"/>
          <w:szCs w:val="21"/>
          <w:highlight w:val="yellow"/>
          <w:lang w:val="en-US" w:eastAsia="zh-CN"/>
        </w:rPr>
      </w:pPr>
      <w:r>
        <w:rPr>
          <w:rFonts w:hint="eastAsia" w:ascii="宋体" w:hAnsi="宋体" w:cs="宋体"/>
          <w:b w:val="0"/>
          <w:bCs/>
          <w:color w:val="auto"/>
          <w:szCs w:val="21"/>
          <w:highlight w:val="yellow"/>
          <w:lang w:val="en-US" w:eastAsia="zh-CN"/>
        </w:rPr>
        <w:t>甲方指定地点。</w:t>
      </w:r>
      <w:r>
        <w:rPr>
          <w:rFonts w:hint="eastAsia" w:ascii="宋体" w:hAnsi="宋体" w:cs="宋体"/>
          <w:b/>
          <w:color w:val="auto"/>
          <w:szCs w:val="21"/>
          <w:highlight w:val="yellow"/>
          <w:lang w:val="en-US" w:eastAsia="zh-CN"/>
        </w:rPr>
        <w:t xml:space="preserve"> </w:t>
      </w:r>
    </w:p>
    <w:p w14:paraId="14DA7876">
      <w:pPr>
        <w:spacing w:line="360" w:lineRule="auto"/>
        <w:rPr>
          <w:rFonts w:hint="eastAsia" w:ascii="宋体" w:hAnsi="宋体" w:cs="宋体"/>
          <w:b/>
          <w:color w:val="auto"/>
          <w:szCs w:val="21"/>
        </w:rPr>
      </w:pPr>
      <w:bookmarkStart w:id="61" w:name="_Toc340225291"/>
      <w:bookmarkStart w:id="62" w:name="_Toc267320050"/>
      <w:r>
        <w:rPr>
          <w:rFonts w:hint="eastAsia" w:ascii="宋体" w:hAnsi="宋体" w:cs="宋体"/>
          <w:b/>
          <w:color w:val="auto"/>
          <w:szCs w:val="21"/>
        </w:rPr>
        <w:t>（三）报价要求</w:t>
      </w:r>
      <w:bookmarkEnd w:id="61"/>
    </w:p>
    <w:p w14:paraId="4A01AD4E">
      <w:pPr>
        <w:keepNext w:val="0"/>
        <w:keepLines w:val="0"/>
        <w:pageBreakBefore w:val="0"/>
        <w:widowControl w:val="0"/>
        <w:kinsoku/>
        <w:wordWrap/>
        <w:overflowPunct/>
        <w:topLinePunct w:val="0"/>
        <w:autoSpaceDE/>
        <w:autoSpaceDN/>
        <w:bidi w:val="0"/>
        <w:adjustRightInd/>
        <w:snapToGrid/>
        <w:spacing w:line="540" w:lineRule="exact"/>
        <w:ind w:firstLine="426" w:firstLineChars="200"/>
        <w:textAlignment w:val="auto"/>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本次报价为人民币报价，</w:t>
      </w:r>
      <w:bookmarkEnd w:id="62"/>
      <w:r>
        <w:rPr>
          <w:rFonts w:hint="eastAsia" w:ascii="宋体" w:hAnsi="宋体" w:eastAsia="宋体" w:cs="宋体"/>
          <w:bCs/>
          <w:color w:val="auto"/>
          <w:kern w:val="2"/>
          <w:sz w:val="21"/>
          <w:szCs w:val="21"/>
          <w:lang w:val="en-US" w:eastAsia="zh-CN" w:bidi="ar-SA"/>
        </w:rPr>
        <w:t>投标报价应包括：货物本身价格、包装费、运输费用、二次搬运费、损耗、安装费、技术指导、税金费用、伴随服务过程中备件费、专用工具费、伴随产品资料费、技术服务费、技术考察费、自检费及验收合格前和质保期内发生的一切费用、应当提供的伴随服务/售后服务费用以及及招标文件要求的供应商需要支付的所有费用。因中标供应商自身原因造成漏报、少报皆由其自行承担责任，采购人不再补偿。</w:t>
      </w:r>
    </w:p>
    <w:p w14:paraId="5EE5B552">
      <w:pPr>
        <w:widowControl/>
        <w:numPr>
          <w:ilvl w:val="0"/>
          <w:numId w:val="8"/>
        </w:numPr>
        <w:spacing w:line="360" w:lineRule="auto"/>
        <w:ind w:left="0" w:leftChars="0" w:firstLine="0" w:firstLineChars="0"/>
        <w:rPr>
          <w:rFonts w:hint="eastAsia" w:ascii="宋体" w:hAnsi="宋体" w:cs="宋体"/>
          <w:b/>
          <w:bCs/>
          <w:color w:val="000000" w:themeColor="text1"/>
          <w:kern w:val="0"/>
          <w:szCs w:val="21"/>
          <w:lang w:val="en-US" w:eastAsia="zh-CN"/>
          <w14:textFill>
            <w14:solidFill>
              <w14:schemeClr w14:val="tx1"/>
            </w14:solidFill>
          </w14:textFill>
        </w:rPr>
      </w:pPr>
      <w:r>
        <w:rPr>
          <w:rFonts w:hint="eastAsia" w:ascii="宋体" w:hAnsi="宋体" w:cs="宋体"/>
          <w:b/>
          <w:bCs/>
          <w:color w:val="000000" w:themeColor="text1"/>
          <w:kern w:val="0"/>
          <w:szCs w:val="21"/>
          <w:lang w:val="en-US" w:eastAsia="zh-CN"/>
          <w14:textFill>
            <w14:solidFill>
              <w14:schemeClr w14:val="tx1"/>
            </w14:solidFill>
          </w14:textFill>
        </w:rPr>
        <w:t>服务要求</w:t>
      </w:r>
    </w:p>
    <w:p w14:paraId="495E879D">
      <w:pPr>
        <w:pStyle w:val="10"/>
        <w:numPr>
          <w:ilvl w:val="0"/>
          <w:numId w:val="0"/>
        </w:numPr>
        <w:ind w:leftChars="0" w:firstLine="426" w:firstLineChars="200"/>
        <w:rPr>
          <w:rFonts w:hint="default"/>
          <w:color w:val="FF0000"/>
          <w:lang w:val="en-US" w:eastAsia="zh-CN"/>
        </w:rPr>
      </w:pPr>
      <w:r>
        <w:rPr>
          <w:rFonts w:hint="eastAsia" w:ascii="宋体" w:hAnsi="宋体" w:cs="宋体"/>
          <w:bCs/>
          <w:color w:val="FF0000"/>
          <w:szCs w:val="21"/>
        </w:rPr>
        <w:t>中标人应当为</w:t>
      </w:r>
      <w:r>
        <w:rPr>
          <w:rFonts w:hint="eastAsia" w:ascii="宋体" w:hAnsi="宋体" w:cs="宋体"/>
          <w:bCs/>
          <w:color w:val="FF0000"/>
          <w:szCs w:val="21"/>
          <w:lang w:eastAsia="zh-CN"/>
        </w:rPr>
        <w:t>采购单位</w:t>
      </w:r>
      <w:r>
        <w:rPr>
          <w:rFonts w:hint="eastAsia" w:ascii="宋体" w:hAnsi="宋体" w:cs="宋体"/>
          <w:bCs/>
          <w:color w:val="FF0000"/>
          <w:szCs w:val="21"/>
        </w:rPr>
        <w:t>24小时提供</w:t>
      </w:r>
      <w:r>
        <w:rPr>
          <w:rFonts w:hint="eastAsia" w:ascii="宋体" w:hAnsi="宋体" w:cs="宋体"/>
          <w:bCs/>
          <w:color w:val="FF0000"/>
          <w:szCs w:val="21"/>
          <w:lang w:val="en-US" w:eastAsia="zh-CN"/>
        </w:rPr>
        <w:t>客服</w:t>
      </w:r>
      <w:r>
        <w:rPr>
          <w:rFonts w:hint="eastAsia" w:ascii="宋体" w:hAnsi="宋体" w:cs="宋体"/>
          <w:bCs/>
          <w:color w:val="FF0000"/>
          <w:szCs w:val="21"/>
        </w:rPr>
        <w:t>援助电话，接到电话后</w:t>
      </w:r>
      <w:r>
        <w:rPr>
          <w:rFonts w:hint="eastAsia" w:ascii="宋体" w:hAnsi="宋体" w:cs="宋体"/>
          <w:bCs/>
          <w:color w:val="FF0000"/>
          <w:szCs w:val="21"/>
          <w:lang w:val="en-US" w:eastAsia="zh-CN"/>
        </w:rPr>
        <w:t>1</w:t>
      </w:r>
      <w:r>
        <w:rPr>
          <w:rFonts w:hint="eastAsia" w:ascii="宋体" w:hAnsi="宋体" w:cs="宋体"/>
          <w:bCs/>
          <w:color w:val="FF0000"/>
          <w:szCs w:val="21"/>
        </w:rPr>
        <w:t>小时响应</w:t>
      </w:r>
      <w:r>
        <w:rPr>
          <w:rFonts w:hint="eastAsia" w:ascii="宋体" w:hAnsi="宋体" w:cs="宋体"/>
          <w:bCs/>
          <w:color w:val="FF0000"/>
          <w:szCs w:val="21"/>
          <w:lang w:val="en-US" w:eastAsia="zh-CN"/>
        </w:rPr>
        <w:t>并</w:t>
      </w:r>
      <w:r>
        <w:rPr>
          <w:rFonts w:hint="eastAsia" w:ascii="宋体" w:hAnsi="宋体" w:cs="宋体"/>
          <w:bCs/>
          <w:color w:val="FF0000"/>
          <w:szCs w:val="21"/>
        </w:rPr>
        <w:t>解答</w:t>
      </w:r>
      <w:r>
        <w:rPr>
          <w:rFonts w:hint="eastAsia" w:ascii="宋体" w:hAnsi="宋体" w:cs="宋体"/>
          <w:bCs/>
          <w:color w:val="FF0000"/>
          <w:szCs w:val="21"/>
          <w:lang w:eastAsia="zh-CN"/>
        </w:rPr>
        <w:t>采购单位</w:t>
      </w:r>
      <w:r>
        <w:rPr>
          <w:rFonts w:hint="eastAsia" w:ascii="宋体" w:hAnsi="宋体" w:cs="宋体"/>
          <w:bCs/>
          <w:color w:val="FF0000"/>
          <w:szCs w:val="21"/>
        </w:rPr>
        <w:t>在使用中遇到的问题</w:t>
      </w:r>
      <w:r>
        <w:rPr>
          <w:rFonts w:hint="eastAsia" w:ascii="宋体" w:hAnsi="宋体" w:cs="宋体"/>
          <w:bCs/>
          <w:color w:val="FF0000"/>
          <w:szCs w:val="21"/>
          <w:lang w:eastAsia="zh-CN"/>
        </w:rPr>
        <w:t>，</w:t>
      </w:r>
      <w:r>
        <w:rPr>
          <w:rFonts w:hint="eastAsia" w:ascii="宋体" w:hAnsi="宋体" w:cs="宋体"/>
          <w:bCs/>
          <w:color w:val="FF0000"/>
          <w:szCs w:val="21"/>
          <w:lang w:val="en-US" w:eastAsia="zh-CN"/>
        </w:rPr>
        <w:t>24小时内进入理赔程序</w:t>
      </w:r>
      <w:r>
        <w:rPr>
          <w:rFonts w:hint="eastAsia" w:ascii="宋体" w:hAnsi="宋体" w:cs="宋体"/>
          <w:bCs/>
          <w:color w:val="FF0000"/>
          <w:szCs w:val="21"/>
        </w:rPr>
        <w:t>，及时为</w:t>
      </w:r>
      <w:r>
        <w:rPr>
          <w:rFonts w:hint="eastAsia" w:ascii="宋体" w:hAnsi="宋体" w:cs="宋体"/>
          <w:bCs/>
          <w:color w:val="FF0000"/>
          <w:szCs w:val="21"/>
          <w:lang w:eastAsia="zh-CN"/>
        </w:rPr>
        <w:t>采购单位</w:t>
      </w:r>
      <w:r>
        <w:rPr>
          <w:rFonts w:hint="eastAsia" w:ascii="宋体" w:hAnsi="宋体" w:cs="宋体"/>
          <w:bCs/>
          <w:color w:val="FF0000"/>
          <w:szCs w:val="21"/>
        </w:rPr>
        <w:t>提出解决问题的建议。</w:t>
      </w:r>
    </w:p>
    <w:p w14:paraId="3987F821">
      <w:pPr>
        <w:keepNext w:val="0"/>
        <w:keepLines w:val="0"/>
        <w:pageBreakBefore w:val="0"/>
        <w:kinsoku/>
        <w:wordWrap/>
        <w:overflowPunct/>
        <w:topLinePunct w:val="0"/>
        <w:autoSpaceDE/>
        <w:autoSpaceDN/>
        <w:bidi w:val="0"/>
        <w:adjustRightInd/>
        <w:snapToGrid/>
        <w:spacing w:line="360" w:lineRule="auto"/>
        <w:ind w:firstLine="426" w:firstLineChars="200"/>
        <w:textAlignment w:val="auto"/>
        <w:rPr>
          <w:rFonts w:hint="eastAsia" w:ascii="宋体" w:hAnsi="宋体" w:eastAsia="宋体" w:cs="宋体"/>
          <w:b/>
          <w:bCs w:val="0"/>
          <w:color w:val="000000" w:themeColor="text1"/>
          <w:szCs w:val="21"/>
          <w:lang w:val="en-US" w:eastAsia="zh-CN"/>
          <w14:textFill>
            <w14:solidFill>
              <w14:schemeClr w14:val="tx1"/>
            </w14:solidFill>
          </w14:textFill>
        </w:rPr>
      </w:pPr>
      <w:r>
        <w:rPr>
          <w:rFonts w:hint="eastAsia" w:ascii="宋体" w:hAnsi="宋体" w:eastAsia="宋体" w:cs="宋体"/>
          <w:b/>
          <w:bCs w:val="0"/>
          <w:color w:val="000000" w:themeColor="text1"/>
          <w:szCs w:val="21"/>
          <w:lang w:val="en-US" w:eastAsia="zh-CN"/>
          <w14:textFill>
            <w14:solidFill>
              <w14:schemeClr w14:val="tx1"/>
            </w14:solidFill>
          </w14:textFill>
        </w:rPr>
        <w:t>1、</w:t>
      </w:r>
      <w:r>
        <w:rPr>
          <w:rFonts w:hint="eastAsia" w:ascii="宋体" w:hAnsi="宋体" w:cs="宋体"/>
          <w:b/>
          <w:bCs w:val="0"/>
          <w:color w:val="000000" w:themeColor="text1"/>
          <w:szCs w:val="21"/>
          <w:lang w:val="en-US" w:eastAsia="zh-CN"/>
          <w14:textFill>
            <w14:solidFill>
              <w14:schemeClr w14:val="tx1"/>
            </w14:solidFill>
          </w14:textFill>
        </w:rPr>
        <w:t>服务期：</w:t>
      </w:r>
      <w:r>
        <w:rPr>
          <w:rFonts w:hint="eastAsia" w:ascii="宋体" w:hAnsi="宋体" w:eastAsia="宋体" w:cs="宋体"/>
          <w:b/>
          <w:bCs w:val="0"/>
          <w:color w:val="000000" w:themeColor="text1"/>
          <w:szCs w:val="21"/>
          <w:lang w:val="en-US" w:eastAsia="zh-CN"/>
          <w14:textFill>
            <w14:solidFill>
              <w14:schemeClr w14:val="tx1"/>
            </w14:solidFill>
          </w14:textFill>
        </w:rPr>
        <w:t>自</w:t>
      </w:r>
      <w:r>
        <w:rPr>
          <w:rFonts w:hint="eastAsia" w:ascii="宋体" w:hAnsi="宋体" w:cs="宋体"/>
          <w:b/>
          <w:bCs w:val="0"/>
          <w:color w:val="000000" w:themeColor="text1"/>
          <w:szCs w:val="21"/>
          <w:lang w:val="en-US" w:eastAsia="zh-CN"/>
          <w14:textFill>
            <w14:solidFill>
              <w14:schemeClr w14:val="tx1"/>
            </w14:solidFill>
          </w14:textFill>
        </w:rPr>
        <w:t>出具保险单后一年</w:t>
      </w:r>
      <w:r>
        <w:rPr>
          <w:rFonts w:hint="eastAsia" w:ascii="宋体" w:hAnsi="宋体" w:eastAsia="宋体" w:cs="宋体"/>
          <w:b/>
          <w:bCs w:val="0"/>
          <w:color w:val="000000" w:themeColor="text1"/>
          <w:szCs w:val="21"/>
          <w:lang w:val="en-US" w:eastAsia="zh-CN"/>
          <w14:textFill>
            <w14:solidFill>
              <w14:schemeClr w14:val="tx1"/>
            </w14:solidFill>
          </w14:textFill>
        </w:rPr>
        <w:t>。</w:t>
      </w:r>
    </w:p>
    <w:p w14:paraId="71244EC6">
      <w:pPr>
        <w:keepNext w:val="0"/>
        <w:keepLines w:val="0"/>
        <w:pageBreakBefore w:val="0"/>
        <w:kinsoku/>
        <w:wordWrap/>
        <w:overflowPunct/>
        <w:topLinePunct w:val="0"/>
        <w:autoSpaceDE/>
        <w:autoSpaceDN/>
        <w:bidi w:val="0"/>
        <w:adjustRightInd/>
        <w:snapToGrid/>
        <w:spacing w:line="360" w:lineRule="auto"/>
        <w:ind w:firstLine="426" w:firstLineChars="200"/>
        <w:textAlignment w:val="auto"/>
        <w:rPr>
          <w:rFonts w:hint="eastAsia" w:ascii="宋体" w:hAnsi="宋体" w:eastAsia="宋体" w:cs="宋体"/>
          <w:b/>
          <w:bCs w:val="0"/>
          <w:color w:val="000000" w:themeColor="text1"/>
          <w:szCs w:val="21"/>
          <w:lang w:val="en-US" w:eastAsia="zh-CN"/>
          <w14:textFill>
            <w14:solidFill>
              <w14:schemeClr w14:val="tx1"/>
            </w14:solidFill>
          </w14:textFill>
        </w:rPr>
      </w:pPr>
      <w:r>
        <w:rPr>
          <w:rFonts w:hint="eastAsia" w:ascii="宋体" w:hAnsi="宋体" w:eastAsia="宋体" w:cs="宋体"/>
          <w:b/>
          <w:bCs w:val="0"/>
          <w:color w:val="000000" w:themeColor="text1"/>
          <w:szCs w:val="21"/>
          <w:lang w:val="en-US" w:eastAsia="zh-CN"/>
          <w14:textFill>
            <w14:solidFill>
              <w14:schemeClr w14:val="tx1"/>
            </w14:solidFill>
          </w14:textFill>
        </w:rPr>
        <w:t xml:space="preserve">2、保险公司需提交针对本项目的实施计划，其中包括： 保险方案及条款、理赔方案及条款、理赔细则说明、 服务响应时效、承保及偿付能力说明、对于本项目的风险认识、服务机构及服务小组的构成情况服务等； </w:t>
      </w:r>
    </w:p>
    <w:p w14:paraId="382D26A1">
      <w:pPr>
        <w:keepNext w:val="0"/>
        <w:keepLines w:val="0"/>
        <w:pageBreakBefore w:val="0"/>
        <w:kinsoku/>
        <w:wordWrap/>
        <w:overflowPunct/>
        <w:topLinePunct w:val="0"/>
        <w:autoSpaceDE/>
        <w:autoSpaceDN/>
        <w:bidi w:val="0"/>
        <w:adjustRightInd/>
        <w:snapToGrid/>
        <w:spacing w:line="360" w:lineRule="auto"/>
        <w:ind w:firstLine="426" w:firstLineChars="200"/>
        <w:textAlignment w:val="auto"/>
        <w:rPr>
          <w:rFonts w:hint="eastAsia" w:ascii="宋体" w:hAnsi="宋体" w:eastAsia="宋体" w:cs="宋体"/>
          <w:b/>
          <w:bCs w:val="0"/>
          <w:color w:val="000000" w:themeColor="text1"/>
          <w:szCs w:val="21"/>
          <w:lang w:val="en-US" w:eastAsia="zh-CN"/>
          <w14:textFill>
            <w14:solidFill>
              <w14:schemeClr w14:val="tx1"/>
            </w14:solidFill>
          </w14:textFill>
        </w:rPr>
      </w:pPr>
      <w:r>
        <w:rPr>
          <w:rFonts w:hint="eastAsia" w:ascii="宋体" w:hAnsi="宋体" w:eastAsia="宋体" w:cs="宋体"/>
          <w:b/>
          <w:bCs w:val="0"/>
          <w:color w:val="000000" w:themeColor="text1"/>
          <w:szCs w:val="21"/>
          <w:lang w:val="en-US" w:eastAsia="zh-CN"/>
          <w14:textFill>
            <w14:solidFill>
              <w14:schemeClr w14:val="tx1"/>
            </w14:solidFill>
          </w14:textFill>
        </w:rPr>
        <w:t xml:space="preserve">3、为保证民生保险的服务质量，承保公司需承诺组成本项目的服务小组，小组人员数量满足服务需求、有专人负责，明确理赔程序及联系方式。被保险人出险后，服务小组人员按响应承诺负责现场查勘、材料搜集、确认理赔等服务工作； </w:t>
      </w:r>
    </w:p>
    <w:p w14:paraId="0EE43F35">
      <w:pPr>
        <w:keepNext w:val="0"/>
        <w:keepLines w:val="0"/>
        <w:pageBreakBefore w:val="0"/>
        <w:kinsoku/>
        <w:wordWrap/>
        <w:overflowPunct/>
        <w:topLinePunct w:val="0"/>
        <w:autoSpaceDE/>
        <w:autoSpaceDN/>
        <w:bidi w:val="0"/>
        <w:adjustRightInd/>
        <w:snapToGrid/>
        <w:spacing w:line="360" w:lineRule="auto"/>
        <w:ind w:firstLine="426" w:firstLineChars="200"/>
        <w:textAlignment w:val="auto"/>
        <w:rPr>
          <w:rFonts w:hint="eastAsia" w:ascii="宋体" w:hAnsi="宋体" w:eastAsia="宋体" w:cs="宋体"/>
          <w:b/>
          <w:bCs w:val="0"/>
          <w:color w:val="000000" w:themeColor="text1"/>
          <w:szCs w:val="21"/>
          <w:lang w:val="en-US" w:eastAsia="zh-CN"/>
          <w14:textFill>
            <w14:solidFill>
              <w14:schemeClr w14:val="tx1"/>
            </w14:solidFill>
          </w14:textFill>
        </w:rPr>
      </w:pPr>
      <w:r>
        <w:rPr>
          <w:rFonts w:hint="eastAsia" w:ascii="宋体" w:hAnsi="宋体" w:eastAsia="宋体" w:cs="宋体"/>
          <w:b/>
          <w:bCs w:val="0"/>
          <w:color w:val="000000" w:themeColor="text1"/>
          <w:szCs w:val="21"/>
          <w:lang w:val="en-US" w:eastAsia="zh-CN"/>
          <w14:textFill>
            <w14:solidFill>
              <w14:schemeClr w14:val="tx1"/>
            </w14:solidFill>
          </w14:textFill>
        </w:rPr>
        <w:t xml:space="preserve">4、承保公司必须明确项目的理赔人员名单，该人员如调动离岗，须及时告知被保险人接替人员联系方式。 </w:t>
      </w:r>
    </w:p>
    <w:p w14:paraId="1F61BE2C">
      <w:pPr>
        <w:widowControl/>
        <w:spacing w:line="360" w:lineRule="auto"/>
        <w:rPr>
          <w:rFonts w:hint="eastAsia"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kern w:val="0"/>
          <w:szCs w:val="21"/>
          <w14:textFill>
            <w14:solidFill>
              <w14:schemeClr w14:val="tx1"/>
            </w14:solidFill>
          </w14:textFill>
        </w:rPr>
        <w:t>（</w:t>
      </w:r>
      <w:r>
        <w:rPr>
          <w:rFonts w:hint="eastAsia" w:ascii="宋体" w:hAnsi="宋体" w:cs="宋体"/>
          <w:b/>
          <w:bCs/>
          <w:color w:val="000000" w:themeColor="text1"/>
          <w:kern w:val="0"/>
          <w:szCs w:val="21"/>
          <w:lang w:eastAsia="zh-CN"/>
          <w14:textFill>
            <w14:solidFill>
              <w14:schemeClr w14:val="tx1"/>
            </w14:solidFill>
          </w14:textFill>
        </w:rPr>
        <w:t>五</w:t>
      </w:r>
      <w:r>
        <w:rPr>
          <w:rFonts w:hint="eastAsia" w:ascii="宋体" w:hAnsi="宋体" w:cs="宋体"/>
          <w:b/>
          <w:bCs/>
          <w:color w:val="000000" w:themeColor="text1"/>
          <w:kern w:val="0"/>
          <w:szCs w:val="21"/>
          <w14:textFill>
            <w14:solidFill>
              <w14:schemeClr w14:val="tx1"/>
            </w14:solidFill>
          </w14:textFill>
        </w:rPr>
        <w:t>）</w:t>
      </w:r>
      <w:r>
        <w:rPr>
          <w:rFonts w:hint="eastAsia" w:ascii="宋体" w:hAnsi="宋体" w:cs="宋体"/>
          <w:b/>
          <w:bCs/>
          <w:color w:val="000000" w:themeColor="text1"/>
          <w:szCs w:val="21"/>
          <w14:textFill>
            <w14:solidFill>
              <w14:schemeClr w14:val="tx1"/>
            </w14:solidFill>
          </w14:textFill>
        </w:rPr>
        <w:t>验收保证的承诺</w:t>
      </w:r>
    </w:p>
    <w:p w14:paraId="1AFAF611">
      <w:pPr>
        <w:keepNext w:val="0"/>
        <w:keepLines w:val="0"/>
        <w:pageBreakBefore w:val="0"/>
        <w:kinsoku/>
        <w:wordWrap/>
        <w:overflowPunct/>
        <w:topLinePunct w:val="0"/>
        <w:autoSpaceDE/>
        <w:autoSpaceDN/>
        <w:bidi w:val="0"/>
        <w:adjustRightInd/>
        <w:snapToGrid/>
        <w:spacing w:line="360" w:lineRule="auto"/>
        <w:ind w:firstLine="426" w:firstLineChars="200"/>
        <w:textAlignment w:val="auto"/>
        <w:rPr>
          <w:rFonts w:hint="eastAsia" w:ascii="宋体" w:hAnsi="宋体" w:eastAsia="宋体" w:cs="宋体"/>
          <w:b/>
          <w:bCs w:val="0"/>
          <w:color w:val="000000" w:themeColor="text1"/>
          <w:szCs w:val="21"/>
          <w:lang w:val="en-US" w:eastAsia="zh-CN"/>
          <w14:textFill>
            <w14:solidFill>
              <w14:schemeClr w14:val="tx1"/>
            </w14:solidFill>
          </w14:textFill>
        </w:rPr>
      </w:pPr>
      <w:r>
        <w:rPr>
          <w:rFonts w:hint="eastAsia" w:ascii="宋体" w:hAnsi="宋体" w:eastAsia="宋体" w:cs="宋体"/>
          <w:b/>
          <w:bCs w:val="0"/>
          <w:color w:val="000000" w:themeColor="text1"/>
          <w:szCs w:val="21"/>
          <w:lang w:val="en-US" w:eastAsia="zh-CN"/>
          <w14:textFill>
            <w14:solidFill>
              <w14:schemeClr w14:val="tx1"/>
            </w14:solidFill>
          </w14:textFill>
        </w:rPr>
        <w:t>采购人按相关法律法规组织验收。</w:t>
      </w:r>
    </w:p>
    <w:p w14:paraId="3FA7A361">
      <w:pPr>
        <w:spacing w:line="360" w:lineRule="auto"/>
        <w:rPr>
          <w:rFonts w:hint="eastAsia" w:ascii="宋体" w:hAnsi="宋体" w:cs="宋体"/>
          <w:b/>
          <w:color w:val="000000" w:themeColor="text1"/>
          <w:szCs w:val="21"/>
          <w:highlight w:val="yellow"/>
          <w14:textFill>
            <w14:solidFill>
              <w14:schemeClr w14:val="tx1"/>
            </w14:solidFill>
          </w14:textFill>
        </w:rPr>
      </w:pPr>
      <w:r>
        <w:rPr>
          <w:rFonts w:hint="eastAsia" w:ascii="宋体" w:hAnsi="宋体" w:cs="宋体"/>
          <w:b/>
          <w:color w:val="000000" w:themeColor="text1"/>
          <w:szCs w:val="21"/>
          <w:highlight w:val="yellow"/>
          <w14:textFill>
            <w14:solidFill>
              <w14:schemeClr w14:val="tx1"/>
            </w14:solidFill>
          </w14:textFill>
        </w:rPr>
        <w:t>（</w:t>
      </w:r>
      <w:r>
        <w:rPr>
          <w:rFonts w:hint="eastAsia" w:ascii="宋体" w:hAnsi="宋体" w:cs="宋体"/>
          <w:b/>
          <w:color w:val="000000" w:themeColor="text1"/>
          <w:szCs w:val="21"/>
          <w:highlight w:val="yellow"/>
          <w:lang w:eastAsia="zh-CN"/>
          <w14:textFill>
            <w14:solidFill>
              <w14:schemeClr w14:val="tx1"/>
            </w14:solidFill>
          </w14:textFill>
        </w:rPr>
        <w:t>六</w:t>
      </w:r>
      <w:r>
        <w:rPr>
          <w:rFonts w:hint="eastAsia" w:ascii="宋体" w:hAnsi="宋体" w:cs="宋体"/>
          <w:b/>
          <w:color w:val="000000" w:themeColor="text1"/>
          <w:szCs w:val="21"/>
          <w:highlight w:val="yellow"/>
          <w14:textFill>
            <w14:solidFill>
              <w14:schemeClr w14:val="tx1"/>
            </w14:solidFill>
          </w14:textFill>
        </w:rPr>
        <w:t>）付款方式</w:t>
      </w:r>
    </w:p>
    <w:p w14:paraId="3E43CF28">
      <w:pPr>
        <w:spacing w:line="360" w:lineRule="auto"/>
        <w:rPr>
          <w:rFonts w:hint="default" w:ascii="宋体" w:hAnsi="宋体" w:eastAsia="宋体" w:cs="宋体"/>
          <w:b/>
          <w:color w:val="000000" w:themeColor="text1"/>
          <w:sz w:val="21"/>
          <w:szCs w:val="21"/>
          <w:highlight w:val="yellow"/>
          <w:lang w:val="en-US" w:eastAsia="zh-CN"/>
          <w14:textFill>
            <w14:solidFill>
              <w14:schemeClr w14:val="tx1"/>
            </w14:solidFill>
          </w14:textFill>
        </w:rPr>
      </w:pPr>
      <w:r>
        <w:rPr>
          <w:rFonts w:hint="eastAsia" w:ascii="宋体" w:hAnsi="宋体" w:cs="宋体"/>
          <w:b/>
          <w:color w:val="000000" w:themeColor="text1"/>
          <w:sz w:val="21"/>
          <w:szCs w:val="21"/>
          <w:highlight w:val="yellow"/>
          <w:lang w:val="en-US" w:eastAsia="zh-CN"/>
          <w14:textFill>
            <w14:solidFill>
              <w14:schemeClr w14:val="tx1"/>
            </w14:solidFill>
          </w14:textFill>
        </w:rPr>
        <w:t>预付全部款项(具体以甲乙双方签订合同约定)</w:t>
      </w:r>
    </w:p>
    <w:p w14:paraId="5A983973">
      <w:pPr>
        <w:spacing w:line="360" w:lineRule="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lang w:val="en-US" w:eastAsia="zh-CN"/>
          <w14:textFill>
            <w14:solidFill>
              <w14:schemeClr w14:val="tx1"/>
            </w14:solidFill>
          </w14:textFill>
        </w:rPr>
        <w:t>（七）售后</w:t>
      </w:r>
      <w:r>
        <w:rPr>
          <w:rFonts w:hint="eastAsia" w:ascii="宋体" w:hAnsi="宋体" w:eastAsia="宋体" w:cs="宋体"/>
          <w:b/>
          <w:color w:val="000000" w:themeColor="text1"/>
          <w:sz w:val="21"/>
          <w:szCs w:val="21"/>
          <w:highlight w:val="none"/>
          <w:lang w:eastAsia="zh-CN"/>
          <w14:textFill>
            <w14:solidFill>
              <w14:schemeClr w14:val="tx1"/>
            </w14:solidFill>
          </w14:textFill>
        </w:rPr>
        <w:t>服务</w:t>
      </w:r>
      <w:r>
        <w:rPr>
          <w:rFonts w:hint="eastAsia" w:ascii="宋体" w:hAnsi="宋体" w:eastAsia="宋体" w:cs="宋体"/>
          <w:b/>
          <w:color w:val="000000" w:themeColor="text1"/>
          <w:sz w:val="21"/>
          <w:szCs w:val="21"/>
          <w:highlight w:val="none"/>
          <w14:textFill>
            <w14:solidFill>
              <w14:schemeClr w14:val="tx1"/>
            </w14:solidFill>
          </w14:textFill>
        </w:rPr>
        <w:t>要求</w:t>
      </w:r>
    </w:p>
    <w:p w14:paraId="22100110">
      <w:pPr>
        <w:spacing w:line="360" w:lineRule="auto"/>
        <w:ind w:firstLine="426" w:firstLineChars="200"/>
        <w:rPr>
          <w:rFonts w:hint="eastAsia" w:ascii="宋体" w:hAnsi="宋体" w:eastAsia="宋体" w:cs="宋体"/>
          <w:b/>
          <w:bCs w:val="0"/>
          <w:color w:val="000000" w:themeColor="text1"/>
          <w:szCs w:val="21"/>
          <w:lang w:val="en-US" w:eastAsia="zh-CN"/>
          <w14:textFill>
            <w14:solidFill>
              <w14:schemeClr w14:val="tx1"/>
            </w14:solidFill>
          </w14:textFill>
        </w:rPr>
      </w:pPr>
      <w:r>
        <w:rPr>
          <w:rFonts w:hint="eastAsia" w:ascii="宋体" w:hAnsi="宋体" w:eastAsia="宋体" w:cs="宋体"/>
          <w:b/>
          <w:bCs w:val="0"/>
          <w:color w:val="000000" w:themeColor="text1"/>
          <w:szCs w:val="21"/>
          <w:lang w:val="en-US" w:eastAsia="zh-CN"/>
          <w14:textFill>
            <w14:solidFill>
              <w14:schemeClr w14:val="tx1"/>
            </w14:solidFill>
          </w14:textFill>
        </w:rPr>
        <w:t xml:space="preserve">1、售后服务承诺：设立365天无休日，24 小时报案、咨询受理电话，应针对本项目开设绿色通道服务，确保本项目项下的相关当事人可以获取优先、便捷、高效、优质、全面的服务； </w:t>
      </w:r>
    </w:p>
    <w:p w14:paraId="1D78836C">
      <w:pPr>
        <w:keepNext w:val="0"/>
        <w:keepLines w:val="0"/>
        <w:pageBreakBefore w:val="0"/>
        <w:widowControl w:val="0"/>
        <w:kinsoku/>
        <w:wordWrap/>
        <w:overflowPunct/>
        <w:topLinePunct w:val="0"/>
        <w:autoSpaceDE/>
        <w:autoSpaceDN/>
        <w:bidi w:val="0"/>
        <w:adjustRightInd/>
        <w:snapToGrid/>
        <w:spacing w:line="360" w:lineRule="auto"/>
        <w:ind w:firstLine="426"/>
        <w:jc w:val="left"/>
        <w:textAlignment w:val="auto"/>
        <w:rPr>
          <w:rFonts w:hint="eastAsia" w:ascii="宋体" w:hAnsi="宋体" w:eastAsia="宋体" w:cs="宋体"/>
          <w:b/>
          <w:bCs w:val="0"/>
          <w:color w:val="000000" w:themeColor="text1"/>
          <w:szCs w:val="2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2、</w:t>
      </w:r>
      <w:r>
        <w:rPr>
          <w:rFonts w:hint="eastAsia" w:ascii="宋体" w:hAnsi="宋体" w:eastAsia="宋体" w:cs="宋体"/>
          <w:b/>
          <w:bCs w:val="0"/>
          <w:color w:val="000000" w:themeColor="text1"/>
          <w:szCs w:val="21"/>
          <w:lang w:val="en-US" w:eastAsia="zh-CN"/>
          <w14:textFill>
            <w14:solidFill>
              <w14:schemeClr w14:val="tx1"/>
            </w14:solidFill>
          </w14:textFill>
        </w:rPr>
        <w:t>设立客户理赔投诉电话，建立客户投诉处理机制，对投诉案件及时登记备案；</w:t>
      </w:r>
    </w:p>
    <w:p w14:paraId="4DE719E3">
      <w:pPr>
        <w:pStyle w:val="10"/>
        <w:ind w:firstLine="426"/>
        <w:rPr>
          <w:rFonts w:hint="default"/>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3、</w:t>
      </w:r>
      <w:r>
        <w:rPr>
          <w:rFonts w:hint="eastAsia" w:ascii="宋体" w:hAnsi="宋体" w:eastAsia="宋体" w:cs="宋体"/>
          <w:b/>
          <w:bCs w:val="0"/>
          <w:color w:val="000000" w:themeColor="text1"/>
          <w:szCs w:val="21"/>
          <w:lang w:val="en-US" w:eastAsia="zh-CN"/>
          <w14:textFill>
            <w14:solidFill>
              <w14:schemeClr w14:val="tx1"/>
            </w14:solidFill>
          </w14:textFill>
        </w:rPr>
        <w:t>在保险期限内，承保公司于每半年后的15天内必须向投保人提供已解决与未解决赔款统计数。</w:t>
      </w:r>
    </w:p>
    <w:p w14:paraId="4ECC398D">
      <w:pPr>
        <w:spacing w:line="360" w:lineRule="auto"/>
        <w:jc w:val="left"/>
        <w:rPr>
          <w:rFonts w:hint="eastAsia"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w:t>
      </w:r>
      <w:r>
        <w:rPr>
          <w:rFonts w:hint="eastAsia" w:ascii="宋体" w:hAnsi="宋体" w:cs="宋体"/>
          <w:b/>
          <w:color w:val="000000" w:themeColor="text1"/>
          <w:szCs w:val="21"/>
          <w:lang w:val="en-US" w:eastAsia="zh-CN"/>
          <w14:textFill>
            <w14:solidFill>
              <w14:schemeClr w14:val="tx1"/>
            </w14:solidFill>
          </w14:textFill>
        </w:rPr>
        <w:t>八</w:t>
      </w:r>
      <w:r>
        <w:rPr>
          <w:rFonts w:hint="eastAsia" w:ascii="宋体" w:hAnsi="宋体" w:cs="宋体"/>
          <w:b/>
          <w:color w:val="000000" w:themeColor="text1"/>
          <w:szCs w:val="21"/>
          <w14:textFill>
            <w14:solidFill>
              <w14:schemeClr w14:val="tx1"/>
            </w14:solidFill>
          </w14:textFill>
        </w:rPr>
        <w:t>）知识产权</w:t>
      </w:r>
    </w:p>
    <w:p w14:paraId="15F1008B">
      <w:pPr>
        <w:spacing w:line="360" w:lineRule="auto"/>
        <w:rPr>
          <w:rFonts w:hint="eastAsia"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 xml:space="preserve">     采购人在中华人民共和国境内使用投标人提供的货物及服务时免受第三方提出的侵犯其专利权或其它知识产权的起诉。如果第三方提出侵权指控，中标人应承担由此而引起的一切法律责任和费用。</w:t>
      </w:r>
    </w:p>
    <w:p w14:paraId="10A91C15">
      <w:pPr>
        <w:spacing w:line="360" w:lineRule="auto"/>
        <w:rPr>
          <w:rFonts w:hint="eastAsia"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w:t>
      </w:r>
      <w:r>
        <w:rPr>
          <w:rFonts w:hint="eastAsia" w:ascii="宋体" w:hAnsi="宋体" w:cs="宋体"/>
          <w:b/>
          <w:color w:val="000000" w:themeColor="text1"/>
          <w:szCs w:val="21"/>
          <w:lang w:val="en-US" w:eastAsia="zh-CN"/>
          <w14:textFill>
            <w14:solidFill>
              <w14:schemeClr w14:val="tx1"/>
            </w14:solidFill>
          </w14:textFill>
        </w:rPr>
        <w:t>九</w:t>
      </w:r>
      <w:r>
        <w:rPr>
          <w:rFonts w:hint="eastAsia" w:ascii="宋体" w:hAnsi="宋体" w:cs="宋体"/>
          <w:b/>
          <w:color w:val="000000" w:themeColor="text1"/>
          <w:szCs w:val="21"/>
          <w14:textFill>
            <w14:solidFill>
              <w14:schemeClr w14:val="tx1"/>
            </w14:solidFill>
          </w14:textFill>
        </w:rPr>
        <w:t>）其他</w:t>
      </w:r>
    </w:p>
    <w:p w14:paraId="6CAF9250">
      <w:pPr>
        <w:spacing w:line="360" w:lineRule="auto"/>
        <w:ind w:firstLine="426" w:firstLineChars="200"/>
        <w:rPr>
          <w:rFonts w:hint="eastAsia"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1、投标人必须在投标文件中对以上条款和服务承诺明确列出，承诺内容必须达到本篇及招标文件其他条款的要求。</w:t>
      </w:r>
    </w:p>
    <w:p w14:paraId="0CA4893F">
      <w:pPr>
        <w:spacing w:line="360" w:lineRule="auto"/>
        <w:ind w:firstLine="426" w:firstLineChars="200"/>
        <w:rPr>
          <w:rFonts w:hint="eastAsia"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2、其他未尽事宜由供需双方在采购合同中详细约定。</w:t>
      </w:r>
      <w:bookmarkEnd w:id="58"/>
      <w:bookmarkStart w:id="63" w:name="_Toc469495740"/>
    </w:p>
    <w:p w14:paraId="3D3BA1FB">
      <w:pPr>
        <w:spacing w:line="360" w:lineRule="auto"/>
        <w:ind w:firstLine="426" w:firstLineChars="200"/>
        <w:rPr>
          <w:rFonts w:hint="eastAsia" w:ascii="宋体" w:hAnsi="宋体" w:cs="宋体"/>
          <w:bCs/>
          <w:color w:val="000000" w:themeColor="text1"/>
          <w:szCs w:val="21"/>
          <w:lang w:val="en-US" w:eastAsia="zh-CN"/>
          <w14:textFill>
            <w14:solidFill>
              <w14:schemeClr w14:val="tx1"/>
            </w14:solidFill>
          </w14:textFill>
        </w:rPr>
      </w:pPr>
      <w:r>
        <w:rPr>
          <w:rFonts w:hint="eastAsia" w:ascii="宋体" w:hAnsi="宋体" w:cs="宋体"/>
          <w:bCs/>
          <w:color w:val="000000" w:themeColor="text1"/>
          <w:szCs w:val="21"/>
          <w:lang w:val="en-US" w:eastAsia="zh-CN"/>
          <w14:textFill>
            <w14:solidFill>
              <w14:schemeClr w14:val="tx1"/>
            </w14:solidFill>
          </w14:textFill>
        </w:rPr>
        <w:t>3、投标人在服务期必须遵守安全生产事项、如：发生安全事故由投标人承担一切责任。</w:t>
      </w:r>
    </w:p>
    <w:p w14:paraId="23DAF6BA">
      <w:pPr>
        <w:pStyle w:val="10"/>
        <w:spacing w:line="360" w:lineRule="auto"/>
        <w:rPr>
          <w:rFonts w:hint="eastAsia" w:ascii="宋体" w:hAnsi="宋体" w:cs="宋体"/>
          <w:bCs/>
          <w:color w:val="000000" w:themeColor="text1"/>
          <w:szCs w:val="21"/>
          <w:lang w:val="en-US" w:eastAsia="zh-CN"/>
          <w14:textFill>
            <w14:solidFill>
              <w14:schemeClr w14:val="tx1"/>
            </w14:solidFill>
          </w14:textFill>
        </w:rPr>
      </w:pPr>
    </w:p>
    <w:p w14:paraId="401B6C50">
      <w:pPr>
        <w:pStyle w:val="27"/>
        <w:ind w:left="0" w:leftChars="0" w:firstLine="0" w:firstLineChars="0"/>
        <w:rPr>
          <w:rFonts w:hint="eastAsia"/>
          <w:lang w:val="en-US" w:eastAsia="zh-CN"/>
        </w:rPr>
      </w:pPr>
    </w:p>
    <w:p w14:paraId="428309B9">
      <w:pPr>
        <w:pStyle w:val="27"/>
        <w:ind w:left="0" w:leftChars="0" w:firstLine="0" w:firstLineChars="0"/>
        <w:rPr>
          <w:rFonts w:hint="eastAsia"/>
          <w:lang w:val="en-US" w:eastAsia="zh-CN"/>
        </w:rPr>
      </w:pPr>
    </w:p>
    <w:p w14:paraId="14C00675">
      <w:pPr>
        <w:pStyle w:val="27"/>
        <w:ind w:left="0" w:leftChars="0" w:firstLine="0" w:firstLineChars="0"/>
        <w:rPr>
          <w:rFonts w:hint="eastAsia"/>
          <w:lang w:val="en-US" w:eastAsia="zh-CN"/>
        </w:rPr>
      </w:pPr>
    </w:p>
    <w:p w14:paraId="4045395C">
      <w:pPr>
        <w:pStyle w:val="27"/>
        <w:ind w:left="0" w:leftChars="0" w:firstLine="0" w:firstLineChars="0"/>
        <w:rPr>
          <w:rFonts w:hint="eastAsia"/>
          <w:lang w:val="en-US" w:eastAsia="zh-CN"/>
        </w:rPr>
      </w:pPr>
    </w:p>
    <w:p w14:paraId="52BF04B1">
      <w:pPr>
        <w:pStyle w:val="27"/>
        <w:ind w:left="0" w:leftChars="0" w:firstLine="0" w:firstLineChars="0"/>
        <w:rPr>
          <w:rFonts w:hint="eastAsia"/>
          <w:lang w:val="en-US" w:eastAsia="zh-CN"/>
        </w:rPr>
      </w:pPr>
    </w:p>
    <w:p w14:paraId="1CE59E39">
      <w:pPr>
        <w:pStyle w:val="27"/>
        <w:ind w:left="0" w:leftChars="0" w:firstLine="0" w:firstLineChars="0"/>
        <w:rPr>
          <w:rFonts w:hint="eastAsia"/>
          <w:lang w:val="en-US" w:eastAsia="zh-CN"/>
        </w:rPr>
      </w:pPr>
    </w:p>
    <w:p w14:paraId="7E60D1DC">
      <w:pPr>
        <w:pStyle w:val="27"/>
        <w:ind w:left="0" w:leftChars="0" w:firstLine="0" w:firstLineChars="0"/>
        <w:rPr>
          <w:rFonts w:hint="eastAsia"/>
          <w:lang w:val="en-US" w:eastAsia="zh-CN"/>
        </w:rPr>
      </w:pPr>
    </w:p>
    <w:p w14:paraId="5B423852">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2424" w:firstLineChars="800"/>
        <w:jc w:val="both"/>
        <w:textAlignment w:val="auto"/>
        <w:outlineLvl w:val="1"/>
        <w:rPr>
          <w:rFonts w:hint="eastAsia" w:ascii="宋体"/>
          <w:b/>
          <w:color w:val="auto"/>
          <w:sz w:val="30"/>
          <w:szCs w:val="30"/>
          <w:highlight w:val="none"/>
        </w:rPr>
      </w:pPr>
      <w:r>
        <w:rPr>
          <w:rFonts w:hint="eastAsia" w:ascii="宋体"/>
          <w:b/>
          <w:color w:val="auto"/>
          <w:sz w:val="30"/>
          <w:szCs w:val="30"/>
          <w:highlight w:val="none"/>
          <w:lang w:val="en-US" w:eastAsia="zh-CN"/>
        </w:rPr>
        <w:t xml:space="preserve">第五章 </w:t>
      </w:r>
      <w:r>
        <w:rPr>
          <w:rFonts w:hint="eastAsia" w:ascii="宋体"/>
          <w:b/>
          <w:color w:val="auto"/>
          <w:sz w:val="30"/>
          <w:szCs w:val="30"/>
          <w:highlight w:val="none"/>
        </w:rPr>
        <w:t xml:space="preserve"> 合同条款及格式</w:t>
      </w:r>
      <w:bookmarkEnd w:id="63"/>
      <w:bookmarkStart w:id="64" w:name="_Toc20669"/>
    </w:p>
    <w:p w14:paraId="17DD0348">
      <w:pPr>
        <w:keepNext w:val="0"/>
        <w:keepLines w:val="0"/>
        <w:pageBreakBefore w:val="0"/>
        <w:widowControl w:val="0"/>
        <w:numPr>
          <w:ilvl w:val="0"/>
          <w:numId w:val="0"/>
        </w:numPr>
        <w:kinsoku/>
        <w:wordWrap/>
        <w:overflowPunct/>
        <w:topLinePunct w:val="0"/>
        <w:autoSpaceDE/>
        <w:autoSpaceDN/>
        <w:bidi w:val="0"/>
        <w:adjustRightInd/>
        <w:snapToGrid/>
        <w:spacing w:line="480" w:lineRule="exact"/>
        <w:jc w:val="center"/>
        <w:textAlignment w:val="auto"/>
        <w:outlineLvl w:val="1"/>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（本合同为合同样稿，最终稿由供需双方协商后确定）</w:t>
      </w:r>
      <w:bookmarkEnd w:id="64"/>
    </w:p>
    <w:p w14:paraId="502F8C10">
      <w:pPr>
        <w:widowControl/>
        <w:numPr>
          <w:ilvl w:val="0"/>
          <w:numId w:val="9"/>
        </w:numPr>
        <w:shd w:val="clear" w:color="auto" w:fill="auto"/>
        <w:spacing w:line="600" w:lineRule="exact"/>
        <w:jc w:val="center"/>
        <w:textAlignment w:val="baseline"/>
        <w:outlineLvl w:val="1"/>
        <w:rPr>
          <w:rFonts w:hint="eastAsia" w:ascii="黑体" w:eastAsia="黑体"/>
          <w:b/>
          <w:color w:val="auto"/>
          <w:sz w:val="28"/>
          <w:szCs w:val="28"/>
          <w:highlight w:val="none"/>
        </w:rPr>
      </w:pPr>
      <w:r>
        <w:rPr>
          <w:rFonts w:hint="eastAsia" w:ascii="宋体"/>
          <w:b/>
          <w:color w:val="auto"/>
          <w:sz w:val="28"/>
          <w:szCs w:val="28"/>
          <w:highlight w:val="none"/>
        </w:rPr>
        <w:t xml:space="preserve"> </w:t>
      </w:r>
      <w:bookmarkStart w:id="65" w:name="_Toc469495741"/>
      <w:r>
        <w:rPr>
          <w:rFonts w:hint="eastAsia" w:ascii="宋体"/>
          <w:b/>
          <w:color w:val="auto"/>
          <w:sz w:val="28"/>
          <w:szCs w:val="28"/>
          <w:highlight w:val="none"/>
        </w:rPr>
        <w:t>合同协议书</w:t>
      </w:r>
      <w:bookmarkEnd w:id="65"/>
    </w:p>
    <w:p w14:paraId="4265EBD7">
      <w:pPr>
        <w:shd w:val="clear" w:color="auto" w:fill="auto"/>
        <w:spacing w:line="360" w:lineRule="auto"/>
        <w:ind w:firstLine="486" w:firstLineChars="200"/>
        <w:jc w:val="both"/>
        <w:rPr>
          <w:rFonts w:hint="eastAsia"/>
          <w:lang w:eastAsia="zh-CN"/>
        </w:rPr>
      </w:pPr>
      <w:r>
        <w:rPr>
          <w:rFonts w:hint="eastAsia" w:ascii="宋体"/>
          <w:color w:val="auto"/>
          <w:sz w:val="24"/>
          <w:highlight w:val="none"/>
          <w:lang w:val="en-US" w:eastAsia="zh-CN"/>
        </w:rPr>
        <w:t>合同名称 ：</w:t>
      </w:r>
      <w:r>
        <w:rPr>
          <w:rFonts w:hint="eastAsia" w:ascii="宋体"/>
          <w:b/>
          <w:color w:val="auto"/>
          <w:sz w:val="24"/>
          <w:highlight w:val="none"/>
        </w:rPr>
        <w:t xml:space="preserve">  </w:t>
      </w:r>
      <w:r>
        <w:rPr>
          <w:rFonts w:hint="eastAsia" w:ascii="宋体"/>
          <w:color w:val="auto"/>
          <w:sz w:val="24"/>
          <w:highlight w:val="none"/>
        </w:rPr>
        <w:t xml:space="preserve">    </w:t>
      </w:r>
      <w:r>
        <w:rPr>
          <w:rFonts w:hint="eastAsia" w:ascii="宋体"/>
          <w:color w:val="auto"/>
          <w:sz w:val="24"/>
          <w:highlight w:val="none"/>
          <w:lang w:val="en-US" w:eastAsia="zh-CN"/>
        </w:rPr>
        <w:t xml:space="preserve">       </w:t>
      </w:r>
      <w:r>
        <w:rPr>
          <w:rFonts w:hint="eastAsia" w:ascii="宋体"/>
          <w:color w:val="auto"/>
          <w:sz w:val="24"/>
          <w:highlight w:val="none"/>
        </w:rPr>
        <w:t xml:space="preserve">  </w:t>
      </w:r>
      <w:r>
        <w:rPr>
          <w:rFonts w:hint="eastAsia" w:ascii="宋体"/>
          <w:color w:val="auto"/>
          <w:sz w:val="24"/>
          <w:highlight w:val="none"/>
          <w:lang w:val="en-US" w:eastAsia="zh-CN"/>
        </w:rPr>
        <w:t xml:space="preserve">               </w:t>
      </w:r>
      <w:r>
        <w:rPr>
          <w:rFonts w:hint="eastAsia" w:ascii="宋体"/>
          <w:color w:val="auto"/>
          <w:sz w:val="24"/>
          <w:highlight w:val="none"/>
        </w:rPr>
        <w:t>编号</w:t>
      </w:r>
      <w:r>
        <w:rPr>
          <w:rFonts w:hint="eastAsia" w:ascii="宋体"/>
          <w:color w:val="auto"/>
          <w:sz w:val="24"/>
          <w:highlight w:val="none"/>
          <w:lang w:eastAsia="zh-CN"/>
        </w:rPr>
        <w:t>：</w:t>
      </w:r>
    </w:p>
    <w:p w14:paraId="7BD1C9C5">
      <w:pPr>
        <w:shd w:val="clear" w:color="auto" w:fill="auto"/>
        <w:spacing w:line="420" w:lineRule="exact"/>
        <w:ind w:firstLine="426" w:firstLineChars="200"/>
        <w:rPr>
          <w:rFonts w:hint="eastAsia" w:ascii="宋体" w:cs="宋体"/>
          <w:color w:val="auto"/>
          <w:szCs w:val="21"/>
          <w:highlight w:val="none"/>
        </w:rPr>
      </w:pPr>
      <w:bookmarkStart w:id="66" w:name="_Toc246996253"/>
      <w:bookmarkStart w:id="67" w:name="_Toc152042388"/>
      <w:bookmarkStart w:id="68" w:name="_Toc296602498"/>
      <w:bookmarkStart w:id="69" w:name="_Toc246996996"/>
      <w:bookmarkStart w:id="70" w:name="_Toc152045610"/>
      <w:bookmarkStart w:id="71" w:name="_Toc469495742"/>
      <w:bookmarkStart w:id="72" w:name="_Toc179632628"/>
      <w:bookmarkStart w:id="73" w:name="_Toc247085768"/>
      <w:bookmarkStart w:id="74" w:name="_Toc144974578"/>
      <w:r>
        <w:rPr>
          <w:rFonts w:hint="eastAsia" w:ascii="宋体" w:cs="宋体"/>
          <w:color w:val="auto"/>
          <w:szCs w:val="21"/>
          <w:highlight w:val="none"/>
        </w:rPr>
        <w:t>买    方：                                   卖    方：</w:t>
      </w:r>
    </w:p>
    <w:p w14:paraId="3D987C33">
      <w:pPr>
        <w:shd w:val="clear" w:color="auto" w:fill="auto"/>
        <w:spacing w:line="420" w:lineRule="exact"/>
        <w:ind w:firstLine="426" w:firstLineChars="200"/>
        <w:rPr>
          <w:rFonts w:hint="eastAsia" w:ascii="宋体" w:cs="宋体"/>
          <w:color w:val="auto"/>
          <w:szCs w:val="21"/>
          <w:highlight w:val="none"/>
        </w:rPr>
      </w:pPr>
      <w:r>
        <w:rPr>
          <w:rFonts w:hint="eastAsia" w:ascii="宋体" w:cs="宋体"/>
          <w:color w:val="auto"/>
          <w:szCs w:val="21"/>
          <w:highlight w:val="none"/>
        </w:rPr>
        <w:t>电    话：                                   电    话：</w:t>
      </w:r>
    </w:p>
    <w:p w14:paraId="7F3A5A57">
      <w:pPr>
        <w:shd w:val="clear" w:color="auto" w:fill="auto"/>
        <w:spacing w:line="420" w:lineRule="exact"/>
        <w:ind w:firstLine="426" w:firstLineChars="200"/>
        <w:rPr>
          <w:rFonts w:hint="eastAsia" w:ascii="宋体" w:cs="宋体"/>
          <w:color w:val="auto"/>
          <w:szCs w:val="21"/>
          <w:highlight w:val="none"/>
        </w:rPr>
      </w:pPr>
      <w:r>
        <w:rPr>
          <w:rFonts w:hint="eastAsia" w:ascii="宋体" w:cs="宋体"/>
          <w:color w:val="auto"/>
          <w:szCs w:val="21"/>
          <w:highlight w:val="none"/>
        </w:rPr>
        <w:t xml:space="preserve">住    所：                                   住    所：                       </w:t>
      </w:r>
    </w:p>
    <w:p w14:paraId="0D73AB6C">
      <w:pPr>
        <w:shd w:val="clear" w:color="auto" w:fill="auto"/>
        <w:spacing w:line="420" w:lineRule="exact"/>
        <w:ind w:firstLine="426" w:firstLineChars="200"/>
        <w:rPr>
          <w:rFonts w:hint="eastAsia" w:ascii="宋体" w:cs="宋体"/>
          <w:color w:val="auto"/>
          <w:szCs w:val="21"/>
          <w:highlight w:val="none"/>
        </w:rPr>
      </w:pPr>
      <w:r>
        <w:rPr>
          <w:rFonts w:hint="eastAsia" w:ascii="宋体" w:cs="宋体"/>
          <w:color w:val="auto"/>
          <w:szCs w:val="21"/>
          <w:highlight w:val="none"/>
          <w:u w:val="single"/>
        </w:rPr>
        <w:t>（买方）</w:t>
      </w:r>
      <w:r>
        <w:rPr>
          <w:rFonts w:hint="eastAsia" w:ascii="宋体" w:cs="宋体"/>
          <w:color w:val="auto"/>
          <w:szCs w:val="21"/>
          <w:highlight w:val="none"/>
        </w:rPr>
        <w:t>的</w:t>
      </w:r>
      <w:r>
        <w:rPr>
          <w:rFonts w:hint="eastAsia" w:ascii="宋体" w:cs="宋体"/>
          <w:color w:val="auto"/>
          <w:szCs w:val="21"/>
          <w:highlight w:val="none"/>
          <w:u w:val="single"/>
        </w:rPr>
        <w:t>（项目名称）</w:t>
      </w:r>
      <w:r>
        <w:rPr>
          <w:rFonts w:hint="eastAsia" w:ascii="宋体" w:cs="宋体"/>
          <w:color w:val="auto"/>
          <w:szCs w:val="21"/>
          <w:highlight w:val="none"/>
        </w:rPr>
        <w:t>中所需</w:t>
      </w:r>
      <w:r>
        <w:rPr>
          <w:rFonts w:hint="eastAsia" w:ascii="宋体" w:cs="宋体"/>
          <w:color w:val="auto"/>
          <w:szCs w:val="21"/>
          <w:highlight w:val="none"/>
          <w:u w:val="single"/>
        </w:rPr>
        <w:t>（产品名称）</w:t>
      </w:r>
      <w:r>
        <w:rPr>
          <w:rFonts w:hint="eastAsia" w:ascii="宋体" w:cs="宋体"/>
          <w:color w:val="auto"/>
          <w:szCs w:val="21"/>
          <w:highlight w:val="none"/>
        </w:rPr>
        <w:t xml:space="preserve"> 经公开招标，确定</w:t>
      </w:r>
      <w:r>
        <w:rPr>
          <w:rFonts w:hint="eastAsia" w:ascii="宋体" w:cs="宋体"/>
          <w:color w:val="auto"/>
          <w:szCs w:val="21"/>
          <w:highlight w:val="none"/>
          <w:u w:val="single"/>
        </w:rPr>
        <w:t>（卖方）</w:t>
      </w:r>
      <w:r>
        <w:rPr>
          <w:rFonts w:hint="eastAsia" w:ascii="宋体" w:cs="宋体"/>
          <w:color w:val="auto"/>
          <w:szCs w:val="21"/>
          <w:highlight w:val="none"/>
        </w:rPr>
        <w:t>为中标人。按照中华人民共和国合同法的规定，买卖双方同意按照下述的条款和条件，签署本合同。</w:t>
      </w:r>
    </w:p>
    <w:p w14:paraId="6046553A">
      <w:pPr>
        <w:shd w:val="clear" w:color="auto" w:fill="auto"/>
        <w:spacing w:line="420" w:lineRule="exact"/>
        <w:ind w:firstLine="426" w:firstLineChars="200"/>
        <w:rPr>
          <w:rFonts w:hint="eastAsia" w:ascii="宋体" w:cs="宋体"/>
          <w:color w:val="auto"/>
          <w:szCs w:val="21"/>
          <w:highlight w:val="none"/>
        </w:rPr>
      </w:pPr>
      <w:r>
        <w:rPr>
          <w:rFonts w:hint="eastAsia" w:ascii="宋体" w:cs="宋体"/>
          <w:color w:val="auto"/>
          <w:szCs w:val="21"/>
          <w:highlight w:val="none"/>
        </w:rPr>
        <w:t>1、本合同文件</w:t>
      </w:r>
    </w:p>
    <w:p w14:paraId="3EE5FE1A">
      <w:pPr>
        <w:shd w:val="clear" w:color="auto" w:fill="auto"/>
        <w:spacing w:line="420" w:lineRule="exact"/>
        <w:ind w:firstLine="426" w:firstLineChars="200"/>
        <w:rPr>
          <w:rFonts w:hint="eastAsia" w:ascii="宋体" w:cs="宋体"/>
          <w:color w:val="auto"/>
          <w:szCs w:val="21"/>
          <w:highlight w:val="none"/>
        </w:rPr>
      </w:pPr>
      <w:r>
        <w:rPr>
          <w:rFonts w:hint="eastAsia" w:ascii="宋体" w:cs="宋体"/>
          <w:color w:val="auto"/>
          <w:szCs w:val="21"/>
          <w:highlight w:val="none"/>
        </w:rPr>
        <w:t>下列每一文件均应作为合同的组成部分进行阅读和解释：</w:t>
      </w:r>
    </w:p>
    <w:p w14:paraId="50EB7182">
      <w:pPr>
        <w:shd w:val="clear" w:color="auto" w:fill="auto"/>
        <w:spacing w:line="420" w:lineRule="exact"/>
        <w:ind w:firstLine="426" w:firstLineChars="200"/>
        <w:rPr>
          <w:rFonts w:hint="eastAsia" w:ascii="宋体" w:cs="宋体"/>
          <w:color w:val="auto"/>
          <w:szCs w:val="21"/>
          <w:highlight w:val="none"/>
        </w:rPr>
      </w:pPr>
      <w:r>
        <w:rPr>
          <w:rFonts w:hint="eastAsia" w:ascii="宋体" w:cs="宋体"/>
          <w:color w:val="auto"/>
          <w:szCs w:val="21"/>
          <w:highlight w:val="none"/>
        </w:rPr>
        <w:t>（1）</w:t>
      </w:r>
      <w:r>
        <w:rPr>
          <w:rFonts w:hint="eastAsia" w:ascii="宋体" w:cs="宋体"/>
          <w:color w:val="auto"/>
          <w:szCs w:val="21"/>
          <w:highlight w:val="none"/>
          <w:lang w:eastAsia="zh-CN"/>
        </w:rPr>
        <w:t>采购文件</w:t>
      </w:r>
      <w:r>
        <w:rPr>
          <w:rFonts w:hint="eastAsia" w:ascii="宋体" w:cs="宋体"/>
          <w:color w:val="auto"/>
          <w:szCs w:val="21"/>
          <w:highlight w:val="none"/>
        </w:rPr>
        <w:t>（2）投标文件（3）中标通知书</w:t>
      </w:r>
    </w:p>
    <w:p w14:paraId="7681F4D2">
      <w:pPr>
        <w:shd w:val="clear" w:color="auto" w:fill="auto"/>
        <w:spacing w:line="420" w:lineRule="exact"/>
        <w:ind w:firstLine="426" w:firstLineChars="200"/>
        <w:rPr>
          <w:rFonts w:hint="eastAsia" w:ascii="宋体" w:cs="宋体"/>
          <w:color w:val="auto"/>
          <w:szCs w:val="21"/>
          <w:highlight w:val="none"/>
        </w:rPr>
      </w:pPr>
      <w:r>
        <w:rPr>
          <w:rFonts w:hint="eastAsia" w:ascii="宋体" w:cs="宋体"/>
          <w:color w:val="auto"/>
          <w:szCs w:val="21"/>
          <w:highlight w:val="none"/>
        </w:rPr>
        <w:t>（4）经双方确认进入合同的其它文件、补充条款或说明</w:t>
      </w:r>
    </w:p>
    <w:p w14:paraId="4DEBB6F2">
      <w:pPr>
        <w:shd w:val="clear" w:color="auto" w:fill="auto"/>
        <w:spacing w:line="420" w:lineRule="exact"/>
        <w:ind w:firstLine="426" w:firstLineChars="200"/>
        <w:rPr>
          <w:rFonts w:hint="eastAsia" w:ascii="宋体" w:cs="宋体"/>
          <w:color w:val="auto"/>
          <w:szCs w:val="21"/>
          <w:highlight w:val="none"/>
        </w:rPr>
      </w:pPr>
      <w:r>
        <w:rPr>
          <w:rFonts w:hint="eastAsia" w:ascii="宋体" w:cs="宋体"/>
          <w:color w:val="auto"/>
          <w:szCs w:val="21"/>
          <w:highlight w:val="none"/>
        </w:rPr>
        <w:t>2、采购标的、数量、质量要求</w:t>
      </w:r>
    </w:p>
    <w:p w14:paraId="4EEC9683">
      <w:pPr>
        <w:shd w:val="clear" w:color="auto" w:fill="auto"/>
        <w:spacing w:line="420" w:lineRule="exact"/>
        <w:ind w:firstLine="426" w:firstLineChars="200"/>
        <w:rPr>
          <w:rFonts w:hint="eastAsia" w:ascii="宋体" w:cs="宋体"/>
          <w:color w:val="auto"/>
          <w:szCs w:val="21"/>
          <w:highlight w:val="none"/>
        </w:rPr>
      </w:pPr>
      <w:r>
        <w:rPr>
          <w:rFonts w:hint="eastAsia" w:ascii="宋体" w:cs="宋体"/>
          <w:color w:val="auto"/>
          <w:szCs w:val="21"/>
          <w:highlight w:val="none"/>
        </w:rPr>
        <w:t>3、合同总价</w:t>
      </w:r>
    </w:p>
    <w:p w14:paraId="57ACD377">
      <w:pPr>
        <w:shd w:val="clear" w:color="auto" w:fill="auto"/>
        <w:spacing w:line="420" w:lineRule="exact"/>
        <w:ind w:firstLine="426" w:firstLineChars="200"/>
        <w:rPr>
          <w:rFonts w:hint="eastAsia" w:ascii="宋体" w:cs="宋体"/>
          <w:color w:val="auto"/>
          <w:szCs w:val="21"/>
          <w:highlight w:val="none"/>
        </w:rPr>
      </w:pPr>
      <w:r>
        <w:rPr>
          <w:rFonts w:hint="eastAsia" w:ascii="宋体" w:cs="宋体"/>
          <w:color w:val="auto"/>
          <w:szCs w:val="21"/>
          <w:highlight w:val="none"/>
        </w:rPr>
        <w:t xml:space="preserve">合同总价为 </w:t>
      </w:r>
      <w:r>
        <w:rPr>
          <w:rFonts w:hint="eastAsia" w:ascii="宋体" w:cs="宋体"/>
          <w:color w:val="auto"/>
          <w:szCs w:val="21"/>
          <w:highlight w:val="none"/>
          <w:u w:val="single"/>
        </w:rPr>
        <w:t xml:space="preserve">              </w:t>
      </w:r>
      <w:r>
        <w:rPr>
          <w:rFonts w:hint="eastAsia" w:ascii="宋体" w:cs="宋体"/>
          <w:color w:val="auto"/>
          <w:szCs w:val="21"/>
          <w:highlight w:val="none"/>
        </w:rPr>
        <w:t>元人民币。</w:t>
      </w:r>
    </w:p>
    <w:p w14:paraId="03057097">
      <w:pPr>
        <w:shd w:val="clear" w:color="auto" w:fill="auto"/>
        <w:autoSpaceDN w:val="0"/>
        <w:spacing w:line="240" w:lineRule="atLeast"/>
        <w:ind w:firstLine="426" w:firstLineChars="200"/>
        <w:rPr>
          <w:rFonts w:hint="eastAsia" w:ascii="宋体" w:hAnsi="宋体" w:cs="宋体"/>
          <w:b/>
          <w:color w:val="auto"/>
          <w:kern w:val="0"/>
          <w:szCs w:val="21"/>
          <w:highlight w:val="none"/>
        </w:rPr>
      </w:pPr>
      <w:r>
        <w:rPr>
          <w:rFonts w:hint="eastAsia" w:ascii="宋体" w:cs="宋体"/>
          <w:color w:val="auto"/>
          <w:szCs w:val="21"/>
          <w:highlight w:val="none"/>
        </w:rPr>
        <w:t>4、付款方式</w:t>
      </w:r>
      <w:r>
        <w:rPr>
          <w:rFonts w:hint="eastAsia" w:ascii="黑体" w:eastAsia="黑体" w:cs="宋体"/>
          <w:b/>
          <w:bCs/>
          <w:color w:val="auto"/>
          <w:szCs w:val="21"/>
          <w:highlight w:val="none"/>
        </w:rPr>
        <w:t>：</w:t>
      </w:r>
      <w:r>
        <w:rPr>
          <w:rFonts w:hint="eastAsia" w:ascii="宋体"/>
          <w:color w:val="auto"/>
          <w:szCs w:val="21"/>
          <w:highlight w:val="none"/>
          <w:u w:val="single"/>
        </w:rPr>
        <w:t xml:space="preserve">                                         。</w:t>
      </w:r>
    </w:p>
    <w:p w14:paraId="533C09D6">
      <w:pPr>
        <w:shd w:val="clear" w:color="auto" w:fill="auto"/>
        <w:spacing w:line="360" w:lineRule="auto"/>
        <w:ind w:firstLine="426" w:firstLineChars="200"/>
        <w:rPr>
          <w:rFonts w:hint="eastAsia" w:ascii="宋体"/>
          <w:color w:val="auto"/>
          <w:szCs w:val="21"/>
          <w:highlight w:val="none"/>
        </w:rPr>
      </w:pPr>
      <w:r>
        <w:rPr>
          <w:rFonts w:hint="eastAsia" w:ascii="宋体" w:cs="宋体"/>
          <w:color w:val="auto"/>
          <w:szCs w:val="21"/>
          <w:highlight w:val="none"/>
        </w:rPr>
        <w:t>5、</w:t>
      </w:r>
      <w:r>
        <w:rPr>
          <w:rFonts w:hint="eastAsia" w:ascii="宋体"/>
          <w:color w:val="auto"/>
          <w:szCs w:val="21"/>
          <w:highlight w:val="none"/>
        </w:rPr>
        <w:t>合同供货（服务）期限及地点和方式</w:t>
      </w:r>
    </w:p>
    <w:p w14:paraId="20B5FD27">
      <w:pPr>
        <w:shd w:val="clear" w:color="auto" w:fill="auto"/>
        <w:spacing w:line="420" w:lineRule="exact"/>
        <w:ind w:firstLine="426" w:firstLineChars="200"/>
        <w:rPr>
          <w:rFonts w:hint="eastAsia" w:ascii="宋体" w:cs="宋体"/>
          <w:color w:val="auto"/>
          <w:szCs w:val="21"/>
          <w:highlight w:val="none"/>
        </w:rPr>
      </w:pPr>
      <w:r>
        <w:rPr>
          <w:rFonts w:hint="eastAsia" w:ascii="宋体" w:cs="宋体"/>
          <w:color w:val="auto"/>
          <w:szCs w:val="21"/>
          <w:highlight w:val="none"/>
        </w:rPr>
        <w:t>6、验收要求及违约责任</w:t>
      </w:r>
    </w:p>
    <w:p w14:paraId="6F171BE3">
      <w:pPr>
        <w:shd w:val="clear" w:color="auto" w:fill="auto"/>
        <w:spacing w:line="420" w:lineRule="exact"/>
        <w:ind w:firstLine="426" w:firstLineChars="200"/>
        <w:rPr>
          <w:rFonts w:hint="eastAsia" w:ascii="宋体" w:cs="宋体"/>
          <w:color w:val="auto"/>
          <w:szCs w:val="21"/>
          <w:highlight w:val="none"/>
        </w:rPr>
      </w:pPr>
      <w:r>
        <w:rPr>
          <w:rFonts w:hint="eastAsia" w:ascii="宋体" w:cs="宋体"/>
          <w:color w:val="auto"/>
          <w:szCs w:val="21"/>
          <w:highlight w:val="none"/>
        </w:rPr>
        <w:t>7、违约责任及解决争议方法</w:t>
      </w:r>
    </w:p>
    <w:p w14:paraId="0365991E">
      <w:pPr>
        <w:shd w:val="clear" w:color="auto" w:fill="auto"/>
        <w:spacing w:line="420" w:lineRule="exact"/>
        <w:ind w:firstLine="426" w:firstLineChars="200"/>
        <w:rPr>
          <w:rFonts w:hint="eastAsia" w:ascii="宋体" w:cs="宋体"/>
          <w:color w:val="auto"/>
          <w:szCs w:val="21"/>
          <w:highlight w:val="none"/>
        </w:rPr>
      </w:pPr>
      <w:r>
        <w:rPr>
          <w:rFonts w:hint="eastAsia" w:ascii="宋体" w:cs="宋体"/>
          <w:color w:val="auto"/>
          <w:szCs w:val="21"/>
          <w:highlight w:val="none"/>
        </w:rPr>
        <w:t>8、合同的生效</w:t>
      </w:r>
    </w:p>
    <w:p w14:paraId="37A6569C">
      <w:pPr>
        <w:pStyle w:val="12"/>
        <w:shd w:val="clear" w:color="auto" w:fill="auto"/>
        <w:spacing w:after="0" w:line="420" w:lineRule="exact"/>
        <w:ind w:left="0" w:leftChars="0" w:firstLine="426" w:firstLineChars="200"/>
        <w:rPr>
          <w:rFonts w:hint="eastAsia" w:ascii="宋体" w:cs="宋体"/>
          <w:color w:val="auto"/>
          <w:kern w:val="0"/>
          <w:szCs w:val="21"/>
          <w:highlight w:val="none"/>
          <w:u w:val="none" w:color="000000"/>
        </w:rPr>
      </w:pPr>
      <w:r>
        <w:rPr>
          <w:rFonts w:hint="eastAsia" w:ascii="宋体" w:cs="宋体"/>
          <w:color w:val="auto"/>
          <w:kern w:val="0"/>
          <w:szCs w:val="21"/>
          <w:highlight w:val="none"/>
          <w:u w:val="none" w:color="000000"/>
        </w:rPr>
        <w:t>合同经双方授权代表签署，买卖双方加盖印章之后生效。</w:t>
      </w:r>
    </w:p>
    <w:p w14:paraId="2F0282F7">
      <w:pPr>
        <w:pStyle w:val="12"/>
        <w:shd w:val="clear" w:color="auto" w:fill="auto"/>
        <w:spacing w:after="0" w:line="420" w:lineRule="exact"/>
        <w:ind w:left="0" w:leftChars="0" w:firstLine="426" w:firstLineChars="200"/>
        <w:rPr>
          <w:rFonts w:hint="eastAsia" w:ascii="宋体" w:cs="宋体"/>
          <w:color w:val="auto"/>
          <w:kern w:val="0"/>
          <w:szCs w:val="21"/>
          <w:highlight w:val="none"/>
          <w:u w:val="none" w:color="000000"/>
        </w:rPr>
      </w:pPr>
      <w:r>
        <w:rPr>
          <w:rFonts w:hint="eastAsia" w:ascii="宋体" w:cs="宋体"/>
          <w:color w:val="auto"/>
          <w:kern w:val="0"/>
          <w:szCs w:val="21"/>
          <w:highlight w:val="none"/>
          <w:u w:val="none" w:color="000000"/>
        </w:rPr>
        <w:t>本合同一式     份，双方各执     份。</w:t>
      </w:r>
    </w:p>
    <w:p w14:paraId="35CA795A">
      <w:pPr>
        <w:pStyle w:val="12"/>
        <w:shd w:val="clear" w:color="auto" w:fill="auto"/>
        <w:spacing w:after="0" w:line="420" w:lineRule="exact"/>
        <w:ind w:left="0" w:leftChars="0" w:firstLine="426" w:firstLineChars="200"/>
        <w:rPr>
          <w:rFonts w:hint="eastAsia" w:ascii="宋体" w:cs="宋体"/>
          <w:color w:val="auto"/>
          <w:kern w:val="0"/>
          <w:szCs w:val="21"/>
          <w:highlight w:val="none"/>
          <w:u w:val="none" w:color="000000"/>
        </w:rPr>
      </w:pPr>
      <w:r>
        <w:rPr>
          <w:rFonts w:hint="eastAsia" w:ascii="宋体" w:cs="宋体"/>
          <w:color w:val="auto"/>
          <w:kern w:val="0"/>
          <w:szCs w:val="21"/>
          <w:highlight w:val="none"/>
          <w:u w:val="none" w:color="000000"/>
        </w:rPr>
        <w:t xml:space="preserve">买  方：                         </w:t>
      </w:r>
      <w:r>
        <w:rPr>
          <w:rFonts w:hint="eastAsia" w:ascii="宋体" w:cs="宋体"/>
          <w:color w:val="auto"/>
          <w:kern w:val="0"/>
          <w:szCs w:val="21"/>
          <w:highlight w:val="none"/>
          <w:u w:val="none" w:color="000000"/>
          <w:lang w:val="en-US" w:eastAsia="zh-CN"/>
        </w:rPr>
        <w:t xml:space="preserve">   </w:t>
      </w:r>
      <w:r>
        <w:rPr>
          <w:rFonts w:hint="eastAsia" w:ascii="宋体" w:cs="宋体"/>
          <w:color w:val="auto"/>
          <w:kern w:val="0"/>
          <w:szCs w:val="21"/>
          <w:highlight w:val="none"/>
          <w:u w:val="none" w:color="000000"/>
        </w:rPr>
        <w:t xml:space="preserve"> </w:t>
      </w:r>
      <w:r>
        <w:rPr>
          <w:rFonts w:hint="eastAsia" w:ascii="宋体" w:cs="宋体"/>
          <w:color w:val="auto"/>
          <w:kern w:val="0"/>
          <w:szCs w:val="21"/>
          <w:highlight w:val="none"/>
          <w:u w:val="none" w:color="000000"/>
          <w:lang w:val="en-US" w:eastAsia="zh-CN"/>
        </w:rPr>
        <w:t xml:space="preserve"> </w:t>
      </w:r>
      <w:r>
        <w:rPr>
          <w:rFonts w:hint="eastAsia" w:ascii="宋体" w:cs="宋体"/>
          <w:color w:val="auto"/>
          <w:kern w:val="0"/>
          <w:szCs w:val="21"/>
          <w:highlight w:val="none"/>
          <w:u w:val="none" w:color="000000"/>
        </w:rPr>
        <w:t>卖  方：</w:t>
      </w:r>
    </w:p>
    <w:p w14:paraId="43333F8D">
      <w:pPr>
        <w:pStyle w:val="12"/>
        <w:shd w:val="clear" w:color="auto" w:fill="auto"/>
        <w:spacing w:after="0" w:line="420" w:lineRule="exact"/>
        <w:ind w:left="0" w:leftChars="0" w:firstLine="426" w:firstLineChars="200"/>
        <w:rPr>
          <w:rFonts w:hint="eastAsia" w:ascii="宋体" w:cs="宋体"/>
          <w:color w:val="auto"/>
          <w:kern w:val="0"/>
          <w:szCs w:val="21"/>
          <w:highlight w:val="none"/>
          <w:u w:val="none" w:color="000000"/>
        </w:rPr>
      </w:pPr>
      <w:r>
        <w:rPr>
          <w:rFonts w:hint="eastAsia" w:ascii="宋体" w:cs="宋体"/>
          <w:color w:val="auto"/>
          <w:kern w:val="0"/>
          <w:szCs w:val="21"/>
          <w:highlight w:val="none"/>
          <w:u w:val="none" w:color="000000"/>
        </w:rPr>
        <w:t xml:space="preserve">名  称：（盖章）                   </w:t>
      </w:r>
      <w:r>
        <w:rPr>
          <w:rFonts w:hint="eastAsia" w:ascii="宋体" w:cs="宋体"/>
          <w:color w:val="auto"/>
          <w:kern w:val="0"/>
          <w:szCs w:val="21"/>
          <w:highlight w:val="none"/>
          <w:u w:val="none" w:color="000000"/>
          <w:lang w:val="en-US" w:eastAsia="zh-CN"/>
        </w:rPr>
        <w:t xml:space="preserve">   </w:t>
      </w:r>
      <w:r>
        <w:rPr>
          <w:rFonts w:hint="eastAsia" w:ascii="宋体" w:cs="宋体"/>
          <w:color w:val="auto"/>
          <w:kern w:val="0"/>
          <w:szCs w:val="21"/>
          <w:highlight w:val="none"/>
          <w:u w:val="none" w:color="000000"/>
        </w:rPr>
        <w:t>名  称：（盖章）</w:t>
      </w:r>
    </w:p>
    <w:p w14:paraId="7C186AE8">
      <w:pPr>
        <w:pStyle w:val="12"/>
        <w:shd w:val="clear" w:color="auto" w:fill="auto"/>
        <w:spacing w:after="0" w:line="420" w:lineRule="exact"/>
        <w:ind w:left="0" w:leftChars="0" w:firstLine="426" w:firstLineChars="200"/>
        <w:rPr>
          <w:rFonts w:hint="eastAsia" w:ascii="宋体" w:cs="宋体"/>
          <w:color w:val="auto"/>
          <w:kern w:val="0"/>
          <w:szCs w:val="21"/>
          <w:highlight w:val="none"/>
          <w:u w:val="none" w:color="000000"/>
        </w:rPr>
      </w:pPr>
      <w:r>
        <w:rPr>
          <w:rFonts w:hint="eastAsia" w:ascii="宋体" w:cs="宋体"/>
          <w:color w:val="auto"/>
          <w:kern w:val="0"/>
          <w:szCs w:val="21"/>
          <w:highlight w:val="none"/>
          <w:u w:val="none" w:color="000000"/>
        </w:rPr>
        <w:t xml:space="preserve">法定代表人（或委托代理人）： （签字） 法定代表人（或委托代理人）：（签字）                        </w:t>
      </w:r>
    </w:p>
    <w:p w14:paraId="4068FDD0">
      <w:pPr>
        <w:pStyle w:val="12"/>
        <w:shd w:val="clear" w:color="auto" w:fill="auto"/>
        <w:spacing w:after="0" w:line="420" w:lineRule="exact"/>
        <w:ind w:left="0" w:leftChars="0" w:firstLine="426" w:firstLineChars="200"/>
        <w:rPr>
          <w:rFonts w:hint="eastAsia" w:ascii="宋体" w:cs="宋体"/>
          <w:color w:val="auto"/>
          <w:kern w:val="0"/>
          <w:szCs w:val="21"/>
          <w:highlight w:val="none"/>
          <w:u w:val="none" w:color="000000"/>
        </w:rPr>
      </w:pPr>
      <w:r>
        <w:rPr>
          <w:rFonts w:hint="eastAsia" w:ascii="宋体" w:cs="宋体"/>
          <w:color w:val="auto"/>
          <w:kern w:val="0"/>
          <w:szCs w:val="21"/>
          <w:highlight w:val="none"/>
          <w:u w:val="none" w:color="000000"/>
        </w:rPr>
        <w:t xml:space="preserve">地    址：                       </w:t>
      </w:r>
      <w:r>
        <w:rPr>
          <w:rFonts w:hint="eastAsia" w:ascii="宋体" w:cs="宋体"/>
          <w:color w:val="auto"/>
          <w:kern w:val="0"/>
          <w:szCs w:val="21"/>
          <w:highlight w:val="none"/>
          <w:u w:val="none" w:color="000000"/>
          <w:lang w:val="en-US" w:eastAsia="zh-CN"/>
        </w:rPr>
        <w:t xml:space="preserve">    </w:t>
      </w:r>
      <w:r>
        <w:rPr>
          <w:rFonts w:hint="eastAsia" w:ascii="宋体" w:cs="宋体"/>
          <w:color w:val="auto"/>
          <w:kern w:val="0"/>
          <w:szCs w:val="21"/>
          <w:highlight w:val="none"/>
          <w:u w:val="none" w:color="000000"/>
        </w:rPr>
        <w:t xml:space="preserve"> 地    址：</w:t>
      </w:r>
    </w:p>
    <w:p w14:paraId="4230ACBF">
      <w:pPr>
        <w:pStyle w:val="12"/>
        <w:shd w:val="clear" w:color="auto" w:fill="auto"/>
        <w:spacing w:after="0" w:line="420" w:lineRule="exact"/>
        <w:ind w:left="0" w:leftChars="0" w:firstLine="426" w:firstLineChars="200"/>
        <w:rPr>
          <w:rFonts w:hint="eastAsia" w:ascii="宋体" w:cs="宋体"/>
          <w:color w:val="auto"/>
          <w:kern w:val="0"/>
          <w:szCs w:val="21"/>
          <w:highlight w:val="none"/>
          <w:u w:val="none" w:color="000000"/>
        </w:rPr>
      </w:pPr>
      <w:r>
        <w:rPr>
          <w:rFonts w:hint="eastAsia" w:ascii="宋体" w:cs="宋体"/>
          <w:color w:val="auto"/>
          <w:kern w:val="0"/>
          <w:szCs w:val="21"/>
          <w:highlight w:val="none"/>
          <w:u w:val="none" w:color="000000"/>
        </w:rPr>
        <w:t xml:space="preserve">邮政编码：                        </w:t>
      </w:r>
      <w:r>
        <w:rPr>
          <w:rFonts w:hint="eastAsia" w:ascii="宋体" w:cs="宋体"/>
          <w:color w:val="auto"/>
          <w:kern w:val="0"/>
          <w:szCs w:val="21"/>
          <w:highlight w:val="none"/>
          <w:u w:val="none" w:color="000000"/>
          <w:lang w:val="en-US" w:eastAsia="zh-CN"/>
        </w:rPr>
        <w:t xml:space="preserve">    </w:t>
      </w:r>
      <w:r>
        <w:rPr>
          <w:rFonts w:hint="eastAsia" w:ascii="宋体" w:cs="宋体"/>
          <w:color w:val="auto"/>
          <w:kern w:val="0"/>
          <w:szCs w:val="21"/>
          <w:highlight w:val="none"/>
          <w:u w:val="none" w:color="000000"/>
        </w:rPr>
        <w:t>邮政编码：</w:t>
      </w:r>
    </w:p>
    <w:p w14:paraId="6462A723">
      <w:pPr>
        <w:pStyle w:val="12"/>
        <w:shd w:val="clear" w:color="auto" w:fill="auto"/>
        <w:spacing w:after="0" w:line="420" w:lineRule="exact"/>
        <w:ind w:left="0" w:leftChars="0" w:firstLine="426" w:firstLineChars="200"/>
        <w:rPr>
          <w:rFonts w:hint="eastAsia" w:ascii="宋体" w:cs="宋体"/>
          <w:color w:val="auto"/>
          <w:kern w:val="0"/>
          <w:szCs w:val="21"/>
          <w:highlight w:val="none"/>
          <w:u w:val="none" w:color="000000"/>
        </w:rPr>
      </w:pPr>
      <w:r>
        <w:rPr>
          <w:rFonts w:hint="eastAsia" w:ascii="宋体" w:cs="宋体"/>
          <w:color w:val="auto"/>
          <w:kern w:val="0"/>
          <w:szCs w:val="21"/>
          <w:highlight w:val="none"/>
          <w:u w:val="none" w:color="000000"/>
        </w:rPr>
        <w:t xml:space="preserve">电    话：                        </w:t>
      </w:r>
      <w:r>
        <w:rPr>
          <w:rFonts w:hint="eastAsia" w:ascii="宋体" w:cs="宋体"/>
          <w:color w:val="auto"/>
          <w:kern w:val="0"/>
          <w:szCs w:val="21"/>
          <w:highlight w:val="none"/>
          <w:u w:val="none" w:color="000000"/>
          <w:lang w:val="en-US" w:eastAsia="zh-CN"/>
        </w:rPr>
        <w:t xml:space="preserve">    </w:t>
      </w:r>
      <w:r>
        <w:rPr>
          <w:rFonts w:hint="eastAsia" w:ascii="宋体" w:cs="宋体"/>
          <w:color w:val="auto"/>
          <w:kern w:val="0"/>
          <w:szCs w:val="21"/>
          <w:highlight w:val="none"/>
          <w:u w:val="none" w:color="000000"/>
        </w:rPr>
        <w:t>电    话：</w:t>
      </w:r>
    </w:p>
    <w:p w14:paraId="0BDFE8DC">
      <w:pPr>
        <w:pStyle w:val="12"/>
        <w:shd w:val="clear" w:color="auto" w:fill="auto"/>
        <w:spacing w:after="0" w:line="420" w:lineRule="exact"/>
        <w:ind w:left="0" w:leftChars="0" w:firstLine="426" w:firstLineChars="200"/>
        <w:rPr>
          <w:rFonts w:hint="eastAsia" w:ascii="宋体" w:cs="宋体"/>
          <w:color w:val="auto"/>
          <w:kern w:val="0"/>
          <w:szCs w:val="21"/>
          <w:highlight w:val="none"/>
          <w:u w:val="none" w:color="000000"/>
        </w:rPr>
      </w:pPr>
      <w:r>
        <w:rPr>
          <w:rFonts w:hint="eastAsia" w:ascii="宋体" w:cs="宋体"/>
          <w:color w:val="auto"/>
          <w:kern w:val="0"/>
          <w:szCs w:val="21"/>
          <w:highlight w:val="none"/>
          <w:u w:val="none" w:color="000000"/>
        </w:rPr>
        <w:t xml:space="preserve">开户银行：                       </w:t>
      </w:r>
      <w:r>
        <w:rPr>
          <w:rFonts w:hint="eastAsia" w:ascii="宋体" w:cs="宋体"/>
          <w:color w:val="auto"/>
          <w:kern w:val="0"/>
          <w:szCs w:val="21"/>
          <w:highlight w:val="none"/>
          <w:u w:val="none" w:color="000000"/>
          <w:lang w:val="en-US" w:eastAsia="zh-CN"/>
        </w:rPr>
        <w:t xml:space="preserve">    </w:t>
      </w:r>
      <w:r>
        <w:rPr>
          <w:rFonts w:hint="eastAsia" w:ascii="宋体" w:cs="宋体"/>
          <w:color w:val="auto"/>
          <w:kern w:val="0"/>
          <w:szCs w:val="21"/>
          <w:highlight w:val="none"/>
          <w:u w:val="none" w:color="000000"/>
        </w:rPr>
        <w:t xml:space="preserve"> 开户银行：</w:t>
      </w:r>
    </w:p>
    <w:p w14:paraId="4D2794B9">
      <w:pPr>
        <w:pStyle w:val="12"/>
        <w:shd w:val="clear" w:color="auto" w:fill="auto"/>
        <w:spacing w:after="0" w:line="420" w:lineRule="exact"/>
        <w:ind w:left="0" w:leftChars="0" w:firstLine="426" w:firstLineChars="200"/>
        <w:rPr>
          <w:rFonts w:hint="eastAsia" w:ascii="宋体" w:cs="宋体"/>
          <w:color w:val="auto"/>
          <w:kern w:val="0"/>
          <w:szCs w:val="21"/>
          <w:highlight w:val="none"/>
          <w:u w:val="none" w:color="000000"/>
        </w:rPr>
      </w:pPr>
      <w:r>
        <w:rPr>
          <w:rFonts w:hint="eastAsia" w:ascii="宋体" w:cs="宋体"/>
          <w:color w:val="auto"/>
          <w:kern w:val="0"/>
          <w:szCs w:val="21"/>
          <w:highlight w:val="none"/>
          <w:u w:val="none" w:color="000000"/>
        </w:rPr>
        <w:t xml:space="preserve">帐    号：                        </w:t>
      </w:r>
      <w:r>
        <w:rPr>
          <w:rFonts w:hint="eastAsia" w:ascii="宋体" w:cs="宋体"/>
          <w:color w:val="auto"/>
          <w:kern w:val="0"/>
          <w:szCs w:val="21"/>
          <w:highlight w:val="none"/>
          <w:u w:val="none" w:color="000000"/>
          <w:lang w:val="en-US" w:eastAsia="zh-CN"/>
        </w:rPr>
        <w:t xml:space="preserve">    </w:t>
      </w:r>
      <w:r>
        <w:rPr>
          <w:rFonts w:hint="eastAsia" w:ascii="宋体" w:cs="宋体"/>
          <w:color w:val="auto"/>
          <w:kern w:val="0"/>
          <w:szCs w:val="21"/>
          <w:highlight w:val="none"/>
          <w:u w:val="none" w:color="000000"/>
        </w:rPr>
        <w:t>帐    号：</w:t>
      </w:r>
    </w:p>
    <w:p w14:paraId="37A8EC86">
      <w:pPr>
        <w:rPr>
          <w:rFonts w:hint="eastAsia"/>
        </w:rPr>
      </w:pPr>
    </w:p>
    <w:p w14:paraId="0EB263C0">
      <w:pPr>
        <w:pStyle w:val="12"/>
        <w:shd w:val="clear" w:color="auto" w:fill="auto"/>
        <w:spacing w:after="0" w:line="420" w:lineRule="exact"/>
        <w:ind w:left="0" w:leftChars="0" w:firstLine="566" w:firstLineChars="200"/>
        <w:jc w:val="center"/>
        <w:rPr>
          <w:rFonts w:hint="eastAsia" w:asciiTheme="majorEastAsia" w:hAnsiTheme="majorEastAsia" w:eastAsiaTheme="majorEastAsia" w:cstheme="majorEastAsia"/>
          <w:b/>
          <w:color w:val="auto"/>
          <w:sz w:val="28"/>
          <w:szCs w:val="28"/>
          <w:highlight w:val="none"/>
        </w:rPr>
      </w:pPr>
      <w:r>
        <w:rPr>
          <w:rFonts w:hint="eastAsia" w:asciiTheme="majorEastAsia" w:hAnsiTheme="majorEastAsia" w:eastAsiaTheme="majorEastAsia" w:cstheme="majorEastAsia"/>
          <w:b/>
          <w:color w:val="auto"/>
          <w:sz w:val="28"/>
          <w:szCs w:val="28"/>
          <w:highlight w:val="none"/>
        </w:rPr>
        <w:t>二  合同条款</w:t>
      </w:r>
      <w:bookmarkEnd w:id="66"/>
      <w:bookmarkEnd w:id="67"/>
      <w:bookmarkEnd w:id="68"/>
      <w:bookmarkEnd w:id="69"/>
      <w:bookmarkEnd w:id="70"/>
      <w:bookmarkEnd w:id="71"/>
      <w:bookmarkEnd w:id="72"/>
      <w:bookmarkEnd w:id="73"/>
      <w:bookmarkEnd w:id="74"/>
    </w:p>
    <w:p w14:paraId="23C50B8C">
      <w:pPr>
        <w:shd w:val="clear" w:color="auto" w:fill="auto"/>
        <w:spacing w:line="440" w:lineRule="exact"/>
        <w:rPr>
          <w:rFonts w:hint="eastAsia" w:ascii="宋体" w:cs="宋体"/>
          <w:b/>
          <w:color w:val="auto"/>
          <w:szCs w:val="21"/>
          <w:highlight w:val="none"/>
        </w:rPr>
      </w:pPr>
      <w:r>
        <w:rPr>
          <w:rFonts w:hint="eastAsia" w:ascii="宋体" w:cs="宋体"/>
          <w:b/>
          <w:color w:val="auto"/>
          <w:szCs w:val="21"/>
          <w:highlight w:val="none"/>
        </w:rPr>
        <w:t>一.  合同文件</w:t>
      </w:r>
    </w:p>
    <w:p w14:paraId="73FA5E70">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1、合同文件适用法律</w:t>
      </w:r>
    </w:p>
    <w:p w14:paraId="66B3E0D3">
      <w:pPr>
        <w:shd w:val="clear" w:color="auto" w:fill="auto"/>
        <w:spacing w:line="440" w:lineRule="exact"/>
        <w:ind w:firstLine="639" w:firstLineChars="300"/>
        <w:rPr>
          <w:rFonts w:hint="eastAsia" w:ascii="宋体" w:cs="宋体"/>
          <w:color w:val="auto"/>
          <w:szCs w:val="21"/>
          <w:highlight w:val="none"/>
        </w:rPr>
      </w:pPr>
      <w:r>
        <w:rPr>
          <w:rFonts w:hint="eastAsia" w:ascii="宋体" w:cs="宋体"/>
          <w:color w:val="auto"/>
          <w:szCs w:val="21"/>
          <w:highlight w:val="none"/>
        </w:rPr>
        <w:t>适用于合同文件的法律是中华人民共和国现行法律、法规及招标人所在地的地方性法规。</w:t>
      </w:r>
    </w:p>
    <w:p w14:paraId="10F33C2E">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2、合同文件组成和解释顺序</w:t>
      </w:r>
    </w:p>
    <w:p w14:paraId="5AF06E52">
      <w:pPr>
        <w:shd w:val="clear" w:color="auto" w:fill="auto"/>
        <w:spacing w:line="440" w:lineRule="exact"/>
        <w:ind w:firstLine="532" w:firstLineChars="250"/>
        <w:rPr>
          <w:rFonts w:hint="eastAsia" w:ascii="宋体" w:cs="宋体"/>
          <w:color w:val="auto"/>
          <w:szCs w:val="21"/>
          <w:highlight w:val="none"/>
        </w:rPr>
      </w:pPr>
      <w:r>
        <w:rPr>
          <w:rFonts w:hint="eastAsia" w:ascii="宋体" w:cs="宋体"/>
          <w:color w:val="auto"/>
          <w:szCs w:val="21"/>
          <w:highlight w:val="none"/>
        </w:rPr>
        <w:t>(1)合同文件的组成和解释顺序如下：</w:t>
      </w:r>
    </w:p>
    <w:p w14:paraId="279D54C6">
      <w:pPr>
        <w:shd w:val="clear" w:color="auto" w:fill="auto"/>
        <w:spacing w:line="440" w:lineRule="exact"/>
        <w:ind w:firstLine="532" w:firstLineChars="250"/>
        <w:rPr>
          <w:rFonts w:hint="eastAsia" w:ascii="宋体" w:cs="宋体"/>
          <w:color w:val="auto"/>
          <w:szCs w:val="21"/>
          <w:highlight w:val="none"/>
        </w:rPr>
      </w:pPr>
      <w:r>
        <w:rPr>
          <w:rFonts w:hint="eastAsia" w:ascii="宋体" w:cs="宋体"/>
          <w:color w:val="auto"/>
          <w:szCs w:val="21"/>
          <w:highlight w:val="none"/>
        </w:rPr>
        <w:t>&lt;1&gt;合同的主要条款；</w:t>
      </w:r>
    </w:p>
    <w:p w14:paraId="1C647E37">
      <w:pPr>
        <w:shd w:val="clear" w:color="auto" w:fill="auto"/>
        <w:spacing w:line="440" w:lineRule="exact"/>
        <w:ind w:firstLine="532" w:firstLineChars="250"/>
        <w:rPr>
          <w:rFonts w:hint="eastAsia" w:ascii="宋体" w:cs="宋体"/>
          <w:color w:val="auto"/>
          <w:szCs w:val="21"/>
          <w:highlight w:val="none"/>
        </w:rPr>
      </w:pPr>
      <w:r>
        <w:rPr>
          <w:rFonts w:hint="eastAsia" w:ascii="宋体" w:cs="宋体"/>
          <w:color w:val="auto"/>
          <w:szCs w:val="21"/>
          <w:highlight w:val="none"/>
        </w:rPr>
        <w:t>&lt;2&gt;合同的一般性条款；</w:t>
      </w:r>
    </w:p>
    <w:p w14:paraId="7B40B9A2">
      <w:pPr>
        <w:shd w:val="clear" w:color="auto" w:fill="auto"/>
        <w:spacing w:line="440" w:lineRule="exact"/>
        <w:ind w:firstLine="532" w:firstLineChars="250"/>
        <w:rPr>
          <w:rFonts w:hint="eastAsia" w:ascii="宋体" w:cs="宋体"/>
          <w:color w:val="auto"/>
          <w:szCs w:val="21"/>
          <w:highlight w:val="none"/>
        </w:rPr>
      </w:pPr>
      <w:r>
        <w:rPr>
          <w:rFonts w:hint="eastAsia" w:ascii="宋体" w:cs="宋体"/>
          <w:color w:val="auto"/>
          <w:szCs w:val="21"/>
          <w:highlight w:val="none"/>
        </w:rPr>
        <w:t>&lt;3&gt;洽商、变更等明确双方权利义务的纪要、协议；</w:t>
      </w:r>
    </w:p>
    <w:p w14:paraId="5D225FFC">
      <w:pPr>
        <w:shd w:val="clear" w:color="auto" w:fill="auto"/>
        <w:spacing w:line="440" w:lineRule="exact"/>
        <w:ind w:firstLine="532" w:firstLineChars="250"/>
        <w:rPr>
          <w:rFonts w:hint="eastAsia" w:ascii="宋体" w:cs="宋体"/>
          <w:color w:val="auto"/>
          <w:szCs w:val="21"/>
          <w:highlight w:val="none"/>
        </w:rPr>
      </w:pPr>
      <w:r>
        <w:rPr>
          <w:rFonts w:hint="eastAsia" w:ascii="宋体" w:cs="宋体"/>
          <w:color w:val="auto"/>
          <w:szCs w:val="21"/>
          <w:highlight w:val="none"/>
        </w:rPr>
        <w:t>&lt;4&gt;中标通知书、投标文件和</w:t>
      </w:r>
      <w:r>
        <w:rPr>
          <w:rFonts w:hint="eastAsia" w:ascii="宋体" w:cs="宋体"/>
          <w:color w:val="auto"/>
          <w:szCs w:val="21"/>
          <w:highlight w:val="none"/>
          <w:lang w:eastAsia="zh-CN"/>
        </w:rPr>
        <w:t>采购文件</w:t>
      </w:r>
      <w:r>
        <w:rPr>
          <w:rFonts w:hint="eastAsia" w:ascii="宋体" w:cs="宋体"/>
          <w:color w:val="auto"/>
          <w:szCs w:val="21"/>
          <w:highlight w:val="none"/>
        </w:rPr>
        <w:t>；</w:t>
      </w:r>
    </w:p>
    <w:p w14:paraId="370B9E69">
      <w:pPr>
        <w:shd w:val="clear" w:color="auto" w:fill="auto"/>
        <w:spacing w:line="440" w:lineRule="exact"/>
        <w:ind w:firstLine="532" w:firstLineChars="250"/>
        <w:rPr>
          <w:rFonts w:hint="eastAsia" w:ascii="宋体" w:cs="宋体"/>
          <w:color w:val="auto"/>
          <w:szCs w:val="21"/>
          <w:highlight w:val="none"/>
        </w:rPr>
      </w:pPr>
      <w:r>
        <w:rPr>
          <w:rFonts w:hint="eastAsia" w:ascii="宋体" w:cs="宋体"/>
          <w:color w:val="auto"/>
          <w:szCs w:val="21"/>
          <w:highlight w:val="none"/>
        </w:rPr>
        <w:t>&lt;5&gt;有关图纸、标准、规范和其它有关技术资料、技术要求。</w:t>
      </w:r>
    </w:p>
    <w:p w14:paraId="4D5C2745">
      <w:pPr>
        <w:shd w:val="clear" w:color="auto" w:fill="auto"/>
        <w:spacing w:line="440" w:lineRule="exact"/>
        <w:ind w:firstLine="532" w:firstLineChars="250"/>
        <w:rPr>
          <w:rFonts w:hint="eastAsia" w:ascii="宋体" w:cs="宋体"/>
          <w:color w:val="auto"/>
          <w:szCs w:val="21"/>
          <w:highlight w:val="none"/>
        </w:rPr>
      </w:pPr>
      <w:r>
        <w:rPr>
          <w:rFonts w:hint="eastAsia" w:ascii="宋体" w:cs="宋体"/>
          <w:color w:val="auto"/>
          <w:szCs w:val="21"/>
          <w:highlight w:val="none"/>
        </w:rPr>
        <w:t>&lt;6&gt;合同的主要条款的效力优于合同的一般性条款的效力。</w:t>
      </w:r>
    </w:p>
    <w:p w14:paraId="2BE02813">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3、合同文件使用文字</w:t>
      </w:r>
    </w:p>
    <w:p w14:paraId="067FFA73">
      <w:pPr>
        <w:pStyle w:val="7"/>
        <w:shd w:val="clear" w:color="auto" w:fill="auto"/>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(1)合同文件使用中文书写、解释和说明。</w:t>
      </w:r>
    </w:p>
    <w:p w14:paraId="1E70947B">
      <w:pPr>
        <w:pStyle w:val="7"/>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 xml:space="preserve">(2)合同文件使用技术性条款约定的为国家标准和规范；国家没有相应标准、规范时，可使用行业标准、规范。非标货物应按约定的技术性条款的标准和规范。 </w:t>
      </w:r>
    </w:p>
    <w:p w14:paraId="2EB09C1E">
      <w:pPr>
        <w:shd w:val="clear" w:color="auto" w:fill="auto"/>
        <w:spacing w:line="440" w:lineRule="exact"/>
        <w:rPr>
          <w:rFonts w:hint="eastAsia" w:ascii="宋体" w:cs="宋体"/>
          <w:b/>
          <w:color w:val="auto"/>
          <w:szCs w:val="21"/>
          <w:highlight w:val="none"/>
        </w:rPr>
      </w:pPr>
      <w:r>
        <w:rPr>
          <w:rFonts w:hint="eastAsia" w:ascii="宋体" w:cs="宋体"/>
          <w:b/>
          <w:color w:val="000000" w:themeColor="text1"/>
          <w:szCs w:val="21"/>
          <w:highlight w:val="none"/>
          <w14:textFill>
            <w14:solidFill>
              <w14:schemeClr w14:val="tx1"/>
            </w14:solidFill>
          </w14:textFill>
        </w:rPr>
        <w:t>二.  标的物的一般条款</w:t>
      </w:r>
    </w:p>
    <w:p w14:paraId="2D053FC9">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4、完整物权</w:t>
      </w:r>
    </w:p>
    <w:p w14:paraId="731C3D58">
      <w:pPr>
        <w:shd w:val="clear" w:color="auto" w:fill="auto"/>
        <w:tabs>
          <w:tab w:val="left" w:pos="660"/>
        </w:tabs>
        <w:spacing w:line="440" w:lineRule="exact"/>
        <w:rPr>
          <w:rFonts w:hint="eastAsia" w:ascii="宋体" w:cs="宋体"/>
          <w:color w:val="auto"/>
          <w:szCs w:val="21"/>
          <w:highlight w:val="none"/>
        </w:rPr>
      </w:pPr>
      <w:r>
        <w:rPr>
          <w:rFonts w:hint="eastAsia" w:ascii="宋体" w:cs="宋体"/>
          <w:color w:val="auto"/>
          <w:szCs w:val="21"/>
          <w:highlight w:val="none"/>
        </w:rPr>
        <w:t xml:space="preserve"> </w:t>
      </w:r>
      <w:r>
        <w:rPr>
          <w:rFonts w:hint="eastAsia" w:ascii="宋体" w:cs="宋体"/>
          <w:color w:val="auto"/>
          <w:szCs w:val="21"/>
          <w:highlight w:val="none"/>
        </w:rPr>
        <w:tab/>
      </w:r>
      <w:r>
        <w:rPr>
          <w:rFonts w:hint="eastAsia" w:ascii="宋体" w:cs="宋体"/>
          <w:color w:val="auto"/>
          <w:szCs w:val="21"/>
          <w:highlight w:val="none"/>
        </w:rPr>
        <w:t>对于出卖的标的物，卖方应当拥有完整物权，并且卖方负有保证第三人不得向买方主张任何权利（包括知识产权）的义务。</w:t>
      </w:r>
    </w:p>
    <w:p w14:paraId="42FD3800">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5、质量保证</w:t>
      </w:r>
    </w:p>
    <w:p w14:paraId="39866AA6">
      <w:pPr>
        <w:pStyle w:val="7"/>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(1)卖方应保证所供标的物是全新的，未使用过的，并且是非长期积压的库存商品，完全符合合同规定的质量、规格和性能的要求，卖方应保证其提供的标的物在正确安装，正常使用和保养条件下，在其标称的使用寿命期内应具有满意的性能。在卖方承诺的质量保证期限内，卖方应对由于设计、工艺或材料的缺陷及伴随服务而造成的任何不足或故障负责。</w:t>
      </w:r>
    </w:p>
    <w:p w14:paraId="7F07BB1E">
      <w:pPr>
        <w:pStyle w:val="7"/>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(2)根据买方按检验标准自己检验的结果或当地技监部门的检验结果，或者在质量保证期内，如果标的物的数量、质量或规格与合同不符或证实标的物是有缺陷的，包括潜在缺陷或使用不符合要求的材料等，买方应尽快以书面形式通知卖方并提出索赔。</w:t>
      </w:r>
    </w:p>
    <w:p w14:paraId="155CC913">
      <w:pPr>
        <w:pStyle w:val="7"/>
        <w:shd w:val="clear" w:color="auto" w:fill="auto"/>
        <w:tabs>
          <w:tab w:val="left" w:pos="900"/>
        </w:tabs>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(3)除合同主要条款规定外，合同条款中标的物的质量保证期均自标的物通过最终验收之日起计算，且质量保证期按不低于国家标准和卖方承诺的高于国家标准的质保期（卖方有特殊要求的除外）。</w:t>
      </w:r>
    </w:p>
    <w:p w14:paraId="36D6287E">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6、包装</w:t>
      </w:r>
    </w:p>
    <w:p w14:paraId="300B54DD">
      <w:pPr>
        <w:pStyle w:val="7"/>
        <w:shd w:val="clear" w:color="auto" w:fill="auto"/>
        <w:tabs>
          <w:tab w:val="left" w:pos="900"/>
        </w:tabs>
        <w:spacing w:line="440" w:lineRule="exact"/>
        <w:ind w:firstLine="478" w:firstLineChars="225"/>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卖方应当按照约定的包装方式交付标的物。对包装方式没有约定或者约定不明确的，应当按照双方补充协议约定的方式包装，或者按照通用的方式包装，没有通用方式的，应当采取足以保护标的物的包装方式。</w:t>
      </w:r>
    </w:p>
    <w:p w14:paraId="1B3E73E9">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7、伴随服务</w:t>
      </w:r>
    </w:p>
    <w:p w14:paraId="396EBC34">
      <w:pPr>
        <w:pStyle w:val="7"/>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(1)卖方除应履行按期按量交付合格标的物的义务之外，还应提供下列服务：</w:t>
      </w:r>
    </w:p>
    <w:p w14:paraId="0C2125F7">
      <w:pPr>
        <w:pStyle w:val="7"/>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&lt;1&gt;标的物的现场安装或指导安装、启动、调试、监督（如果必须安装、调试的话）；</w:t>
      </w:r>
    </w:p>
    <w:p w14:paraId="30E3466E">
      <w:pPr>
        <w:pStyle w:val="7"/>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&lt;2&gt;提供标的物组装和一般维修所必须的工具；</w:t>
      </w:r>
    </w:p>
    <w:p w14:paraId="74E020EF">
      <w:pPr>
        <w:pStyle w:val="7"/>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&lt;3&gt;在合同规定的期限内对所提供标的物实行运行监督、维修服务的前提条件是该服务并不能免除卖方在质量保证期内所承担的义务；</w:t>
      </w:r>
    </w:p>
    <w:p w14:paraId="5C7284FE">
      <w:pPr>
        <w:pStyle w:val="7"/>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&lt;4&gt;对买方技术人员的技术指导或培训。</w:t>
      </w:r>
    </w:p>
    <w:p w14:paraId="03D269BC">
      <w:pPr>
        <w:pStyle w:val="7"/>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(2)除合同另有规定之外，伴随服务的费用均已含在合同价款中，买方不再另行进行支付。</w:t>
      </w:r>
    </w:p>
    <w:p w14:paraId="5B58C903">
      <w:pPr>
        <w:spacing w:line="560" w:lineRule="exact"/>
        <w:ind w:firstLine="426" w:firstLineChars="200"/>
        <w:outlineLvl w:val="0"/>
        <w:rPr>
          <w:rFonts w:hint="eastAsia" w:ascii="宋体" w:hAnsi="宋体" w:eastAsia="宋体" w:cs="宋体"/>
          <w:b/>
          <w:sz w:val="24"/>
        </w:rPr>
      </w:pPr>
      <w:r>
        <w:rPr>
          <w:rFonts w:hint="eastAsia" w:ascii="宋体" w:cs="宋体"/>
          <w:b/>
          <w:color w:val="000000" w:themeColor="text1"/>
          <w:szCs w:val="21"/>
          <w:highlight w:val="none"/>
          <w14:textFill>
            <w14:solidFill>
              <w14:schemeClr w14:val="tx1"/>
            </w14:solidFill>
          </w14:textFill>
        </w:rPr>
        <w:t xml:space="preserve">三. </w:t>
      </w:r>
      <w:r>
        <w:rPr>
          <w:rFonts w:hint="eastAsia" w:ascii="宋体" w:hAnsi="宋体" w:eastAsia="宋体" w:cs="宋体"/>
          <w:b/>
          <w:sz w:val="24"/>
        </w:rPr>
        <w:t xml:space="preserve"> 检验和验收</w:t>
      </w:r>
    </w:p>
    <w:p w14:paraId="30F7FCE0">
      <w:pPr>
        <w:tabs>
          <w:tab w:val="left" w:pos="360"/>
          <w:tab w:val="left" w:pos="540"/>
          <w:tab w:val="left" w:pos="1080"/>
        </w:tabs>
        <w:spacing w:line="560" w:lineRule="exact"/>
        <w:ind w:firstLine="426" w:firstLineChars="200"/>
        <w:rPr>
          <w:rFonts w:hint="eastAsia" w:ascii="宋体" w:hAnsi="Times New Roman" w:eastAsia="宋体" w:cs="宋体"/>
          <w:color w:val="auto"/>
          <w:kern w:val="0"/>
          <w:sz w:val="21"/>
          <w:szCs w:val="21"/>
          <w:highlight w:val="none"/>
          <w:u w:val="none" w:color="000000"/>
          <w:lang w:val="en-US" w:eastAsia="zh-CN" w:bidi="ar-SA"/>
        </w:rPr>
      </w:pPr>
      <w:r>
        <w:rPr>
          <w:rFonts w:hint="eastAsia" w:ascii="宋体" w:hAnsi="Times New Roman" w:eastAsia="宋体" w:cs="宋体"/>
          <w:color w:val="auto"/>
          <w:kern w:val="0"/>
          <w:sz w:val="21"/>
          <w:szCs w:val="21"/>
          <w:highlight w:val="none"/>
          <w:u w:val="none" w:color="000000"/>
          <w:lang w:val="en-US" w:eastAsia="zh-CN" w:bidi="ar-SA"/>
        </w:rPr>
        <w:t xml:space="preserve"> 1服务交付前，乙方应对服务的质量、数量等方面进行详细、全面的检验，并向甲方出具证明服务符合合同约定的文件；服务交付时，乙方在合同专用条款约定时间内组织验收，并可依法邀请相关方参加，验收应出具验收书。</w:t>
      </w:r>
    </w:p>
    <w:p w14:paraId="7C387943">
      <w:pPr>
        <w:tabs>
          <w:tab w:val="left" w:pos="360"/>
          <w:tab w:val="left" w:pos="540"/>
          <w:tab w:val="left" w:pos="1080"/>
        </w:tabs>
        <w:spacing w:line="560" w:lineRule="exact"/>
        <w:ind w:firstLine="426" w:firstLineChars="200"/>
        <w:rPr>
          <w:rFonts w:hint="eastAsia" w:ascii="宋体" w:hAnsi="Times New Roman" w:eastAsia="宋体" w:cs="宋体"/>
          <w:color w:val="auto"/>
          <w:kern w:val="0"/>
          <w:sz w:val="21"/>
          <w:szCs w:val="21"/>
          <w:highlight w:val="none"/>
          <w:u w:val="none" w:color="000000"/>
          <w:lang w:val="en-US" w:eastAsia="zh-CN" w:bidi="ar-SA"/>
        </w:rPr>
      </w:pPr>
      <w:r>
        <w:rPr>
          <w:rFonts w:hint="eastAsia" w:ascii="宋体" w:hAnsi="Times New Roman" w:eastAsia="宋体" w:cs="宋体"/>
          <w:color w:val="auto"/>
          <w:kern w:val="0"/>
          <w:sz w:val="21"/>
          <w:szCs w:val="21"/>
          <w:highlight w:val="none"/>
          <w:u w:val="none" w:color="000000"/>
          <w:lang w:val="en-US" w:eastAsia="zh-CN" w:bidi="ar-SA"/>
        </w:rPr>
        <w:t xml:space="preserve"> 2合同期满或者履行完毕后，甲方有权组织（包括依法邀请国家认可的质量检测机构参加）对乙方履约的验收，即：按照合同约定的技术、服务、安全标准，组织对每一项技术、服务、安全标准的履约情况的验收，并出具验收书。</w:t>
      </w:r>
    </w:p>
    <w:p w14:paraId="375BDB11">
      <w:pPr>
        <w:tabs>
          <w:tab w:val="left" w:pos="360"/>
          <w:tab w:val="left" w:pos="540"/>
          <w:tab w:val="left" w:pos="1080"/>
        </w:tabs>
        <w:spacing w:line="560" w:lineRule="exact"/>
        <w:ind w:firstLine="426" w:firstLineChars="200"/>
        <w:rPr>
          <w:rFonts w:hint="eastAsia" w:ascii="宋体" w:hAnsi="Times New Roman" w:eastAsia="宋体" w:cs="宋体"/>
          <w:color w:val="auto"/>
          <w:kern w:val="0"/>
          <w:sz w:val="21"/>
          <w:szCs w:val="21"/>
          <w:highlight w:val="none"/>
          <w:u w:val="none" w:color="000000"/>
          <w:lang w:val="en-US" w:eastAsia="zh-CN" w:bidi="ar-SA"/>
        </w:rPr>
      </w:pPr>
      <w:r>
        <w:rPr>
          <w:rFonts w:hint="eastAsia" w:ascii="宋体" w:hAnsi="Times New Roman" w:eastAsia="宋体" w:cs="宋体"/>
          <w:color w:val="auto"/>
          <w:kern w:val="0"/>
          <w:sz w:val="21"/>
          <w:szCs w:val="21"/>
          <w:highlight w:val="none"/>
          <w:u w:val="none" w:color="000000"/>
          <w:lang w:val="en-US" w:eastAsia="zh-CN" w:bidi="ar-SA"/>
        </w:rPr>
        <w:t xml:space="preserve"> 3 检验和验收标准、程序等具体内容以及前述验收书的效力详见合同专用条款。</w:t>
      </w:r>
    </w:p>
    <w:p w14:paraId="35EE05E1">
      <w:pPr>
        <w:shd w:val="clear" w:color="auto" w:fill="auto"/>
        <w:spacing w:line="440" w:lineRule="exact"/>
        <w:rPr>
          <w:rFonts w:hint="eastAsia" w:ascii="宋体" w:cs="宋体"/>
          <w:b/>
          <w:color w:val="000000" w:themeColor="text1"/>
          <w:szCs w:val="21"/>
          <w:highlight w:val="none"/>
          <w14:textFill>
            <w14:solidFill>
              <w14:schemeClr w14:val="tx1"/>
            </w14:solidFill>
          </w14:textFill>
        </w:rPr>
      </w:pPr>
      <w:r>
        <w:rPr>
          <w:rFonts w:hint="eastAsia" w:ascii="宋体" w:cs="宋体"/>
          <w:b/>
          <w:color w:val="000000" w:themeColor="text1"/>
          <w:szCs w:val="21"/>
          <w:highlight w:val="none"/>
          <w14:textFill>
            <w14:solidFill>
              <w14:schemeClr w14:val="tx1"/>
            </w14:solidFill>
          </w14:textFill>
        </w:rPr>
        <w:t>四. 对标的物提出异议的时间和办法</w:t>
      </w:r>
    </w:p>
    <w:p w14:paraId="68B612A9">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lang w:val="en-US" w:eastAsia="zh-CN"/>
        </w:rPr>
        <w:t>1</w:t>
      </w:r>
      <w:r>
        <w:rPr>
          <w:rFonts w:hint="eastAsia" w:ascii="宋体" w:cs="宋体"/>
          <w:color w:val="auto"/>
          <w:szCs w:val="21"/>
          <w:highlight w:val="none"/>
        </w:rPr>
        <w:t xml:space="preserve">、对标的物提出异议的时间和办法 </w:t>
      </w:r>
    </w:p>
    <w:p w14:paraId="2696808A">
      <w:pPr>
        <w:pStyle w:val="7"/>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(1)买方在验收过程中，应当于双方约定的检验期间内将标的物的数量或质量不符合约定的情形及处理方式以书面形式通知卖方。</w:t>
      </w:r>
    </w:p>
    <w:p w14:paraId="2BAFE491">
      <w:pPr>
        <w:pStyle w:val="7"/>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(2)如买方在验收期满后既不出具验收合格证明又未提出书面异议的视为卖方所交标的物符合合同规定。</w:t>
      </w:r>
    </w:p>
    <w:p w14:paraId="42E6A1B5">
      <w:pPr>
        <w:pStyle w:val="7"/>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(3)卖方应在收到买方书面异议后</w:t>
      </w:r>
      <w:r>
        <w:rPr>
          <w:rFonts w:hint="eastAsia" w:ascii="宋体" w:cs="宋体"/>
          <w:color w:val="auto"/>
          <w:sz w:val="21"/>
          <w:szCs w:val="21"/>
          <w:highlight w:val="none"/>
          <w:u w:val="none" w:color="000000"/>
          <w:lang w:val="en-US" w:eastAsia="zh-CN"/>
        </w:rPr>
        <w:t>3</w:t>
      </w:r>
      <w:r>
        <w:rPr>
          <w:rFonts w:hint="eastAsia" w:ascii="宋体" w:cs="宋体"/>
          <w:color w:val="auto"/>
          <w:sz w:val="21"/>
          <w:szCs w:val="21"/>
          <w:highlight w:val="none"/>
          <w:u w:val="none" w:color="000000"/>
        </w:rPr>
        <w:t>天内负责处理问题，否则将视为默认买方提出的异议和处理意见。</w:t>
      </w:r>
    </w:p>
    <w:p w14:paraId="14DC0D02">
      <w:pPr>
        <w:shd w:val="clear" w:color="auto" w:fill="auto"/>
        <w:spacing w:line="440" w:lineRule="exact"/>
        <w:rPr>
          <w:rFonts w:hint="eastAsia" w:ascii="宋体" w:cs="宋体"/>
          <w:b/>
          <w:color w:val="auto"/>
          <w:szCs w:val="21"/>
          <w:highlight w:val="none"/>
        </w:rPr>
      </w:pPr>
      <w:r>
        <w:rPr>
          <w:rFonts w:hint="eastAsia" w:ascii="宋体" w:cs="宋体"/>
          <w:b/>
          <w:color w:val="auto"/>
          <w:szCs w:val="21"/>
          <w:highlight w:val="none"/>
        </w:rPr>
        <w:t>五. 合同价款和支付</w:t>
      </w:r>
    </w:p>
    <w:p w14:paraId="44EFD7EA">
      <w:pPr>
        <w:shd w:val="clear" w:color="auto" w:fill="auto"/>
        <w:spacing w:line="440" w:lineRule="exact"/>
        <w:ind w:firstLine="213" w:firstLineChars="100"/>
        <w:rPr>
          <w:rFonts w:hint="eastAsia" w:ascii="宋体" w:cs="宋体"/>
          <w:color w:val="auto"/>
          <w:szCs w:val="21"/>
          <w:highlight w:val="none"/>
        </w:rPr>
      </w:pPr>
      <w:r>
        <w:rPr>
          <w:rFonts w:hint="eastAsia" w:ascii="宋体" w:cs="宋体"/>
          <w:color w:val="auto"/>
          <w:szCs w:val="21"/>
          <w:highlight w:val="none"/>
          <w:lang w:val="en-US" w:eastAsia="zh-CN"/>
        </w:rPr>
        <w:t>1.</w:t>
      </w:r>
      <w:r>
        <w:rPr>
          <w:rFonts w:hint="eastAsia" w:ascii="宋体" w:cs="宋体"/>
          <w:color w:val="auto"/>
          <w:szCs w:val="21"/>
          <w:highlight w:val="none"/>
        </w:rPr>
        <w:t>合同价款和支付</w:t>
      </w:r>
    </w:p>
    <w:p w14:paraId="1A285286">
      <w:pPr>
        <w:pStyle w:val="7"/>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(1)本合同的结算货币为人民币，单位元。</w:t>
      </w:r>
    </w:p>
    <w:p w14:paraId="58FF9183">
      <w:pPr>
        <w:pStyle w:val="7"/>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(2)卖方应按照双方签订的合同规定交货并在合同主要条款规定的期限内持下列单据结算货款：</w:t>
      </w:r>
    </w:p>
    <w:p w14:paraId="28491D9F">
      <w:pPr>
        <w:pStyle w:val="7"/>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&lt;1&gt;合格的销售发票；</w:t>
      </w:r>
    </w:p>
    <w:p w14:paraId="79243AAF">
      <w:pPr>
        <w:pStyle w:val="7"/>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&lt;2&gt;买方盖章签收后的送货回单和验收合格证明。</w:t>
      </w:r>
    </w:p>
    <w:p w14:paraId="69CD1B24">
      <w:pPr>
        <w:pStyle w:val="7"/>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(3)买方应按合同主要条款规定的期限和方式付款。</w:t>
      </w:r>
    </w:p>
    <w:p w14:paraId="1A007FEF">
      <w:pPr>
        <w:pStyle w:val="7"/>
        <w:shd w:val="clear" w:color="auto" w:fill="auto"/>
        <w:tabs>
          <w:tab w:val="left" w:pos="540"/>
        </w:tabs>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(4)根据现行税法对买方征收的与本合同有关的一切税费均由买方承担；根据现行税法对卖方征收的与本合同有关的一切税费均由卖方承担。</w:t>
      </w:r>
    </w:p>
    <w:p w14:paraId="3A8A9145">
      <w:pPr>
        <w:shd w:val="clear" w:color="auto" w:fill="auto"/>
        <w:spacing w:line="440" w:lineRule="exact"/>
        <w:rPr>
          <w:rFonts w:hint="eastAsia" w:ascii="宋体" w:cs="宋体"/>
          <w:b/>
          <w:color w:val="auto"/>
          <w:szCs w:val="21"/>
          <w:highlight w:val="none"/>
        </w:rPr>
      </w:pPr>
      <w:r>
        <w:rPr>
          <w:rFonts w:hint="eastAsia" w:ascii="宋体" w:cs="宋体"/>
          <w:b/>
          <w:color w:val="auto"/>
          <w:szCs w:val="21"/>
          <w:highlight w:val="none"/>
        </w:rPr>
        <w:t>六. 违约责任</w:t>
      </w:r>
    </w:p>
    <w:p w14:paraId="6D6CECBA">
      <w:pPr>
        <w:keepNext w:val="0"/>
        <w:keepLines w:val="0"/>
        <w:pageBreakBefore w:val="0"/>
        <w:kinsoku/>
        <w:wordWrap/>
        <w:overflowPunct/>
        <w:topLinePunct w:val="0"/>
        <w:bidi w:val="0"/>
        <w:spacing w:line="400" w:lineRule="exact"/>
        <w:ind w:firstLine="486" w:firstLineChars="200"/>
        <w:textAlignment w:val="auto"/>
        <w:rPr>
          <w:rFonts w:hint="eastAsia" w:ascii="宋体" w:hAnsi="宋体" w:eastAsia="宋体" w:cs="宋体"/>
          <w:b/>
          <w:bCs/>
          <w:color w:val="000000"/>
          <w:kern w:val="0"/>
          <w:sz w:val="24"/>
          <w:szCs w:val="24"/>
          <w:lang w:val="en-US" w:eastAsia="zh-CN" w:bidi="ar"/>
        </w:rPr>
      </w:pPr>
      <w:r>
        <w:rPr>
          <w:rFonts w:hint="eastAsia" w:ascii="宋体" w:hAnsi="宋体" w:cs="宋体"/>
          <w:b/>
          <w:bCs/>
          <w:color w:val="000000"/>
          <w:kern w:val="0"/>
          <w:sz w:val="24"/>
          <w:szCs w:val="24"/>
          <w:lang w:val="en-US" w:eastAsia="zh-CN" w:bidi="ar"/>
        </w:rPr>
        <w:t>1</w:t>
      </w:r>
      <w:r>
        <w:rPr>
          <w:rFonts w:hint="eastAsia" w:ascii="宋体" w:hAnsi="宋体" w:eastAsia="宋体" w:cs="宋体"/>
          <w:b/>
          <w:bCs/>
          <w:color w:val="000000"/>
          <w:kern w:val="0"/>
          <w:sz w:val="24"/>
          <w:szCs w:val="24"/>
          <w:lang w:val="en-US" w:eastAsia="zh-CN" w:bidi="ar"/>
        </w:rPr>
        <w:t>、违约责任：</w:t>
      </w:r>
    </w:p>
    <w:p w14:paraId="36DEA850">
      <w:pPr>
        <w:keepNext w:val="0"/>
        <w:keepLines w:val="0"/>
        <w:pageBreakBefore w:val="0"/>
        <w:kinsoku/>
        <w:wordWrap/>
        <w:overflowPunct/>
        <w:topLinePunct w:val="0"/>
        <w:bidi w:val="0"/>
        <w:spacing w:line="400" w:lineRule="exact"/>
        <w:ind w:firstLine="426" w:firstLineChars="200"/>
        <w:textAlignment w:val="auto"/>
        <w:rPr>
          <w:rFonts w:hint="eastAsia" w:ascii="宋体" w:hAnsi="Times New Roman" w:eastAsia="宋体" w:cs="宋体"/>
          <w:color w:val="auto"/>
          <w:kern w:val="0"/>
          <w:sz w:val="21"/>
          <w:szCs w:val="21"/>
          <w:highlight w:val="none"/>
          <w:u w:val="none" w:color="000000"/>
          <w:lang w:val="en-US" w:eastAsia="zh-CN" w:bidi="ar-SA"/>
        </w:rPr>
      </w:pPr>
      <w:r>
        <w:rPr>
          <w:rFonts w:hint="eastAsia" w:ascii="宋体" w:cs="宋体"/>
          <w:color w:val="auto"/>
          <w:kern w:val="0"/>
          <w:sz w:val="21"/>
          <w:szCs w:val="21"/>
          <w:highlight w:val="none"/>
          <w:u w:val="none" w:color="000000"/>
          <w:lang w:val="en-US" w:eastAsia="zh-CN" w:bidi="ar-SA"/>
        </w:rPr>
        <w:t>供应商</w:t>
      </w:r>
      <w:r>
        <w:rPr>
          <w:rFonts w:hint="eastAsia" w:ascii="宋体" w:hAnsi="Times New Roman" w:eastAsia="宋体" w:cs="宋体"/>
          <w:color w:val="auto"/>
          <w:kern w:val="0"/>
          <w:sz w:val="21"/>
          <w:szCs w:val="21"/>
          <w:highlight w:val="none"/>
          <w:u w:val="none" w:color="000000"/>
          <w:lang w:val="en-US" w:eastAsia="zh-CN" w:bidi="ar-SA"/>
        </w:rPr>
        <w:t>在工作时有下列行为，采购人将采取终止合同、列入黑名单及拒绝支付审计费用等处理处罚措施，涉嫌犯罪的，移送</w:t>
      </w:r>
      <w:r>
        <w:rPr>
          <w:rFonts w:hint="eastAsia" w:ascii="宋体" w:cs="宋体"/>
          <w:color w:val="auto"/>
          <w:kern w:val="0"/>
          <w:sz w:val="21"/>
          <w:szCs w:val="21"/>
          <w:highlight w:val="none"/>
          <w:u w:val="none" w:color="000000"/>
          <w:lang w:val="en-US" w:eastAsia="zh-CN" w:bidi="ar-SA"/>
        </w:rPr>
        <w:t>相关</w:t>
      </w:r>
      <w:r>
        <w:rPr>
          <w:rFonts w:hint="eastAsia" w:ascii="宋体" w:hAnsi="Times New Roman" w:eastAsia="宋体" w:cs="宋体"/>
          <w:color w:val="auto"/>
          <w:kern w:val="0"/>
          <w:sz w:val="21"/>
          <w:szCs w:val="21"/>
          <w:highlight w:val="none"/>
          <w:u w:val="none" w:color="000000"/>
          <w:lang w:val="en-US" w:eastAsia="zh-CN" w:bidi="ar-SA"/>
        </w:rPr>
        <w:t>机关依法追究责任：</w:t>
      </w:r>
    </w:p>
    <w:p w14:paraId="4F567E1E">
      <w:pPr>
        <w:keepNext w:val="0"/>
        <w:keepLines w:val="0"/>
        <w:pageBreakBefore w:val="0"/>
        <w:numPr>
          <w:ilvl w:val="0"/>
          <w:numId w:val="0"/>
        </w:numPr>
        <w:kinsoku/>
        <w:wordWrap/>
        <w:overflowPunct/>
        <w:topLinePunct w:val="0"/>
        <w:bidi w:val="0"/>
        <w:spacing w:line="400" w:lineRule="exact"/>
        <w:ind w:left="700" w:leftChars="0"/>
        <w:textAlignment w:val="auto"/>
        <w:rPr>
          <w:rFonts w:hint="eastAsia" w:ascii="宋体" w:hAnsi="Times New Roman" w:eastAsia="宋体" w:cs="宋体"/>
          <w:color w:val="auto"/>
          <w:kern w:val="0"/>
          <w:sz w:val="21"/>
          <w:szCs w:val="21"/>
          <w:highlight w:val="none"/>
          <w:u w:val="none" w:color="000000"/>
          <w:lang w:val="en-US" w:eastAsia="zh-CN" w:bidi="ar-SA"/>
        </w:rPr>
      </w:pPr>
      <w:r>
        <w:rPr>
          <w:rFonts w:hint="eastAsia" w:ascii="宋体" w:hAnsi="Times New Roman" w:eastAsia="宋体" w:cs="宋体"/>
          <w:color w:val="auto"/>
          <w:kern w:val="0"/>
          <w:sz w:val="21"/>
          <w:szCs w:val="21"/>
          <w:highlight w:val="none"/>
          <w:u w:val="none" w:color="000000"/>
          <w:lang w:val="en-US" w:eastAsia="zh-CN" w:bidi="ar-SA"/>
        </w:rPr>
        <w:t xml:space="preserve">(1)将受托业务转包或分包给其他中介机构或个人； </w:t>
      </w:r>
    </w:p>
    <w:p w14:paraId="02DAEBBC">
      <w:pPr>
        <w:keepNext w:val="0"/>
        <w:keepLines w:val="0"/>
        <w:pageBreakBefore w:val="0"/>
        <w:numPr>
          <w:ilvl w:val="0"/>
          <w:numId w:val="0"/>
        </w:numPr>
        <w:kinsoku/>
        <w:wordWrap/>
        <w:overflowPunct/>
        <w:topLinePunct w:val="0"/>
        <w:bidi w:val="0"/>
        <w:spacing w:line="400" w:lineRule="exact"/>
        <w:ind w:left="700" w:leftChars="0"/>
        <w:textAlignment w:val="auto"/>
        <w:rPr>
          <w:rFonts w:hint="eastAsia" w:ascii="宋体" w:hAnsi="Times New Roman" w:eastAsia="宋体" w:cs="宋体"/>
          <w:color w:val="auto"/>
          <w:kern w:val="0"/>
          <w:sz w:val="21"/>
          <w:szCs w:val="21"/>
          <w:highlight w:val="none"/>
          <w:u w:val="none" w:color="000000"/>
          <w:lang w:val="en-US" w:eastAsia="zh-CN" w:bidi="ar-SA"/>
        </w:rPr>
      </w:pPr>
      <w:r>
        <w:rPr>
          <w:rFonts w:hint="eastAsia" w:ascii="宋体" w:hAnsi="Times New Roman" w:eastAsia="宋体" w:cs="宋体"/>
          <w:color w:val="auto"/>
          <w:kern w:val="0"/>
          <w:sz w:val="21"/>
          <w:szCs w:val="21"/>
          <w:highlight w:val="none"/>
          <w:u w:val="none" w:color="000000"/>
          <w:lang w:val="en-US" w:eastAsia="zh-CN" w:bidi="ar-SA"/>
        </w:rPr>
        <w:t xml:space="preserve">(2)未按委托要求实施程序导致应发现问题而未发现，或故意隐瞒存在问题； </w:t>
      </w:r>
    </w:p>
    <w:p w14:paraId="4FBED2A5">
      <w:pPr>
        <w:keepNext w:val="0"/>
        <w:keepLines w:val="0"/>
        <w:pageBreakBefore w:val="0"/>
        <w:numPr>
          <w:ilvl w:val="0"/>
          <w:numId w:val="0"/>
        </w:numPr>
        <w:kinsoku/>
        <w:wordWrap/>
        <w:overflowPunct/>
        <w:topLinePunct w:val="0"/>
        <w:bidi w:val="0"/>
        <w:spacing w:line="400" w:lineRule="exact"/>
        <w:ind w:left="700" w:leftChars="0"/>
        <w:textAlignment w:val="auto"/>
        <w:rPr>
          <w:rFonts w:hint="eastAsia" w:ascii="宋体" w:hAnsi="Times New Roman" w:eastAsia="宋体" w:cs="宋体"/>
          <w:color w:val="auto"/>
          <w:kern w:val="0"/>
          <w:sz w:val="21"/>
          <w:szCs w:val="21"/>
          <w:highlight w:val="none"/>
          <w:u w:val="none" w:color="000000"/>
          <w:lang w:val="en-US" w:eastAsia="zh-CN" w:bidi="ar-SA"/>
        </w:rPr>
      </w:pPr>
      <w:r>
        <w:rPr>
          <w:rFonts w:hint="eastAsia" w:ascii="宋体" w:hAnsi="Times New Roman" w:eastAsia="宋体" w:cs="宋体"/>
          <w:color w:val="auto"/>
          <w:kern w:val="0"/>
          <w:sz w:val="21"/>
          <w:szCs w:val="21"/>
          <w:highlight w:val="none"/>
          <w:u w:val="none" w:color="000000"/>
          <w:lang w:val="en-US" w:eastAsia="zh-CN" w:bidi="ar-SA"/>
        </w:rPr>
        <w:t xml:space="preserve">(3)全过程服务工作存在严重质量问题； </w:t>
      </w:r>
    </w:p>
    <w:p w14:paraId="77C298E3">
      <w:pPr>
        <w:keepNext w:val="0"/>
        <w:keepLines w:val="0"/>
        <w:pageBreakBefore w:val="0"/>
        <w:numPr>
          <w:ilvl w:val="0"/>
          <w:numId w:val="0"/>
        </w:numPr>
        <w:kinsoku/>
        <w:wordWrap/>
        <w:overflowPunct/>
        <w:topLinePunct w:val="0"/>
        <w:bidi w:val="0"/>
        <w:spacing w:line="400" w:lineRule="exact"/>
        <w:ind w:left="700" w:leftChars="0"/>
        <w:textAlignment w:val="auto"/>
        <w:rPr>
          <w:rFonts w:hint="eastAsia" w:ascii="宋体" w:hAnsi="Times New Roman" w:eastAsia="宋体" w:cs="宋体"/>
          <w:color w:val="auto"/>
          <w:kern w:val="0"/>
          <w:sz w:val="21"/>
          <w:szCs w:val="21"/>
          <w:highlight w:val="none"/>
          <w:u w:val="none" w:color="000000"/>
          <w:lang w:val="en-US" w:eastAsia="zh-CN" w:bidi="ar-SA"/>
        </w:rPr>
      </w:pPr>
      <w:r>
        <w:rPr>
          <w:rFonts w:hint="eastAsia" w:ascii="宋体" w:hAnsi="Times New Roman" w:eastAsia="宋体" w:cs="宋体"/>
          <w:color w:val="auto"/>
          <w:kern w:val="0"/>
          <w:sz w:val="21"/>
          <w:szCs w:val="21"/>
          <w:highlight w:val="none"/>
          <w:u w:val="none" w:color="000000"/>
          <w:lang w:val="en-US" w:eastAsia="zh-CN" w:bidi="ar-SA"/>
        </w:rPr>
        <w:t xml:space="preserve">(4)拒绝接受委托方监督、检查、指导； </w:t>
      </w:r>
    </w:p>
    <w:p w14:paraId="3E5B8CAA">
      <w:pPr>
        <w:keepNext w:val="0"/>
        <w:keepLines w:val="0"/>
        <w:pageBreakBefore w:val="0"/>
        <w:numPr>
          <w:ilvl w:val="0"/>
          <w:numId w:val="0"/>
        </w:numPr>
        <w:kinsoku/>
        <w:wordWrap/>
        <w:overflowPunct/>
        <w:topLinePunct w:val="0"/>
        <w:bidi w:val="0"/>
        <w:spacing w:line="400" w:lineRule="exact"/>
        <w:ind w:left="700" w:leftChars="0"/>
        <w:textAlignment w:val="auto"/>
        <w:rPr>
          <w:rFonts w:hint="eastAsia" w:ascii="宋体" w:hAnsi="Times New Roman" w:eastAsia="宋体" w:cs="宋体"/>
          <w:color w:val="auto"/>
          <w:kern w:val="0"/>
          <w:sz w:val="21"/>
          <w:szCs w:val="21"/>
          <w:highlight w:val="none"/>
          <w:u w:val="none" w:color="000000"/>
          <w:lang w:val="en-US" w:eastAsia="zh-CN" w:bidi="ar-SA"/>
        </w:rPr>
      </w:pPr>
      <w:r>
        <w:rPr>
          <w:rFonts w:hint="eastAsia" w:ascii="宋体" w:hAnsi="Times New Roman" w:eastAsia="宋体" w:cs="宋体"/>
          <w:color w:val="auto"/>
          <w:kern w:val="0"/>
          <w:sz w:val="21"/>
          <w:szCs w:val="21"/>
          <w:highlight w:val="none"/>
          <w:u w:val="none" w:color="000000"/>
          <w:lang w:val="en-US" w:eastAsia="zh-CN" w:bidi="ar-SA"/>
        </w:rPr>
        <w:t>(5)索取、收受委托合同约定以外的酬金或者其他财物，或者利用执行业务之便，谋取其他不正当的利益；</w:t>
      </w:r>
    </w:p>
    <w:p w14:paraId="0630371E">
      <w:pPr>
        <w:keepNext w:val="0"/>
        <w:keepLines w:val="0"/>
        <w:pageBreakBefore w:val="0"/>
        <w:numPr>
          <w:ilvl w:val="0"/>
          <w:numId w:val="0"/>
        </w:numPr>
        <w:kinsoku/>
        <w:wordWrap/>
        <w:overflowPunct/>
        <w:topLinePunct w:val="0"/>
        <w:bidi w:val="0"/>
        <w:spacing w:line="400" w:lineRule="exact"/>
        <w:ind w:left="700" w:leftChars="0"/>
        <w:textAlignment w:val="auto"/>
        <w:rPr>
          <w:rFonts w:hint="eastAsia" w:ascii="宋体" w:hAnsi="Times New Roman" w:eastAsia="宋体" w:cs="宋体"/>
          <w:color w:val="auto"/>
          <w:kern w:val="0"/>
          <w:sz w:val="21"/>
          <w:szCs w:val="21"/>
          <w:highlight w:val="none"/>
          <w:u w:val="none" w:color="000000"/>
          <w:lang w:val="en-US" w:eastAsia="zh-CN" w:bidi="ar-SA"/>
        </w:rPr>
      </w:pPr>
      <w:r>
        <w:rPr>
          <w:rFonts w:hint="eastAsia" w:ascii="宋体" w:hAnsi="Times New Roman" w:eastAsia="宋体" w:cs="宋体"/>
          <w:color w:val="auto"/>
          <w:kern w:val="0"/>
          <w:sz w:val="21"/>
          <w:szCs w:val="21"/>
          <w:highlight w:val="none"/>
          <w:u w:val="none" w:color="000000"/>
          <w:lang w:val="en-US" w:eastAsia="zh-CN" w:bidi="ar-SA"/>
        </w:rPr>
        <w:t xml:space="preserve">(6)泄露国家秘密、公安工作秘密和相关单位商业秘密； </w:t>
      </w:r>
    </w:p>
    <w:p w14:paraId="1C23D15D">
      <w:pPr>
        <w:keepNext w:val="0"/>
        <w:keepLines w:val="0"/>
        <w:pageBreakBefore w:val="0"/>
        <w:numPr>
          <w:ilvl w:val="0"/>
          <w:numId w:val="0"/>
        </w:numPr>
        <w:kinsoku/>
        <w:wordWrap/>
        <w:overflowPunct/>
        <w:topLinePunct w:val="0"/>
        <w:bidi w:val="0"/>
        <w:spacing w:line="400" w:lineRule="exact"/>
        <w:ind w:left="700" w:leftChars="0"/>
        <w:textAlignment w:val="auto"/>
        <w:rPr>
          <w:rFonts w:hint="eastAsia" w:ascii="宋体" w:cs="宋体"/>
          <w:b/>
          <w:color w:val="auto"/>
          <w:szCs w:val="21"/>
          <w:highlight w:val="none"/>
        </w:rPr>
      </w:pPr>
      <w:r>
        <w:rPr>
          <w:rFonts w:hint="eastAsia" w:ascii="宋体" w:hAnsi="Times New Roman" w:eastAsia="宋体" w:cs="宋体"/>
          <w:color w:val="auto"/>
          <w:kern w:val="0"/>
          <w:sz w:val="21"/>
          <w:szCs w:val="21"/>
          <w:highlight w:val="none"/>
          <w:u w:val="none" w:color="000000"/>
          <w:lang w:val="en-US" w:eastAsia="zh-CN" w:bidi="ar-SA"/>
        </w:rPr>
        <w:t>(7)其他违反执业规范和执业道德及违法违纪行为。</w:t>
      </w:r>
    </w:p>
    <w:p w14:paraId="3607E0DD">
      <w:pPr>
        <w:shd w:val="clear" w:color="auto" w:fill="auto"/>
        <w:spacing w:line="440" w:lineRule="exact"/>
        <w:rPr>
          <w:rFonts w:hint="eastAsia" w:ascii="宋体" w:cs="宋体"/>
          <w:b/>
          <w:color w:val="auto"/>
          <w:szCs w:val="21"/>
          <w:highlight w:val="none"/>
        </w:rPr>
      </w:pPr>
      <w:r>
        <w:rPr>
          <w:rFonts w:hint="eastAsia" w:ascii="宋体" w:cs="宋体"/>
          <w:b/>
          <w:color w:val="auto"/>
          <w:szCs w:val="21"/>
          <w:highlight w:val="none"/>
        </w:rPr>
        <w:t>七. 索赔</w:t>
      </w:r>
    </w:p>
    <w:p w14:paraId="483E6D50">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lang w:val="en-US" w:eastAsia="zh-CN"/>
        </w:rPr>
        <w:t>1</w:t>
      </w:r>
      <w:r>
        <w:rPr>
          <w:rFonts w:hint="eastAsia" w:ascii="宋体" w:cs="宋体"/>
          <w:color w:val="auto"/>
          <w:szCs w:val="21"/>
          <w:highlight w:val="none"/>
        </w:rPr>
        <w:t>、索赔</w:t>
      </w:r>
    </w:p>
    <w:p w14:paraId="414F3C22">
      <w:pPr>
        <w:pStyle w:val="7"/>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(1)买方有权根据当地产品质量检验机构或其它有权威部门出具的检验证书向卖方提出索赔。</w:t>
      </w:r>
    </w:p>
    <w:p w14:paraId="4C96D7C7">
      <w:pPr>
        <w:pStyle w:val="7"/>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(2)在本合同规定的检验期和质量保证期内，如果卖方对买方提出的索赔或差异有责任，则卖方应按买方同意的下列一种或多种方式解决索赔事宜：</w:t>
      </w:r>
    </w:p>
    <w:p w14:paraId="693C7C0A">
      <w:pPr>
        <w:pStyle w:val="7"/>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&lt;1&gt;卖方同意退货，并按合同规定的货币将货款退还给买方，并承担由此发生的一切损失和费用，包括利息、银行手续费、运费、保险费、检验费、仓储费、装卸费以及为保护退回标的物所需的其它必要费用；</w:t>
      </w:r>
    </w:p>
    <w:p w14:paraId="32AA2729">
      <w:pPr>
        <w:pStyle w:val="7"/>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&lt;2&gt;根据标的物的低劣程度、损坏程度以及甲方遭受损失的数额，经双方协商确定降低标的物的价格；</w:t>
      </w:r>
    </w:p>
    <w:p w14:paraId="472EDFB9">
      <w:pPr>
        <w:pStyle w:val="7"/>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lt;3&gt;用符合规格、质量和性能要求的新零件、部件或标的物来更换有缺陷的部分或修补缺陷部分，卖方应承担一切费用和风险并负担买方所发生的一切直接费用。同时，卖方应按合同规定，相应延长修补或被更换部件或标的物的质量保证期。</w:t>
      </w:r>
    </w:p>
    <w:p w14:paraId="001C2A1A">
      <w:pPr>
        <w:pStyle w:val="7"/>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(3)如果在买方发出索赔通知后七天内，卖方未能答复，上述索赔应视为已被卖方接受。若卖方未在买方提出索赔通知后七天内或买方同意的更长时间内，按照合同规定的任何一种方法解决索赔事宜，买方将从未付款或卖方开具的履约保证金中扣回索赔金额，如果这些金额不足以补偿索赔金额，买方有权向卖方提出对不足部分的补偿。</w:t>
      </w:r>
    </w:p>
    <w:p w14:paraId="1552B741">
      <w:pPr>
        <w:pStyle w:val="7"/>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(4)买方提出索赔的书面材料应报当地政府采购管理部门备案。卖方同意的索赔方案应报当地政府采购管理部门审核。</w:t>
      </w:r>
    </w:p>
    <w:p w14:paraId="343C42F5">
      <w:pPr>
        <w:shd w:val="clear" w:color="auto" w:fill="auto"/>
        <w:spacing w:line="440" w:lineRule="exact"/>
        <w:rPr>
          <w:rFonts w:hint="eastAsia" w:ascii="宋体" w:cs="宋体"/>
          <w:b/>
          <w:color w:val="auto"/>
          <w:szCs w:val="21"/>
          <w:highlight w:val="none"/>
        </w:rPr>
      </w:pPr>
      <w:r>
        <w:rPr>
          <w:rFonts w:hint="eastAsia" w:ascii="宋体" w:cs="宋体"/>
          <w:b/>
          <w:color w:val="auto"/>
          <w:szCs w:val="21"/>
          <w:highlight w:val="none"/>
        </w:rPr>
        <w:t>八. 履约保证金</w:t>
      </w:r>
    </w:p>
    <w:p w14:paraId="1F283CE1">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lang w:val="en-US" w:eastAsia="zh-CN"/>
        </w:rPr>
        <w:t>1</w:t>
      </w:r>
      <w:r>
        <w:rPr>
          <w:rFonts w:hint="eastAsia" w:ascii="宋体" w:cs="宋体"/>
          <w:color w:val="auto"/>
          <w:szCs w:val="21"/>
          <w:highlight w:val="none"/>
        </w:rPr>
        <w:t>、履约保证金</w:t>
      </w:r>
    </w:p>
    <w:p w14:paraId="006E355F">
      <w:pPr>
        <w:spacing w:line="560" w:lineRule="exact"/>
        <w:ind w:firstLine="426" w:firstLineChars="200"/>
        <w:rPr>
          <w:rFonts w:hint="eastAsia" w:ascii="宋体" w:hAnsi="Times New Roman" w:eastAsia="宋体" w:cs="宋体"/>
          <w:color w:val="auto"/>
          <w:kern w:val="0"/>
          <w:sz w:val="21"/>
          <w:szCs w:val="21"/>
          <w:highlight w:val="none"/>
          <w:u w:val="none" w:color="000000"/>
          <w:lang w:val="en-US" w:eastAsia="zh-CN" w:bidi="ar-SA"/>
        </w:rPr>
      </w:pPr>
      <w:r>
        <w:rPr>
          <w:rFonts w:hint="eastAsia" w:ascii="宋体" w:hAnsi="Times New Roman" w:eastAsia="宋体" w:cs="宋体"/>
          <w:color w:val="auto"/>
          <w:kern w:val="0"/>
          <w:sz w:val="21"/>
          <w:szCs w:val="21"/>
          <w:highlight w:val="none"/>
          <w:u w:val="none" w:color="000000"/>
          <w:lang w:val="en-US" w:eastAsia="zh-CN" w:bidi="ar-SA"/>
        </w:rPr>
        <w:t>（1）采购文件要求乙方提交履约保证金的，乙方应按合同专用条款约定的方式，以电汇、转账、网银汇款</w:t>
      </w:r>
      <w:r>
        <w:rPr>
          <w:rFonts w:hint="eastAsia" w:ascii="宋体" w:cs="宋体"/>
          <w:color w:val="auto"/>
          <w:kern w:val="0"/>
          <w:sz w:val="21"/>
          <w:szCs w:val="21"/>
          <w:highlight w:val="none"/>
          <w:u w:val="none" w:color="000000"/>
          <w:lang w:val="en-US" w:eastAsia="zh-CN" w:bidi="ar-SA"/>
        </w:rPr>
        <w:t>、保函</w:t>
      </w:r>
      <w:r>
        <w:rPr>
          <w:rFonts w:hint="eastAsia" w:ascii="宋体" w:hAnsi="Times New Roman" w:eastAsia="宋体" w:cs="宋体"/>
          <w:color w:val="auto"/>
          <w:kern w:val="0"/>
          <w:sz w:val="21"/>
          <w:szCs w:val="21"/>
          <w:highlight w:val="none"/>
          <w:u w:val="none" w:color="000000"/>
          <w:lang w:val="en-US" w:eastAsia="zh-CN" w:bidi="ar-SA"/>
        </w:rPr>
        <w:t>等非现金形式，提交合同价</w:t>
      </w:r>
      <w:r>
        <w:rPr>
          <w:rFonts w:hint="eastAsia" w:ascii="宋体" w:cs="宋体"/>
          <w:color w:val="auto"/>
          <w:kern w:val="0"/>
          <w:sz w:val="21"/>
          <w:szCs w:val="21"/>
          <w:highlight w:val="none"/>
          <w:u w:val="none" w:color="000000"/>
          <w:lang w:val="en-US" w:eastAsia="zh-CN" w:bidi="ar-SA"/>
        </w:rPr>
        <w:t>10%</w:t>
      </w:r>
      <w:r>
        <w:rPr>
          <w:rFonts w:hint="eastAsia" w:ascii="宋体" w:hAnsi="Times New Roman" w:eastAsia="宋体" w:cs="宋体"/>
          <w:color w:val="auto"/>
          <w:kern w:val="0"/>
          <w:sz w:val="21"/>
          <w:szCs w:val="21"/>
          <w:highlight w:val="none"/>
          <w:u w:val="none" w:color="000000"/>
          <w:lang w:val="en-US" w:eastAsia="zh-CN" w:bidi="ar-SA"/>
        </w:rPr>
        <w:t>的履约保证金；</w:t>
      </w:r>
    </w:p>
    <w:p w14:paraId="0EF561BF">
      <w:pPr>
        <w:spacing w:line="560" w:lineRule="exact"/>
        <w:ind w:firstLine="426" w:firstLineChars="200"/>
        <w:rPr>
          <w:rFonts w:hint="eastAsia" w:ascii="宋体" w:cs="宋体"/>
          <w:b/>
          <w:color w:val="auto"/>
          <w:szCs w:val="21"/>
          <w:highlight w:val="none"/>
        </w:rPr>
      </w:pPr>
      <w:r>
        <w:rPr>
          <w:rFonts w:hint="eastAsia" w:ascii="宋体" w:hAnsi="Times New Roman" w:eastAsia="宋体" w:cs="宋体"/>
          <w:color w:val="auto"/>
          <w:kern w:val="0"/>
          <w:sz w:val="21"/>
          <w:szCs w:val="21"/>
          <w:highlight w:val="none"/>
          <w:u w:val="none" w:color="000000"/>
          <w:lang w:val="en-US" w:eastAsia="zh-CN" w:bidi="ar-SA"/>
        </w:rPr>
        <w:t xml:space="preserve"> （2）履约保证金在合同专用条款约定期间内或者服务质量保证期内不予退还或者应完全有效，前述约定期间届满或者服务质量保证期届满之日起 5 个工作日内，甲方应将履约保证金退还乙方；</w:t>
      </w:r>
    </w:p>
    <w:p w14:paraId="110CC11F">
      <w:pPr>
        <w:shd w:val="clear" w:color="auto" w:fill="auto"/>
        <w:spacing w:line="440" w:lineRule="exact"/>
        <w:rPr>
          <w:rFonts w:hint="eastAsia" w:ascii="宋体" w:cs="宋体"/>
          <w:b/>
          <w:color w:val="auto"/>
          <w:szCs w:val="21"/>
          <w:highlight w:val="none"/>
        </w:rPr>
      </w:pPr>
      <w:r>
        <w:rPr>
          <w:rFonts w:hint="eastAsia" w:ascii="宋体" w:cs="宋体"/>
          <w:b/>
          <w:color w:val="auto"/>
          <w:szCs w:val="21"/>
          <w:highlight w:val="none"/>
        </w:rPr>
        <w:t>九.  合同的解除和转让</w:t>
      </w:r>
    </w:p>
    <w:p w14:paraId="3B2CE42F">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lang w:val="en-US" w:eastAsia="zh-CN"/>
        </w:rPr>
        <w:t>1</w:t>
      </w:r>
      <w:r>
        <w:rPr>
          <w:rFonts w:hint="eastAsia" w:ascii="宋体" w:cs="宋体"/>
          <w:color w:val="auto"/>
          <w:szCs w:val="21"/>
          <w:highlight w:val="none"/>
        </w:rPr>
        <w:t>、合同的解除</w:t>
      </w:r>
    </w:p>
    <w:p w14:paraId="3582EEA2">
      <w:pPr>
        <w:pStyle w:val="7"/>
        <w:shd w:val="clear" w:color="auto" w:fill="auto"/>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(1)买方和卖方协商一致，可以解除合同。</w:t>
      </w:r>
    </w:p>
    <w:p w14:paraId="3C3F9331">
      <w:pPr>
        <w:pStyle w:val="7"/>
        <w:shd w:val="clear" w:color="auto" w:fill="auto"/>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(2)有下列情形之一，合同一方可以解除合同：</w:t>
      </w:r>
    </w:p>
    <w:p w14:paraId="60ADC279">
      <w:pPr>
        <w:pStyle w:val="7"/>
        <w:shd w:val="clear" w:color="auto" w:fill="auto"/>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&lt;1&gt;因不可抗力致使不能实现合同目的，未受不可抗力影响的一方有权解除合同；</w:t>
      </w:r>
    </w:p>
    <w:p w14:paraId="3E52D73E">
      <w:pPr>
        <w:pStyle w:val="7"/>
        <w:shd w:val="clear" w:color="auto" w:fill="auto"/>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&lt;2&gt;因合同一方违约导致合同不能履行，另一方有权解除合同。</w:t>
      </w:r>
    </w:p>
    <w:p w14:paraId="055D8216">
      <w:pPr>
        <w:pStyle w:val="7"/>
        <w:shd w:val="clear" w:color="auto" w:fill="auto"/>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(3)有权解除合同的一方，应当在违约事实或不可抗力发生之后三十天内书面通知对方以主张解除合同，合同在书面通知到达对方时解除。</w:t>
      </w:r>
    </w:p>
    <w:p w14:paraId="1C064C7F">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lang w:val="en-US" w:eastAsia="zh-CN"/>
        </w:rPr>
        <w:t>2</w:t>
      </w:r>
      <w:r>
        <w:rPr>
          <w:rFonts w:hint="eastAsia" w:ascii="宋体" w:cs="宋体"/>
          <w:color w:val="auto"/>
          <w:szCs w:val="21"/>
          <w:highlight w:val="none"/>
        </w:rPr>
        <w:t>、合同的转让</w:t>
      </w:r>
    </w:p>
    <w:p w14:paraId="6B171157">
      <w:pPr>
        <w:shd w:val="clear" w:color="auto" w:fill="auto"/>
        <w:spacing w:line="440" w:lineRule="exact"/>
        <w:rPr>
          <w:rFonts w:hint="eastAsia" w:ascii="宋体" w:cs="宋体"/>
          <w:b/>
          <w:color w:val="auto"/>
          <w:szCs w:val="21"/>
          <w:highlight w:val="none"/>
        </w:rPr>
      </w:pPr>
      <w:r>
        <w:rPr>
          <w:rFonts w:hint="eastAsia" w:ascii="宋体" w:cs="宋体"/>
          <w:color w:val="auto"/>
          <w:szCs w:val="21"/>
          <w:highlight w:val="none"/>
        </w:rPr>
        <w:t xml:space="preserve">    合同的部分和全部都不得转让。</w:t>
      </w:r>
    </w:p>
    <w:p w14:paraId="6F3FAFD2">
      <w:pPr>
        <w:shd w:val="clear" w:color="auto" w:fill="auto"/>
        <w:spacing w:line="440" w:lineRule="exact"/>
        <w:rPr>
          <w:rFonts w:hint="eastAsia" w:ascii="宋体" w:cs="宋体"/>
          <w:b/>
          <w:color w:val="auto"/>
          <w:szCs w:val="21"/>
          <w:highlight w:val="none"/>
        </w:rPr>
      </w:pPr>
      <w:r>
        <w:rPr>
          <w:rFonts w:hint="eastAsia" w:ascii="宋体" w:cs="宋体"/>
          <w:b/>
          <w:color w:val="auto"/>
          <w:szCs w:val="21"/>
          <w:highlight w:val="none"/>
        </w:rPr>
        <w:t>十. 合同的生效</w:t>
      </w:r>
    </w:p>
    <w:p w14:paraId="3D792F52">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lang w:val="en-US" w:eastAsia="zh-CN"/>
        </w:rPr>
        <w:t>1</w:t>
      </w:r>
      <w:r>
        <w:rPr>
          <w:rFonts w:hint="eastAsia" w:ascii="宋体" w:cs="宋体"/>
          <w:color w:val="auto"/>
          <w:szCs w:val="21"/>
          <w:highlight w:val="none"/>
        </w:rPr>
        <w:t>、合同的生效</w:t>
      </w:r>
    </w:p>
    <w:p w14:paraId="475DB7EC">
      <w:pPr>
        <w:shd w:val="clear" w:color="auto" w:fill="auto"/>
        <w:spacing w:line="440" w:lineRule="exact"/>
        <w:ind w:firstLine="589" w:firstLineChars="277"/>
        <w:rPr>
          <w:rFonts w:hint="eastAsia" w:ascii="宋体" w:cs="宋体"/>
          <w:color w:val="auto"/>
          <w:szCs w:val="21"/>
          <w:highlight w:val="none"/>
        </w:rPr>
      </w:pPr>
      <w:r>
        <w:rPr>
          <w:rFonts w:hint="eastAsia" w:ascii="宋体" w:cs="宋体"/>
          <w:color w:val="auto"/>
          <w:szCs w:val="21"/>
          <w:highlight w:val="none"/>
        </w:rPr>
        <w:t>本合同在双方签字盖章并在招标人收到中标人提交的履约保证金后，经招标采购管理部门备案后生效。</w:t>
      </w:r>
    </w:p>
    <w:p w14:paraId="5D92FDE8">
      <w:pPr>
        <w:shd w:val="clear" w:color="auto" w:fill="auto"/>
        <w:spacing w:line="440" w:lineRule="exact"/>
        <w:rPr>
          <w:rFonts w:hint="eastAsia" w:ascii="宋体" w:cs="宋体"/>
          <w:b/>
          <w:color w:val="auto"/>
          <w:szCs w:val="21"/>
          <w:highlight w:val="none"/>
        </w:rPr>
      </w:pPr>
      <w:r>
        <w:rPr>
          <w:rFonts w:hint="eastAsia" w:ascii="宋体" w:cs="宋体"/>
          <w:b/>
          <w:color w:val="auto"/>
          <w:szCs w:val="21"/>
          <w:highlight w:val="none"/>
        </w:rPr>
        <w:t>十一. 争议解决</w:t>
      </w:r>
    </w:p>
    <w:p w14:paraId="79687FBF">
      <w:pPr>
        <w:shd w:val="clear" w:color="auto" w:fill="auto"/>
        <w:spacing w:line="440" w:lineRule="exact"/>
        <w:ind w:firstLine="213" w:firstLineChars="100"/>
        <w:rPr>
          <w:rFonts w:hint="eastAsia" w:ascii="宋体" w:cs="宋体"/>
          <w:color w:val="auto"/>
          <w:szCs w:val="21"/>
          <w:highlight w:val="none"/>
        </w:rPr>
      </w:pPr>
      <w:r>
        <w:rPr>
          <w:rFonts w:hint="eastAsia" w:ascii="宋体" w:cs="宋体"/>
          <w:color w:val="auto"/>
          <w:szCs w:val="21"/>
          <w:highlight w:val="none"/>
          <w:lang w:val="en-US" w:eastAsia="zh-CN"/>
        </w:rPr>
        <w:t>1</w:t>
      </w:r>
      <w:r>
        <w:rPr>
          <w:rFonts w:hint="eastAsia" w:ascii="宋体" w:cs="宋体"/>
          <w:color w:val="auto"/>
          <w:szCs w:val="21"/>
          <w:highlight w:val="none"/>
        </w:rPr>
        <w:t>、争议解决</w:t>
      </w:r>
    </w:p>
    <w:p w14:paraId="438D10DF">
      <w:pPr>
        <w:pStyle w:val="7"/>
        <w:shd w:val="clear" w:color="auto" w:fill="auto"/>
        <w:overflowPunct w:val="0"/>
        <w:spacing w:line="440" w:lineRule="exact"/>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 xml:space="preserve"> 买卖双方因合同发生争议，进行调解，协商不成，可选择：</w:t>
      </w:r>
    </w:p>
    <w:p w14:paraId="2A8E822F">
      <w:pPr>
        <w:pStyle w:val="7"/>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(1)双方同时申请仲裁；</w:t>
      </w:r>
    </w:p>
    <w:p w14:paraId="6DA73680">
      <w:pPr>
        <w:pStyle w:val="7"/>
        <w:shd w:val="clear" w:color="auto" w:fill="auto"/>
        <w:tabs>
          <w:tab w:val="left" w:pos="900"/>
        </w:tabs>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(2)向买方所在地人民法院提起诉讼。</w:t>
      </w:r>
    </w:p>
    <w:p w14:paraId="561925FF">
      <w:pPr>
        <w:shd w:val="clear" w:color="auto" w:fill="auto"/>
        <w:spacing w:line="440" w:lineRule="exact"/>
        <w:rPr>
          <w:rFonts w:hint="eastAsia" w:ascii="宋体" w:cs="宋体"/>
          <w:b/>
          <w:color w:val="auto"/>
          <w:szCs w:val="21"/>
          <w:highlight w:val="none"/>
        </w:rPr>
      </w:pPr>
      <w:r>
        <w:rPr>
          <w:rFonts w:hint="eastAsia" w:ascii="宋体" w:cs="宋体"/>
          <w:b/>
          <w:color w:val="auto"/>
          <w:szCs w:val="21"/>
          <w:highlight w:val="none"/>
        </w:rPr>
        <w:t>十二 .附则</w:t>
      </w:r>
    </w:p>
    <w:p w14:paraId="10627AA1">
      <w:pPr>
        <w:shd w:val="clear" w:color="auto" w:fill="auto"/>
        <w:spacing w:line="440" w:lineRule="exact"/>
        <w:ind w:firstLine="213" w:firstLineChars="100"/>
        <w:rPr>
          <w:rFonts w:hint="eastAsia" w:ascii="宋体" w:cs="宋体"/>
          <w:color w:val="auto"/>
          <w:szCs w:val="21"/>
          <w:highlight w:val="none"/>
        </w:rPr>
      </w:pPr>
      <w:r>
        <w:rPr>
          <w:rFonts w:hint="eastAsia" w:ascii="宋体" w:cs="宋体"/>
          <w:color w:val="auto"/>
          <w:szCs w:val="21"/>
          <w:highlight w:val="none"/>
          <w:lang w:val="en-US" w:eastAsia="zh-CN"/>
        </w:rPr>
        <w:t>1</w:t>
      </w:r>
      <w:r>
        <w:rPr>
          <w:rFonts w:hint="eastAsia" w:ascii="宋体" w:cs="宋体"/>
          <w:color w:val="auto"/>
          <w:szCs w:val="21"/>
          <w:highlight w:val="none"/>
        </w:rPr>
        <w:t>、合同份数。</w:t>
      </w:r>
    </w:p>
    <w:p w14:paraId="7CDBD518">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 xml:space="preserve"> </w:t>
      </w:r>
      <w:r>
        <w:rPr>
          <w:rFonts w:hint="eastAsia" w:ascii="宋体" w:cs="宋体"/>
          <w:color w:val="auto"/>
          <w:szCs w:val="21"/>
          <w:highlight w:val="none"/>
        </w:rPr>
        <w:tab/>
      </w:r>
      <w:r>
        <w:rPr>
          <w:rFonts w:hint="eastAsia" w:ascii="宋体" w:cs="宋体"/>
          <w:color w:val="auto"/>
          <w:szCs w:val="21"/>
          <w:highlight w:val="none"/>
        </w:rPr>
        <w:t xml:space="preserve">  本合同一式陆份，买卖双方各执二份，招标代理机构一份，招标采购管理部门一份。</w:t>
      </w:r>
    </w:p>
    <w:p w14:paraId="1792738D">
      <w:pPr>
        <w:shd w:val="clear" w:color="auto" w:fill="auto"/>
        <w:spacing w:line="440" w:lineRule="exact"/>
        <w:ind w:firstLine="213" w:firstLineChars="100"/>
        <w:rPr>
          <w:rFonts w:hint="eastAsia" w:ascii="宋体" w:cs="宋体"/>
          <w:color w:val="auto"/>
          <w:szCs w:val="21"/>
          <w:highlight w:val="none"/>
        </w:rPr>
      </w:pPr>
      <w:r>
        <w:rPr>
          <w:rFonts w:hint="eastAsia" w:ascii="宋体" w:cs="宋体"/>
          <w:color w:val="auto"/>
          <w:szCs w:val="21"/>
          <w:highlight w:val="none"/>
          <w:lang w:val="en-US" w:eastAsia="zh-CN"/>
        </w:rPr>
        <w:t>2</w:t>
      </w:r>
      <w:r>
        <w:rPr>
          <w:rFonts w:hint="eastAsia" w:ascii="宋体" w:cs="宋体"/>
          <w:color w:val="auto"/>
          <w:szCs w:val="21"/>
          <w:highlight w:val="none"/>
        </w:rPr>
        <w:t>、未尽事宜</w:t>
      </w:r>
    </w:p>
    <w:p w14:paraId="779619E3">
      <w:pPr>
        <w:shd w:val="clear" w:color="auto" w:fill="auto"/>
        <w:spacing w:line="440" w:lineRule="exact"/>
        <w:ind w:firstLine="532" w:firstLineChars="250"/>
        <w:rPr>
          <w:rFonts w:hint="eastAsia" w:ascii="宋体" w:cs="宋体"/>
          <w:color w:val="auto"/>
          <w:szCs w:val="21"/>
          <w:highlight w:val="none"/>
        </w:rPr>
      </w:pPr>
      <w:r>
        <w:rPr>
          <w:rFonts w:hint="eastAsia" w:ascii="宋体" w:cs="宋体"/>
          <w:color w:val="auto"/>
          <w:szCs w:val="21"/>
          <w:highlight w:val="none"/>
        </w:rPr>
        <w:t>本合同未尽事宜应按《中华人民共和国政府采购法》、《中华人民共和国合同法》、《中华人民共和国产品质量法》之规定解释。</w:t>
      </w:r>
    </w:p>
    <w:p w14:paraId="0E6B4749">
      <w:pPr>
        <w:pStyle w:val="12"/>
        <w:shd w:val="clear" w:color="auto" w:fill="auto"/>
        <w:spacing w:after="0" w:line="400" w:lineRule="exact"/>
        <w:ind w:left="0" w:leftChars="0" w:firstLine="486" w:firstLineChars="200"/>
        <w:rPr>
          <w:rFonts w:hint="eastAsia"/>
          <w:color w:val="auto"/>
          <w:kern w:val="0"/>
          <w:sz w:val="24"/>
          <w:szCs w:val="20"/>
          <w:highlight w:val="none"/>
          <w:u w:val="none" w:color="000000"/>
        </w:rPr>
      </w:pPr>
    </w:p>
    <w:p w14:paraId="189DE9CD">
      <w:pPr>
        <w:pageBreakBefore/>
        <w:shd w:val="clear" w:color="auto" w:fill="auto"/>
        <w:jc w:val="center"/>
        <w:outlineLvl w:val="0"/>
        <w:rPr>
          <w:rFonts w:hint="eastAsia" w:ascii="宋体"/>
          <w:b/>
          <w:color w:val="auto"/>
          <w:sz w:val="30"/>
          <w:szCs w:val="30"/>
          <w:highlight w:val="none"/>
        </w:rPr>
      </w:pPr>
      <w:bookmarkStart w:id="75" w:name="_Toc469495743"/>
      <w:r>
        <w:rPr>
          <w:rFonts w:hint="eastAsia" w:ascii="宋体"/>
          <w:b/>
          <w:color w:val="auto"/>
          <w:sz w:val="30"/>
          <w:szCs w:val="30"/>
          <w:highlight w:val="none"/>
        </w:rPr>
        <w:t>第六章  投标文件格式</w:t>
      </w:r>
      <w:bookmarkEnd w:id="75"/>
    </w:p>
    <w:p w14:paraId="43E26BC1">
      <w:pPr>
        <w:shd w:val="clear" w:color="auto" w:fill="auto"/>
        <w:spacing w:line="240" w:lineRule="atLeast"/>
        <w:ind w:left="745" w:leftChars="350" w:firstLine="121" w:firstLineChars="50"/>
        <w:rPr>
          <w:rFonts w:hint="eastAsia" w:ascii="仿宋" w:hAnsi="仿宋" w:eastAsia="仿宋" w:cs="仿宋"/>
          <w:color w:val="auto"/>
          <w:sz w:val="24"/>
          <w:highlight w:val="none"/>
        </w:rPr>
      </w:pPr>
    </w:p>
    <w:p w14:paraId="3674DE0C">
      <w:pPr>
        <w:pStyle w:val="4"/>
        <w:numPr>
          <w:ilvl w:val="0"/>
          <w:numId w:val="0"/>
        </w:numPr>
        <w:shd w:val="clear" w:color="auto" w:fill="auto"/>
        <w:spacing w:before="0" w:line="240" w:lineRule="atLeast"/>
        <w:rPr>
          <w:rFonts w:hint="eastAsia" w:ascii="宋体" w:hAnsi="宋体" w:eastAsia="宋体" w:cs="宋体"/>
          <w:color w:val="auto"/>
          <w:sz w:val="24"/>
          <w:highlight w:val="none"/>
        </w:rPr>
      </w:pPr>
      <w:bookmarkStart w:id="76" w:name="_Toc18694"/>
      <w:bookmarkStart w:id="77" w:name="_Toc18974"/>
      <w:bookmarkStart w:id="78" w:name="_Toc8919"/>
      <w:bookmarkStart w:id="79" w:name="_Toc515647803"/>
      <w:r>
        <w:rPr>
          <w:rFonts w:hint="eastAsia" w:ascii="宋体" w:hAnsi="宋体" w:eastAsia="宋体" w:cs="宋体"/>
          <w:b/>
          <w:bCs/>
          <w:color w:val="auto"/>
          <w:sz w:val="24"/>
          <w:highlight w:val="none"/>
        </w:rPr>
        <w:t>第一部分 资格证明文件</w:t>
      </w:r>
      <w:bookmarkEnd w:id="76"/>
      <w:bookmarkEnd w:id="77"/>
      <w:bookmarkEnd w:id="78"/>
      <w:bookmarkEnd w:id="79"/>
    </w:p>
    <w:p w14:paraId="01677527">
      <w:pPr>
        <w:shd w:val="clear" w:color="auto" w:fill="auto"/>
        <w:spacing w:line="240" w:lineRule="atLeast"/>
        <w:ind w:left="708" w:hanging="716" w:hangingChars="295"/>
        <w:jc w:val="center"/>
        <w:rPr>
          <w:rFonts w:hint="eastAsia" w:ascii="宋体" w:hAnsi="宋体" w:eastAsia="宋体" w:cs="宋体"/>
          <w:color w:val="auto"/>
          <w:sz w:val="24"/>
          <w:highlight w:val="none"/>
        </w:rPr>
      </w:pPr>
    </w:p>
    <w:p w14:paraId="4D3398A4">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1、法人或者非法人组织的营业执照等证明文件复印件（须加盖本单位章）或自然人的身份证明复印件;</w:t>
      </w:r>
    </w:p>
    <w:p w14:paraId="53FDFC77">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2、法定代表人资格证明书</w:t>
      </w:r>
      <w:r>
        <w:rPr>
          <w:rFonts w:hint="eastAsia" w:ascii="宋体" w:hAnsi="宋体" w:cs="Times New Roman"/>
          <w:color w:val="auto"/>
          <w:szCs w:val="21"/>
          <w:highlight w:val="none"/>
          <w:lang w:val="en-US" w:eastAsia="zh-CN"/>
        </w:rPr>
        <w:t>；</w:t>
      </w:r>
    </w:p>
    <w:p w14:paraId="41F855BD">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3、法定代表人授权书</w:t>
      </w:r>
      <w:r>
        <w:rPr>
          <w:rFonts w:hint="eastAsia" w:ascii="宋体" w:hAnsi="宋体" w:cs="Times New Roman"/>
          <w:color w:val="auto"/>
          <w:szCs w:val="21"/>
          <w:highlight w:val="none"/>
          <w:lang w:val="en-US" w:eastAsia="zh-CN"/>
        </w:rPr>
        <w:t>；</w:t>
      </w:r>
    </w:p>
    <w:p w14:paraId="03EF2EB7">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4、投标保证金收据或投标担保函；</w:t>
      </w:r>
    </w:p>
    <w:p w14:paraId="20D8BB3E">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5、投标企业须提供投标人（被授权在职人员）</w:t>
      </w:r>
      <w:r>
        <w:rPr>
          <w:rFonts w:hint="eastAsia" w:ascii="宋体" w:hAnsi="宋体" w:cs="Times New Roman"/>
          <w:color w:val="auto"/>
          <w:szCs w:val="21"/>
          <w:highlight w:val="none"/>
          <w:lang w:val="en-US" w:eastAsia="zh-CN"/>
        </w:rPr>
        <w:t>近6个月内任何1月已依法缴纳社会保险的凭据</w:t>
      </w:r>
      <w:r>
        <w:rPr>
          <w:rFonts w:hint="eastAsia" w:ascii="宋体" w:hAnsi="宋体" w:eastAsia="宋体" w:cs="Times New Roman"/>
          <w:color w:val="auto"/>
          <w:szCs w:val="21"/>
          <w:highlight w:val="none"/>
          <w:lang w:val="en-US" w:eastAsia="zh-CN"/>
        </w:rPr>
        <w:t>（依法不需要缴纳社会保障资金的供应商，应提供相应证明文件，新成立企业需提供资信证明）；</w:t>
      </w:r>
    </w:p>
    <w:p w14:paraId="0953F770">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6、参加政府采购活动前3年内在经营活动中没有重大违法记录的书面声明;</w:t>
      </w:r>
    </w:p>
    <w:p w14:paraId="1686692C">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7、投标企业需提供未被“信用中国”（www.creditchina.gov.cn）、中国政府采购网（www.ccgp.gov.cn）列入失信被执行人、重大税收违法案件当事人名单、政府采购严重违法失信行为记录名单；</w:t>
      </w:r>
    </w:p>
    <w:p w14:paraId="20DCA024">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8、在中华人民共和国境内注册的，经中国保险监督管理委员会批准，具有人身保险业务经营资格；</w:t>
      </w:r>
    </w:p>
    <w:p w14:paraId="19CDB82C">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cs="Times New Roman"/>
          <w:color w:val="auto"/>
          <w:szCs w:val="21"/>
          <w:highlight w:val="none"/>
          <w:lang w:val="en-US" w:eastAsia="zh-CN"/>
        </w:rPr>
        <w:t>9</w:t>
      </w:r>
      <w:r>
        <w:rPr>
          <w:rFonts w:hint="eastAsia" w:ascii="宋体" w:hAnsi="宋体" w:eastAsia="宋体" w:cs="Times New Roman"/>
          <w:color w:val="auto"/>
          <w:szCs w:val="21"/>
          <w:highlight w:val="none"/>
          <w:lang w:val="en-US" w:eastAsia="zh-CN"/>
        </w:rPr>
        <w:t>、投标人须知资料表要求的其他资格证明文件</w:t>
      </w:r>
      <w:r>
        <w:rPr>
          <w:rFonts w:hint="eastAsia" w:ascii="宋体" w:hAnsi="宋体" w:cs="Times New Roman"/>
          <w:color w:val="auto"/>
          <w:szCs w:val="21"/>
          <w:highlight w:val="none"/>
          <w:lang w:val="en-US" w:eastAsia="zh-CN"/>
        </w:rPr>
        <w:t>。</w:t>
      </w:r>
    </w:p>
    <w:p w14:paraId="33690716">
      <w:pPr>
        <w:shd w:val="clear" w:color="auto" w:fill="auto"/>
        <w:tabs>
          <w:tab w:val="left" w:pos="5580"/>
        </w:tabs>
        <w:spacing w:line="240" w:lineRule="atLeast"/>
        <w:ind w:left="1" w:firstLine="571" w:firstLineChars="235"/>
        <w:rPr>
          <w:rFonts w:hint="eastAsia" w:ascii="宋体" w:hAnsi="宋体" w:eastAsia="宋体" w:cs="宋体"/>
          <w:color w:val="auto"/>
          <w:sz w:val="24"/>
          <w:highlight w:val="none"/>
        </w:rPr>
      </w:pPr>
    </w:p>
    <w:p w14:paraId="7DF6D666">
      <w:pPr>
        <w:shd w:val="clear" w:color="auto" w:fill="auto"/>
        <w:tabs>
          <w:tab w:val="left" w:pos="5580"/>
        </w:tabs>
        <w:spacing w:line="240" w:lineRule="atLeast"/>
        <w:ind w:left="1" w:firstLine="571" w:firstLineChars="235"/>
        <w:rPr>
          <w:rFonts w:hint="eastAsia" w:ascii="宋体" w:hAnsi="宋体" w:eastAsia="宋体" w:cs="宋体"/>
          <w:color w:val="auto"/>
          <w:sz w:val="24"/>
          <w:highlight w:val="none"/>
        </w:rPr>
      </w:pPr>
    </w:p>
    <w:p w14:paraId="5B8DC3F6">
      <w:pPr>
        <w:shd w:val="clear" w:color="auto" w:fill="auto"/>
        <w:tabs>
          <w:tab w:val="left" w:pos="5580"/>
        </w:tabs>
        <w:spacing w:line="240" w:lineRule="atLeast"/>
        <w:ind w:left="1" w:firstLine="571" w:firstLineChars="235"/>
        <w:rPr>
          <w:rFonts w:hint="eastAsia" w:ascii="宋体" w:hAnsi="宋体" w:eastAsia="宋体" w:cs="宋体"/>
          <w:color w:val="auto"/>
          <w:sz w:val="24"/>
          <w:highlight w:val="none"/>
        </w:rPr>
      </w:pPr>
    </w:p>
    <w:p w14:paraId="4D8D35BA">
      <w:pPr>
        <w:shd w:val="clear" w:color="auto" w:fill="auto"/>
        <w:tabs>
          <w:tab w:val="left" w:pos="5580"/>
        </w:tabs>
        <w:spacing w:line="240" w:lineRule="atLeast"/>
        <w:ind w:left="1" w:firstLine="571" w:firstLineChars="235"/>
        <w:rPr>
          <w:rFonts w:hint="eastAsia" w:ascii="宋体" w:hAnsi="宋体" w:eastAsia="宋体" w:cs="宋体"/>
          <w:color w:val="auto"/>
          <w:sz w:val="24"/>
          <w:highlight w:val="none"/>
        </w:rPr>
      </w:pPr>
    </w:p>
    <w:p w14:paraId="3FB5B303">
      <w:pPr>
        <w:shd w:val="clear" w:color="auto" w:fill="auto"/>
        <w:tabs>
          <w:tab w:val="left" w:pos="5580"/>
        </w:tabs>
        <w:spacing w:line="240" w:lineRule="atLeast"/>
        <w:ind w:left="1" w:firstLine="571" w:firstLineChars="235"/>
        <w:rPr>
          <w:rFonts w:hint="eastAsia" w:ascii="宋体" w:hAnsi="宋体" w:eastAsia="宋体" w:cs="宋体"/>
          <w:color w:val="auto"/>
          <w:sz w:val="24"/>
          <w:highlight w:val="none"/>
        </w:rPr>
      </w:pPr>
    </w:p>
    <w:p w14:paraId="536FC3C2">
      <w:pPr>
        <w:shd w:val="clear" w:color="auto" w:fill="auto"/>
        <w:tabs>
          <w:tab w:val="left" w:pos="5580"/>
        </w:tabs>
        <w:spacing w:line="240" w:lineRule="atLeast"/>
        <w:ind w:left="1" w:firstLine="571" w:firstLineChars="235"/>
        <w:rPr>
          <w:rFonts w:hint="eastAsia" w:ascii="宋体" w:hAnsi="宋体" w:eastAsia="宋体" w:cs="宋体"/>
          <w:color w:val="auto"/>
          <w:sz w:val="24"/>
          <w:highlight w:val="none"/>
        </w:rPr>
      </w:pPr>
    </w:p>
    <w:p w14:paraId="69DF4BA1">
      <w:pPr>
        <w:shd w:val="clear" w:color="auto" w:fill="auto"/>
        <w:tabs>
          <w:tab w:val="left" w:pos="5580"/>
        </w:tabs>
        <w:spacing w:line="240" w:lineRule="atLeast"/>
        <w:ind w:left="1" w:firstLine="571" w:firstLineChars="235"/>
        <w:rPr>
          <w:rFonts w:hint="eastAsia" w:ascii="宋体" w:hAnsi="宋体" w:eastAsia="宋体" w:cs="宋体"/>
          <w:color w:val="auto"/>
          <w:sz w:val="24"/>
          <w:highlight w:val="none"/>
        </w:rPr>
      </w:pPr>
    </w:p>
    <w:p w14:paraId="5808AEDE">
      <w:pPr>
        <w:shd w:val="clear" w:color="auto" w:fill="auto"/>
        <w:tabs>
          <w:tab w:val="left" w:pos="5580"/>
        </w:tabs>
        <w:spacing w:line="240" w:lineRule="atLeast"/>
        <w:ind w:left="1" w:firstLine="571" w:firstLineChars="235"/>
        <w:rPr>
          <w:rFonts w:hint="eastAsia" w:ascii="宋体" w:hAnsi="宋体" w:eastAsia="宋体" w:cs="宋体"/>
          <w:color w:val="auto"/>
          <w:sz w:val="24"/>
          <w:highlight w:val="none"/>
        </w:rPr>
      </w:pPr>
    </w:p>
    <w:p w14:paraId="13B50E63">
      <w:pPr>
        <w:shd w:val="clear" w:color="auto" w:fill="auto"/>
        <w:tabs>
          <w:tab w:val="left" w:pos="5580"/>
        </w:tabs>
        <w:spacing w:line="240" w:lineRule="atLeast"/>
        <w:ind w:left="1" w:firstLine="571" w:firstLineChars="235"/>
        <w:rPr>
          <w:rFonts w:hint="eastAsia" w:ascii="宋体" w:hAnsi="宋体" w:eastAsia="宋体" w:cs="宋体"/>
          <w:color w:val="auto"/>
          <w:sz w:val="24"/>
          <w:highlight w:val="none"/>
        </w:rPr>
      </w:pPr>
    </w:p>
    <w:p w14:paraId="0079C9F1">
      <w:pPr>
        <w:shd w:val="clear" w:color="auto" w:fill="auto"/>
        <w:tabs>
          <w:tab w:val="left" w:pos="5580"/>
        </w:tabs>
        <w:spacing w:line="240" w:lineRule="atLeast"/>
        <w:ind w:left="1" w:firstLine="571" w:firstLineChars="235"/>
        <w:rPr>
          <w:rFonts w:hint="eastAsia" w:ascii="宋体" w:hAnsi="宋体" w:eastAsia="宋体" w:cs="宋体"/>
          <w:color w:val="auto"/>
          <w:sz w:val="24"/>
          <w:highlight w:val="none"/>
        </w:rPr>
      </w:pPr>
    </w:p>
    <w:p w14:paraId="5D8656AF">
      <w:pPr>
        <w:shd w:val="clear" w:color="auto" w:fill="auto"/>
        <w:tabs>
          <w:tab w:val="left" w:pos="5580"/>
        </w:tabs>
        <w:spacing w:line="240" w:lineRule="atLeast"/>
        <w:ind w:left="1" w:firstLine="571" w:firstLineChars="235"/>
        <w:rPr>
          <w:rFonts w:hint="eastAsia" w:ascii="宋体" w:hAnsi="宋体" w:eastAsia="宋体" w:cs="宋体"/>
          <w:color w:val="auto"/>
          <w:sz w:val="24"/>
          <w:highlight w:val="none"/>
        </w:rPr>
      </w:pPr>
    </w:p>
    <w:p w14:paraId="2B9045CE">
      <w:pPr>
        <w:shd w:val="clear" w:color="auto" w:fill="auto"/>
        <w:tabs>
          <w:tab w:val="left" w:pos="5580"/>
        </w:tabs>
        <w:spacing w:line="240" w:lineRule="atLeast"/>
        <w:ind w:left="1" w:firstLine="571" w:firstLineChars="235"/>
        <w:rPr>
          <w:rFonts w:hint="eastAsia" w:ascii="宋体" w:hAnsi="宋体" w:eastAsia="宋体" w:cs="宋体"/>
          <w:color w:val="auto"/>
          <w:sz w:val="24"/>
          <w:highlight w:val="none"/>
        </w:rPr>
      </w:pPr>
    </w:p>
    <w:p w14:paraId="2577C7B8">
      <w:pPr>
        <w:shd w:val="clear" w:color="auto" w:fill="auto"/>
        <w:tabs>
          <w:tab w:val="left" w:pos="5580"/>
        </w:tabs>
        <w:spacing w:line="240" w:lineRule="atLeast"/>
        <w:ind w:left="1" w:firstLine="571" w:firstLineChars="235"/>
        <w:rPr>
          <w:rFonts w:hint="eastAsia" w:ascii="宋体" w:hAnsi="宋体" w:eastAsia="宋体" w:cs="宋体"/>
          <w:color w:val="auto"/>
          <w:sz w:val="24"/>
          <w:highlight w:val="none"/>
        </w:rPr>
      </w:pPr>
    </w:p>
    <w:p w14:paraId="3FB6756D">
      <w:pPr>
        <w:pStyle w:val="5"/>
        <w:rPr>
          <w:rFonts w:hint="eastAsia" w:ascii="宋体" w:hAnsi="宋体" w:eastAsia="宋体" w:cs="宋体"/>
          <w:color w:val="auto"/>
          <w:sz w:val="24"/>
          <w:highlight w:val="none"/>
        </w:rPr>
      </w:pPr>
    </w:p>
    <w:p w14:paraId="5B931D1A">
      <w:pPr>
        <w:rPr>
          <w:rFonts w:hint="eastAsia"/>
        </w:rPr>
      </w:pPr>
    </w:p>
    <w:p w14:paraId="5D36DE15">
      <w:pPr>
        <w:shd w:val="clear" w:color="auto" w:fill="auto"/>
        <w:tabs>
          <w:tab w:val="left" w:pos="5580"/>
        </w:tabs>
        <w:spacing w:line="240" w:lineRule="atLeast"/>
        <w:ind w:left="1" w:firstLine="571" w:firstLineChars="235"/>
        <w:rPr>
          <w:rFonts w:hint="eastAsia" w:ascii="宋体" w:hAnsi="宋体" w:eastAsia="宋体" w:cs="宋体"/>
          <w:color w:val="auto"/>
          <w:sz w:val="24"/>
          <w:highlight w:val="none"/>
        </w:rPr>
      </w:pPr>
    </w:p>
    <w:p w14:paraId="5BDB53B4">
      <w:pPr>
        <w:shd w:val="clear" w:color="auto" w:fill="auto"/>
        <w:tabs>
          <w:tab w:val="left" w:pos="5580"/>
        </w:tabs>
        <w:spacing w:line="240" w:lineRule="atLeast"/>
        <w:ind w:left="1" w:firstLine="571" w:firstLineChars="235"/>
        <w:rPr>
          <w:rFonts w:hint="eastAsia" w:ascii="宋体" w:hAnsi="宋体" w:eastAsia="宋体" w:cs="宋体"/>
          <w:color w:val="auto"/>
          <w:sz w:val="24"/>
          <w:highlight w:val="none"/>
        </w:rPr>
      </w:pPr>
    </w:p>
    <w:p w14:paraId="6D0421DB">
      <w:pPr>
        <w:pStyle w:val="4"/>
        <w:pageBreakBefore w:val="0"/>
        <w:widowControl w:val="0"/>
        <w:numPr>
          <w:ilvl w:val="0"/>
          <w:numId w:val="0"/>
        </w:numPr>
        <w:shd w:val="clear" w:color="auto" w:fill="auto"/>
        <w:kinsoku/>
        <w:wordWrap/>
        <w:overflowPunct/>
        <w:topLinePunct w:val="0"/>
        <w:autoSpaceDE/>
        <w:autoSpaceDN/>
        <w:bidi w:val="0"/>
        <w:snapToGrid/>
        <w:spacing w:before="0" w:line="400" w:lineRule="exact"/>
        <w:jc w:val="center"/>
        <w:rPr>
          <w:rFonts w:hint="eastAsia" w:ascii="宋体" w:hAnsi="宋体" w:eastAsia="宋体" w:cs="宋体"/>
          <w:b/>
          <w:bCs/>
          <w:color w:val="auto"/>
          <w:sz w:val="24"/>
          <w:highlight w:val="none"/>
        </w:rPr>
      </w:pPr>
      <w:bookmarkStart w:id="80" w:name="_Toc515647805"/>
      <w:bookmarkStart w:id="81" w:name="_Toc29899"/>
      <w:bookmarkStart w:id="82" w:name="_Toc17577"/>
      <w:bookmarkStart w:id="83" w:name="_Toc4844"/>
      <w:bookmarkStart w:id="84" w:name="_Toc480942349"/>
      <w:bookmarkStart w:id="85" w:name="_Ref467988698"/>
      <w:bookmarkStart w:id="86" w:name="_Toc520356217"/>
      <w:bookmarkStart w:id="87" w:name="_Toc216582813"/>
      <w:r>
        <w:rPr>
          <w:rFonts w:hint="eastAsia" w:ascii="宋体" w:hAnsi="宋体" w:eastAsia="宋体" w:cs="宋体"/>
          <w:b/>
          <w:bCs/>
          <w:color w:val="auto"/>
          <w:sz w:val="24"/>
          <w:highlight w:val="none"/>
          <w:lang w:val="en-US" w:eastAsia="zh-CN"/>
        </w:rPr>
        <w:t>1、</w:t>
      </w:r>
      <w:r>
        <w:rPr>
          <w:rFonts w:hint="eastAsia" w:ascii="宋体" w:hAnsi="宋体" w:eastAsia="宋体" w:cs="宋体"/>
          <w:b/>
          <w:bCs/>
          <w:color w:val="auto"/>
          <w:sz w:val="24"/>
          <w:highlight w:val="none"/>
        </w:rPr>
        <w:t xml:space="preserve"> 法人或者非法人组织的营业执照等证明文件</w:t>
      </w:r>
      <w:bookmarkEnd w:id="80"/>
      <w:bookmarkStart w:id="88" w:name="_Toc515647806"/>
      <w:r>
        <w:rPr>
          <w:rFonts w:hint="eastAsia" w:ascii="宋体" w:hAnsi="宋体" w:eastAsia="宋体" w:cs="宋体"/>
          <w:b/>
          <w:bCs/>
          <w:color w:val="auto"/>
          <w:sz w:val="24"/>
          <w:highlight w:val="none"/>
        </w:rPr>
        <w:t>或自然人的身份证明</w:t>
      </w:r>
      <w:bookmarkEnd w:id="81"/>
      <w:bookmarkEnd w:id="82"/>
      <w:bookmarkEnd w:id="83"/>
      <w:bookmarkEnd w:id="88"/>
    </w:p>
    <w:p w14:paraId="0F29E0A6">
      <w:pPr>
        <w:pStyle w:val="14"/>
        <w:pageBreakBefore w:val="0"/>
        <w:widowControl w:val="0"/>
        <w:shd w:val="clear" w:color="auto" w:fill="auto"/>
        <w:tabs>
          <w:tab w:val="left" w:pos="5580"/>
        </w:tabs>
        <w:kinsoku/>
        <w:wordWrap/>
        <w:overflowPunct/>
        <w:topLinePunct w:val="0"/>
        <w:autoSpaceDE/>
        <w:autoSpaceDN/>
        <w:bidi w:val="0"/>
        <w:snapToGrid/>
        <w:spacing w:line="400" w:lineRule="exact"/>
        <w:ind w:left="1087" w:leftChars="257" w:hanging="540"/>
        <w:jc w:val="both"/>
        <w:rPr>
          <w:rFonts w:hint="eastAsia" w:ascii="宋体" w:hAnsi="宋体" w:eastAsia="宋体" w:cs="宋体"/>
          <w:b/>
          <w:color w:val="auto"/>
          <w:sz w:val="24"/>
          <w:highlight w:val="none"/>
        </w:rPr>
      </w:pPr>
    </w:p>
    <w:p w14:paraId="0D31C485">
      <w:pPr>
        <w:pStyle w:val="14"/>
        <w:pageBreakBefore w:val="0"/>
        <w:widowControl w:val="0"/>
        <w:shd w:val="clear" w:color="auto" w:fill="auto"/>
        <w:tabs>
          <w:tab w:val="left" w:pos="5580"/>
        </w:tabs>
        <w:kinsoku/>
        <w:wordWrap/>
        <w:overflowPunct/>
        <w:topLinePunct w:val="0"/>
        <w:autoSpaceDE/>
        <w:autoSpaceDN/>
        <w:bidi w:val="0"/>
        <w:snapToGrid/>
        <w:spacing w:line="400" w:lineRule="exact"/>
        <w:ind w:left="1087" w:leftChars="257" w:hanging="540"/>
        <w:rPr>
          <w:rFonts w:hint="eastAsia" w:ascii="宋体" w:hAnsi="宋体" w:eastAsia="宋体" w:cs="宋体"/>
          <w:b/>
          <w:color w:val="auto"/>
          <w:sz w:val="24"/>
          <w:highlight w:val="none"/>
        </w:rPr>
      </w:pPr>
    </w:p>
    <w:p w14:paraId="4E35F988">
      <w:pPr>
        <w:pStyle w:val="14"/>
        <w:pageBreakBefore w:val="0"/>
        <w:widowControl w:val="0"/>
        <w:shd w:val="clear" w:color="auto" w:fill="auto"/>
        <w:tabs>
          <w:tab w:val="left" w:pos="5580"/>
        </w:tabs>
        <w:kinsoku/>
        <w:wordWrap/>
        <w:overflowPunct/>
        <w:topLinePunct w:val="0"/>
        <w:autoSpaceDE/>
        <w:autoSpaceDN/>
        <w:bidi w:val="0"/>
        <w:snapToGrid/>
        <w:spacing w:line="400" w:lineRule="exact"/>
        <w:ind w:left="1087" w:leftChars="257" w:hanging="540"/>
        <w:rPr>
          <w:rFonts w:hint="eastAsia" w:ascii="宋体" w:hAnsi="宋体" w:eastAsia="宋体" w:cs="宋体"/>
          <w:b/>
          <w:color w:val="auto"/>
          <w:sz w:val="24"/>
          <w:highlight w:val="none"/>
        </w:rPr>
      </w:pPr>
    </w:p>
    <w:p w14:paraId="09633211">
      <w:pPr>
        <w:pStyle w:val="14"/>
        <w:pageBreakBefore w:val="0"/>
        <w:widowControl w:val="0"/>
        <w:shd w:val="clear" w:color="auto" w:fill="auto"/>
        <w:tabs>
          <w:tab w:val="left" w:pos="5580"/>
        </w:tabs>
        <w:kinsoku/>
        <w:wordWrap/>
        <w:overflowPunct/>
        <w:topLinePunct w:val="0"/>
        <w:autoSpaceDE/>
        <w:autoSpaceDN/>
        <w:bidi w:val="0"/>
        <w:snapToGrid/>
        <w:spacing w:line="400" w:lineRule="exact"/>
        <w:ind w:left="1087" w:leftChars="257" w:hanging="54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说明：1.提供有效的营业执照等证明文件复印件，复印件上应加盖本单位章。</w:t>
      </w:r>
    </w:p>
    <w:p w14:paraId="14C572D0">
      <w:pPr>
        <w:pStyle w:val="14"/>
        <w:pageBreakBefore w:val="0"/>
        <w:widowControl w:val="0"/>
        <w:shd w:val="clear" w:color="auto" w:fill="auto"/>
        <w:tabs>
          <w:tab w:val="left" w:pos="5580"/>
        </w:tabs>
        <w:kinsoku/>
        <w:wordWrap/>
        <w:overflowPunct/>
        <w:topLinePunct w:val="0"/>
        <w:autoSpaceDE/>
        <w:autoSpaceDN/>
        <w:bidi w:val="0"/>
        <w:snapToGrid/>
        <w:spacing w:line="400" w:lineRule="exact"/>
        <w:ind w:left="1087" w:leftChars="257" w:hanging="54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2. 投标人为自然人的，应提供身份证明的复印件。</w:t>
      </w:r>
    </w:p>
    <w:p w14:paraId="12CC14FF">
      <w:pPr>
        <w:pStyle w:val="14"/>
        <w:pageBreakBefore w:val="0"/>
        <w:widowControl w:val="0"/>
        <w:shd w:val="clear" w:color="auto" w:fill="auto"/>
        <w:tabs>
          <w:tab w:val="left" w:pos="5580"/>
        </w:tabs>
        <w:kinsoku/>
        <w:wordWrap/>
        <w:overflowPunct/>
        <w:topLinePunct w:val="0"/>
        <w:autoSpaceDE/>
        <w:autoSpaceDN/>
        <w:bidi w:val="0"/>
        <w:snapToGrid/>
        <w:spacing w:line="400" w:lineRule="exact"/>
        <w:ind w:left="1087" w:leftChars="257" w:hanging="54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w:t>
      </w:r>
    </w:p>
    <w:p w14:paraId="641F4DBD">
      <w:pPr>
        <w:pStyle w:val="14"/>
        <w:pageBreakBefore w:val="0"/>
        <w:widowControl w:val="0"/>
        <w:shd w:val="clear" w:color="auto" w:fill="auto"/>
        <w:tabs>
          <w:tab w:val="left" w:pos="5580"/>
        </w:tabs>
        <w:kinsoku/>
        <w:wordWrap/>
        <w:overflowPunct/>
        <w:topLinePunct w:val="0"/>
        <w:autoSpaceDE/>
        <w:autoSpaceDN/>
        <w:bidi w:val="0"/>
        <w:snapToGrid/>
        <w:spacing w:line="400" w:lineRule="exact"/>
        <w:ind w:left="1087" w:leftChars="257" w:hanging="540"/>
        <w:rPr>
          <w:rFonts w:hint="eastAsia" w:ascii="宋体" w:hAnsi="宋体" w:eastAsia="宋体" w:cs="宋体"/>
          <w:color w:val="auto"/>
          <w:sz w:val="24"/>
          <w:highlight w:val="none"/>
        </w:rPr>
      </w:pPr>
    </w:p>
    <w:p w14:paraId="4F10B7D8">
      <w:pPr>
        <w:pStyle w:val="14"/>
        <w:pageBreakBefore w:val="0"/>
        <w:widowControl w:val="0"/>
        <w:shd w:val="clear" w:color="auto" w:fill="auto"/>
        <w:tabs>
          <w:tab w:val="left" w:pos="5580"/>
        </w:tabs>
        <w:kinsoku/>
        <w:wordWrap/>
        <w:overflowPunct/>
        <w:topLinePunct w:val="0"/>
        <w:autoSpaceDE/>
        <w:autoSpaceDN/>
        <w:bidi w:val="0"/>
        <w:snapToGrid/>
        <w:spacing w:line="400" w:lineRule="exact"/>
        <w:rPr>
          <w:rFonts w:hint="eastAsia" w:ascii="宋体" w:hAnsi="宋体" w:eastAsia="宋体" w:cs="宋体"/>
          <w:color w:val="auto"/>
          <w:sz w:val="24"/>
          <w:highlight w:val="none"/>
        </w:rPr>
      </w:pPr>
    </w:p>
    <w:p w14:paraId="13247EE0">
      <w:pPr>
        <w:pStyle w:val="14"/>
        <w:pageBreakBefore w:val="0"/>
        <w:widowControl w:val="0"/>
        <w:shd w:val="clear" w:color="auto" w:fill="auto"/>
        <w:tabs>
          <w:tab w:val="left" w:pos="5580"/>
        </w:tabs>
        <w:kinsoku/>
        <w:wordWrap/>
        <w:overflowPunct/>
        <w:topLinePunct w:val="0"/>
        <w:autoSpaceDE/>
        <w:autoSpaceDN/>
        <w:bidi w:val="0"/>
        <w:snapToGrid/>
        <w:spacing w:line="400" w:lineRule="exact"/>
        <w:rPr>
          <w:rFonts w:hint="eastAsia" w:ascii="宋体" w:hAnsi="宋体" w:eastAsia="宋体" w:cs="宋体"/>
          <w:color w:val="auto"/>
          <w:sz w:val="24"/>
          <w:highlight w:val="none"/>
        </w:rPr>
      </w:pPr>
    </w:p>
    <w:p w14:paraId="112BE752">
      <w:pPr>
        <w:pStyle w:val="14"/>
        <w:shd w:val="clear" w:color="auto" w:fill="auto"/>
        <w:tabs>
          <w:tab w:val="left" w:pos="5580"/>
        </w:tabs>
        <w:spacing w:line="240" w:lineRule="atLeast"/>
        <w:rPr>
          <w:rFonts w:hint="eastAsia" w:ascii="宋体" w:hAnsi="宋体" w:eastAsia="宋体" w:cs="宋体"/>
          <w:color w:val="auto"/>
          <w:sz w:val="24"/>
          <w:highlight w:val="none"/>
        </w:rPr>
      </w:pPr>
    </w:p>
    <w:p w14:paraId="3D35F66C">
      <w:pPr>
        <w:pStyle w:val="14"/>
        <w:shd w:val="clear" w:color="auto" w:fill="auto"/>
        <w:tabs>
          <w:tab w:val="left" w:pos="5580"/>
        </w:tabs>
        <w:spacing w:line="240" w:lineRule="atLeast"/>
        <w:rPr>
          <w:rFonts w:hint="eastAsia" w:ascii="宋体" w:hAnsi="宋体" w:eastAsia="宋体" w:cs="宋体"/>
          <w:color w:val="auto"/>
          <w:sz w:val="24"/>
          <w:highlight w:val="none"/>
        </w:rPr>
      </w:pPr>
    </w:p>
    <w:p w14:paraId="50B88B43">
      <w:pPr>
        <w:pStyle w:val="14"/>
        <w:shd w:val="clear" w:color="auto" w:fill="auto"/>
        <w:tabs>
          <w:tab w:val="left" w:pos="5580"/>
        </w:tabs>
        <w:spacing w:line="240" w:lineRule="atLeast"/>
        <w:rPr>
          <w:rFonts w:hint="eastAsia" w:ascii="宋体" w:hAnsi="宋体" w:eastAsia="宋体" w:cs="宋体"/>
          <w:color w:val="auto"/>
          <w:sz w:val="24"/>
          <w:highlight w:val="none"/>
        </w:rPr>
      </w:pPr>
    </w:p>
    <w:p w14:paraId="02E67781">
      <w:pPr>
        <w:pStyle w:val="14"/>
        <w:shd w:val="clear" w:color="auto" w:fill="auto"/>
        <w:tabs>
          <w:tab w:val="left" w:pos="5580"/>
        </w:tabs>
        <w:spacing w:line="240" w:lineRule="atLeast"/>
        <w:rPr>
          <w:rFonts w:hint="eastAsia" w:ascii="宋体" w:hAnsi="宋体" w:eastAsia="宋体" w:cs="宋体"/>
          <w:color w:val="auto"/>
          <w:sz w:val="24"/>
          <w:highlight w:val="none"/>
        </w:rPr>
      </w:pPr>
    </w:p>
    <w:p w14:paraId="06833E18">
      <w:pPr>
        <w:pStyle w:val="14"/>
        <w:shd w:val="clear" w:color="auto" w:fill="auto"/>
        <w:tabs>
          <w:tab w:val="left" w:pos="5580"/>
        </w:tabs>
        <w:spacing w:line="240" w:lineRule="atLeast"/>
        <w:rPr>
          <w:rFonts w:hint="eastAsia" w:ascii="宋体" w:hAnsi="宋体" w:eastAsia="宋体" w:cs="宋体"/>
          <w:color w:val="auto"/>
          <w:sz w:val="24"/>
          <w:highlight w:val="none"/>
        </w:rPr>
      </w:pPr>
    </w:p>
    <w:p w14:paraId="775E166A">
      <w:pPr>
        <w:pStyle w:val="14"/>
        <w:shd w:val="clear" w:color="auto" w:fill="auto"/>
        <w:tabs>
          <w:tab w:val="left" w:pos="5580"/>
        </w:tabs>
        <w:spacing w:line="240" w:lineRule="atLeast"/>
        <w:rPr>
          <w:rFonts w:hint="eastAsia" w:ascii="宋体" w:hAnsi="宋体" w:eastAsia="宋体" w:cs="宋体"/>
          <w:color w:val="auto"/>
          <w:sz w:val="24"/>
          <w:highlight w:val="none"/>
        </w:rPr>
      </w:pPr>
    </w:p>
    <w:p w14:paraId="5A61E74B">
      <w:pPr>
        <w:pStyle w:val="14"/>
        <w:shd w:val="clear" w:color="auto" w:fill="auto"/>
        <w:tabs>
          <w:tab w:val="left" w:pos="5580"/>
        </w:tabs>
        <w:spacing w:line="240" w:lineRule="atLeast"/>
        <w:ind w:left="1087" w:leftChars="257" w:hanging="540"/>
        <w:jc w:val="center"/>
        <w:rPr>
          <w:rFonts w:hint="eastAsia" w:ascii="宋体" w:hAnsi="宋体" w:eastAsia="宋体" w:cs="宋体"/>
          <w:color w:val="auto"/>
          <w:sz w:val="24"/>
          <w:highlight w:val="none"/>
        </w:rPr>
      </w:pPr>
      <w:bookmarkStart w:id="89" w:name="_Toc32520"/>
      <w:bookmarkStart w:id="90" w:name="_Toc7039"/>
      <w:bookmarkStart w:id="91" w:name="_Toc515647808"/>
    </w:p>
    <w:p w14:paraId="7AF5E762">
      <w:pPr>
        <w:pStyle w:val="4"/>
        <w:numPr>
          <w:ilvl w:val="0"/>
          <w:numId w:val="0"/>
        </w:numPr>
        <w:shd w:val="clear" w:color="auto" w:fill="auto"/>
        <w:spacing w:before="0" w:line="240" w:lineRule="atLeast"/>
        <w:ind w:leftChars="257"/>
        <w:rPr>
          <w:rFonts w:hint="eastAsia" w:ascii="宋体" w:hAnsi="宋体" w:eastAsia="宋体" w:cs="宋体"/>
          <w:color w:val="auto"/>
          <w:sz w:val="24"/>
          <w:highlight w:val="none"/>
        </w:rPr>
      </w:pPr>
      <w:bookmarkStart w:id="92" w:name="_Toc515647807"/>
      <w:bookmarkStart w:id="93" w:name="_Toc1083"/>
      <w:bookmarkStart w:id="94" w:name="_Toc22472"/>
      <w:bookmarkStart w:id="95" w:name="_Toc23503"/>
    </w:p>
    <w:p w14:paraId="4361FE36">
      <w:pPr>
        <w:shd w:val="clear" w:color="auto" w:fill="auto"/>
        <w:rPr>
          <w:rFonts w:hint="eastAsia" w:ascii="宋体" w:hAnsi="宋体" w:eastAsia="宋体" w:cs="宋体"/>
          <w:color w:val="auto"/>
          <w:sz w:val="24"/>
          <w:highlight w:val="none"/>
        </w:rPr>
      </w:pPr>
    </w:p>
    <w:p w14:paraId="61DFFB4F">
      <w:pPr>
        <w:pStyle w:val="49"/>
        <w:shd w:val="clear" w:color="auto" w:fill="auto"/>
        <w:rPr>
          <w:rFonts w:hint="eastAsia" w:ascii="宋体" w:hAnsi="宋体" w:eastAsia="宋体" w:cs="宋体"/>
          <w:color w:val="auto"/>
          <w:sz w:val="24"/>
          <w:highlight w:val="none"/>
        </w:rPr>
      </w:pPr>
    </w:p>
    <w:p w14:paraId="3EA8AD4C">
      <w:pPr>
        <w:pStyle w:val="49"/>
        <w:shd w:val="clear" w:color="auto" w:fill="auto"/>
        <w:rPr>
          <w:rFonts w:hint="eastAsia" w:ascii="宋体" w:hAnsi="宋体" w:eastAsia="宋体" w:cs="宋体"/>
          <w:color w:val="auto"/>
          <w:sz w:val="24"/>
          <w:highlight w:val="none"/>
        </w:rPr>
      </w:pPr>
    </w:p>
    <w:p w14:paraId="2E6975C4">
      <w:pPr>
        <w:pStyle w:val="49"/>
        <w:shd w:val="clear" w:color="auto" w:fill="auto"/>
        <w:rPr>
          <w:rFonts w:hint="eastAsia" w:ascii="宋体" w:hAnsi="宋体" w:eastAsia="宋体" w:cs="宋体"/>
          <w:color w:val="auto"/>
          <w:sz w:val="24"/>
          <w:highlight w:val="none"/>
        </w:rPr>
      </w:pPr>
    </w:p>
    <w:p w14:paraId="5A5A09D3">
      <w:pPr>
        <w:pStyle w:val="49"/>
        <w:shd w:val="clear" w:color="auto" w:fill="auto"/>
        <w:rPr>
          <w:rFonts w:hint="eastAsia" w:ascii="宋体" w:hAnsi="宋体" w:eastAsia="宋体" w:cs="宋体"/>
          <w:color w:val="auto"/>
          <w:sz w:val="24"/>
          <w:highlight w:val="none"/>
        </w:rPr>
      </w:pPr>
    </w:p>
    <w:p w14:paraId="2A842CF4">
      <w:pPr>
        <w:pStyle w:val="49"/>
        <w:shd w:val="clear" w:color="auto" w:fill="auto"/>
        <w:rPr>
          <w:rFonts w:hint="eastAsia" w:ascii="宋体" w:hAnsi="宋体" w:eastAsia="宋体" w:cs="宋体"/>
          <w:color w:val="auto"/>
          <w:sz w:val="24"/>
          <w:highlight w:val="none"/>
        </w:rPr>
      </w:pPr>
    </w:p>
    <w:p w14:paraId="71801F1E">
      <w:pPr>
        <w:pStyle w:val="49"/>
        <w:shd w:val="clear" w:color="auto" w:fill="auto"/>
        <w:rPr>
          <w:rFonts w:hint="eastAsia" w:ascii="宋体" w:hAnsi="宋体" w:eastAsia="宋体" w:cs="宋体"/>
          <w:color w:val="auto"/>
          <w:sz w:val="24"/>
          <w:highlight w:val="none"/>
        </w:rPr>
      </w:pPr>
    </w:p>
    <w:p w14:paraId="6B9C6FB0">
      <w:pPr>
        <w:pStyle w:val="49"/>
        <w:shd w:val="clear" w:color="auto" w:fill="auto"/>
        <w:rPr>
          <w:rFonts w:hint="eastAsia" w:ascii="宋体" w:hAnsi="宋体" w:eastAsia="宋体" w:cs="宋体"/>
          <w:color w:val="auto"/>
          <w:sz w:val="24"/>
          <w:highlight w:val="none"/>
        </w:rPr>
      </w:pPr>
    </w:p>
    <w:p w14:paraId="64F7C60B">
      <w:pPr>
        <w:pStyle w:val="49"/>
        <w:shd w:val="clear" w:color="auto" w:fill="auto"/>
        <w:rPr>
          <w:rFonts w:hint="eastAsia" w:ascii="宋体" w:hAnsi="宋体" w:eastAsia="宋体" w:cs="宋体"/>
          <w:color w:val="auto"/>
          <w:sz w:val="24"/>
          <w:highlight w:val="none"/>
        </w:rPr>
      </w:pPr>
    </w:p>
    <w:p w14:paraId="15EDE2C4">
      <w:pPr>
        <w:pStyle w:val="49"/>
        <w:shd w:val="clear" w:color="auto" w:fill="auto"/>
        <w:rPr>
          <w:rFonts w:hint="eastAsia" w:ascii="宋体" w:hAnsi="宋体" w:eastAsia="宋体" w:cs="宋体"/>
          <w:color w:val="auto"/>
          <w:sz w:val="24"/>
          <w:highlight w:val="none"/>
        </w:rPr>
      </w:pPr>
    </w:p>
    <w:p w14:paraId="47B8E939">
      <w:pPr>
        <w:pStyle w:val="49"/>
        <w:shd w:val="clear" w:color="auto" w:fill="auto"/>
        <w:rPr>
          <w:rFonts w:hint="eastAsia" w:ascii="宋体" w:hAnsi="宋体" w:eastAsia="宋体" w:cs="宋体"/>
          <w:color w:val="auto"/>
          <w:sz w:val="24"/>
          <w:highlight w:val="none"/>
        </w:rPr>
      </w:pPr>
    </w:p>
    <w:p w14:paraId="4AB86839">
      <w:pPr>
        <w:pStyle w:val="49"/>
        <w:shd w:val="clear" w:color="auto" w:fill="auto"/>
        <w:rPr>
          <w:rFonts w:hint="eastAsia" w:ascii="宋体" w:hAnsi="宋体" w:eastAsia="宋体" w:cs="宋体"/>
          <w:color w:val="auto"/>
          <w:sz w:val="24"/>
          <w:highlight w:val="none"/>
        </w:rPr>
      </w:pPr>
    </w:p>
    <w:p w14:paraId="62B1B1B0">
      <w:pPr>
        <w:pStyle w:val="49"/>
        <w:shd w:val="clear" w:color="auto" w:fill="auto"/>
        <w:rPr>
          <w:rFonts w:hint="eastAsia" w:ascii="宋体" w:hAnsi="宋体" w:eastAsia="宋体" w:cs="宋体"/>
          <w:color w:val="auto"/>
          <w:sz w:val="24"/>
          <w:highlight w:val="none"/>
        </w:rPr>
      </w:pPr>
    </w:p>
    <w:p w14:paraId="2CEA4240">
      <w:pPr>
        <w:pStyle w:val="49"/>
        <w:shd w:val="clear" w:color="auto" w:fill="auto"/>
        <w:rPr>
          <w:rFonts w:hint="eastAsia" w:ascii="宋体" w:hAnsi="宋体" w:eastAsia="宋体" w:cs="宋体"/>
          <w:color w:val="auto"/>
          <w:sz w:val="24"/>
          <w:highlight w:val="none"/>
        </w:rPr>
      </w:pPr>
    </w:p>
    <w:p w14:paraId="6BAD6F88">
      <w:pPr>
        <w:pStyle w:val="49"/>
        <w:shd w:val="clear" w:color="auto" w:fill="auto"/>
        <w:rPr>
          <w:rFonts w:hint="eastAsia" w:ascii="宋体" w:hAnsi="宋体" w:eastAsia="宋体" w:cs="宋体"/>
          <w:color w:val="auto"/>
          <w:sz w:val="24"/>
          <w:highlight w:val="none"/>
        </w:rPr>
      </w:pPr>
    </w:p>
    <w:p w14:paraId="2ABA5CED">
      <w:pPr>
        <w:pStyle w:val="49"/>
        <w:shd w:val="clear" w:color="auto" w:fill="auto"/>
        <w:rPr>
          <w:rFonts w:hint="eastAsia" w:ascii="宋体" w:hAnsi="宋体" w:eastAsia="宋体" w:cs="宋体"/>
          <w:color w:val="auto"/>
          <w:sz w:val="24"/>
          <w:highlight w:val="none"/>
        </w:rPr>
      </w:pPr>
    </w:p>
    <w:p w14:paraId="201E9712">
      <w:pPr>
        <w:pStyle w:val="49"/>
        <w:shd w:val="clear" w:color="auto" w:fill="auto"/>
        <w:rPr>
          <w:rFonts w:hint="eastAsia" w:ascii="宋体" w:hAnsi="宋体" w:eastAsia="宋体" w:cs="宋体"/>
          <w:color w:val="auto"/>
          <w:sz w:val="24"/>
          <w:highlight w:val="none"/>
        </w:rPr>
      </w:pPr>
    </w:p>
    <w:p w14:paraId="539BEB75">
      <w:pPr>
        <w:pStyle w:val="4"/>
        <w:numPr>
          <w:ilvl w:val="0"/>
          <w:numId w:val="0"/>
        </w:numPr>
        <w:shd w:val="clear" w:color="auto" w:fill="auto"/>
        <w:spacing w:before="0" w:line="240" w:lineRule="atLeast"/>
        <w:jc w:val="center"/>
        <w:rPr>
          <w:rFonts w:hint="eastAsia" w:ascii="宋体" w:hAnsi="宋体" w:eastAsia="宋体" w:cs="宋体"/>
          <w:b w:val="0"/>
          <w:color w:val="auto"/>
          <w:sz w:val="24"/>
          <w:highlight w:val="none"/>
          <w:u w:val="single"/>
        </w:rPr>
      </w:pPr>
      <w:bookmarkStart w:id="96" w:name="_Toc30244"/>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 xml:space="preserve"> </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rPr>
        <w:t>法定代表人资格证明书</w:t>
      </w:r>
    </w:p>
    <w:p w14:paraId="43FFA039">
      <w:pPr>
        <w:adjustRightInd w:val="0"/>
        <w:snapToGrid w:val="0"/>
        <w:spacing w:before="240" w:beforeLines="100" w:after="240" w:afterLines="100" w:line="5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致：</w:t>
      </w:r>
    </w:p>
    <w:p w14:paraId="2B898637">
      <w:pPr>
        <w:spacing w:line="5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同志，现任我单位</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职务，为法定代表人，特此证明。</w:t>
      </w:r>
    </w:p>
    <w:p w14:paraId="39BE3C3B">
      <w:pPr>
        <w:spacing w:line="500" w:lineRule="exact"/>
        <w:ind w:firstLine="213"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签发日期：                  单位：           （盖章）</w:t>
      </w:r>
    </w:p>
    <w:p w14:paraId="17BBC102">
      <w:pPr>
        <w:spacing w:line="500" w:lineRule="exact"/>
        <w:ind w:firstLine="213"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附：代表人性别：            年龄：           身份证号码：</w:t>
      </w:r>
    </w:p>
    <w:p w14:paraId="182815ED">
      <w:pPr>
        <w:spacing w:line="500" w:lineRule="exact"/>
        <w:ind w:firstLine="213"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联系电话：</w:t>
      </w:r>
    </w:p>
    <w:p w14:paraId="3F463072">
      <w:pPr>
        <w:spacing w:line="500" w:lineRule="exact"/>
        <w:ind w:firstLine="213"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营业执照号码：              经济性质：</w:t>
      </w:r>
    </w:p>
    <w:p w14:paraId="5D471AC6">
      <w:pPr>
        <w:spacing w:line="5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说明：</w:t>
      </w:r>
    </w:p>
    <w:p w14:paraId="0617EC92">
      <w:pPr>
        <w:spacing w:line="500" w:lineRule="exact"/>
        <w:ind w:firstLine="213"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1、法定代表人为企业事业单位、国家机关、社会团体的主要行政负责人。</w:t>
      </w:r>
    </w:p>
    <w:p w14:paraId="7433156E">
      <w:pPr>
        <w:spacing w:line="5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2、内容必须填写真实、清楚、涂改无效，不得转让。</w:t>
      </w:r>
    </w:p>
    <w:p w14:paraId="143C4177">
      <w:pPr>
        <w:spacing w:line="500" w:lineRule="exact"/>
        <w:ind w:firstLine="213"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3、将此证明书原件提交采购代理机构作为投标文件附件。</w:t>
      </w:r>
    </w:p>
    <w:p w14:paraId="3EED12DE">
      <w:pPr>
        <w:spacing w:line="5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(为避免废标，请投标人务必提供本附件)</w:t>
      </w:r>
    </w:p>
    <w:p w14:paraId="24215281">
      <w:pPr>
        <w:spacing w:line="500" w:lineRule="exact"/>
        <w:rPr>
          <w:rFonts w:hint="eastAsia" w:ascii="宋体" w:hAnsi="宋体" w:eastAsia="宋体" w:cs="宋体"/>
          <w:color w:val="auto"/>
          <w:sz w:val="24"/>
          <w:szCs w:val="24"/>
          <w:highlight w:val="none"/>
        </w:rPr>
      </w:pPr>
    </w:p>
    <w:p w14:paraId="3313F942">
      <w:pPr>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mc:AlternateContent>
          <mc:Choice Requires="wps">
            <w:drawing>
              <wp:anchor distT="0" distB="0" distL="114300" distR="114300" simplePos="0" relativeHeight="251663360" behindDoc="0" locked="0" layoutInCell="1" allowOverlap="1">
                <wp:simplePos x="0" y="0"/>
                <wp:positionH relativeFrom="column">
                  <wp:posOffset>398780</wp:posOffset>
                </wp:positionH>
                <wp:positionV relativeFrom="paragraph">
                  <wp:posOffset>38100</wp:posOffset>
                </wp:positionV>
                <wp:extent cx="2333625" cy="1584325"/>
                <wp:effectExtent l="4445" t="4445" r="5080" b="11430"/>
                <wp:wrapNone/>
                <wp:docPr id="10" name="流程图: 可选过程 10"/>
                <wp:cNvGraphicFramePr/>
                <a:graphic xmlns:a="http://schemas.openxmlformats.org/drawingml/2006/main">
                  <a:graphicData uri="http://schemas.microsoft.com/office/word/2010/wordprocessingShape">
                    <wps:wsp>
                      <wps:cNvSpPr/>
                      <wps:spPr>
                        <a:xfrm>
                          <a:off x="0" y="0"/>
                          <a:ext cx="2333625" cy="158432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5F96954F">
                            <w:pPr>
                              <w:jc w:val="center"/>
                              <w:rPr>
                                <w:rFonts w:hint="eastAsia" w:hAnsi="宋体"/>
                                <w:szCs w:val="21"/>
                              </w:rPr>
                            </w:pPr>
                          </w:p>
                          <w:p w14:paraId="2F0DE9FD">
                            <w:pPr>
                              <w:jc w:val="center"/>
                              <w:rPr>
                                <w:rFonts w:hint="eastAsia" w:hAnsi="宋体"/>
                                <w:szCs w:val="21"/>
                              </w:rPr>
                            </w:pPr>
                          </w:p>
                          <w:p w14:paraId="424841E0">
                            <w:pPr>
                              <w:jc w:val="center"/>
                              <w:rPr>
                                <w:rFonts w:hint="eastAsia" w:hAnsi="宋体"/>
                                <w:szCs w:val="21"/>
                              </w:rPr>
                            </w:pPr>
                          </w:p>
                          <w:p w14:paraId="4925B347">
                            <w:pPr>
                              <w:jc w:val="center"/>
                              <w:rPr>
                                <w:rFonts w:hint="eastAsia" w:eastAsia="宋体"/>
                                <w:szCs w:val="21"/>
                                <w:lang w:eastAsia="zh-CN"/>
                              </w:rPr>
                            </w:pPr>
                            <w:r>
                              <w:rPr>
                                <w:rFonts w:hint="eastAsia" w:hAnsi="宋体"/>
                                <w:szCs w:val="21"/>
                              </w:rPr>
                              <w:t>法定代表人身份证复印件</w:t>
                            </w:r>
                            <w:r>
                              <w:rPr>
                                <w:rFonts w:hint="eastAsia" w:hAnsi="宋体"/>
                                <w:szCs w:val="21"/>
                                <w:lang w:eastAsia="zh-CN"/>
                              </w:rPr>
                              <w:t>正面</w:t>
                            </w:r>
                          </w:p>
                        </w:txbxContent>
                      </wps:txbx>
                      <wps:bodyPr upright="1"/>
                    </wps:wsp>
                  </a:graphicData>
                </a:graphic>
              </wp:anchor>
            </w:drawing>
          </mc:Choice>
          <mc:Fallback>
            <w:pict>
              <v:shape id="_x0000_s1026" o:spid="_x0000_s1026" o:spt="176" type="#_x0000_t176" style="position:absolute;left:0pt;margin-left:31.4pt;margin-top:3pt;height:124.75pt;width:183.75pt;z-index:251663360;mso-width-relative:page;mso-height-relative:page;" fillcolor="#FFFFFF" filled="t" stroked="t" coordsize="21600,21600" o:gfxdata="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CFwXx41gAAAAgBAAAPAAAAAAAAAAEAIAAAACIAAABkcnMvZG93bnJldi54bWxQSwECFAAUAAAA&#10;CACHTuJAcS+LcykCAABSBAAADgAAAAAAAAABACAAAAAlAQAAZHJzL2Uyb0RvYy54bWxQSwUGAAAA&#10;AAYABgBZAQAAwAUAAAAA&#10;">
                <v:fill on="t" focussize="0,0"/>
                <v:stroke color="#000000" joinstyle="miter"/>
                <v:imagedata o:title=""/>
                <o:lock v:ext="edit" aspectratio="f"/>
                <v:textbox>
                  <w:txbxContent>
                    <w:p w14:paraId="5F96954F">
                      <w:pPr>
                        <w:jc w:val="center"/>
                        <w:rPr>
                          <w:rFonts w:hint="eastAsia" w:hAnsi="宋体"/>
                          <w:szCs w:val="21"/>
                        </w:rPr>
                      </w:pPr>
                    </w:p>
                    <w:p w14:paraId="2F0DE9FD">
                      <w:pPr>
                        <w:jc w:val="center"/>
                        <w:rPr>
                          <w:rFonts w:hint="eastAsia" w:hAnsi="宋体"/>
                          <w:szCs w:val="21"/>
                        </w:rPr>
                      </w:pPr>
                    </w:p>
                    <w:p w14:paraId="424841E0">
                      <w:pPr>
                        <w:jc w:val="center"/>
                        <w:rPr>
                          <w:rFonts w:hint="eastAsia" w:hAnsi="宋体"/>
                          <w:szCs w:val="21"/>
                        </w:rPr>
                      </w:pPr>
                    </w:p>
                    <w:p w14:paraId="4925B347">
                      <w:pPr>
                        <w:jc w:val="center"/>
                        <w:rPr>
                          <w:rFonts w:hint="eastAsia" w:eastAsia="宋体"/>
                          <w:szCs w:val="21"/>
                          <w:lang w:eastAsia="zh-CN"/>
                        </w:rPr>
                      </w:pPr>
                      <w:r>
                        <w:rPr>
                          <w:rFonts w:hint="eastAsia" w:hAnsi="宋体"/>
                          <w:szCs w:val="21"/>
                        </w:rPr>
                        <w:t>法定代表人身份证复印件</w:t>
                      </w:r>
                      <w:r>
                        <w:rPr>
                          <w:rFonts w:hint="eastAsia" w:hAnsi="宋体"/>
                          <w:szCs w:val="21"/>
                          <w:lang w:eastAsia="zh-CN"/>
                        </w:rPr>
                        <w:t>正面</w:t>
                      </w:r>
                    </w:p>
                  </w:txbxContent>
                </v:textbox>
              </v:shape>
            </w:pict>
          </mc:Fallback>
        </mc:AlternateContent>
      </w:r>
      <w:r>
        <w:rPr>
          <w:rFonts w:hint="eastAsia" w:ascii="宋体" w:hAnsi="宋体" w:eastAsia="宋体" w:cs="宋体"/>
          <w:color w:val="auto"/>
          <w:sz w:val="24"/>
          <w:szCs w:val="24"/>
          <w:highlight w:val="none"/>
        </w:rPr>
        <mc:AlternateContent>
          <mc:Choice Requires="wps">
            <w:drawing>
              <wp:anchor distT="0" distB="0" distL="114300" distR="114300" simplePos="0" relativeHeight="251664384" behindDoc="0" locked="0" layoutInCell="1" allowOverlap="1">
                <wp:simplePos x="0" y="0"/>
                <wp:positionH relativeFrom="column">
                  <wp:posOffset>3226435</wp:posOffset>
                </wp:positionH>
                <wp:positionV relativeFrom="paragraph">
                  <wp:posOffset>34290</wp:posOffset>
                </wp:positionV>
                <wp:extent cx="2333625" cy="1584325"/>
                <wp:effectExtent l="4445" t="4445" r="5080" b="11430"/>
                <wp:wrapNone/>
                <wp:docPr id="11" name="流程图: 可选过程 11"/>
                <wp:cNvGraphicFramePr/>
                <a:graphic xmlns:a="http://schemas.openxmlformats.org/drawingml/2006/main">
                  <a:graphicData uri="http://schemas.microsoft.com/office/word/2010/wordprocessingShape">
                    <wps:wsp>
                      <wps:cNvSpPr/>
                      <wps:spPr>
                        <a:xfrm>
                          <a:off x="0" y="0"/>
                          <a:ext cx="2333625" cy="158432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7C29423F">
                            <w:pPr>
                              <w:jc w:val="center"/>
                              <w:rPr>
                                <w:rFonts w:hint="eastAsia" w:hAnsi="宋体"/>
                                <w:szCs w:val="21"/>
                              </w:rPr>
                            </w:pPr>
                          </w:p>
                          <w:p w14:paraId="28C1FC15">
                            <w:pPr>
                              <w:jc w:val="center"/>
                              <w:rPr>
                                <w:rFonts w:hint="eastAsia" w:hAnsi="宋体"/>
                                <w:szCs w:val="21"/>
                              </w:rPr>
                            </w:pPr>
                          </w:p>
                          <w:p w14:paraId="22D7C319">
                            <w:pPr>
                              <w:jc w:val="center"/>
                              <w:rPr>
                                <w:rFonts w:hint="eastAsia" w:hAnsi="宋体"/>
                                <w:szCs w:val="21"/>
                              </w:rPr>
                            </w:pPr>
                          </w:p>
                          <w:p w14:paraId="57AD5FD8">
                            <w:pPr>
                              <w:jc w:val="center"/>
                              <w:rPr>
                                <w:rFonts w:hint="eastAsia" w:eastAsia="宋体"/>
                                <w:szCs w:val="21"/>
                                <w:lang w:eastAsia="zh-CN"/>
                              </w:rPr>
                            </w:pPr>
                            <w:r>
                              <w:rPr>
                                <w:rFonts w:hint="eastAsia" w:hAnsi="宋体"/>
                                <w:szCs w:val="21"/>
                              </w:rPr>
                              <w:t>法定代表人身份证复印件</w:t>
                            </w:r>
                            <w:r>
                              <w:rPr>
                                <w:rFonts w:hint="eastAsia" w:hAnsi="宋体"/>
                                <w:szCs w:val="21"/>
                                <w:lang w:eastAsia="zh-CN"/>
                              </w:rPr>
                              <w:t>反面</w:t>
                            </w:r>
                          </w:p>
                        </w:txbxContent>
                      </wps:txbx>
                      <wps:bodyPr upright="1"/>
                    </wps:wsp>
                  </a:graphicData>
                </a:graphic>
              </wp:anchor>
            </w:drawing>
          </mc:Choice>
          <mc:Fallback>
            <w:pict>
              <v:shape id="_x0000_s1026" o:spid="_x0000_s1026" o:spt="176" type="#_x0000_t176" style="position:absolute;left:0pt;margin-left:254.05pt;margin-top:2.7pt;height:124.75pt;width:183.75pt;z-index:251664384;mso-width-relative:page;mso-height-relative:page;" fillcolor="#FFFFFF" filled="t" stroked="t" coordsize="21600,21600" o:gfxdata="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FoTxGHYAAAACQEAAA8AAAAAAAAAAQAgAAAAIgAAAGRycy9kb3ducmV2LnhtbFBLAQIUABQA&#10;AAAIAIdO4kAB7+mmKQIAAFIEAAAOAAAAAAAAAAEAIAAAACcBAABkcnMvZTJvRG9jLnhtbFBLBQYA&#10;AAAABgAGAFkBAADCBQAAAAA=&#10;">
                <v:fill on="t" focussize="0,0"/>
                <v:stroke color="#000000" joinstyle="miter"/>
                <v:imagedata o:title=""/>
                <o:lock v:ext="edit" aspectratio="f"/>
                <v:textbox>
                  <w:txbxContent>
                    <w:p w14:paraId="7C29423F">
                      <w:pPr>
                        <w:jc w:val="center"/>
                        <w:rPr>
                          <w:rFonts w:hint="eastAsia" w:hAnsi="宋体"/>
                          <w:szCs w:val="21"/>
                        </w:rPr>
                      </w:pPr>
                    </w:p>
                    <w:p w14:paraId="28C1FC15">
                      <w:pPr>
                        <w:jc w:val="center"/>
                        <w:rPr>
                          <w:rFonts w:hint="eastAsia" w:hAnsi="宋体"/>
                          <w:szCs w:val="21"/>
                        </w:rPr>
                      </w:pPr>
                    </w:p>
                    <w:p w14:paraId="22D7C319">
                      <w:pPr>
                        <w:jc w:val="center"/>
                        <w:rPr>
                          <w:rFonts w:hint="eastAsia" w:hAnsi="宋体"/>
                          <w:szCs w:val="21"/>
                        </w:rPr>
                      </w:pPr>
                    </w:p>
                    <w:p w14:paraId="57AD5FD8">
                      <w:pPr>
                        <w:jc w:val="center"/>
                        <w:rPr>
                          <w:rFonts w:hint="eastAsia" w:eastAsia="宋体"/>
                          <w:szCs w:val="21"/>
                          <w:lang w:eastAsia="zh-CN"/>
                        </w:rPr>
                      </w:pPr>
                      <w:r>
                        <w:rPr>
                          <w:rFonts w:hint="eastAsia" w:hAnsi="宋体"/>
                          <w:szCs w:val="21"/>
                        </w:rPr>
                        <w:t>法定代表人身份证复印件</w:t>
                      </w:r>
                      <w:r>
                        <w:rPr>
                          <w:rFonts w:hint="eastAsia" w:hAnsi="宋体"/>
                          <w:szCs w:val="21"/>
                          <w:lang w:eastAsia="zh-CN"/>
                        </w:rPr>
                        <w:t>反面</w:t>
                      </w:r>
                    </w:p>
                  </w:txbxContent>
                </v:textbox>
              </v:shape>
            </w:pict>
          </mc:Fallback>
        </mc:AlternateContent>
      </w:r>
    </w:p>
    <w:p w14:paraId="1B15E0D4">
      <w:pPr>
        <w:spacing w:line="500" w:lineRule="exact"/>
        <w:rPr>
          <w:rFonts w:hint="eastAsia" w:ascii="宋体" w:hAnsi="宋体" w:eastAsia="宋体" w:cs="宋体"/>
          <w:color w:val="auto"/>
          <w:sz w:val="24"/>
          <w:szCs w:val="24"/>
          <w:highlight w:val="none"/>
        </w:rPr>
      </w:pPr>
    </w:p>
    <w:p w14:paraId="07BDA795">
      <w:pPr>
        <w:spacing w:line="500" w:lineRule="exact"/>
        <w:rPr>
          <w:rFonts w:hint="eastAsia" w:ascii="宋体" w:hAnsi="宋体" w:eastAsia="宋体" w:cs="宋体"/>
          <w:color w:val="auto"/>
          <w:sz w:val="24"/>
          <w:szCs w:val="24"/>
          <w:highlight w:val="none"/>
        </w:rPr>
      </w:pPr>
    </w:p>
    <w:p w14:paraId="6B0784DC">
      <w:pPr>
        <w:tabs>
          <w:tab w:val="left" w:pos="654"/>
          <w:tab w:val="left" w:pos="1734"/>
          <w:tab w:val="left" w:pos="2814"/>
          <w:tab w:val="left" w:pos="3894"/>
          <w:tab w:val="left" w:pos="5334"/>
          <w:tab w:val="left" w:pos="6414"/>
          <w:tab w:val="left" w:pos="7254"/>
          <w:tab w:val="left" w:pos="8574"/>
          <w:tab w:val="left" w:pos="9654"/>
        </w:tabs>
        <w:spacing w:line="500" w:lineRule="exact"/>
        <w:rPr>
          <w:rFonts w:hint="eastAsia" w:ascii="宋体" w:hAnsi="宋体" w:eastAsia="宋体" w:cs="宋体"/>
          <w:color w:val="auto"/>
          <w:sz w:val="24"/>
          <w:szCs w:val="24"/>
          <w:highlight w:val="none"/>
        </w:rPr>
      </w:pPr>
    </w:p>
    <w:p w14:paraId="4555C2FA">
      <w:pPr>
        <w:spacing w:line="500" w:lineRule="exact"/>
        <w:jc w:val="center"/>
        <w:rPr>
          <w:rFonts w:hint="eastAsia" w:ascii="宋体" w:hAnsi="宋体" w:eastAsia="宋体" w:cs="宋体"/>
          <w:color w:val="auto"/>
          <w:sz w:val="24"/>
          <w:szCs w:val="24"/>
          <w:highlight w:val="none"/>
        </w:rPr>
      </w:pPr>
    </w:p>
    <w:p w14:paraId="189EDA14">
      <w:pPr>
        <w:autoSpaceDE w:val="0"/>
        <w:autoSpaceDN w:val="0"/>
        <w:adjustRightInd w:val="0"/>
        <w:spacing w:line="500" w:lineRule="exact"/>
        <w:ind w:right="246" w:firstLine="793" w:firstLineChars="327"/>
        <w:rPr>
          <w:rFonts w:hint="eastAsia" w:ascii="宋体" w:hAnsi="宋体" w:eastAsia="宋体" w:cs="宋体"/>
          <w:color w:val="auto"/>
          <w:kern w:val="0"/>
          <w:sz w:val="24"/>
          <w:szCs w:val="24"/>
          <w:highlight w:val="none"/>
        </w:rPr>
      </w:pPr>
    </w:p>
    <w:p w14:paraId="7D994D20">
      <w:pPr>
        <w:pStyle w:val="14"/>
        <w:shd w:val="clear" w:color="auto" w:fill="auto"/>
        <w:tabs>
          <w:tab w:val="left" w:pos="5580"/>
        </w:tabs>
        <w:spacing w:line="240" w:lineRule="atLeast"/>
        <w:ind w:firstLine="486"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投标人（盖单位章）;</w:t>
      </w:r>
      <w:r>
        <w:rPr>
          <w:rFonts w:hint="eastAsia" w:ascii="宋体" w:hAnsi="宋体" w:eastAsia="宋体" w:cs="宋体"/>
          <w:color w:val="auto"/>
          <w:sz w:val="24"/>
          <w:highlight w:val="none"/>
          <w:u w:val="single"/>
        </w:rPr>
        <w:t xml:space="preserve">                           </w:t>
      </w:r>
    </w:p>
    <w:p w14:paraId="5E837635">
      <w:pPr>
        <w:pStyle w:val="14"/>
        <w:shd w:val="clear" w:color="auto" w:fill="auto"/>
        <w:tabs>
          <w:tab w:val="left" w:pos="5580"/>
        </w:tabs>
        <w:spacing w:line="240" w:lineRule="atLeast"/>
        <w:ind w:firstLine="486"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法定代表人（签字或签章）：</w:t>
      </w:r>
      <w:r>
        <w:rPr>
          <w:rFonts w:hint="eastAsia" w:ascii="宋体" w:hAnsi="宋体" w:eastAsia="宋体" w:cs="宋体"/>
          <w:color w:val="auto"/>
          <w:sz w:val="24"/>
          <w:highlight w:val="none"/>
          <w:u w:val="single"/>
        </w:rPr>
        <w:t xml:space="preserve">                     </w:t>
      </w:r>
    </w:p>
    <w:p w14:paraId="4E93DF5F">
      <w:pPr>
        <w:shd w:val="clear" w:color="auto" w:fill="auto"/>
        <w:spacing w:line="360" w:lineRule="auto"/>
        <w:ind w:firstLine="486" w:firstLineChars="200"/>
        <w:jc w:val="left"/>
        <w:rPr>
          <w:rFonts w:hint="eastAsia" w:ascii="宋体" w:hAnsi="宋体" w:eastAsia="宋体" w:cs="宋体"/>
          <w:color w:val="auto"/>
          <w:kern w:val="2"/>
          <w:sz w:val="24"/>
          <w:szCs w:val="20"/>
          <w:highlight w:val="none"/>
          <w:u w:val="none" w:color="000000"/>
          <w:lang w:val="en-US" w:eastAsia="zh-CN" w:bidi="ar-SA"/>
        </w:rPr>
      </w:pPr>
      <w:r>
        <w:rPr>
          <w:rFonts w:hint="eastAsia" w:ascii="宋体" w:hAnsi="宋体" w:eastAsia="宋体" w:cs="宋体"/>
          <w:color w:val="auto"/>
          <w:kern w:val="2"/>
          <w:sz w:val="24"/>
          <w:szCs w:val="20"/>
          <w:highlight w:val="none"/>
          <w:u w:val="none" w:color="000000"/>
          <w:lang w:val="en-US" w:eastAsia="zh-CN" w:bidi="ar-SA"/>
        </w:rPr>
        <w:t xml:space="preserve">年   月   日 </w:t>
      </w:r>
    </w:p>
    <w:p w14:paraId="0F0E0913">
      <w:pPr>
        <w:spacing w:line="500" w:lineRule="exact"/>
        <w:jc w:val="center"/>
        <w:rPr>
          <w:rFonts w:hint="eastAsia" w:ascii="宋体" w:hAnsi="宋体" w:eastAsia="宋体" w:cs="宋体"/>
          <w:b/>
          <w:color w:val="auto"/>
          <w:sz w:val="28"/>
          <w:szCs w:val="28"/>
          <w:highlight w:val="none"/>
        </w:rPr>
      </w:pPr>
    </w:p>
    <w:p w14:paraId="06EF79E7">
      <w:pPr>
        <w:pStyle w:val="49"/>
        <w:rPr>
          <w:rFonts w:hint="eastAsia" w:ascii="宋体" w:hAnsi="宋体" w:eastAsia="宋体" w:cs="宋体"/>
          <w:b/>
          <w:color w:val="auto"/>
          <w:sz w:val="28"/>
          <w:szCs w:val="28"/>
          <w:highlight w:val="none"/>
        </w:rPr>
      </w:pPr>
    </w:p>
    <w:p w14:paraId="54E31F89">
      <w:pPr>
        <w:pStyle w:val="49"/>
        <w:rPr>
          <w:rFonts w:hint="eastAsia" w:ascii="宋体" w:hAnsi="宋体" w:eastAsia="宋体" w:cs="宋体"/>
          <w:b/>
          <w:color w:val="auto"/>
          <w:sz w:val="28"/>
          <w:szCs w:val="28"/>
          <w:highlight w:val="none"/>
        </w:rPr>
      </w:pPr>
    </w:p>
    <w:p w14:paraId="7D420F42">
      <w:pPr>
        <w:pStyle w:val="49"/>
        <w:rPr>
          <w:rFonts w:hint="eastAsia" w:ascii="宋体" w:hAnsi="宋体" w:eastAsia="宋体" w:cs="宋体"/>
          <w:b/>
          <w:color w:val="auto"/>
          <w:sz w:val="28"/>
          <w:szCs w:val="28"/>
          <w:highlight w:val="none"/>
        </w:rPr>
      </w:pPr>
    </w:p>
    <w:p w14:paraId="4C2DD0D2">
      <w:pPr>
        <w:spacing w:line="500" w:lineRule="exact"/>
        <w:jc w:val="center"/>
        <w:rPr>
          <w:rFonts w:hint="eastAsia" w:ascii="宋体" w:hAnsi="宋体" w:eastAsia="宋体" w:cs="宋体"/>
          <w:b/>
          <w:color w:val="auto"/>
          <w:sz w:val="28"/>
          <w:szCs w:val="28"/>
          <w:highlight w:val="none"/>
        </w:rPr>
      </w:pPr>
    </w:p>
    <w:p w14:paraId="79F5E83C">
      <w:pPr>
        <w:spacing w:line="500" w:lineRule="exact"/>
        <w:jc w:val="center"/>
        <w:rPr>
          <w:rFonts w:hint="eastAsia" w:ascii="宋体" w:hAnsi="宋体" w:eastAsia="宋体" w:cs="宋体"/>
          <w:b/>
          <w:color w:val="auto"/>
          <w:sz w:val="28"/>
          <w:szCs w:val="28"/>
          <w:highlight w:val="none"/>
        </w:rPr>
      </w:pPr>
    </w:p>
    <w:p w14:paraId="575A3760">
      <w:pPr>
        <w:pStyle w:val="4"/>
        <w:numPr>
          <w:ilvl w:val="0"/>
          <w:numId w:val="0"/>
        </w:numPr>
        <w:shd w:val="clear" w:color="auto" w:fill="auto"/>
        <w:spacing w:before="0" w:line="240" w:lineRule="atLeast"/>
        <w:jc w:val="center"/>
        <w:rPr>
          <w:rFonts w:hint="eastAsia" w:ascii="宋体" w:hAnsi="宋体" w:eastAsia="宋体" w:cs="宋体"/>
          <w:b/>
          <w:bCs/>
          <w:color w:val="auto"/>
          <w:sz w:val="24"/>
          <w:highlight w:val="none"/>
          <w:u w:val="single"/>
        </w:rPr>
      </w:pPr>
      <w:r>
        <w:rPr>
          <w:rFonts w:hint="eastAsia" w:ascii="宋体" w:hAnsi="宋体" w:eastAsia="宋体" w:cs="宋体"/>
          <w:b/>
          <w:bCs/>
          <w:color w:val="auto"/>
          <w:sz w:val="24"/>
          <w:highlight w:val="none"/>
          <w:lang w:val="en-US" w:eastAsia="zh-CN"/>
        </w:rPr>
        <w:t>3</w:t>
      </w:r>
      <w:r>
        <w:rPr>
          <w:rFonts w:hint="eastAsia" w:ascii="宋体" w:hAnsi="宋体" w:eastAsia="宋体" w:cs="宋体"/>
          <w:b/>
          <w:bCs/>
          <w:color w:val="auto"/>
          <w:sz w:val="24"/>
          <w:highlight w:val="none"/>
        </w:rPr>
        <w:t xml:space="preserve"> </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rPr>
        <w:t>法定代表人授权委托书</w:t>
      </w:r>
      <w:bookmarkEnd w:id="92"/>
      <w:bookmarkEnd w:id="93"/>
      <w:bookmarkEnd w:id="94"/>
      <w:bookmarkEnd w:id="95"/>
      <w:bookmarkEnd w:id="96"/>
    </w:p>
    <w:p w14:paraId="5000AEF6">
      <w:pPr>
        <w:pStyle w:val="14"/>
        <w:shd w:val="clear" w:color="auto" w:fill="auto"/>
        <w:spacing w:line="240" w:lineRule="atLeast"/>
        <w:ind w:left="1087"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cr/>
      </w:r>
    </w:p>
    <w:p w14:paraId="1BB95FCC">
      <w:pPr>
        <w:pStyle w:val="14"/>
        <w:shd w:val="clear" w:color="auto" w:fill="auto"/>
        <w:tabs>
          <w:tab w:val="left" w:pos="5580"/>
        </w:tabs>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ascii="宋体" w:hAnsi="宋体" w:eastAsia="宋体" w:cs="宋体"/>
          <w:color w:val="auto"/>
          <w:sz w:val="24"/>
          <w:szCs w:val="20"/>
          <w:highlight w:val="none"/>
        </w:rPr>
        <w:t xml:space="preserve">   </w:t>
      </w:r>
      <w:r>
        <w:rPr>
          <w:rFonts w:hint="eastAsia" w:ascii="宋体" w:hAnsi="宋体" w:eastAsia="宋体" w:cs="宋体"/>
          <w:color w:val="auto"/>
          <w:sz w:val="22"/>
          <w:szCs w:val="18"/>
          <w:highlight w:val="none"/>
        </w:rPr>
        <w:t>本授权书声明</w:t>
      </w:r>
      <w:r>
        <w:rPr>
          <w:rFonts w:hint="eastAsia" w:ascii="宋体" w:hAnsi="宋体" w:eastAsia="宋体" w:cs="宋体"/>
          <w:i w:val="0"/>
          <w:iCs w:val="0"/>
          <w:color w:val="auto"/>
          <w:sz w:val="22"/>
          <w:szCs w:val="18"/>
          <w:highlight w:val="none"/>
        </w:rPr>
        <w:t>：注册于</w:t>
      </w:r>
      <w:r>
        <w:rPr>
          <w:rFonts w:hint="eastAsia" w:ascii="宋体" w:hAnsi="宋体" w:eastAsia="宋体" w:cs="宋体"/>
          <w:i w:val="0"/>
          <w:iCs w:val="0"/>
          <w:color w:val="auto"/>
          <w:sz w:val="22"/>
          <w:szCs w:val="18"/>
          <w:highlight w:val="none"/>
          <w:u w:val="single"/>
        </w:rPr>
        <w:t>（国家或地区的名称）</w:t>
      </w:r>
      <w:r>
        <w:rPr>
          <w:rFonts w:hint="eastAsia" w:ascii="宋体" w:hAnsi="宋体" w:eastAsia="宋体" w:cs="宋体"/>
          <w:i w:val="0"/>
          <w:iCs w:val="0"/>
          <w:color w:val="auto"/>
          <w:sz w:val="22"/>
          <w:szCs w:val="18"/>
          <w:highlight w:val="none"/>
        </w:rPr>
        <w:t>的（</w:t>
      </w:r>
      <w:r>
        <w:rPr>
          <w:rFonts w:hint="eastAsia" w:ascii="宋体" w:hAnsi="宋体" w:eastAsia="宋体" w:cs="宋体"/>
          <w:i w:val="0"/>
          <w:iCs w:val="0"/>
          <w:color w:val="auto"/>
          <w:sz w:val="22"/>
          <w:szCs w:val="18"/>
          <w:highlight w:val="none"/>
          <w:u w:val="single"/>
        </w:rPr>
        <w:t>投标人</w:t>
      </w:r>
      <w:r>
        <w:rPr>
          <w:rFonts w:hint="eastAsia" w:ascii="宋体" w:hAnsi="宋体" w:eastAsia="宋体" w:cs="宋体"/>
          <w:i w:val="0"/>
          <w:iCs w:val="0"/>
          <w:color w:val="auto"/>
          <w:sz w:val="22"/>
          <w:szCs w:val="18"/>
          <w:highlight w:val="none"/>
        </w:rPr>
        <w:t>）的在下面签字的（</w:t>
      </w:r>
      <w:r>
        <w:rPr>
          <w:rFonts w:hint="eastAsia" w:ascii="宋体" w:hAnsi="宋体" w:eastAsia="宋体" w:cs="宋体"/>
          <w:i w:val="0"/>
          <w:iCs w:val="0"/>
          <w:color w:val="auto"/>
          <w:sz w:val="22"/>
          <w:szCs w:val="18"/>
          <w:highlight w:val="none"/>
          <w:u w:val="single"/>
        </w:rPr>
        <w:t>法人代表姓名、职务</w:t>
      </w:r>
      <w:r>
        <w:rPr>
          <w:rFonts w:hint="eastAsia" w:ascii="宋体" w:hAnsi="宋体" w:eastAsia="宋体" w:cs="宋体"/>
          <w:i w:val="0"/>
          <w:iCs w:val="0"/>
          <w:color w:val="auto"/>
          <w:sz w:val="22"/>
          <w:szCs w:val="18"/>
          <w:highlight w:val="none"/>
        </w:rPr>
        <w:t>）代表我单位授权（</w:t>
      </w:r>
      <w:r>
        <w:rPr>
          <w:rFonts w:hint="eastAsia" w:ascii="宋体" w:hAnsi="宋体" w:eastAsia="宋体" w:cs="宋体"/>
          <w:i w:val="0"/>
          <w:iCs w:val="0"/>
          <w:color w:val="auto"/>
          <w:sz w:val="22"/>
          <w:szCs w:val="18"/>
          <w:highlight w:val="none"/>
          <w:u w:val="single"/>
        </w:rPr>
        <w:t>单位名称</w:t>
      </w:r>
      <w:r>
        <w:rPr>
          <w:rFonts w:hint="eastAsia" w:ascii="宋体" w:hAnsi="宋体" w:eastAsia="宋体" w:cs="宋体"/>
          <w:i w:val="0"/>
          <w:iCs w:val="0"/>
          <w:color w:val="auto"/>
          <w:sz w:val="22"/>
          <w:szCs w:val="18"/>
          <w:highlight w:val="none"/>
        </w:rPr>
        <w:t>）的在下面签字的（</w:t>
      </w:r>
      <w:r>
        <w:rPr>
          <w:rFonts w:hint="eastAsia" w:ascii="宋体" w:hAnsi="宋体" w:eastAsia="宋体" w:cs="宋体"/>
          <w:i w:val="0"/>
          <w:iCs w:val="0"/>
          <w:color w:val="auto"/>
          <w:sz w:val="22"/>
          <w:szCs w:val="18"/>
          <w:highlight w:val="none"/>
          <w:u w:val="single"/>
        </w:rPr>
        <w:t>被授权人的姓名、职务</w:t>
      </w:r>
      <w:r>
        <w:rPr>
          <w:rFonts w:hint="eastAsia" w:ascii="宋体" w:hAnsi="宋体" w:eastAsia="宋体" w:cs="宋体"/>
          <w:i w:val="0"/>
          <w:iCs w:val="0"/>
          <w:color w:val="auto"/>
          <w:sz w:val="22"/>
          <w:szCs w:val="18"/>
          <w:highlight w:val="none"/>
        </w:rPr>
        <w:t>）</w:t>
      </w:r>
      <w:r>
        <w:rPr>
          <w:rFonts w:hint="eastAsia" w:ascii="宋体" w:hAnsi="宋体" w:eastAsia="宋体" w:cs="宋体"/>
          <w:color w:val="auto"/>
          <w:sz w:val="22"/>
          <w:szCs w:val="18"/>
          <w:highlight w:val="none"/>
        </w:rPr>
        <w:t>为我单位的合法代理人，</w:t>
      </w:r>
      <w:r>
        <w:rPr>
          <w:rFonts w:hint="eastAsia" w:ascii="宋体" w:hAnsi="宋体" w:eastAsia="宋体" w:cs="宋体"/>
          <w:i w:val="0"/>
          <w:iCs w:val="0"/>
          <w:color w:val="auto"/>
          <w:sz w:val="22"/>
          <w:szCs w:val="18"/>
          <w:highlight w:val="none"/>
        </w:rPr>
        <w:t>就（</w:t>
      </w:r>
      <w:r>
        <w:rPr>
          <w:rFonts w:hint="eastAsia" w:ascii="宋体" w:hAnsi="宋体" w:eastAsia="宋体" w:cs="宋体"/>
          <w:i w:val="0"/>
          <w:iCs w:val="0"/>
          <w:color w:val="auto"/>
          <w:sz w:val="22"/>
          <w:szCs w:val="18"/>
          <w:highlight w:val="none"/>
          <w:u w:val="single"/>
        </w:rPr>
        <w:t>项目名称</w:t>
      </w:r>
      <w:r>
        <w:rPr>
          <w:rFonts w:hint="eastAsia" w:ascii="宋体" w:hAnsi="宋体" w:eastAsia="宋体" w:cs="宋体"/>
          <w:color w:val="auto"/>
          <w:sz w:val="22"/>
          <w:szCs w:val="18"/>
          <w:highlight w:val="none"/>
        </w:rPr>
        <w:t>）投标，以我单位名义处理一切与之有关的事务。</w:t>
      </w:r>
      <w:r>
        <w:rPr>
          <w:rFonts w:hint="eastAsia" w:ascii="宋体" w:hAnsi="宋体" w:eastAsia="宋体" w:cs="宋体"/>
          <w:color w:val="auto"/>
          <w:sz w:val="22"/>
          <w:szCs w:val="18"/>
          <w:highlight w:val="none"/>
        </w:rPr>
        <w:cr/>
      </w:r>
      <w:r>
        <w:rPr>
          <w:rFonts w:hint="eastAsia" w:ascii="宋体" w:hAnsi="宋体" w:eastAsia="宋体" w:cs="宋体"/>
          <w:color w:val="auto"/>
          <w:sz w:val="22"/>
          <w:szCs w:val="18"/>
          <w:highlight w:val="none"/>
        </w:rPr>
        <w:t>　　本授权书于</w:t>
      </w:r>
      <w:r>
        <w:rPr>
          <w:rFonts w:hint="eastAsia" w:ascii="宋体" w:hAnsi="宋体" w:eastAsia="宋体" w:cs="宋体"/>
          <w:color w:val="auto"/>
          <w:sz w:val="22"/>
          <w:szCs w:val="18"/>
          <w:highlight w:val="none"/>
          <w:u w:val="single"/>
        </w:rPr>
        <w:t xml:space="preserve">           </w:t>
      </w:r>
      <w:r>
        <w:rPr>
          <w:rFonts w:hint="eastAsia" w:ascii="宋体" w:hAnsi="宋体" w:eastAsia="宋体" w:cs="宋体"/>
          <w:color w:val="auto"/>
          <w:sz w:val="22"/>
          <w:szCs w:val="18"/>
          <w:highlight w:val="none"/>
        </w:rPr>
        <w:t>年</w:t>
      </w:r>
      <w:r>
        <w:rPr>
          <w:rFonts w:hint="eastAsia" w:ascii="宋体" w:hAnsi="宋体" w:eastAsia="宋体" w:cs="宋体"/>
          <w:color w:val="auto"/>
          <w:sz w:val="22"/>
          <w:szCs w:val="18"/>
          <w:highlight w:val="none"/>
          <w:u w:val="single"/>
        </w:rPr>
        <w:t xml:space="preserve">     </w:t>
      </w:r>
      <w:r>
        <w:rPr>
          <w:rFonts w:hint="eastAsia" w:ascii="宋体" w:hAnsi="宋体" w:eastAsia="宋体" w:cs="宋体"/>
          <w:color w:val="auto"/>
          <w:sz w:val="22"/>
          <w:szCs w:val="18"/>
          <w:highlight w:val="none"/>
        </w:rPr>
        <w:t>月</w:t>
      </w:r>
      <w:r>
        <w:rPr>
          <w:rFonts w:hint="eastAsia" w:ascii="宋体" w:hAnsi="宋体" w:eastAsia="宋体" w:cs="宋体"/>
          <w:color w:val="auto"/>
          <w:sz w:val="22"/>
          <w:szCs w:val="18"/>
          <w:highlight w:val="none"/>
          <w:u w:val="single"/>
        </w:rPr>
        <w:t xml:space="preserve">     </w:t>
      </w:r>
      <w:r>
        <w:rPr>
          <w:rFonts w:hint="eastAsia" w:ascii="宋体" w:hAnsi="宋体" w:eastAsia="宋体" w:cs="宋体"/>
          <w:color w:val="auto"/>
          <w:sz w:val="22"/>
          <w:szCs w:val="18"/>
          <w:highlight w:val="none"/>
        </w:rPr>
        <w:t>日签字</w:t>
      </w:r>
      <w:r>
        <w:rPr>
          <w:rFonts w:hint="eastAsia" w:hAnsi="宋体" w:cs="宋体"/>
          <w:color w:val="auto"/>
          <w:sz w:val="22"/>
          <w:szCs w:val="18"/>
          <w:highlight w:val="none"/>
          <w:lang w:val="en-US" w:eastAsia="zh-CN"/>
        </w:rPr>
        <w:t>至</w:t>
      </w:r>
      <w:r>
        <w:rPr>
          <w:rFonts w:hint="eastAsia" w:ascii="宋体" w:hAnsi="宋体" w:eastAsia="宋体" w:cs="宋体"/>
          <w:color w:val="auto"/>
          <w:sz w:val="22"/>
          <w:szCs w:val="18"/>
          <w:highlight w:val="none"/>
          <w:u w:val="single"/>
        </w:rPr>
        <w:t xml:space="preserve">           </w:t>
      </w:r>
      <w:r>
        <w:rPr>
          <w:rFonts w:hint="eastAsia" w:ascii="宋体" w:hAnsi="宋体" w:eastAsia="宋体" w:cs="宋体"/>
          <w:color w:val="auto"/>
          <w:sz w:val="22"/>
          <w:szCs w:val="18"/>
          <w:highlight w:val="none"/>
        </w:rPr>
        <w:t>年</w:t>
      </w:r>
      <w:r>
        <w:rPr>
          <w:rFonts w:hint="eastAsia" w:ascii="宋体" w:hAnsi="宋体" w:eastAsia="宋体" w:cs="宋体"/>
          <w:color w:val="auto"/>
          <w:sz w:val="22"/>
          <w:szCs w:val="18"/>
          <w:highlight w:val="none"/>
          <w:u w:val="single"/>
        </w:rPr>
        <w:t xml:space="preserve">     </w:t>
      </w:r>
      <w:r>
        <w:rPr>
          <w:rFonts w:hint="eastAsia" w:ascii="宋体" w:hAnsi="宋体" w:eastAsia="宋体" w:cs="宋体"/>
          <w:color w:val="auto"/>
          <w:sz w:val="22"/>
          <w:szCs w:val="18"/>
          <w:highlight w:val="none"/>
        </w:rPr>
        <w:t>月</w:t>
      </w:r>
      <w:r>
        <w:rPr>
          <w:rFonts w:hint="eastAsia" w:ascii="宋体" w:hAnsi="宋体" w:eastAsia="宋体" w:cs="宋体"/>
          <w:color w:val="auto"/>
          <w:sz w:val="22"/>
          <w:szCs w:val="18"/>
          <w:highlight w:val="none"/>
          <w:u w:val="single"/>
        </w:rPr>
        <w:t xml:space="preserve">     </w:t>
      </w:r>
      <w:r>
        <w:rPr>
          <w:rFonts w:hint="eastAsia" w:ascii="宋体" w:hAnsi="宋体" w:eastAsia="宋体" w:cs="宋体"/>
          <w:color w:val="auto"/>
          <w:sz w:val="22"/>
          <w:szCs w:val="18"/>
          <w:highlight w:val="none"/>
        </w:rPr>
        <w:t>日生效,特此声明。</w:t>
      </w:r>
      <w:r>
        <w:rPr>
          <w:rFonts w:hint="eastAsia" w:ascii="宋体" w:hAnsi="宋体" w:eastAsia="宋体" w:cs="宋体"/>
          <w:color w:val="auto"/>
          <w:sz w:val="24"/>
          <w:highlight w:val="none"/>
        </w:rPr>
        <w:cr/>
      </w:r>
    </w:p>
    <w:p w14:paraId="24A29091">
      <w:pPr>
        <w:pStyle w:val="14"/>
        <w:shd w:val="clear" w:color="auto" w:fill="auto"/>
        <w:tabs>
          <w:tab w:val="left" w:pos="5580"/>
        </w:tabs>
        <w:spacing w:line="240" w:lineRule="atLeast"/>
        <w:ind w:left="-547" w:leftChars="-257" w:firstLine="911" w:firstLineChars="375"/>
        <w:rPr>
          <w:rFonts w:hint="eastAsia" w:ascii="宋体" w:hAnsi="宋体" w:eastAsia="宋体" w:cs="宋体"/>
          <w:color w:val="auto"/>
          <w:sz w:val="24"/>
          <w:highlight w:val="none"/>
        </w:rPr>
      </w:pPr>
      <w:r>
        <w:rPr>
          <w:rFonts w:hint="eastAsia" w:ascii="宋体" w:hAnsi="宋体" w:eastAsia="宋体" w:cs="宋体"/>
          <w:color w:val="auto"/>
          <w:sz w:val="24"/>
          <w:highlight w:val="none"/>
        </w:rPr>
        <mc:AlternateContent>
          <mc:Choice Requires="wps">
            <w:drawing>
              <wp:anchor distT="0" distB="0" distL="114300" distR="114300" simplePos="0" relativeHeight="251660288" behindDoc="0" locked="0" layoutInCell="1" allowOverlap="1">
                <wp:simplePos x="0" y="0"/>
                <wp:positionH relativeFrom="column">
                  <wp:posOffset>3039110</wp:posOffset>
                </wp:positionH>
                <wp:positionV relativeFrom="paragraph">
                  <wp:posOffset>167640</wp:posOffset>
                </wp:positionV>
                <wp:extent cx="2478405" cy="1125220"/>
                <wp:effectExtent l="7620" t="7620" r="9525" b="10160"/>
                <wp:wrapNone/>
                <wp:docPr id="4" name="圆角矩形 4"/>
                <wp:cNvGraphicFramePr/>
                <a:graphic xmlns:a="http://schemas.openxmlformats.org/drawingml/2006/main">
                  <a:graphicData uri="http://schemas.microsoft.com/office/word/2010/wordprocessingShape">
                    <wps:wsp>
                      <wps:cNvSpPr/>
                      <wps:spPr>
                        <a:xfrm>
                          <a:off x="0" y="0"/>
                          <a:ext cx="2478405" cy="112522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4E96C9EA">
                            <w:pPr>
                              <w:rPr>
                                <w:rFonts w:hint="eastAsia" w:hAnsi="宋体"/>
                              </w:rPr>
                            </w:pPr>
                          </w:p>
                          <w:p w14:paraId="5864813D">
                            <w:pPr>
                              <w:rPr>
                                <w:rFonts w:hint="eastAsia" w:hAnsi="宋体"/>
                              </w:rPr>
                            </w:pPr>
                          </w:p>
                          <w:p w14:paraId="2FB82D21">
                            <w:pPr>
                              <w:jc w:val="center"/>
                              <w:rPr>
                                <w:rFonts w:hint="eastAsia" w:hAnsi="宋体"/>
                              </w:rPr>
                            </w:pPr>
                            <w:r>
                              <w:rPr>
                                <w:rFonts w:hint="eastAsia" w:hAnsi="宋体"/>
                              </w:rPr>
                              <w:t>法人身份证复印件反面</w:t>
                            </w:r>
                          </w:p>
                          <w:p w14:paraId="06E883F2"/>
                        </w:txbxContent>
                      </wps:txbx>
                      <wps:bodyPr upright="1"/>
                    </wps:wsp>
                  </a:graphicData>
                </a:graphic>
              </wp:anchor>
            </w:drawing>
          </mc:Choice>
          <mc:Fallback>
            <w:pict>
              <v:roundrect id="_x0000_s1026" o:spid="_x0000_s1026" o:spt="2" style="position:absolute;left:0pt;margin-left:239.3pt;margin-top:13.2pt;height:88.6pt;width:195.15pt;z-index:251660288;mso-width-relative:page;mso-height-relative:page;" fillcolor="#FFFFFF" filled="t" stroked="t" coordsize="21600,21600" arcsize="0.166666666666667" o:gfxdata="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5oXJItsAAAAKAQAADwAAAAAAAAABACAAAAAiAAAAZHJzL2Rvd25yZXYueG1sUEsB&#10;AhQAFAAAAAgAh07iQKUw96QrAgAAZgQAAA4AAAAAAAAAAQAgAAAAKgEAAGRycy9lMm9Eb2MueG1s&#10;UEsFBgAAAAAGAAYAWQEAAMcFAAAAAA==&#10;">
                <v:fill on="t" focussize="0,0"/>
                <v:stroke weight="1.25pt" color="#808080" joinstyle="round"/>
                <v:imagedata o:title=""/>
                <o:lock v:ext="edit" aspectratio="f"/>
                <v:textbox>
                  <w:txbxContent>
                    <w:p w14:paraId="4E96C9EA">
                      <w:pPr>
                        <w:rPr>
                          <w:rFonts w:hint="eastAsia" w:hAnsi="宋体"/>
                        </w:rPr>
                      </w:pPr>
                    </w:p>
                    <w:p w14:paraId="5864813D">
                      <w:pPr>
                        <w:rPr>
                          <w:rFonts w:hint="eastAsia" w:hAnsi="宋体"/>
                        </w:rPr>
                      </w:pPr>
                    </w:p>
                    <w:p w14:paraId="2FB82D21">
                      <w:pPr>
                        <w:jc w:val="center"/>
                        <w:rPr>
                          <w:rFonts w:hint="eastAsia" w:hAnsi="宋体"/>
                        </w:rPr>
                      </w:pPr>
                      <w:r>
                        <w:rPr>
                          <w:rFonts w:hint="eastAsia" w:hAnsi="宋体"/>
                        </w:rPr>
                        <w:t>法人身份证复印件反面</w:t>
                      </w:r>
                    </w:p>
                    <w:p w14:paraId="06E883F2"/>
                  </w:txbxContent>
                </v:textbox>
              </v:roundrect>
            </w:pict>
          </mc:Fallback>
        </mc:AlternateContent>
      </w:r>
      <w:r>
        <w:rPr>
          <w:rFonts w:hint="eastAsia" w:ascii="宋体" w:hAnsi="宋体" w:eastAsia="宋体" w:cs="宋体"/>
          <w:color w:val="auto"/>
          <w:sz w:val="24"/>
          <w:highlight w:val="none"/>
        </w:rPr>
        <mc:AlternateContent>
          <mc:Choice Requires="wps">
            <w:drawing>
              <wp:anchor distT="0" distB="0" distL="114300" distR="114300" simplePos="0" relativeHeight="251659264" behindDoc="0" locked="0" layoutInCell="1" allowOverlap="1">
                <wp:simplePos x="0" y="0"/>
                <wp:positionH relativeFrom="column">
                  <wp:posOffset>20955</wp:posOffset>
                </wp:positionH>
                <wp:positionV relativeFrom="paragraph">
                  <wp:posOffset>135890</wp:posOffset>
                </wp:positionV>
                <wp:extent cx="2507615" cy="1143000"/>
                <wp:effectExtent l="4445" t="4445" r="21590" b="14605"/>
                <wp:wrapNone/>
                <wp:docPr id="6" name="流程图: 可选过程 6"/>
                <wp:cNvGraphicFramePr/>
                <a:graphic xmlns:a="http://schemas.openxmlformats.org/drawingml/2006/main">
                  <a:graphicData uri="http://schemas.microsoft.com/office/word/2010/wordprocessingShape">
                    <wps:wsp>
                      <wps:cNvSpPr/>
                      <wps:spPr>
                        <a:xfrm>
                          <a:off x="0" y="0"/>
                          <a:ext cx="2507615" cy="1143000"/>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6D28B114">
                            <w:pPr>
                              <w:jc w:val="center"/>
                              <w:rPr>
                                <w:rFonts w:hint="eastAsia" w:hAnsi="宋体"/>
                              </w:rPr>
                            </w:pPr>
                          </w:p>
                          <w:p w14:paraId="5D74509E">
                            <w:pPr>
                              <w:jc w:val="center"/>
                              <w:rPr>
                                <w:rFonts w:hint="eastAsia" w:hAnsi="宋体"/>
                              </w:rPr>
                            </w:pPr>
                          </w:p>
                          <w:p w14:paraId="31F76272">
                            <w:pPr>
                              <w:jc w:val="center"/>
                            </w:pPr>
                            <w:r>
                              <w:rPr>
                                <w:rFonts w:hint="eastAsia" w:hAnsi="宋体"/>
                              </w:rPr>
                              <w:t>法人身份证复印件正面</w:t>
                            </w:r>
                          </w:p>
                          <w:p w14:paraId="7BB3A2BE">
                            <w:pPr>
                              <w:jc w:val="center"/>
                              <w:rPr>
                                <w:rFonts w:hint="eastAsia" w:hAnsi="宋体"/>
                              </w:rPr>
                            </w:pPr>
                          </w:p>
                        </w:txbxContent>
                      </wps:txbx>
                      <wps:bodyPr upright="1"/>
                    </wps:wsp>
                  </a:graphicData>
                </a:graphic>
              </wp:anchor>
            </w:drawing>
          </mc:Choice>
          <mc:Fallback>
            <w:pict>
              <v:shape id="_x0000_s1026" o:spid="_x0000_s1026" o:spt="176" type="#_x0000_t176" style="position:absolute;left:0pt;margin-left:1.65pt;margin-top:10.7pt;height:90pt;width:197.45pt;z-index:251659264;mso-width-relative:page;mso-height-relative:page;" fillcolor="#FFFFFF" filled="t" stroked="t" coordsize="21600,21600" o:gfxdata="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JgSMjDWAAAACAEAAA8AAAAAAAAAAQAgAAAAIgAAAGRycy9kb3ducmV2LnhtbFBL&#10;AQIUABQAAAAIAIdO4kDJH0QGMQIAAF4EAAAOAAAAAAAAAAEAIAAAACUBAABkcnMvZTJvRG9jLnht&#10;bFBLBQYAAAAABgAGAFkBAADIBQAAAAA=&#10;">
                <v:fill on="t" focussize="0,0"/>
                <v:stroke color="#000000" joinstyle="miter"/>
                <v:imagedata o:title=""/>
                <o:lock v:ext="edit" aspectratio="f"/>
                <v:textbox>
                  <w:txbxContent>
                    <w:p w14:paraId="6D28B114">
                      <w:pPr>
                        <w:jc w:val="center"/>
                        <w:rPr>
                          <w:rFonts w:hint="eastAsia" w:hAnsi="宋体"/>
                        </w:rPr>
                      </w:pPr>
                    </w:p>
                    <w:p w14:paraId="5D74509E">
                      <w:pPr>
                        <w:jc w:val="center"/>
                        <w:rPr>
                          <w:rFonts w:hint="eastAsia" w:hAnsi="宋体"/>
                        </w:rPr>
                      </w:pPr>
                    </w:p>
                    <w:p w14:paraId="31F76272">
                      <w:pPr>
                        <w:jc w:val="center"/>
                      </w:pPr>
                      <w:r>
                        <w:rPr>
                          <w:rFonts w:hint="eastAsia" w:hAnsi="宋体"/>
                        </w:rPr>
                        <w:t>法人身份证复印件正面</w:t>
                      </w:r>
                    </w:p>
                    <w:p w14:paraId="7BB3A2BE">
                      <w:pPr>
                        <w:jc w:val="center"/>
                        <w:rPr>
                          <w:rFonts w:hint="eastAsia" w:hAnsi="宋体"/>
                        </w:rPr>
                      </w:pPr>
                    </w:p>
                  </w:txbxContent>
                </v:textbox>
              </v:shape>
            </w:pict>
          </mc:Fallback>
        </mc:AlternateContent>
      </w:r>
    </w:p>
    <w:p w14:paraId="3019583E">
      <w:pPr>
        <w:shd w:val="clear" w:color="auto" w:fill="auto"/>
        <w:spacing w:line="360" w:lineRule="auto"/>
        <w:ind w:firstLine="243" w:firstLineChars="100"/>
        <w:rPr>
          <w:rFonts w:hint="eastAsia" w:ascii="宋体" w:hAnsi="宋体" w:eastAsia="宋体" w:cs="宋体"/>
          <w:color w:val="auto"/>
          <w:sz w:val="24"/>
          <w:highlight w:val="none"/>
        </w:rPr>
      </w:pPr>
    </w:p>
    <w:p w14:paraId="61930AC7">
      <w:pPr>
        <w:shd w:val="clear" w:color="auto" w:fill="auto"/>
        <w:spacing w:line="360" w:lineRule="auto"/>
        <w:ind w:firstLine="243" w:firstLineChars="100"/>
        <w:rPr>
          <w:rFonts w:hint="eastAsia" w:ascii="宋体" w:hAnsi="宋体" w:eastAsia="宋体" w:cs="宋体"/>
          <w:color w:val="auto"/>
          <w:sz w:val="24"/>
          <w:highlight w:val="none"/>
        </w:rPr>
      </w:pPr>
    </w:p>
    <w:p w14:paraId="65A081CE">
      <w:pPr>
        <w:shd w:val="clear" w:color="auto" w:fill="auto"/>
        <w:spacing w:line="360" w:lineRule="auto"/>
        <w:ind w:firstLine="243" w:firstLineChars="100"/>
        <w:rPr>
          <w:rFonts w:hint="eastAsia" w:ascii="宋体" w:hAnsi="宋体" w:eastAsia="宋体" w:cs="宋体"/>
          <w:color w:val="auto"/>
          <w:sz w:val="24"/>
          <w:highlight w:val="none"/>
        </w:rPr>
      </w:pPr>
    </w:p>
    <w:p w14:paraId="2C5388D5">
      <w:pPr>
        <w:shd w:val="clear" w:color="auto" w:fill="auto"/>
        <w:spacing w:line="360" w:lineRule="auto"/>
        <w:ind w:firstLine="243" w:firstLineChars="100"/>
        <w:rPr>
          <w:rFonts w:hint="eastAsia" w:ascii="宋体" w:hAnsi="宋体" w:eastAsia="宋体" w:cs="宋体"/>
          <w:color w:val="auto"/>
          <w:sz w:val="24"/>
          <w:highlight w:val="none"/>
        </w:rPr>
      </w:pPr>
    </w:p>
    <w:p w14:paraId="143F778F">
      <w:pPr>
        <w:shd w:val="clear" w:color="auto" w:fill="auto"/>
        <w:spacing w:line="360" w:lineRule="auto"/>
        <w:ind w:firstLine="243"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mc:AlternateContent>
          <mc:Choice Requires="wps">
            <w:drawing>
              <wp:anchor distT="0" distB="0" distL="114300" distR="114300" simplePos="0" relativeHeight="251662336" behindDoc="0" locked="0" layoutInCell="1" allowOverlap="1">
                <wp:simplePos x="0" y="0"/>
                <wp:positionH relativeFrom="column">
                  <wp:posOffset>3018155</wp:posOffset>
                </wp:positionH>
                <wp:positionV relativeFrom="paragraph">
                  <wp:posOffset>53975</wp:posOffset>
                </wp:positionV>
                <wp:extent cx="2535555" cy="1029335"/>
                <wp:effectExtent l="7620" t="7620" r="9525" b="10795"/>
                <wp:wrapNone/>
                <wp:docPr id="5" name="圆角矩形 5"/>
                <wp:cNvGraphicFramePr/>
                <a:graphic xmlns:a="http://schemas.openxmlformats.org/drawingml/2006/main">
                  <a:graphicData uri="http://schemas.microsoft.com/office/word/2010/wordprocessingShape">
                    <wps:wsp>
                      <wps:cNvSpPr/>
                      <wps:spPr>
                        <a:xfrm>
                          <a:off x="0" y="0"/>
                          <a:ext cx="2535555" cy="1029335"/>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13BD18B9">
                            <w:pPr>
                              <w:jc w:val="center"/>
                              <w:rPr>
                                <w:rFonts w:hint="eastAsia" w:hAnsi="宋体"/>
                              </w:rPr>
                            </w:pPr>
                            <w:r>
                              <w:rPr>
                                <w:rFonts w:hint="eastAsia" w:hAnsi="宋体"/>
                              </w:rPr>
                              <w:t xml:space="preserve">  </w:t>
                            </w:r>
                          </w:p>
                          <w:p w14:paraId="2BF111A9">
                            <w:pPr>
                              <w:jc w:val="both"/>
                              <w:rPr>
                                <w:rFonts w:hint="eastAsia" w:hAnsi="宋体"/>
                              </w:rPr>
                            </w:pPr>
                          </w:p>
                          <w:p w14:paraId="4DCB24FF">
                            <w:pPr>
                              <w:jc w:val="center"/>
                            </w:pPr>
                            <w:r>
                              <w:rPr>
                                <w:rFonts w:hint="eastAsia" w:hAnsi="宋体"/>
                              </w:rPr>
                              <w:t>授权委托人身份证复印件反面</w:t>
                            </w:r>
                          </w:p>
                          <w:p w14:paraId="5A2CA595">
                            <w:pPr>
                              <w:jc w:val="center"/>
                            </w:pPr>
                          </w:p>
                          <w:p w14:paraId="0090CCAF"/>
                        </w:txbxContent>
                      </wps:txbx>
                      <wps:bodyPr upright="1"/>
                    </wps:wsp>
                  </a:graphicData>
                </a:graphic>
              </wp:anchor>
            </w:drawing>
          </mc:Choice>
          <mc:Fallback>
            <w:pict>
              <v:roundrect id="_x0000_s1026" o:spid="_x0000_s1026" o:spt="2" style="position:absolute;left:0pt;margin-left:237.65pt;margin-top:4.25pt;height:81.05pt;width:199.65pt;z-index:251662336;mso-width-relative:page;mso-height-relative:page;" fillcolor="#FFFFFF" filled="t" stroked="t" coordsize="21600,21600" arcsize="0.166666666666667" o:gfxdata="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AUHNIL2gAAAAkBAAAPAAAAAAAAAAEAIAAAACIAAABkcnMvZG93bnJldi54bWxQSwEC&#10;FAAUAAAACACHTuJAq/jkISsCAABmBAAADgAAAAAAAAABACAAAAApAQAAZHJzL2Uyb0RvYy54bWxQ&#10;SwUGAAAAAAYABgBZAQAAxgUAAAAA&#10;">
                <v:fill on="t" focussize="0,0"/>
                <v:stroke weight="1.25pt" color="#808080" joinstyle="round"/>
                <v:imagedata o:title=""/>
                <o:lock v:ext="edit" aspectratio="f"/>
                <v:textbox>
                  <w:txbxContent>
                    <w:p w14:paraId="13BD18B9">
                      <w:pPr>
                        <w:jc w:val="center"/>
                        <w:rPr>
                          <w:rFonts w:hint="eastAsia" w:hAnsi="宋体"/>
                        </w:rPr>
                      </w:pPr>
                      <w:r>
                        <w:rPr>
                          <w:rFonts w:hint="eastAsia" w:hAnsi="宋体"/>
                        </w:rPr>
                        <w:t xml:space="preserve">  </w:t>
                      </w:r>
                    </w:p>
                    <w:p w14:paraId="2BF111A9">
                      <w:pPr>
                        <w:jc w:val="both"/>
                        <w:rPr>
                          <w:rFonts w:hint="eastAsia" w:hAnsi="宋体"/>
                        </w:rPr>
                      </w:pPr>
                    </w:p>
                    <w:p w14:paraId="4DCB24FF">
                      <w:pPr>
                        <w:jc w:val="center"/>
                      </w:pPr>
                      <w:r>
                        <w:rPr>
                          <w:rFonts w:hint="eastAsia" w:hAnsi="宋体"/>
                        </w:rPr>
                        <w:t>授权委托人身份证复印件反面</w:t>
                      </w:r>
                    </w:p>
                    <w:p w14:paraId="5A2CA595">
                      <w:pPr>
                        <w:jc w:val="center"/>
                      </w:pPr>
                    </w:p>
                    <w:p w14:paraId="0090CCAF"/>
                  </w:txbxContent>
                </v:textbox>
              </v:roundrect>
            </w:pict>
          </mc:Fallback>
        </mc:AlternateContent>
      </w:r>
      <w:r>
        <w:rPr>
          <w:rFonts w:hint="eastAsia" w:ascii="宋体" w:hAnsi="宋体" w:eastAsia="宋体" w:cs="宋体"/>
          <w:color w:val="auto"/>
          <w:sz w:val="24"/>
          <w:highlight w:val="none"/>
        </w:rPr>
        <mc:AlternateContent>
          <mc:Choice Requires="wps">
            <w:drawing>
              <wp:anchor distT="0" distB="0" distL="114300" distR="114300" simplePos="0" relativeHeight="251661312" behindDoc="0" locked="0" layoutInCell="1" allowOverlap="1">
                <wp:simplePos x="0" y="0"/>
                <wp:positionH relativeFrom="column">
                  <wp:posOffset>-10795</wp:posOffset>
                </wp:positionH>
                <wp:positionV relativeFrom="paragraph">
                  <wp:posOffset>29845</wp:posOffset>
                </wp:positionV>
                <wp:extent cx="2555240" cy="1024890"/>
                <wp:effectExtent l="7620" t="7620" r="8890" b="15240"/>
                <wp:wrapNone/>
                <wp:docPr id="3" name="圆角矩形 3"/>
                <wp:cNvGraphicFramePr/>
                <a:graphic xmlns:a="http://schemas.openxmlformats.org/drawingml/2006/main">
                  <a:graphicData uri="http://schemas.microsoft.com/office/word/2010/wordprocessingShape">
                    <wps:wsp>
                      <wps:cNvSpPr/>
                      <wps:spPr>
                        <a:xfrm>
                          <a:off x="0" y="0"/>
                          <a:ext cx="2555240" cy="102489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1BD86B4F">
                            <w:pPr>
                              <w:jc w:val="center"/>
                              <w:rPr>
                                <w:rFonts w:hint="eastAsia" w:hAnsi="宋体"/>
                              </w:rPr>
                            </w:pPr>
                          </w:p>
                          <w:p w14:paraId="16410DB1">
                            <w:pPr>
                              <w:jc w:val="center"/>
                              <w:rPr>
                                <w:rFonts w:hint="eastAsia" w:hAnsi="宋体"/>
                              </w:rPr>
                            </w:pPr>
                          </w:p>
                          <w:p w14:paraId="1F95A031">
                            <w:pPr>
                              <w:jc w:val="center"/>
                            </w:pPr>
                            <w:r>
                              <w:rPr>
                                <w:rFonts w:hint="eastAsia" w:hAnsi="宋体"/>
                              </w:rPr>
                              <w:t>授权委托人身份证复印件正面</w:t>
                            </w:r>
                          </w:p>
                          <w:p w14:paraId="5286D941">
                            <w:pPr>
                              <w:jc w:val="center"/>
                              <w:rPr>
                                <w:rFonts w:hint="eastAsia" w:hAnsi="宋体"/>
                              </w:rPr>
                            </w:pPr>
                          </w:p>
                          <w:p w14:paraId="0733CAF9"/>
                        </w:txbxContent>
                      </wps:txbx>
                      <wps:bodyPr upright="1"/>
                    </wps:wsp>
                  </a:graphicData>
                </a:graphic>
              </wp:anchor>
            </w:drawing>
          </mc:Choice>
          <mc:Fallback>
            <w:pict>
              <v:roundrect id="_x0000_s1026" o:spid="_x0000_s1026" o:spt="2" style="position:absolute;left:0pt;margin-left:-0.85pt;margin-top:2.35pt;height:80.7pt;width:201.2pt;z-index:251661312;mso-width-relative:page;mso-height-relative:page;" fillcolor="#FFFFFF" filled="t" stroked="t" coordsize="21600,21600" arcsize="0.166666666666667" o:gfxdata="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U74Le9gAAAAIAQAADwAAAAAAAAABACAAAAAiAAAAZHJzL2Rvd25yZXYueG1sUEsB&#10;AhQAFAAAAAgAh07iQPP4MUouAgAAZgQAAA4AAAAAAAAAAQAgAAAAJwEAAGRycy9lMm9Eb2MueG1s&#10;UEsFBgAAAAAGAAYAWQEAAMcFAAAAAA==&#10;">
                <v:fill on="t" focussize="0,0"/>
                <v:stroke weight="1.25pt" color="#808080" joinstyle="round"/>
                <v:imagedata o:title=""/>
                <o:lock v:ext="edit" aspectratio="f"/>
                <v:textbox>
                  <w:txbxContent>
                    <w:p w14:paraId="1BD86B4F">
                      <w:pPr>
                        <w:jc w:val="center"/>
                        <w:rPr>
                          <w:rFonts w:hint="eastAsia" w:hAnsi="宋体"/>
                        </w:rPr>
                      </w:pPr>
                    </w:p>
                    <w:p w14:paraId="16410DB1">
                      <w:pPr>
                        <w:jc w:val="center"/>
                        <w:rPr>
                          <w:rFonts w:hint="eastAsia" w:hAnsi="宋体"/>
                        </w:rPr>
                      </w:pPr>
                    </w:p>
                    <w:p w14:paraId="1F95A031">
                      <w:pPr>
                        <w:jc w:val="center"/>
                      </w:pPr>
                      <w:r>
                        <w:rPr>
                          <w:rFonts w:hint="eastAsia" w:hAnsi="宋体"/>
                        </w:rPr>
                        <w:t>授权委托人身份证复印件正面</w:t>
                      </w:r>
                    </w:p>
                    <w:p w14:paraId="5286D941">
                      <w:pPr>
                        <w:jc w:val="center"/>
                        <w:rPr>
                          <w:rFonts w:hint="eastAsia" w:hAnsi="宋体"/>
                        </w:rPr>
                      </w:pPr>
                    </w:p>
                    <w:p w14:paraId="0733CAF9"/>
                  </w:txbxContent>
                </v:textbox>
              </v:roundrect>
            </w:pict>
          </mc:Fallback>
        </mc:AlternateContent>
      </w:r>
    </w:p>
    <w:p w14:paraId="725067BA">
      <w:pPr>
        <w:shd w:val="clear" w:color="auto" w:fill="auto"/>
        <w:spacing w:line="360" w:lineRule="auto"/>
        <w:ind w:firstLine="243" w:firstLineChars="100"/>
        <w:rPr>
          <w:rFonts w:hint="eastAsia" w:ascii="宋体" w:hAnsi="宋体" w:eastAsia="宋体" w:cs="宋体"/>
          <w:color w:val="auto"/>
          <w:sz w:val="24"/>
          <w:highlight w:val="none"/>
        </w:rPr>
      </w:pPr>
    </w:p>
    <w:p w14:paraId="5E5D868A">
      <w:pPr>
        <w:shd w:val="clear" w:color="auto" w:fill="auto"/>
        <w:spacing w:line="360" w:lineRule="auto"/>
        <w:ind w:firstLine="243" w:firstLineChars="100"/>
        <w:rPr>
          <w:rFonts w:hint="eastAsia" w:ascii="宋体" w:hAnsi="宋体" w:eastAsia="宋体" w:cs="宋体"/>
          <w:color w:val="auto"/>
          <w:sz w:val="24"/>
          <w:highlight w:val="none"/>
        </w:rPr>
      </w:pPr>
    </w:p>
    <w:p w14:paraId="71B3234A">
      <w:pPr>
        <w:shd w:val="clear" w:color="auto" w:fill="auto"/>
        <w:spacing w:line="360" w:lineRule="auto"/>
        <w:ind w:firstLine="243" w:firstLineChars="100"/>
        <w:rPr>
          <w:rFonts w:hint="eastAsia" w:ascii="宋体" w:hAnsi="宋体" w:eastAsia="宋体" w:cs="宋体"/>
          <w:color w:val="auto"/>
          <w:sz w:val="24"/>
          <w:highlight w:val="none"/>
        </w:rPr>
      </w:pPr>
    </w:p>
    <w:p w14:paraId="068E0A2B">
      <w:pPr>
        <w:shd w:val="clear" w:color="auto" w:fill="auto"/>
        <w:spacing w:line="360" w:lineRule="auto"/>
        <w:ind w:firstLine="243" w:firstLineChars="100"/>
        <w:rPr>
          <w:rFonts w:hint="eastAsia" w:ascii="宋体" w:hAnsi="宋体" w:eastAsia="宋体" w:cs="宋体"/>
          <w:color w:val="auto"/>
          <w:sz w:val="24"/>
          <w:highlight w:val="none"/>
        </w:rPr>
      </w:pPr>
    </w:p>
    <w:p w14:paraId="7DF95C54">
      <w:pPr>
        <w:pStyle w:val="14"/>
        <w:shd w:val="clear" w:color="auto" w:fill="auto"/>
        <w:tabs>
          <w:tab w:val="left" w:pos="5580"/>
        </w:tabs>
        <w:spacing w:line="240" w:lineRule="atLeast"/>
        <w:ind w:left="-547" w:leftChars="-257" w:firstLine="911" w:firstLineChars="375"/>
        <w:rPr>
          <w:rFonts w:hint="eastAsia" w:ascii="宋体" w:hAnsi="宋体" w:eastAsia="宋体" w:cs="宋体"/>
          <w:color w:val="auto"/>
          <w:sz w:val="24"/>
          <w:highlight w:val="none"/>
        </w:rPr>
      </w:pPr>
    </w:p>
    <w:p w14:paraId="1C6C4982">
      <w:pPr>
        <w:pStyle w:val="14"/>
        <w:shd w:val="clear" w:color="auto" w:fill="auto"/>
        <w:tabs>
          <w:tab w:val="left" w:pos="5580"/>
        </w:tabs>
        <w:spacing w:line="240" w:lineRule="atLeast"/>
        <w:ind w:left="-547" w:leftChars="-257" w:firstLine="911" w:firstLineChars="375"/>
        <w:rPr>
          <w:rFonts w:hint="eastAsia" w:ascii="宋体" w:hAnsi="宋体" w:eastAsia="宋体" w:cs="宋体"/>
          <w:color w:val="auto"/>
          <w:sz w:val="24"/>
          <w:highlight w:val="none"/>
        </w:rPr>
      </w:pPr>
    </w:p>
    <w:p w14:paraId="7CDEC918">
      <w:pPr>
        <w:pStyle w:val="14"/>
        <w:shd w:val="clear" w:color="auto" w:fill="auto"/>
        <w:tabs>
          <w:tab w:val="left" w:pos="5580"/>
        </w:tabs>
        <w:spacing w:line="240" w:lineRule="atLeast"/>
        <w:ind w:firstLine="446" w:firstLineChars="200"/>
        <w:rPr>
          <w:rFonts w:hint="eastAsia" w:ascii="宋体" w:hAnsi="宋体" w:eastAsia="宋体" w:cs="宋体"/>
          <w:color w:val="auto"/>
          <w:sz w:val="22"/>
          <w:szCs w:val="18"/>
          <w:highlight w:val="none"/>
          <w:u w:val="single"/>
        </w:rPr>
      </w:pPr>
      <w:r>
        <w:rPr>
          <w:rFonts w:hint="eastAsia" w:ascii="宋体" w:hAnsi="宋体" w:eastAsia="宋体" w:cs="宋体"/>
          <w:color w:val="auto"/>
          <w:sz w:val="22"/>
          <w:szCs w:val="18"/>
          <w:highlight w:val="none"/>
        </w:rPr>
        <w:t>投标人（盖单位章）;</w:t>
      </w:r>
      <w:r>
        <w:rPr>
          <w:rFonts w:hint="eastAsia" w:ascii="宋体" w:hAnsi="宋体" w:eastAsia="宋体" w:cs="宋体"/>
          <w:color w:val="auto"/>
          <w:sz w:val="22"/>
          <w:szCs w:val="18"/>
          <w:highlight w:val="none"/>
          <w:u w:val="single"/>
        </w:rPr>
        <w:t xml:space="preserve">                           </w:t>
      </w:r>
    </w:p>
    <w:p w14:paraId="5DCC7DA9">
      <w:pPr>
        <w:pStyle w:val="14"/>
        <w:shd w:val="clear" w:color="auto" w:fill="auto"/>
        <w:tabs>
          <w:tab w:val="left" w:pos="5580"/>
        </w:tabs>
        <w:spacing w:line="240" w:lineRule="atLeast"/>
        <w:ind w:firstLine="446" w:firstLineChars="200"/>
        <w:rPr>
          <w:rFonts w:hint="eastAsia" w:ascii="宋体" w:hAnsi="宋体" w:eastAsia="宋体" w:cs="宋体"/>
          <w:color w:val="auto"/>
          <w:sz w:val="22"/>
          <w:szCs w:val="18"/>
          <w:highlight w:val="none"/>
        </w:rPr>
      </w:pPr>
      <w:r>
        <w:rPr>
          <w:rFonts w:hint="eastAsia" w:ascii="宋体" w:hAnsi="宋体" w:eastAsia="宋体" w:cs="宋体"/>
          <w:color w:val="auto"/>
          <w:sz w:val="22"/>
          <w:szCs w:val="18"/>
          <w:highlight w:val="none"/>
        </w:rPr>
        <w:t>法定代表人（签字或签章）：</w:t>
      </w:r>
      <w:r>
        <w:rPr>
          <w:rFonts w:hint="eastAsia" w:ascii="宋体" w:hAnsi="宋体" w:eastAsia="宋体" w:cs="宋体"/>
          <w:color w:val="auto"/>
          <w:sz w:val="22"/>
          <w:szCs w:val="18"/>
          <w:highlight w:val="none"/>
          <w:u w:val="single"/>
        </w:rPr>
        <w:t xml:space="preserve">                     </w:t>
      </w:r>
    </w:p>
    <w:p w14:paraId="6F698AC0">
      <w:pPr>
        <w:pStyle w:val="14"/>
        <w:shd w:val="clear" w:color="auto" w:fill="auto"/>
        <w:tabs>
          <w:tab w:val="left" w:pos="5580"/>
        </w:tabs>
        <w:spacing w:line="240" w:lineRule="atLeast"/>
        <w:ind w:firstLine="446" w:firstLineChars="200"/>
        <w:rPr>
          <w:rFonts w:hint="eastAsia" w:ascii="宋体" w:hAnsi="宋体" w:eastAsia="宋体" w:cs="宋体"/>
          <w:color w:val="auto"/>
          <w:sz w:val="22"/>
          <w:szCs w:val="18"/>
          <w:highlight w:val="none"/>
          <w:u w:val="single"/>
        </w:rPr>
      </w:pPr>
      <w:r>
        <w:rPr>
          <w:rFonts w:hint="eastAsia" w:ascii="宋体" w:hAnsi="宋体" w:eastAsia="宋体" w:cs="宋体"/>
          <w:color w:val="auto"/>
          <w:sz w:val="22"/>
          <w:szCs w:val="18"/>
          <w:highlight w:val="none"/>
        </w:rPr>
        <w:t>委托代理人</w:t>
      </w:r>
      <w:r>
        <w:rPr>
          <w:rFonts w:hint="eastAsia" w:hAnsi="宋体" w:cs="宋体"/>
          <w:color w:val="auto"/>
          <w:sz w:val="22"/>
          <w:szCs w:val="18"/>
          <w:highlight w:val="none"/>
          <w:lang w:eastAsia="zh-CN"/>
        </w:rPr>
        <w:t>：</w:t>
      </w:r>
      <w:r>
        <w:rPr>
          <w:rFonts w:hint="eastAsia" w:ascii="宋体" w:hAnsi="宋体" w:eastAsia="宋体" w:cs="宋体"/>
          <w:color w:val="auto"/>
          <w:sz w:val="22"/>
          <w:szCs w:val="18"/>
          <w:highlight w:val="none"/>
        </w:rPr>
        <w:t>（签字）</w:t>
      </w:r>
      <w:r>
        <w:rPr>
          <w:rFonts w:hint="eastAsia" w:ascii="宋体" w:hAnsi="宋体" w:eastAsia="宋体" w:cs="宋体"/>
          <w:color w:val="auto"/>
          <w:sz w:val="22"/>
          <w:szCs w:val="18"/>
          <w:highlight w:val="none"/>
          <w:u w:val="single"/>
        </w:rPr>
        <w:t xml:space="preserve">                                   </w:t>
      </w:r>
    </w:p>
    <w:p w14:paraId="1F6414B1">
      <w:pPr>
        <w:shd w:val="clear" w:color="auto" w:fill="auto"/>
        <w:spacing w:line="360" w:lineRule="auto"/>
        <w:ind w:firstLine="446" w:firstLineChars="200"/>
        <w:jc w:val="left"/>
        <w:rPr>
          <w:rFonts w:hint="eastAsia" w:ascii="宋体" w:hAnsi="宋体" w:eastAsia="宋体" w:cs="宋体"/>
          <w:color w:val="auto"/>
          <w:kern w:val="2"/>
          <w:sz w:val="22"/>
          <w:szCs w:val="18"/>
          <w:highlight w:val="none"/>
          <w:u w:val="none" w:color="000000"/>
          <w:lang w:val="en-US" w:eastAsia="zh-CN" w:bidi="ar-SA"/>
        </w:rPr>
      </w:pPr>
      <w:r>
        <w:rPr>
          <w:rFonts w:hint="eastAsia" w:ascii="宋体" w:hAnsi="宋体" w:eastAsia="宋体" w:cs="宋体"/>
          <w:color w:val="auto"/>
          <w:kern w:val="2"/>
          <w:sz w:val="22"/>
          <w:szCs w:val="18"/>
          <w:highlight w:val="none"/>
          <w:u w:val="none" w:color="000000"/>
          <w:lang w:val="en-US" w:eastAsia="zh-CN" w:bidi="ar-SA"/>
        </w:rPr>
        <w:t xml:space="preserve">年   月   日 </w:t>
      </w:r>
    </w:p>
    <w:p w14:paraId="1953A1F5">
      <w:pPr>
        <w:pStyle w:val="4"/>
        <w:numPr>
          <w:ilvl w:val="0"/>
          <w:numId w:val="0"/>
        </w:numPr>
        <w:shd w:val="clear" w:color="auto" w:fill="auto"/>
        <w:spacing w:before="0" w:line="240" w:lineRule="atLeast"/>
        <w:ind w:leftChars="257"/>
        <w:rPr>
          <w:rFonts w:hint="eastAsia" w:ascii="宋体" w:hAnsi="宋体" w:eastAsia="宋体" w:cs="宋体"/>
          <w:color w:val="auto"/>
          <w:sz w:val="24"/>
          <w:highlight w:val="none"/>
        </w:rPr>
      </w:pPr>
      <w:r>
        <w:rPr>
          <w:rFonts w:hint="eastAsia" w:ascii="宋体" w:hAnsi="宋体" w:eastAsia="宋体" w:cs="宋体"/>
          <w:color w:val="auto"/>
          <w:sz w:val="24"/>
          <w:highlight w:val="none"/>
        </w:rPr>
        <w:br w:type="page"/>
      </w:r>
      <w:bookmarkStart w:id="97" w:name="_Toc26357"/>
    </w:p>
    <w:p w14:paraId="11A28876">
      <w:pPr>
        <w:pStyle w:val="4"/>
        <w:numPr>
          <w:ilvl w:val="0"/>
          <w:numId w:val="0"/>
        </w:numPr>
        <w:shd w:val="clear" w:color="auto" w:fill="auto"/>
        <w:spacing w:before="0" w:line="240" w:lineRule="atLeast"/>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val="en-US" w:eastAsia="zh-CN"/>
        </w:rPr>
        <w:t>4</w:t>
      </w:r>
      <w:r>
        <w:rPr>
          <w:rFonts w:hint="eastAsia" w:ascii="宋体" w:hAnsi="宋体" w:eastAsia="宋体" w:cs="宋体"/>
          <w:b/>
          <w:bCs/>
          <w:color w:val="auto"/>
          <w:sz w:val="24"/>
          <w:highlight w:val="none"/>
          <w:lang w:eastAsia="zh-CN"/>
        </w:rPr>
        <w:t>、</w:t>
      </w:r>
      <w:bookmarkEnd w:id="89"/>
      <w:bookmarkEnd w:id="90"/>
      <w:bookmarkEnd w:id="91"/>
      <w:bookmarkEnd w:id="97"/>
      <w:bookmarkStart w:id="98" w:name="_Toc4866"/>
      <w:bookmarkStart w:id="99" w:name="_Toc515647809"/>
      <w:bookmarkStart w:id="100" w:name="_Toc11047"/>
      <w:bookmarkStart w:id="101" w:name="_Toc28445"/>
      <w:r>
        <w:rPr>
          <w:rFonts w:hint="eastAsia" w:ascii="宋体" w:hAnsi="宋体" w:eastAsia="宋体" w:cs="宋体"/>
          <w:b/>
          <w:bCs/>
          <w:color w:val="auto"/>
          <w:sz w:val="24"/>
          <w:highlight w:val="none"/>
        </w:rPr>
        <w:t>投标保证金缴纳凭证或投标担保函</w:t>
      </w:r>
      <w:bookmarkEnd w:id="98"/>
      <w:bookmarkEnd w:id="99"/>
      <w:bookmarkEnd w:id="100"/>
      <w:bookmarkEnd w:id="101"/>
    </w:p>
    <w:p w14:paraId="59D40345">
      <w:pPr>
        <w:shd w:val="clear" w:color="auto" w:fill="auto"/>
        <w:ind w:firstLine="426" w:firstLineChars="200"/>
        <w:rPr>
          <w:rFonts w:hint="eastAsia" w:ascii="宋体" w:hAnsi="宋体" w:eastAsia="宋体" w:cs="宋体"/>
          <w:color w:val="auto"/>
          <w:sz w:val="21"/>
          <w:szCs w:val="21"/>
          <w:highlight w:val="none"/>
        </w:rPr>
      </w:pPr>
      <w:bookmarkStart w:id="102" w:name="_Toc494296665"/>
      <w:bookmarkStart w:id="103" w:name="_Toc494296991"/>
    </w:p>
    <w:p w14:paraId="2E7C4C7C">
      <w:pPr>
        <w:shd w:val="clear" w:color="auto" w:fill="auto"/>
        <w:spacing w:line="360" w:lineRule="auto"/>
        <w:ind w:firstLine="426"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可将本项目投标保证金支付的汇款凭证、支票、汇票或保证金收据（如有）的复印件作为缴纳凭证及投标保证金收据一起装订在本部分，复印件上应加盖本单位章；使用银行保函等其他投标担保函的，应将担保函正本，装订在本部分正本中；如采用政府采购信用担保形式的，应使用（</w:t>
      </w:r>
      <w:r>
        <w:rPr>
          <w:rFonts w:hint="eastAsia" w:ascii="宋体" w:hAnsi="宋体" w:eastAsia="宋体" w:cs="宋体"/>
          <w:color w:val="auto"/>
          <w:sz w:val="21"/>
          <w:szCs w:val="21"/>
          <w:highlight w:val="none"/>
          <w:lang w:val="en-US" w:eastAsia="zh-CN"/>
        </w:rPr>
        <w:t>下述</w:t>
      </w:r>
      <w:r>
        <w:rPr>
          <w:rFonts w:hint="eastAsia" w:ascii="宋体" w:hAnsi="宋体" w:eastAsia="宋体" w:cs="宋体"/>
          <w:color w:val="auto"/>
          <w:sz w:val="21"/>
          <w:szCs w:val="21"/>
          <w:highlight w:val="none"/>
        </w:rPr>
        <w:t>投标担保函</w:t>
      </w:r>
      <w:r>
        <w:rPr>
          <w:rFonts w:hint="eastAsia" w:ascii="宋体" w:hAnsi="宋体" w:eastAsia="宋体" w:cs="宋体"/>
          <w:color w:val="auto"/>
          <w:sz w:val="21"/>
          <w:szCs w:val="21"/>
          <w:highlight w:val="none"/>
          <w:lang w:val="en-US" w:eastAsia="zh-CN"/>
        </w:rPr>
        <w:t>格式</w:t>
      </w:r>
      <w:r>
        <w:rPr>
          <w:rFonts w:hint="eastAsia" w:ascii="宋体" w:hAnsi="宋体" w:eastAsia="宋体" w:cs="宋体"/>
          <w:color w:val="auto"/>
          <w:sz w:val="21"/>
          <w:szCs w:val="21"/>
          <w:highlight w:val="none"/>
        </w:rPr>
        <w:t xml:space="preserve"> ）,将原件装订在本部分正本中。</w:t>
      </w:r>
      <w:bookmarkEnd w:id="102"/>
      <w:bookmarkEnd w:id="103"/>
    </w:p>
    <w:p w14:paraId="4CF86325">
      <w:pPr>
        <w:pStyle w:val="7"/>
        <w:shd w:val="clear" w:color="auto" w:fill="auto"/>
        <w:spacing w:line="360" w:lineRule="auto"/>
        <w:rPr>
          <w:rFonts w:hint="eastAsia" w:ascii="宋体" w:hAnsi="宋体" w:eastAsia="宋体" w:cs="宋体"/>
          <w:color w:val="auto"/>
          <w:highlight w:val="none"/>
        </w:rPr>
      </w:pPr>
    </w:p>
    <w:tbl>
      <w:tblPr>
        <w:tblStyle w:val="28"/>
        <w:tblpPr w:leftFromText="180" w:rightFromText="180" w:vertAnchor="text" w:horzAnchor="page" w:tblpX="2090" w:tblpY="750"/>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79"/>
      </w:tblGrid>
      <w:tr w14:paraId="0C2547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6" w:hRule="atLeast"/>
        </w:trPr>
        <w:tc>
          <w:tcPr>
            <w:tcW w:w="7879" w:type="dxa"/>
            <w:noWrap w:val="0"/>
            <w:vAlign w:val="top"/>
          </w:tcPr>
          <w:p w14:paraId="6FE1736E">
            <w:pPr>
              <w:shd w:val="clear" w:color="auto" w:fill="auto"/>
              <w:jc w:val="both"/>
              <w:rPr>
                <w:rFonts w:hint="eastAsia" w:ascii="宋体" w:hAnsi="宋体" w:eastAsia="宋体" w:cs="宋体"/>
                <w:b/>
                <w:bCs/>
                <w:color w:val="auto"/>
                <w:sz w:val="30"/>
                <w:szCs w:val="30"/>
                <w:highlight w:val="none"/>
              </w:rPr>
            </w:pPr>
          </w:p>
          <w:p w14:paraId="48C3C15C">
            <w:pPr>
              <w:shd w:val="clear" w:color="auto" w:fill="auto"/>
              <w:jc w:val="center"/>
              <w:rPr>
                <w:rFonts w:hint="eastAsia" w:ascii="宋体" w:hAnsi="宋体" w:eastAsia="宋体" w:cs="宋体"/>
                <w:b/>
                <w:bCs/>
                <w:color w:val="auto"/>
                <w:sz w:val="30"/>
                <w:szCs w:val="30"/>
                <w:highlight w:val="none"/>
              </w:rPr>
            </w:pPr>
          </w:p>
          <w:p w14:paraId="176202AE">
            <w:pPr>
              <w:shd w:val="clear" w:color="auto" w:fill="auto"/>
              <w:jc w:val="center"/>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t>投标保证金收据</w:t>
            </w:r>
          </w:p>
        </w:tc>
      </w:tr>
    </w:tbl>
    <w:p w14:paraId="54CAE023">
      <w:pPr>
        <w:pStyle w:val="7"/>
        <w:shd w:val="clear" w:color="auto" w:fill="auto"/>
        <w:rPr>
          <w:rFonts w:hint="eastAsia" w:ascii="宋体" w:hAnsi="宋体" w:eastAsia="宋体" w:cs="宋体"/>
          <w:color w:val="auto"/>
          <w:highlight w:val="none"/>
        </w:rPr>
      </w:pPr>
    </w:p>
    <w:p w14:paraId="04A83EC8">
      <w:pPr>
        <w:shd w:val="clear" w:color="auto" w:fill="auto"/>
        <w:spacing w:line="240" w:lineRule="atLeast"/>
        <w:ind w:left="1087" w:leftChars="257" w:hanging="540"/>
        <w:jc w:val="center"/>
        <w:rPr>
          <w:rFonts w:hint="eastAsia" w:ascii="宋体" w:hAnsi="宋体" w:eastAsia="宋体" w:cs="宋体"/>
          <w:color w:val="auto"/>
          <w:sz w:val="24"/>
          <w:highlight w:val="none"/>
        </w:rPr>
      </w:pPr>
    </w:p>
    <w:p w14:paraId="649EE4AC">
      <w:pPr>
        <w:shd w:val="clear" w:color="auto" w:fill="auto"/>
        <w:rPr>
          <w:rFonts w:hint="eastAsia" w:ascii="宋体" w:hAnsi="宋体" w:eastAsia="宋体" w:cs="宋体"/>
          <w:color w:val="auto"/>
          <w:sz w:val="28"/>
          <w:szCs w:val="28"/>
          <w:highlight w:val="none"/>
        </w:rPr>
      </w:pPr>
    </w:p>
    <w:tbl>
      <w:tblPr>
        <w:tblStyle w:val="28"/>
        <w:tblpPr w:leftFromText="180" w:rightFromText="180" w:vertAnchor="text" w:horzAnchor="page" w:tblpX="2090" w:tblpY="750"/>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79"/>
      </w:tblGrid>
      <w:tr w14:paraId="3AFF47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326" w:hRule="atLeast"/>
        </w:trPr>
        <w:tc>
          <w:tcPr>
            <w:tcW w:w="7879" w:type="dxa"/>
            <w:noWrap w:val="0"/>
            <w:vAlign w:val="top"/>
          </w:tcPr>
          <w:p w14:paraId="0A947002">
            <w:pPr>
              <w:shd w:val="clear" w:color="auto" w:fill="auto"/>
              <w:rPr>
                <w:rFonts w:hint="eastAsia" w:ascii="宋体" w:hAnsi="宋体" w:eastAsia="宋体" w:cs="宋体"/>
                <w:b/>
                <w:bCs/>
                <w:color w:val="auto"/>
                <w:sz w:val="30"/>
                <w:szCs w:val="30"/>
                <w:highlight w:val="none"/>
              </w:rPr>
            </w:pPr>
          </w:p>
          <w:p w14:paraId="1B9FAC47">
            <w:pPr>
              <w:shd w:val="clear" w:color="auto" w:fill="auto"/>
              <w:jc w:val="center"/>
              <w:rPr>
                <w:rFonts w:hint="eastAsia" w:ascii="宋体" w:hAnsi="宋体" w:eastAsia="宋体" w:cs="宋体"/>
                <w:b/>
                <w:bCs/>
                <w:color w:val="auto"/>
                <w:sz w:val="30"/>
                <w:szCs w:val="30"/>
                <w:highlight w:val="none"/>
              </w:rPr>
            </w:pPr>
          </w:p>
          <w:p w14:paraId="0CE61BBF">
            <w:pPr>
              <w:shd w:val="clear" w:color="auto" w:fill="auto"/>
              <w:jc w:val="center"/>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lang w:eastAsia="zh-CN"/>
              </w:rPr>
              <w:t>打款凭证</w:t>
            </w:r>
          </w:p>
          <w:p w14:paraId="76F2794B">
            <w:pPr>
              <w:shd w:val="clear" w:color="auto" w:fill="auto"/>
              <w:jc w:val="center"/>
              <w:rPr>
                <w:rFonts w:hint="eastAsia" w:ascii="宋体" w:hAnsi="宋体" w:eastAsia="宋体" w:cs="宋体"/>
                <w:b/>
                <w:bCs/>
                <w:color w:val="auto"/>
                <w:sz w:val="30"/>
                <w:szCs w:val="30"/>
                <w:highlight w:val="none"/>
              </w:rPr>
            </w:pPr>
          </w:p>
          <w:p w14:paraId="05739AE9">
            <w:pPr>
              <w:shd w:val="clear" w:color="auto" w:fill="auto"/>
              <w:jc w:val="center"/>
              <w:rPr>
                <w:rFonts w:hint="eastAsia" w:ascii="宋体" w:hAnsi="宋体" w:eastAsia="宋体" w:cs="宋体"/>
                <w:b/>
                <w:bCs/>
                <w:color w:val="auto"/>
                <w:sz w:val="30"/>
                <w:szCs w:val="30"/>
                <w:highlight w:val="none"/>
              </w:rPr>
            </w:pPr>
          </w:p>
        </w:tc>
      </w:tr>
    </w:tbl>
    <w:p w14:paraId="0934B00E">
      <w:pPr>
        <w:pStyle w:val="7"/>
        <w:shd w:val="clear" w:color="auto" w:fill="auto"/>
        <w:rPr>
          <w:rFonts w:hint="eastAsia" w:ascii="宋体" w:hAnsi="宋体" w:eastAsia="宋体" w:cs="宋体"/>
          <w:color w:val="auto"/>
          <w:highlight w:val="none"/>
        </w:rPr>
      </w:pPr>
    </w:p>
    <w:p w14:paraId="5A0E1EA3">
      <w:pPr>
        <w:pStyle w:val="7"/>
        <w:shd w:val="clear" w:color="auto" w:fill="auto"/>
        <w:rPr>
          <w:rFonts w:hint="eastAsia" w:ascii="宋体" w:hAnsi="宋体" w:eastAsia="宋体" w:cs="宋体"/>
          <w:color w:val="auto"/>
          <w:highlight w:val="none"/>
        </w:rPr>
      </w:pPr>
    </w:p>
    <w:p w14:paraId="1C459786">
      <w:pPr>
        <w:pStyle w:val="7"/>
        <w:shd w:val="clear" w:color="auto" w:fill="auto"/>
        <w:rPr>
          <w:rFonts w:hint="eastAsia" w:ascii="宋体" w:hAnsi="宋体" w:eastAsia="宋体" w:cs="宋体"/>
          <w:color w:val="auto"/>
          <w:highlight w:val="none"/>
        </w:rPr>
      </w:pPr>
    </w:p>
    <w:p w14:paraId="57277CB8">
      <w:pPr>
        <w:pStyle w:val="7"/>
        <w:shd w:val="clear" w:color="auto" w:fill="auto"/>
        <w:rPr>
          <w:rFonts w:hint="eastAsia" w:ascii="宋体" w:hAnsi="宋体" w:eastAsia="宋体" w:cs="宋体"/>
          <w:color w:val="auto"/>
          <w:highlight w:val="none"/>
        </w:rPr>
      </w:pPr>
    </w:p>
    <w:p w14:paraId="49811FA0">
      <w:pPr>
        <w:pStyle w:val="7"/>
        <w:shd w:val="clear" w:color="auto" w:fill="auto"/>
        <w:rPr>
          <w:rFonts w:hint="eastAsia" w:ascii="宋体" w:hAnsi="宋体" w:eastAsia="宋体" w:cs="宋体"/>
          <w:color w:val="auto"/>
          <w:highlight w:val="none"/>
        </w:rPr>
      </w:pPr>
    </w:p>
    <w:p w14:paraId="3C84ED83">
      <w:pPr>
        <w:shd w:val="clear" w:color="auto" w:fill="auto"/>
        <w:jc w:val="both"/>
        <w:rPr>
          <w:rFonts w:hint="eastAsia" w:ascii="宋体" w:hAnsi="宋体" w:eastAsia="宋体" w:cs="宋体"/>
          <w:color w:val="auto"/>
          <w:sz w:val="28"/>
          <w:szCs w:val="28"/>
          <w:highlight w:val="none"/>
        </w:rPr>
      </w:pPr>
    </w:p>
    <w:p w14:paraId="0B7740DE">
      <w:pPr>
        <w:shd w:val="clear" w:color="auto" w:fill="auto"/>
        <w:jc w:val="center"/>
        <w:rPr>
          <w:rFonts w:hint="eastAsia" w:ascii="宋体" w:hAnsi="宋体" w:eastAsia="宋体" w:cs="宋体"/>
          <w:b/>
          <w:bCs/>
          <w:color w:val="auto"/>
          <w:kern w:val="0"/>
          <w:sz w:val="24"/>
          <w:szCs w:val="20"/>
          <w:highlight w:val="none"/>
          <w:lang w:val="en-US" w:eastAsia="zh-CN" w:bidi="ar-SA"/>
        </w:rPr>
      </w:pPr>
      <w:r>
        <w:rPr>
          <w:rFonts w:hint="eastAsia" w:ascii="宋体" w:hAnsi="宋体" w:eastAsia="宋体" w:cs="宋体"/>
          <w:b/>
          <w:bCs/>
          <w:color w:val="auto"/>
          <w:kern w:val="0"/>
          <w:sz w:val="24"/>
          <w:szCs w:val="20"/>
          <w:highlight w:val="none"/>
          <w:lang w:val="en-US" w:eastAsia="zh-CN" w:bidi="ar-SA"/>
        </w:rPr>
        <w:t>政府采购投标担保函 （项目用）</w:t>
      </w:r>
    </w:p>
    <w:p w14:paraId="7AD3EE94">
      <w:pPr>
        <w:keepNext w:val="0"/>
        <w:keepLines w:val="0"/>
        <w:pageBreakBefore w:val="0"/>
        <w:widowControl w:val="0"/>
        <w:shd w:val="clear" w:color="auto" w:fill="auto"/>
        <w:kinsoku/>
        <w:wordWrap/>
        <w:overflowPunct/>
        <w:topLinePunct w:val="0"/>
        <w:autoSpaceDE/>
        <w:autoSpaceDN/>
        <w:bidi w:val="0"/>
        <w:snapToGrid/>
        <w:spacing w:line="400" w:lineRule="exact"/>
        <w:ind w:firstLine="6816" w:firstLineChars="3200"/>
        <w:rPr>
          <w:rFonts w:hint="eastAsia" w:ascii="宋体" w:hAnsi="宋体" w:eastAsia="宋体" w:cs="宋体"/>
          <w:color w:val="auto"/>
          <w:highlight w:val="none"/>
        </w:rPr>
      </w:pPr>
      <w:r>
        <w:rPr>
          <w:rFonts w:hint="eastAsia" w:ascii="宋体" w:hAnsi="宋体" w:eastAsia="宋体" w:cs="宋体"/>
          <w:color w:val="auto"/>
          <w:highlight w:val="none"/>
        </w:rPr>
        <w:t>编号：</w:t>
      </w:r>
    </w:p>
    <w:p w14:paraId="1A85E2A2">
      <w:pPr>
        <w:keepNext w:val="0"/>
        <w:keepLines w:val="0"/>
        <w:pageBreakBefore w:val="0"/>
        <w:widowControl w:val="0"/>
        <w:shd w:val="clear" w:color="auto" w:fill="auto"/>
        <w:kinsoku/>
        <w:wordWrap/>
        <w:overflowPunct/>
        <w:topLinePunct w:val="0"/>
        <w:autoSpaceDE/>
        <w:autoSpaceDN/>
        <w:bidi w:val="0"/>
        <w:snapToGrid/>
        <w:spacing w:line="400" w:lineRule="exact"/>
        <w:rPr>
          <w:rFonts w:hint="eastAsia" w:ascii="宋体" w:hAnsi="宋体" w:eastAsia="宋体" w:cs="宋体"/>
          <w:color w:val="auto"/>
          <w:highlight w:val="none"/>
        </w:rPr>
      </w:pPr>
      <w:r>
        <w:rPr>
          <w:rFonts w:hint="eastAsia" w:ascii="宋体" w:hAnsi="宋体" w:eastAsia="宋体" w:cs="宋体"/>
          <w:color w:val="auto"/>
          <w:highlight w:val="none"/>
        </w:rPr>
        <w:t xml:space="preserve"> </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（采购人或采购代理机构）：</w:t>
      </w:r>
    </w:p>
    <w:p w14:paraId="02C309B6">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鉴于</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（以下简称“投标人”）拟参加编号为</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的</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 xml:space="preserve">                            </w:t>
      </w:r>
    </w:p>
    <w:p w14:paraId="0058687A">
      <w:pPr>
        <w:keepNext w:val="0"/>
        <w:keepLines w:val="0"/>
        <w:pageBreakBefore w:val="0"/>
        <w:widowControl w:val="0"/>
        <w:shd w:val="clear" w:color="auto" w:fill="auto"/>
        <w:kinsoku/>
        <w:wordWrap/>
        <w:overflowPunct/>
        <w:topLinePunct w:val="0"/>
        <w:autoSpaceDE/>
        <w:autoSpaceDN/>
        <w:bidi w:val="0"/>
        <w:snapToGrid/>
        <w:spacing w:line="400" w:lineRule="exact"/>
        <w:rPr>
          <w:rFonts w:hint="eastAsia" w:ascii="宋体" w:hAnsi="宋体" w:eastAsia="宋体" w:cs="宋体"/>
          <w:color w:val="auto"/>
          <w:highlight w:val="none"/>
        </w:rPr>
      </w:pPr>
      <w:r>
        <w:rPr>
          <w:rFonts w:hint="eastAsia" w:ascii="宋体" w:hAnsi="宋体" w:eastAsia="宋体" w:cs="宋体"/>
          <w:color w:val="auto"/>
          <w:highlight w:val="none"/>
        </w:rPr>
        <w:t>项目（以下简称“本项目”）投标，根据本项目</w:t>
      </w:r>
      <w:r>
        <w:rPr>
          <w:rFonts w:hint="eastAsia" w:ascii="宋体" w:hAnsi="宋体" w:cs="宋体"/>
          <w:color w:val="auto"/>
          <w:highlight w:val="none"/>
          <w:lang w:val="en-US" w:eastAsia="zh-CN"/>
        </w:rPr>
        <w:t>招标</w:t>
      </w:r>
      <w:r>
        <w:rPr>
          <w:rFonts w:hint="eastAsia" w:ascii="宋体" w:hAnsi="宋体" w:eastAsia="宋体" w:cs="宋体"/>
          <w:color w:val="auto"/>
          <w:highlight w:val="none"/>
          <w:lang w:eastAsia="zh-CN"/>
        </w:rPr>
        <w:t>文件</w:t>
      </w:r>
      <w:r>
        <w:rPr>
          <w:rFonts w:hint="eastAsia" w:ascii="宋体" w:hAnsi="宋体" w:eastAsia="宋体" w:cs="宋体"/>
          <w:color w:val="auto"/>
          <w:highlight w:val="none"/>
        </w:rPr>
        <w:t>，供应商参加投标时应向你方交纳投标保证金，且可以投标担保函的形式交纳投标保证金。应供应商的申请，我方以保证的方式向你方提供如下投标保证金担保：</w:t>
      </w:r>
    </w:p>
    <w:p w14:paraId="447946B2">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一、保证责任的情形及保证金额</w:t>
      </w:r>
    </w:p>
    <w:p w14:paraId="3ED05A79">
      <w:pPr>
        <w:keepNext w:val="0"/>
        <w:keepLines w:val="0"/>
        <w:pageBreakBefore w:val="0"/>
        <w:widowControl w:val="0"/>
        <w:shd w:val="clear" w:color="auto" w:fill="auto"/>
        <w:kinsoku/>
        <w:wordWrap/>
        <w:overflowPunct/>
        <w:topLinePunct w:val="0"/>
        <w:autoSpaceDE/>
        <w:autoSpaceDN/>
        <w:bidi w:val="0"/>
        <w:snapToGrid/>
        <w:spacing w:line="400" w:lineRule="exact"/>
        <w:ind w:firstLine="213" w:firstLineChars="100"/>
        <w:rPr>
          <w:rFonts w:hint="eastAsia" w:ascii="宋体" w:hAnsi="宋体" w:eastAsia="宋体" w:cs="宋体"/>
          <w:color w:val="auto"/>
          <w:highlight w:val="none"/>
        </w:rPr>
      </w:pPr>
      <w:r>
        <w:rPr>
          <w:rFonts w:hint="eastAsia" w:ascii="宋体" w:hAnsi="宋体" w:eastAsia="宋体" w:cs="宋体"/>
          <w:color w:val="auto"/>
          <w:highlight w:val="none"/>
        </w:rPr>
        <w:t>（一）在投标人出现下列情形之一时，我方承担保证责任：</w:t>
      </w:r>
    </w:p>
    <w:p w14:paraId="122A01A6">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1．</w:t>
      </w:r>
      <w:r>
        <w:rPr>
          <w:rFonts w:hint="eastAsia" w:ascii="宋体" w:hAnsi="宋体" w:eastAsia="宋体" w:cs="宋体"/>
          <w:color w:val="auto"/>
          <w:highlight w:val="none"/>
          <w:lang w:eastAsia="zh-CN"/>
        </w:rPr>
        <w:t>成交</w:t>
      </w:r>
      <w:r>
        <w:rPr>
          <w:rFonts w:hint="eastAsia" w:ascii="宋体" w:hAnsi="宋体" w:eastAsia="宋体" w:cs="宋体"/>
          <w:color w:val="auto"/>
          <w:highlight w:val="none"/>
        </w:rPr>
        <w:t>后投标人无正当理由不与采购人或者采购代理机构签订《政府采购合同》；</w:t>
      </w:r>
    </w:p>
    <w:p w14:paraId="5730AD94">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cs="宋体"/>
          <w:color w:val="auto"/>
          <w:highlight w:val="none"/>
          <w:lang w:val="en-US" w:eastAsia="zh-CN"/>
        </w:rPr>
        <w:t>招标</w:t>
      </w:r>
      <w:r>
        <w:rPr>
          <w:rFonts w:hint="eastAsia" w:ascii="宋体" w:hAnsi="宋体" w:eastAsia="宋体" w:cs="宋体"/>
          <w:color w:val="auto"/>
          <w:highlight w:val="none"/>
          <w:lang w:eastAsia="zh-CN"/>
        </w:rPr>
        <w:t>文件</w:t>
      </w:r>
      <w:r>
        <w:rPr>
          <w:rFonts w:hint="eastAsia" w:ascii="宋体" w:hAnsi="宋体" w:eastAsia="宋体" w:cs="宋体"/>
          <w:color w:val="auto"/>
          <w:highlight w:val="none"/>
        </w:rPr>
        <w:t>规定的投标人应当缴纳保证金的其他情形。</w:t>
      </w:r>
    </w:p>
    <w:p w14:paraId="2164DE82">
      <w:pPr>
        <w:keepNext w:val="0"/>
        <w:keepLines w:val="0"/>
        <w:pageBreakBefore w:val="0"/>
        <w:widowControl w:val="0"/>
        <w:shd w:val="clear" w:color="auto" w:fill="auto"/>
        <w:kinsoku/>
        <w:wordWrap/>
        <w:overflowPunct/>
        <w:topLinePunct w:val="0"/>
        <w:autoSpaceDE/>
        <w:autoSpaceDN/>
        <w:bidi w:val="0"/>
        <w:snapToGrid/>
        <w:spacing w:line="400" w:lineRule="exact"/>
        <w:ind w:firstLine="213" w:firstLineChars="100"/>
        <w:rPr>
          <w:rFonts w:hint="eastAsia" w:ascii="宋体" w:hAnsi="宋体" w:eastAsia="宋体" w:cs="宋体"/>
          <w:color w:val="auto"/>
          <w:highlight w:val="none"/>
        </w:rPr>
      </w:pPr>
      <w:r>
        <w:rPr>
          <w:rFonts w:hint="eastAsia" w:ascii="宋体" w:hAnsi="宋体" w:eastAsia="宋体" w:cs="宋体"/>
          <w:color w:val="auto"/>
          <w:highlight w:val="none"/>
        </w:rPr>
        <w:t>（二）我方承担保证责任的最高金额为人民币</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元（大写</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），即本项目的投标保证金金额。</w:t>
      </w:r>
    </w:p>
    <w:p w14:paraId="1657C0BC">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二、保证的方式及保证期间</w:t>
      </w:r>
    </w:p>
    <w:p w14:paraId="3B12C3D2">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我方保证的方式为：连带责任保证。</w:t>
      </w:r>
    </w:p>
    <w:p w14:paraId="1C755734">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我方的保证期间为：自本保函生效之日起</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个月止。</w:t>
      </w:r>
    </w:p>
    <w:p w14:paraId="50015B07">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三、承担保证责任的程序</w:t>
      </w:r>
    </w:p>
    <w:p w14:paraId="1FC9F2ED">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1．你方要求我方承担保证责任的，应在本保函保证期间内向我方发出书面索赔通知。索赔通知应写明要求索赔的金额，支付款项应到达的账号，并附有证明投标人发生我方应承担保证责任情形的事实材料。</w:t>
      </w:r>
    </w:p>
    <w:p w14:paraId="3C37502A">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2．我方在收到索赔通知及相关证明材料后，在</w:t>
      </w:r>
      <w:r>
        <w:rPr>
          <w:rFonts w:hint="eastAsia" w:ascii="宋体" w:hAnsi="宋体" w:eastAsia="宋体" w:cs="宋体"/>
          <w:color w:val="auto"/>
          <w:highlight w:val="none"/>
          <w:u w:val="single"/>
        </w:rPr>
        <w:t>　　　</w:t>
      </w:r>
      <w:r>
        <w:rPr>
          <w:rFonts w:hint="eastAsia" w:ascii="宋体" w:hAnsi="宋体" w:eastAsia="宋体" w:cs="宋体"/>
          <w:color w:val="auto"/>
          <w:highlight w:val="none"/>
        </w:rPr>
        <w:t>个工作日内进行审查，符合应承担保证责任情形的，我方应按照你方的要求代投标人向你方支付投标保证金。</w:t>
      </w:r>
    </w:p>
    <w:p w14:paraId="59F6B2C7">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四、保证责任的终止</w:t>
      </w:r>
    </w:p>
    <w:p w14:paraId="3358869C">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1．保证期间届满你方未向我方书面主张保证责任的，自保证期间届满次日起，我方保证责任自动终止。</w:t>
      </w:r>
    </w:p>
    <w:p w14:paraId="294FA402">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2．我方按照本保函向你贵方履行了保证责任后，自我方向你贵方支付款项（支付款项从我方账户划出）之日起，保证责任终止。</w:t>
      </w:r>
    </w:p>
    <w:p w14:paraId="44CB4F66">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3．按照法律法规的规定或出现我方保证责任终止的其它情形的，我方在本保函项下的保证责任亦终止。</w:t>
      </w:r>
    </w:p>
    <w:p w14:paraId="3F1AC4ED">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五、免责条款</w:t>
      </w:r>
    </w:p>
    <w:p w14:paraId="588B3D41">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1．依照法律规定或你方与投标人的另行约定，全部或者部分免除投标人投标保证金义务时，我方亦免除相应的保证责任。</w:t>
      </w:r>
    </w:p>
    <w:p w14:paraId="5C5287E5">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2．因你方原因致使投标人发生本保函第一条第（一）款约定情形的，我方不承担保证责任。</w:t>
      </w:r>
    </w:p>
    <w:p w14:paraId="2F3FBA23">
      <w:pPr>
        <w:keepNext w:val="0"/>
        <w:keepLines w:val="0"/>
        <w:pageBreakBefore w:val="0"/>
        <w:widowControl w:val="0"/>
        <w:shd w:val="clear" w:color="auto" w:fill="auto"/>
        <w:kinsoku/>
        <w:wordWrap/>
        <w:overflowPunct/>
        <w:topLinePunct w:val="0"/>
        <w:autoSpaceDE/>
        <w:autoSpaceDN/>
        <w:bidi w:val="0"/>
        <w:adjustRightInd/>
        <w:snapToGrid/>
        <w:spacing w:line="400" w:lineRule="exact"/>
        <w:ind w:firstLine="426"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3．因不可抗力造成投标人发生本保函第一条约定情形的，我方不承担保证责任。</w:t>
      </w:r>
    </w:p>
    <w:p w14:paraId="775B43B8">
      <w:pPr>
        <w:keepNext w:val="0"/>
        <w:keepLines w:val="0"/>
        <w:pageBreakBefore w:val="0"/>
        <w:widowControl w:val="0"/>
        <w:shd w:val="clear" w:color="auto" w:fill="auto"/>
        <w:kinsoku/>
        <w:wordWrap/>
        <w:overflowPunct/>
        <w:topLinePunct w:val="0"/>
        <w:autoSpaceDE/>
        <w:autoSpaceDN/>
        <w:bidi w:val="0"/>
        <w:adjustRightInd/>
        <w:snapToGrid/>
        <w:spacing w:line="400" w:lineRule="exact"/>
        <w:ind w:firstLine="426"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4．你方或其他有权机关对</w:t>
      </w:r>
      <w:r>
        <w:rPr>
          <w:rFonts w:hint="eastAsia" w:ascii="宋体" w:hAnsi="宋体" w:cs="宋体"/>
          <w:color w:val="auto"/>
          <w:highlight w:val="none"/>
          <w:lang w:val="en-US" w:eastAsia="zh-CN"/>
        </w:rPr>
        <w:t>招标</w:t>
      </w:r>
      <w:r>
        <w:rPr>
          <w:rFonts w:hint="eastAsia" w:ascii="宋体" w:hAnsi="宋体" w:eastAsia="宋体" w:cs="宋体"/>
          <w:color w:val="auto"/>
          <w:highlight w:val="none"/>
          <w:lang w:eastAsia="zh-CN"/>
        </w:rPr>
        <w:t>文件</w:t>
      </w:r>
      <w:r>
        <w:rPr>
          <w:rFonts w:hint="eastAsia" w:ascii="宋体" w:hAnsi="宋体" w:eastAsia="宋体" w:cs="宋体"/>
          <w:color w:val="auto"/>
          <w:highlight w:val="none"/>
        </w:rPr>
        <w:t>进行任何澄清或修改，加重我方保证责任的，我方对加重部分不承担保证责任，但该澄清或修改经我方事先书面同意的除外。</w:t>
      </w:r>
    </w:p>
    <w:p w14:paraId="14775334">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六、争议的解决</w:t>
      </w:r>
    </w:p>
    <w:p w14:paraId="6110ABA5">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因本保函发生的纠纷，由你我双方协商解决，协商不成的，通过诉讼程序解决，诉讼管辖地法院为</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法院。</w:t>
      </w:r>
    </w:p>
    <w:p w14:paraId="176FC4BE">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七、保函的生效</w:t>
      </w:r>
    </w:p>
    <w:p w14:paraId="3F0D0878">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本保函自我方加盖公章之日起生效。</w:t>
      </w:r>
    </w:p>
    <w:p w14:paraId="3B56DE63">
      <w:pPr>
        <w:keepNext w:val="0"/>
        <w:keepLines w:val="0"/>
        <w:pageBreakBefore w:val="0"/>
        <w:widowControl w:val="0"/>
        <w:shd w:val="clear" w:color="auto" w:fill="auto"/>
        <w:kinsoku/>
        <w:wordWrap/>
        <w:overflowPunct/>
        <w:topLinePunct w:val="0"/>
        <w:autoSpaceDE/>
        <w:autoSpaceDN/>
        <w:bidi w:val="0"/>
        <w:snapToGrid/>
        <w:spacing w:line="400" w:lineRule="exact"/>
        <w:jc w:val="right"/>
        <w:rPr>
          <w:rFonts w:hint="eastAsia" w:ascii="宋体" w:hAnsi="宋体" w:eastAsia="宋体" w:cs="宋体"/>
          <w:color w:val="auto"/>
          <w:highlight w:val="none"/>
        </w:rPr>
      </w:pPr>
      <w:r>
        <w:rPr>
          <w:rFonts w:hint="eastAsia" w:ascii="宋体" w:hAnsi="宋体" w:eastAsia="宋体" w:cs="宋体"/>
          <w:color w:val="auto"/>
          <w:highlight w:val="none"/>
        </w:rPr>
        <w:t>保证人：（公章）</w:t>
      </w:r>
    </w:p>
    <w:p w14:paraId="2A327F1E">
      <w:pPr>
        <w:keepNext w:val="0"/>
        <w:keepLines w:val="0"/>
        <w:pageBreakBefore w:val="0"/>
        <w:widowControl w:val="0"/>
        <w:shd w:val="clear" w:color="auto" w:fill="auto"/>
        <w:kinsoku/>
        <w:wordWrap/>
        <w:overflowPunct/>
        <w:topLinePunct w:val="0"/>
        <w:autoSpaceDE/>
        <w:autoSpaceDN/>
        <w:bidi w:val="0"/>
        <w:snapToGrid/>
        <w:spacing w:line="400" w:lineRule="exact"/>
        <w:jc w:val="right"/>
        <w:rPr>
          <w:rFonts w:hint="eastAsia" w:ascii="宋体" w:hAnsi="宋体" w:eastAsia="宋体" w:cs="宋体"/>
          <w:color w:val="auto"/>
          <w:highlight w:val="none"/>
        </w:rPr>
      </w:pPr>
      <w:r>
        <w:rPr>
          <w:rFonts w:hint="eastAsia" w:ascii="宋体" w:hAnsi="宋体" w:eastAsia="宋体" w:cs="宋体"/>
          <w:color w:val="auto"/>
          <w:highlight w:val="none"/>
        </w:rPr>
        <w:t>年     月      日</w:t>
      </w:r>
    </w:p>
    <w:p w14:paraId="5D62B53F">
      <w:pPr>
        <w:pStyle w:val="7"/>
        <w:keepNext w:val="0"/>
        <w:keepLines w:val="0"/>
        <w:pageBreakBefore w:val="0"/>
        <w:widowControl w:val="0"/>
        <w:kinsoku/>
        <w:wordWrap/>
        <w:overflowPunct/>
        <w:topLinePunct w:val="0"/>
        <w:autoSpaceDE/>
        <w:autoSpaceDN/>
        <w:bidi w:val="0"/>
        <w:snapToGrid/>
        <w:spacing w:line="400" w:lineRule="exact"/>
        <w:rPr>
          <w:rFonts w:hint="eastAsia"/>
        </w:rPr>
        <w:sectPr>
          <w:footerReference r:id="rId3" w:type="default"/>
          <w:pgSz w:w="11905" w:h="16838"/>
          <w:pgMar w:top="1440" w:right="1797" w:bottom="1440" w:left="1797" w:header="850" w:footer="992" w:gutter="0"/>
          <w:pgNumType w:fmt="decimal"/>
          <w:cols w:space="720" w:num="1"/>
          <w:rtlGutter w:val="0"/>
          <w:docGrid w:type="linesAndChars" w:linePitch="325" w:charSpace="635"/>
        </w:sectPr>
      </w:pPr>
    </w:p>
    <w:p w14:paraId="7B3D2CBA">
      <w:pPr>
        <w:shd w:val="clear" w:color="auto" w:fill="auto"/>
        <w:jc w:val="both"/>
        <w:rPr>
          <w:rFonts w:hint="eastAsia" w:ascii="宋体" w:hAnsi="宋体" w:eastAsia="宋体" w:cs="宋体"/>
          <w:b/>
          <w:bCs/>
          <w:color w:val="auto"/>
          <w:kern w:val="0"/>
          <w:sz w:val="24"/>
          <w:szCs w:val="20"/>
          <w:highlight w:val="none"/>
          <w:lang w:val="en-US" w:eastAsia="zh-CN" w:bidi="ar-SA"/>
        </w:rPr>
      </w:pPr>
    </w:p>
    <w:p w14:paraId="5A50A645">
      <w:pPr>
        <w:shd w:val="clear" w:color="auto" w:fill="auto"/>
        <w:jc w:val="both"/>
        <w:rPr>
          <w:rFonts w:hint="eastAsia" w:ascii="宋体" w:hAnsi="宋体" w:eastAsia="宋体" w:cs="宋体"/>
          <w:b/>
          <w:bCs/>
          <w:color w:val="auto"/>
          <w:kern w:val="0"/>
          <w:sz w:val="24"/>
          <w:szCs w:val="20"/>
          <w:highlight w:val="none"/>
          <w:lang w:val="en-US" w:eastAsia="zh-CN" w:bidi="ar-SA"/>
        </w:rPr>
      </w:pPr>
    </w:p>
    <w:p w14:paraId="0F02D69F">
      <w:pPr>
        <w:pStyle w:val="24"/>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360" w:lineRule="auto"/>
        <w:ind w:left="0" w:right="0"/>
        <w:jc w:val="both"/>
        <w:textAlignment w:val="auto"/>
        <w:rPr>
          <w:rFonts w:hint="eastAsia" w:ascii="宋体" w:hAnsi="宋体" w:eastAsia="宋体" w:cs="宋体"/>
          <w:b/>
          <w:bCs/>
          <w:color w:val="auto"/>
          <w:kern w:val="0"/>
          <w:sz w:val="24"/>
          <w:szCs w:val="20"/>
          <w:highlight w:val="none"/>
          <w:lang w:val="en-US" w:eastAsia="zh-CN" w:bidi="ar-SA"/>
        </w:rPr>
      </w:pPr>
      <w:r>
        <w:rPr>
          <w:rFonts w:hint="eastAsia" w:ascii="宋体" w:hAnsi="宋体" w:eastAsia="宋体" w:cs="宋体"/>
          <w:b/>
          <w:bCs/>
          <w:color w:val="auto"/>
          <w:kern w:val="0"/>
          <w:sz w:val="24"/>
          <w:szCs w:val="20"/>
          <w:highlight w:val="none"/>
          <w:lang w:val="en-US" w:eastAsia="zh-CN" w:bidi="ar-SA"/>
        </w:rPr>
        <w:t>5、投标企业须提供投标人（被授权在职人员）</w:t>
      </w:r>
      <w:r>
        <w:rPr>
          <w:rFonts w:hint="eastAsia" w:cs="宋体"/>
          <w:b/>
          <w:bCs/>
          <w:color w:val="auto"/>
          <w:kern w:val="0"/>
          <w:sz w:val="24"/>
          <w:szCs w:val="20"/>
          <w:highlight w:val="none"/>
          <w:lang w:val="en-US" w:eastAsia="zh-CN" w:bidi="ar-SA"/>
        </w:rPr>
        <w:t>近6个月内任何1月已依法缴纳社会保险的凭据</w:t>
      </w:r>
      <w:r>
        <w:rPr>
          <w:rFonts w:hint="eastAsia" w:ascii="宋体" w:hAnsi="宋体" w:eastAsia="宋体" w:cs="宋体"/>
          <w:b/>
          <w:bCs/>
          <w:color w:val="auto"/>
          <w:kern w:val="0"/>
          <w:sz w:val="24"/>
          <w:szCs w:val="20"/>
          <w:highlight w:val="none"/>
          <w:lang w:val="en-US" w:eastAsia="zh-CN" w:bidi="ar-SA"/>
        </w:rPr>
        <w:t>（依法不需要缴纳社会保障资金的供应商，应提供相应证明文件，新成立企业需提供资信证明）；</w:t>
      </w:r>
    </w:p>
    <w:p w14:paraId="7824819D">
      <w:pPr>
        <w:shd w:val="clear" w:color="auto" w:fill="auto"/>
        <w:spacing w:line="360" w:lineRule="auto"/>
        <w:jc w:val="both"/>
        <w:rPr>
          <w:rFonts w:hint="eastAsia" w:ascii="宋体" w:hAnsi="宋体" w:eastAsia="宋体" w:cs="宋体"/>
          <w:b/>
          <w:bCs/>
          <w:color w:val="auto"/>
          <w:kern w:val="0"/>
          <w:sz w:val="24"/>
          <w:szCs w:val="20"/>
          <w:highlight w:val="none"/>
          <w:lang w:val="en-US" w:eastAsia="zh-CN" w:bidi="ar-SA"/>
        </w:rPr>
      </w:pPr>
    </w:p>
    <w:p w14:paraId="5EE8AAF4">
      <w:pPr>
        <w:pStyle w:val="4"/>
        <w:numPr>
          <w:ilvl w:val="0"/>
          <w:numId w:val="0"/>
        </w:numPr>
        <w:shd w:val="clear" w:color="auto" w:fill="auto"/>
        <w:spacing w:before="0" w:line="360" w:lineRule="auto"/>
        <w:jc w:val="both"/>
        <w:rPr>
          <w:rFonts w:hint="eastAsia" w:ascii="宋体" w:hAnsi="宋体" w:eastAsia="宋体" w:cs="宋体"/>
          <w:b/>
          <w:bCs/>
          <w:color w:val="auto"/>
          <w:kern w:val="0"/>
          <w:sz w:val="24"/>
          <w:szCs w:val="20"/>
          <w:highlight w:val="none"/>
          <w:lang w:val="en-US" w:eastAsia="zh-CN" w:bidi="ar-SA"/>
        </w:rPr>
      </w:pPr>
      <w:bookmarkStart w:id="104" w:name="_Toc27021"/>
      <w:bookmarkStart w:id="105" w:name="_Toc18754"/>
      <w:bookmarkStart w:id="106" w:name="_Toc5710"/>
      <w:bookmarkStart w:id="107" w:name="_Toc515647810"/>
    </w:p>
    <w:p w14:paraId="3C7FA1E2">
      <w:pPr>
        <w:pStyle w:val="4"/>
        <w:numPr>
          <w:ilvl w:val="0"/>
          <w:numId w:val="0"/>
        </w:numPr>
        <w:shd w:val="clear" w:color="auto" w:fill="auto"/>
        <w:spacing w:before="0" w:line="360" w:lineRule="auto"/>
        <w:jc w:val="both"/>
        <w:rPr>
          <w:rFonts w:hint="eastAsia" w:ascii="宋体" w:hAnsi="宋体" w:eastAsia="宋体" w:cs="宋体"/>
          <w:b/>
          <w:bCs/>
          <w:color w:val="auto"/>
          <w:kern w:val="0"/>
          <w:sz w:val="24"/>
          <w:szCs w:val="20"/>
          <w:highlight w:val="none"/>
          <w:lang w:val="en-US" w:eastAsia="zh-CN" w:bidi="ar-SA"/>
        </w:rPr>
      </w:pPr>
      <w:r>
        <w:rPr>
          <w:rFonts w:hint="eastAsia" w:ascii="宋体" w:hAnsi="宋体" w:eastAsia="宋体" w:cs="宋体"/>
          <w:b/>
          <w:bCs/>
          <w:color w:val="auto"/>
          <w:kern w:val="0"/>
          <w:sz w:val="24"/>
          <w:szCs w:val="20"/>
          <w:highlight w:val="none"/>
          <w:lang w:val="en-US" w:eastAsia="zh-CN" w:bidi="ar-SA"/>
        </w:rPr>
        <w:t>6、</w:t>
      </w:r>
      <w:bookmarkEnd w:id="104"/>
      <w:bookmarkEnd w:id="105"/>
      <w:bookmarkEnd w:id="106"/>
      <w:bookmarkEnd w:id="107"/>
      <w:r>
        <w:rPr>
          <w:rFonts w:hint="eastAsia" w:ascii="宋体" w:hAnsi="宋体" w:eastAsia="宋体" w:cs="宋体"/>
          <w:b/>
          <w:bCs/>
          <w:color w:val="auto"/>
          <w:kern w:val="0"/>
          <w:sz w:val="24"/>
          <w:szCs w:val="20"/>
          <w:highlight w:val="none"/>
          <w:lang w:val="en-US" w:eastAsia="zh-CN" w:bidi="ar-SA"/>
        </w:rPr>
        <w:t>参加政府采购活动前3年内在经营活动中没有重大违法记录的书面声明</w:t>
      </w:r>
    </w:p>
    <w:p w14:paraId="7CCDB460">
      <w:pPr>
        <w:pStyle w:val="14"/>
        <w:shd w:val="clear" w:color="auto" w:fill="auto"/>
        <w:tabs>
          <w:tab w:val="left" w:pos="5580"/>
        </w:tabs>
        <w:spacing w:line="360" w:lineRule="auto"/>
        <w:ind w:left="1087" w:leftChars="257" w:hanging="540"/>
        <w:jc w:val="center"/>
        <w:rPr>
          <w:rFonts w:hint="eastAsia" w:ascii="宋体" w:hAnsi="宋体" w:eastAsia="宋体" w:cs="宋体"/>
          <w:b/>
          <w:color w:val="auto"/>
          <w:sz w:val="24"/>
          <w:highlight w:val="none"/>
        </w:rPr>
      </w:pPr>
    </w:p>
    <w:p w14:paraId="391EB7FA">
      <w:pPr>
        <w:pStyle w:val="14"/>
        <w:shd w:val="clear" w:color="auto" w:fill="auto"/>
        <w:tabs>
          <w:tab w:val="left" w:pos="5580"/>
        </w:tabs>
        <w:spacing w:line="360" w:lineRule="auto"/>
        <w:ind w:left="1087" w:leftChars="257" w:hanging="540"/>
        <w:rPr>
          <w:rFonts w:hint="eastAsia" w:ascii="宋体" w:hAnsi="宋体" w:eastAsia="宋体" w:cs="宋体"/>
          <w:color w:val="auto"/>
          <w:sz w:val="24"/>
          <w:highlight w:val="none"/>
        </w:rPr>
      </w:pPr>
    </w:p>
    <w:p w14:paraId="665232D5">
      <w:pPr>
        <w:shd w:val="clear" w:color="auto" w:fill="auto"/>
        <w:spacing w:line="360" w:lineRule="auto"/>
        <w:rPr>
          <w:rFonts w:hint="eastAsia" w:ascii="宋体" w:hAnsi="宋体" w:eastAsia="宋体" w:cs="宋体"/>
          <w:b/>
          <w:bCs/>
          <w:color w:val="auto"/>
          <w:highlight w:val="none"/>
          <w:lang w:val="en-US" w:eastAsia="zh-CN"/>
        </w:rPr>
      </w:pPr>
    </w:p>
    <w:p w14:paraId="767420F0">
      <w:pPr>
        <w:shd w:val="clear" w:color="auto" w:fill="auto"/>
        <w:spacing w:line="360" w:lineRule="auto"/>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7、投标企业需提供未被“信用中国”（www.creditchina.gov.cn）、中国政府采购网（www.ccgp.gov.cn）列入失信被执行人、重大税收违法案件当事人名单、政府采购严重违法失信行为记录名单；</w:t>
      </w:r>
    </w:p>
    <w:p w14:paraId="3EA0EF41">
      <w:pPr>
        <w:shd w:val="clear" w:color="auto" w:fill="auto"/>
        <w:spacing w:line="360" w:lineRule="auto"/>
        <w:rPr>
          <w:rFonts w:hint="eastAsia" w:ascii="宋体" w:hAnsi="宋体" w:eastAsia="宋体" w:cs="宋体"/>
          <w:b/>
          <w:bCs/>
          <w:color w:val="auto"/>
          <w:highlight w:val="none"/>
          <w:lang w:val="en-US" w:eastAsia="zh-CN"/>
        </w:rPr>
      </w:pPr>
    </w:p>
    <w:p w14:paraId="2D5E5BAB">
      <w:pPr>
        <w:shd w:val="clear" w:color="auto" w:fill="auto"/>
        <w:spacing w:line="360" w:lineRule="auto"/>
        <w:rPr>
          <w:rFonts w:hint="eastAsia" w:ascii="宋体" w:hAnsi="宋体" w:eastAsia="宋体" w:cs="宋体"/>
          <w:b/>
          <w:bCs/>
          <w:color w:val="auto"/>
          <w:highlight w:val="none"/>
          <w:lang w:val="en-US" w:eastAsia="zh-CN"/>
        </w:rPr>
      </w:pPr>
    </w:p>
    <w:p w14:paraId="3BC2D239">
      <w:pPr>
        <w:shd w:val="clear" w:color="auto" w:fill="auto"/>
        <w:spacing w:line="360" w:lineRule="auto"/>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8、</w:t>
      </w:r>
      <w:r>
        <w:rPr>
          <w:rFonts w:hint="eastAsia" w:ascii="宋体" w:hAnsi="宋体" w:cs="宋体"/>
          <w:b/>
          <w:bCs/>
          <w:color w:val="auto"/>
          <w:highlight w:val="none"/>
          <w:lang w:val="en-US" w:eastAsia="zh-CN"/>
        </w:rPr>
        <w:t>在中华人民共和国境内注册的，经中国保险监督管理委员会批准，具有人身保险业务经营资格</w:t>
      </w:r>
      <w:r>
        <w:rPr>
          <w:rFonts w:hint="eastAsia" w:ascii="宋体" w:hAnsi="宋体" w:eastAsia="宋体" w:cs="宋体"/>
          <w:b/>
          <w:bCs/>
          <w:color w:val="auto"/>
          <w:highlight w:val="none"/>
          <w:lang w:val="en-US" w:eastAsia="zh-CN"/>
        </w:rPr>
        <w:t>；</w:t>
      </w:r>
    </w:p>
    <w:p w14:paraId="754273EF">
      <w:pPr>
        <w:pStyle w:val="4"/>
        <w:numPr>
          <w:ilvl w:val="0"/>
          <w:numId w:val="0"/>
        </w:numPr>
        <w:shd w:val="clear" w:color="auto" w:fill="auto"/>
        <w:spacing w:before="0" w:line="240" w:lineRule="atLeast"/>
        <w:rPr>
          <w:rFonts w:hint="eastAsia" w:ascii="宋体" w:hAnsi="宋体" w:eastAsia="宋体" w:cs="宋体"/>
          <w:color w:val="auto"/>
          <w:sz w:val="24"/>
          <w:highlight w:val="none"/>
        </w:rPr>
      </w:pPr>
    </w:p>
    <w:p w14:paraId="537C55CF">
      <w:pPr>
        <w:pStyle w:val="4"/>
        <w:numPr>
          <w:ilvl w:val="0"/>
          <w:numId w:val="0"/>
        </w:numPr>
        <w:shd w:val="clear" w:color="auto" w:fill="auto"/>
        <w:spacing w:before="0" w:line="240" w:lineRule="atLeast"/>
        <w:rPr>
          <w:rFonts w:hint="eastAsia" w:ascii="宋体" w:hAnsi="宋体" w:eastAsia="宋体" w:cs="宋体"/>
          <w:b/>
          <w:bCs/>
          <w:color w:val="auto"/>
          <w:kern w:val="2"/>
          <w:sz w:val="21"/>
          <w:szCs w:val="24"/>
          <w:highlight w:val="none"/>
          <w:lang w:val="en-US" w:eastAsia="zh-CN" w:bidi="ar-SA"/>
        </w:rPr>
      </w:pPr>
    </w:p>
    <w:p w14:paraId="0684459F">
      <w:pPr>
        <w:pStyle w:val="4"/>
        <w:numPr>
          <w:ilvl w:val="0"/>
          <w:numId w:val="0"/>
        </w:numPr>
        <w:shd w:val="clear" w:color="auto" w:fill="auto"/>
        <w:spacing w:before="0" w:line="240" w:lineRule="atLeast"/>
        <w:rPr>
          <w:rFonts w:hint="eastAsia" w:ascii="宋体" w:hAnsi="宋体" w:eastAsia="宋体" w:cs="宋体"/>
          <w:color w:val="auto"/>
          <w:sz w:val="24"/>
          <w:highlight w:val="none"/>
        </w:rPr>
      </w:pPr>
    </w:p>
    <w:p w14:paraId="37FFC168">
      <w:pPr>
        <w:pStyle w:val="4"/>
        <w:numPr>
          <w:ilvl w:val="0"/>
          <w:numId w:val="0"/>
        </w:numPr>
        <w:shd w:val="clear" w:color="auto" w:fill="auto"/>
        <w:spacing w:before="0" w:line="240" w:lineRule="atLeast"/>
        <w:rPr>
          <w:rFonts w:hint="eastAsia" w:ascii="宋体" w:hAnsi="宋体" w:eastAsia="宋体" w:cs="宋体"/>
          <w:color w:val="auto"/>
          <w:sz w:val="24"/>
          <w:highlight w:val="none"/>
        </w:rPr>
      </w:pPr>
    </w:p>
    <w:p w14:paraId="366D7D66">
      <w:pPr>
        <w:shd w:val="clear" w:color="auto" w:fill="auto"/>
        <w:spacing w:line="440" w:lineRule="exact"/>
        <w:rPr>
          <w:rFonts w:hint="eastAsia" w:ascii="宋体" w:hAnsi="宋体" w:eastAsia="宋体" w:cs="宋体"/>
          <w:b/>
          <w:bCs/>
          <w:color w:val="auto"/>
          <w:kern w:val="2"/>
          <w:sz w:val="21"/>
          <w:szCs w:val="24"/>
          <w:highlight w:val="none"/>
          <w:lang w:val="en-US" w:eastAsia="zh-CN" w:bidi="ar-SA"/>
        </w:rPr>
      </w:pPr>
      <w:r>
        <w:rPr>
          <w:rFonts w:hint="eastAsia" w:ascii="宋体" w:hAnsi="宋体" w:cs="宋体"/>
          <w:b/>
          <w:bCs/>
          <w:color w:val="auto"/>
          <w:kern w:val="2"/>
          <w:sz w:val="21"/>
          <w:szCs w:val="24"/>
          <w:highlight w:val="none"/>
          <w:lang w:val="en-US" w:eastAsia="zh-CN" w:bidi="ar-SA"/>
        </w:rPr>
        <w:t>9</w:t>
      </w:r>
      <w:r>
        <w:rPr>
          <w:rFonts w:hint="eastAsia" w:ascii="宋体" w:hAnsi="宋体" w:eastAsia="宋体" w:cs="宋体"/>
          <w:b/>
          <w:bCs/>
          <w:color w:val="auto"/>
          <w:kern w:val="2"/>
          <w:sz w:val="21"/>
          <w:szCs w:val="24"/>
          <w:highlight w:val="none"/>
          <w:lang w:val="en-US" w:eastAsia="zh-CN" w:bidi="ar-SA"/>
        </w:rPr>
        <w:t>、投标人须知资料表要求的其他资格证明文件</w:t>
      </w:r>
      <w:r>
        <w:rPr>
          <w:rFonts w:hint="eastAsia" w:ascii="宋体" w:hAnsi="宋体" w:cs="宋体"/>
          <w:b/>
          <w:bCs/>
          <w:color w:val="auto"/>
          <w:kern w:val="2"/>
          <w:sz w:val="21"/>
          <w:szCs w:val="24"/>
          <w:highlight w:val="none"/>
          <w:lang w:val="en-US" w:eastAsia="zh-CN" w:bidi="ar-SA"/>
        </w:rPr>
        <w:t>。</w:t>
      </w:r>
    </w:p>
    <w:p w14:paraId="25197805">
      <w:pPr>
        <w:pStyle w:val="4"/>
        <w:numPr>
          <w:ilvl w:val="0"/>
          <w:numId w:val="0"/>
        </w:numPr>
        <w:shd w:val="clear" w:color="auto" w:fill="auto"/>
        <w:spacing w:before="0" w:line="240" w:lineRule="atLeast"/>
        <w:rPr>
          <w:rFonts w:hint="eastAsia" w:ascii="宋体" w:hAnsi="宋体" w:eastAsia="宋体" w:cs="宋体"/>
          <w:color w:val="auto"/>
          <w:sz w:val="24"/>
          <w:highlight w:val="none"/>
          <w:lang w:val="en-US" w:eastAsia="zh-CN"/>
        </w:rPr>
      </w:pPr>
      <w:bookmarkStart w:id="108" w:name="_Toc4937"/>
      <w:bookmarkStart w:id="109" w:name="_Toc24428"/>
      <w:bookmarkStart w:id="110" w:name="_Toc515647811"/>
      <w:bookmarkStart w:id="111" w:name="_Toc32670"/>
    </w:p>
    <w:p w14:paraId="40A0F5C2">
      <w:pPr>
        <w:rPr>
          <w:rFonts w:hint="eastAsia" w:ascii="宋体" w:hAnsi="宋体" w:eastAsia="宋体" w:cs="宋体"/>
          <w:color w:val="auto"/>
          <w:sz w:val="24"/>
          <w:highlight w:val="none"/>
          <w:lang w:val="en-US" w:eastAsia="zh-CN"/>
        </w:rPr>
      </w:pPr>
    </w:p>
    <w:p w14:paraId="77495405">
      <w:pPr>
        <w:pStyle w:val="10"/>
        <w:rPr>
          <w:rFonts w:hint="eastAsia" w:ascii="宋体" w:hAnsi="宋体" w:eastAsia="宋体" w:cs="宋体"/>
          <w:color w:val="auto"/>
          <w:sz w:val="24"/>
          <w:highlight w:val="none"/>
          <w:lang w:val="en-US" w:eastAsia="zh-CN"/>
        </w:rPr>
      </w:pPr>
    </w:p>
    <w:p w14:paraId="273DFF88">
      <w:pPr>
        <w:rPr>
          <w:rFonts w:hint="eastAsia" w:ascii="宋体" w:hAnsi="宋体" w:eastAsia="宋体" w:cs="宋体"/>
          <w:color w:val="auto"/>
          <w:sz w:val="24"/>
          <w:highlight w:val="none"/>
          <w:lang w:val="en-US" w:eastAsia="zh-CN"/>
        </w:rPr>
      </w:pPr>
    </w:p>
    <w:p w14:paraId="64CC1C41">
      <w:pPr>
        <w:pStyle w:val="10"/>
        <w:rPr>
          <w:rFonts w:hint="eastAsia"/>
          <w:lang w:val="en-US" w:eastAsia="zh-CN"/>
        </w:rPr>
      </w:pPr>
    </w:p>
    <w:p w14:paraId="3DE7086B">
      <w:pPr>
        <w:pStyle w:val="12"/>
        <w:rPr>
          <w:rFonts w:hint="eastAsia"/>
          <w:lang w:val="en-US" w:eastAsia="zh-CN"/>
        </w:rPr>
      </w:pPr>
    </w:p>
    <w:p w14:paraId="759DC119">
      <w:pPr>
        <w:rPr>
          <w:rFonts w:hint="eastAsia"/>
          <w:lang w:val="en-US" w:eastAsia="zh-CN"/>
        </w:rPr>
      </w:pPr>
    </w:p>
    <w:bookmarkEnd w:id="108"/>
    <w:bookmarkEnd w:id="109"/>
    <w:bookmarkEnd w:id="110"/>
    <w:bookmarkEnd w:id="111"/>
    <w:p w14:paraId="333FE207">
      <w:pPr>
        <w:pStyle w:val="14"/>
        <w:shd w:val="clear" w:color="auto" w:fill="auto"/>
        <w:tabs>
          <w:tab w:val="left" w:pos="5580"/>
        </w:tabs>
        <w:spacing w:line="240" w:lineRule="atLeast"/>
        <w:ind w:left="1087" w:leftChars="257" w:hanging="540"/>
        <w:rPr>
          <w:rFonts w:hint="eastAsia" w:ascii="宋体" w:hAnsi="宋体" w:eastAsia="宋体" w:cs="宋体"/>
          <w:color w:val="auto"/>
          <w:sz w:val="24"/>
          <w:highlight w:val="none"/>
        </w:rPr>
      </w:pPr>
    </w:p>
    <w:p w14:paraId="168FD354">
      <w:pPr>
        <w:pStyle w:val="3"/>
        <w:keepNext/>
        <w:keepLines/>
        <w:pageBreakBefore w:val="0"/>
        <w:widowControl w:val="0"/>
        <w:shd w:val="clear" w:color="auto" w:fill="auto"/>
        <w:kinsoku/>
        <w:wordWrap/>
        <w:overflowPunct/>
        <w:topLinePunct w:val="0"/>
        <w:autoSpaceDE/>
        <w:autoSpaceDN/>
        <w:bidi w:val="0"/>
        <w:adjustRightInd/>
        <w:snapToGrid/>
        <w:spacing w:before="40" w:after="40" w:line="579" w:lineRule="auto"/>
        <w:jc w:val="center"/>
        <w:textAlignment w:val="auto"/>
        <w:rPr>
          <w:rFonts w:hint="eastAsia"/>
          <w:color w:val="auto"/>
          <w:sz w:val="32"/>
          <w:szCs w:val="32"/>
          <w:highlight w:val="none"/>
        </w:rPr>
      </w:pPr>
      <w:bookmarkStart w:id="112" w:name="_Toc11180"/>
      <w:bookmarkStart w:id="113" w:name="_Toc22967"/>
      <w:bookmarkStart w:id="114" w:name="_Toc5695"/>
      <w:bookmarkStart w:id="115" w:name="_Toc515647816"/>
      <w:r>
        <w:rPr>
          <w:rFonts w:hint="eastAsia"/>
          <w:color w:val="auto"/>
          <w:sz w:val="32"/>
          <w:szCs w:val="32"/>
          <w:highlight w:val="none"/>
        </w:rPr>
        <w:t>第二部分  商务及技术文件</w:t>
      </w:r>
      <w:bookmarkEnd w:id="112"/>
      <w:bookmarkEnd w:id="113"/>
      <w:bookmarkEnd w:id="114"/>
      <w:bookmarkEnd w:id="115"/>
    </w:p>
    <w:p w14:paraId="4E1A1058">
      <w:pPr>
        <w:shd w:val="clear" w:color="auto" w:fill="auto"/>
        <w:spacing w:line="360" w:lineRule="auto"/>
        <w:ind w:firstLine="287" w:firstLineChars="135"/>
        <w:rPr>
          <w:rFonts w:hint="eastAsia" w:ascii="宋体" w:hAnsi="宋体" w:eastAsia="宋体" w:cs="Times New Roman"/>
          <w:color w:val="000000"/>
          <w:szCs w:val="21"/>
          <w:highlight w:val="none"/>
          <w:lang w:val="en-US" w:eastAsia="zh-CN"/>
        </w:rPr>
      </w:pPr>
      <w:r>
        <w:rPr>
          <w:rFonts w:hint="eastAsia" w:ascii="宋体" w:hAnsi="宋体" w:eastAsia="宋体" w:cs="Times New Roman"/>
          <w:color w:val="000000"/>
          <w:szCs w:val="21"/>
          <w:highlight w:val="none"/>
          <w:lang w:val="en-US" w:eastAsia="zh-CN"/>
        </w:rPr>
        <w:t>1、投标函</w:t>
      </w:r>
    </w:p>
    <w:p w14:paraId="75D23451">
      <w:pPr>
        <w:shd w:val="clear" w:color="auto" w:fill="auto"/>
        <w:spacing w:line="360" w:lineRule="auto"/>
        <w:ind w:firstLine="287" w:firstLineChars="135"/>
        <w:rPr>
          <w:rFonts w:hint="eastAsia" w:ascii="宋体" w:hAnsi="宋体" w:eastAsia="宋体" w:cs="Times New Roman"/>
          <w:color w:val="000000"/>
          <w:szCs w:val="21"/>
          <w:highlight w:val="none"/>
          <w:lang w:val="en-US" w:eastAsia="zh-CN"/>
        </w:rPr>
      </w:pPr>
      <w:r>
        <w:rPr>
          <w:rFonts w:hint="eastAsia" w:ascii="宋体" w:hAnsi="宋体" w:eastAsia="宋体" w:cs="Times New Roman"/>
          <w:color w:val="000000"/>
          <w:szCs w:val="21"/>
          <w:highlight w:val="none"/>
          <w:lang w:val="en-US" w:eastAsia="zh-CN"/>
        </w:rPr>
        <w:t>2、开标一览表</w:t>
      </w:r>
    </w:p>
    <w:p w14:paraId="3D90C268">
      <w:pPr>
        <w:shd w:val="clear" w:color="auto" w:fill="auto"/>
        <w:spacing w:line="360" w:lineRule="auto"/>
        <w:ind w:firstLine="287" w:firstLineChars="135"/>
        <w:rPr>
          <w:rFonts w:hint="eastAsia" w:ascii="宋体" w:hAnsi="宋体" w:eastAsia="宋体" w:cs="Times New Roman"/>
          <w:color w:val="000000"/>
          <w:szCs w:val="21"/>
          <w:highlight w:val="none"/>
          <w:lang w:val="en-US" w:eastAsia="zh-CN"/>
        </w:rPr>
      </w:pPr>
      <w:r>
        <w:rPr>
          <w:rFonts w:hint="eastAsia" w:ascii="宋体" w:hAnsi="宋体" w:eastAsia="宋体" w:cs="Times New Roman"/>
          <w:color w:val="000000"/>
          <w:szCs w:val="21"/>
          <w:highlight w:val="none"/>
          <w:lang w:val="en-US" w:eastAsia="zh-CN"/>
        </w:rPr>
        <w:t>3、投标分项报价表</w:t>
      </w:r>
    </w:p>
    <w:p w14:paraId="1D11EF07">
      <w:pPr>
        <w:shd w:val="clear" w:color="auto" w:fill="auto"/>
        <w:spacing w:line="360" w:lineRule="auto"/>
        <w:ind w:firstLine="287" w:firstLineChars="135"/>
        <w:rPr>
          <w:rFonts w:hint="eastAsia" w:ascii="宋体" w:hAnsi="宋体" w:eastAsia="宋体" w:cs="Times New Roman"/>
          <w:color w:val="000000"/>
          <w:szCs w:val="21"/>
          <w:highlight w:val="none"/>
          <w:lang w:val="en-US" w:eastAsia="zh-CN"/>
        </w:rPr>
      </w:pPr>
      <w:r>
        <w:rPr>
          <w:rFonts w:hint="eastAsia" w:ascii="宋体" w:hAnsi="宋体" w:eastAsia="宋体" w:cs="Times New Roman"/>
          <w:color w:val="000000"/>
          <w:szCs w:val="21"/>
          <w:highlight w:val="none"/>
          <w:lang w:val="en-US" w:eastAsia="zh-CN"/>
        </w:rPr>
        <w:t>4、技术规格偏离表</w:t>
      </w:r>
    </w:p>
    <w:p w14:paraId="6DA8A616">
      <w:pPr>
        <w:shd w:val="clear" w:color="auto" w:fill="auto"/>
        <w:spacing w:line="360" w:lineRule="auto"/>
        <w:ind w:firstLine="287" w:firstLineChars="135"/>
        <w:rPr>
          <w:rFonts w:hint="eastAsia" w:ascii="宋体" w:hAnsi="宋体" w:eastAsia="宋体" w:cs="Times New Roman"/>
          <w:color w:val="000000"/>
          <w:szCs w:val="21"/>
          <w:highlight w:val="none"/>
          <w:lang w:val="en-US" w:eastAsia="zh-CN"/>
        </w:rPr>
      </w:pPr>
      <w:r>
        <w:rPr>
          <w:rFonts w:hint="eastAsia" w:ascii="宋体" w:hAnsi="宋体" w:eastAsia="宋体" w:cs="Times New Roman"/>
          <w:color w:val="000000"/>
          <w:szCs w:val="21"/>
          <w:highlight w:val="none"/>
          <w:lang w:val="en-US" w:eastAsia="zh-CN"/>
        </w:rPr>
        <w:t>5、商务条款偏离表</w:t>
      </w:r>
    </w:p>
    <w:p w14:paraId="0C088297">
      <w:pPr>
        <w:shd w:val="clear" w:color="auto" w:fill="auto"/>
        <w:spacing w:line="360" w:lineRule="auto"/>
        <w:ind w:firstLine="287" w:firstLineChars="135"/>
        <w:rPr>
          <w:rFonts w:hint="eastAsia" w:ascii="宋体" w:hAnsi="宋体" w:eastAsia="宋体" w:cs="Times New Roman"/>
          <w:color w:val="000000"/>
          <w:szCs w:val="21"/>
          <w:highlight w:val="none"/>
          <w:lang w:val="en-US" w:eastAsia="zh-CN"/>
        </w:rPr>
      </w:pPr>
      <w:r>
        <w:rPr>
          <w:rFonts w:hint="eastAsia" w:ascii="宋体" w:hAnsi="宋体" w:eastAsia="宋体" w:cs="Times New Roman"/>
          <w:color w:val="000000"/>
          <w:szCs w:val="21"/>
          <w:highlight w:val="none"/>
          <w:lang w:val="en-US" w:eastAsia="zh-CN"/>
        </w:rPr>
        <w:t>6、投标人基本情况表</w:t>
      </w:r>
    </w:p>
    <w:p w14:paraId="38CB6B2B">
      <w:pPr>
        <w:shd w:val="clear" w:color="auto" w:fill="auto"/>
        <w:spacing w:line="360" w:lineRule="auto"/>
        <w:ind w:firstLine="287" w:firstLineChars="135"/>
        <w:rPr>
          <w:rFonts w:hint="eastAsia" w:ascii="宋体" w:hAnsi="宋体" w:eastAsia="宋体" w:cs="Times New Roman"/>
          <w:color w:val="000000"/>
          <w:szCs w:val="21"/>
          <w:highlight w:val="none"/>
          <w:lang w:val="en-US" w:eastAsia="zh-CN"/>
        </w:rPr>
      </w:pPr>
      <w:r>
        <w:rPr>
          <w:rFonts w:hint="eastAsia" w:ascii="宋体" w:hAnsi="宋体" w:eastAsia="宋体" w:cs="Times New Roman"/>
          <w:color w:val="000000"/>
          <w:szCs w:val="21"/>
          <w:highlight w:val="none"/>
          <w:lang w:val="en-US" w:eastAsia="zh-CN"/>
        </w:rPr>
        <w:t>7、</w:t>
      </w:r>
      <w:r>
        <w:rPr>
          <w:rFonts w:hint="eastAsia" w:ascii="宋体" w:hAnsi="宋体" w:cs="Times New Roman"/>
          <w:color w:val="000000"/>
          <w:szCs w:val="21"/>
          <w:highlight w:val="none"/>
          <w:lang w:val="en-US" w:eastAsia="zh-CN"/>
        </w:rPr>
        <w:t>近三年（2022年1月1日至今）</w:t>
      </w:r>
      <w:r>
        <w:rPr>
          <w:rFonts w:hint="eastAsia" w:ascii="宋体" w:hAnsi="宋体" w:eastAsia="宋体" w:cs="Times New Roman"/>
          <w:color w:val="000000"/>
          <w:szCs w:val="21"/>
          <w:highlight w:val="none"/>
          <w:lang w:val="en-US" w:eastAsia="zh-CN"/>
        </w:rPr>
        <w:t>类似项目业绩表</w:t>
      </w:r>
    </w:p>
    <w:p w14:paraId="123B31B6">
      <w:pPr>
        <w:shd w:val="clear" w:color="auto" w:fill="auto"/>
        <w:spacing w:line="360" w:lineRule="auto"/>
        <w:ind w:firstLine="287" w:firstLineChars="135"/>
        <w:rPr>
          <w:rFonts w:hint="eastAsia" w:ascii="宋体" w:hAnsi="宋体" w:eastAsia="宋体" w:cs="Times New Roman"/>
          <w:color w:val="000000"/>
          <w:szCs w:val="21"/>
          <w:highlight w:val="none"/>
          <w:lang w:val="en-US" w:eastAsia="zh-CN"/>
        </w:rPr>
      </w:pPr>
      <w:r>
        <w:rPr>
          <w:rFonts w:hint="eastAsia" w:ascii="宋体" w:hAnsi="宋体" w:eastAsia="宋体" w:cs="Times New Roman"/>
          <w:color w:val="000000"/>
          <w:szCs w:val="21"/>
          <w:highlight w:val="none"/>
          <w:lang w:val="en-US" w:eastAsia="zh-CN"/>
        </w:rPr>
        <w:t>8、中小企业声明函(</w:t>
      </w:r>
      <w:r>
        <w:rPr>
          <w:rFonts w:hint="eastAsia" w:ascii="宋体" w:hAnsi="宋体" w:cs="Times New Roman"/>
          <w:color w:val="000000"/>
          <w:szCs w:val="21"/>
          <w:highlight w:val="none"/>
          <w:lang w:val="en-US" w:eastAsia="zh-CN"/>
        </w:rPr>
        <w:t>服务</w:t>
      </w:r>
      <w:r>
        <w:rPr>
          <w:rFonts w:hint="eastAsia" w:ascii="宋体" w:hAnsi="宋体" w:eastAsia="宋体" w:cs="Times New Roman"/>
          <w:color w:val="000000"/>
          <w:szCs w:val="21"/>
          <w:highlight w:val="none"/>
          <w:lang w:val="en-US" w:eastAsia="zh-CN"/>
        </w:rPr>
        <w:t>)</w:t>
      </w:r>
    </w:p>
    <w:p w14:paraId="416FC685">
      <w:pPr>
        <w:shd w:val="clear" w:color="auto" w:fill="auto"/>
        <w:spacing w:line="360" w:lineRule="auto"/>
        <w:ind w:firstLine="287" w:firstLineChars="135"/>
        <w:rPr>
          <w:rFonts w:hint="eastAsia" w:ascii="宋体" w:hAnsi="宋体" w:eastAsia="宋体" w:cs="Times New Roman"/>
          <w:color w:val="000000"/>
          <w:szCs w:val="21"/>
          <w:highlight w:val="none"/>
          <w:lang w:val="en-US" w:eastAsia="zh-CN"/>
        </w:rPr>
      </w:pPr>
      <w:r>
        <w:rPr>
          <w:rFonts w:hint="eastAsia" w:ascii="宋体" w:hAnsi="宋体" w:eastAsia="宋体" w:cs="Times New Roman"/>
          <w:color w:val="000000"/>
          <w:szCs w:val="21"/>
          <w:highlight w:val="none"/>
          <w:lang w:val="en-US" w:eastAsia="zh-CN"/>
        </w:rPr>
        <w:t>9、《残疾人福利性单位声明函》</w:t>
      </w:r>
    </w:p>
    <w:p w14:paraId="1FE7B8BE">
      <w:pPr>
        <w:shd w:val="clear" w:color="auto" w:fill="auto"/>
        <w:spacing w:line="360" w:lineRule="auto"/>
        <w:ind w:firstLine="287" w:firstLineChars="135"/>
        <w:rPr>
          <w:rFonts w:hint="default" w:ascii="宋体" w:hAnsi="宋体" w:eastAsia="宋体" w:cs="Times New Roman"/>
          <w:color w:val="000000"/>
          <w:szCs w:val="21"/>
          <w:highlight w:val="none"/>
          <w:lang w:val="en-US" w:eastAsia="zh-CN"/>
        </w:rPr>
      </w:pPr>
      <w:r>
        <w:rPr>
          <w:rFonts w:hint="eastAsia" w:ascii="宋体" w:hAnsi="宋体" w:eastAsia="宋体" w:cs="Times New Roman"/>
          <w:color w:val="000000"/>
          <w:szCs w:val="21"/>
          <w:highlight w:val="none"/>
          <w:lang w:val="en-US" w:eastAsia="zh-CN"/>
        </w:rPr>
        <w:t>10、</w:t>
      </w:r>
      <w:r>
        <w:rPr>
          <w:rFonts w:hint="eastAsia" w:ascii="宋体" w:hAnsi="宋体" w:cs="Times New Roman"/>
          <w:color w:val="000000"/>
          <w:szCs w:val="21"/>
          <w:highlight w:val="none"/>
          <w:lang w:val="en-US" w:eastAsia="zh-CN"/>
        </w:rPr>
        <w:t>投标人关联单位的说明</w:t>
      </w:r>
    </w:p>
    <w:p w14:paraId="35603C12">
      <w:pPr>
        <w:shd w:val="clear" w:color="auto" w:fill="auto"/>
        <w:spacing w:line="360" w:lineRule="auto"/>
        <w:ind w:firstLine="287" w:firstLineChars="135"/>
        <w:rPr>
          <w:rFonts w:hint="eastAsia" w:ascii="宋体" w:hAnsi="宋体" w:eastAsia="宋体" w:cs="Times New Roman"/>
          <w:color w:val="000000"/>
          <w:szCs w:val="21"/>
          <w:highlight w:val="none"/>
          <w:lang w:val="en-US" w:eastAsia="zh-CN"/>
        </w:rPr>
      </w:pPr>
      <w:r>
        <w:rPr>
          <w:rFonts w:hint="eastAsia" w:ascii="宋体" w:hAnsi="宋体" w:eastAsia="宋体" w:cs="Times New Roman"/>
          <w:color w:val="000000"/>
          <w:szCs w:val="21"/>
          <w:highlight w:val="none"/>
          <w:lang w:val="en-US" w:eastAsia="zh-CN"/>
        </w:rPr>
        <w:t>11、评分标准和细则中技术部分证明材料</w:t>
      </w:r>
    </w:p>
    <w:p w14:paraId="231E1B81">
      <w:pPr>
        <w:shd w:val="clear" w:color="auto" w:fill="auto"/>
        <w:spacing w:line="360" w:lineRule="auto"/>
        <w:ind w:firstLine="287" w:firstLineChars="135"/>
        <w:rPr>
          <w:rFonts w:hint="eastAsia" w:ascii="宋体" w:hAnsi="宋体" w:eastAsia="宋体" w:cs="Times New Roman"/>
          <w:color w:val="000000"/>
          <w:szCs w:val="21"/>
          <w:highlight w:val="none"/>
          <w:lang w:val="en-US" w:eastAsia="zh-CN"/>
        </w:rPr>
      </w:pPr>
      <w:r>
        <w:rPr>
          <w:rFonts w:hint="eastAsia" w:ascii="宋体" w:hAnsi="宋体" w:eastAsia="宋体" w:cs="Times New Roman"/>
          <w:color w:val="000000"/>
          <w:szCs w:val="21"/>
          <w:highlight w:val="none"/>
          <w:lang w:val="en-US" w:eastAsia="zh-CN"/>
        </w:rPr>
        <w:t>12、评分标准和细则中</w:t>
      </w:r>
      <w:r>
        <w:rPr>
          <w:rFonts w:hint="eastAsia" w:ascii="宋体" w:hAnsi="宋体" w:cs="Times New Roman"/>
          <w:color w:val="000000"/>
          <w:szCs w:val="21"/>
          <w:highlight w:val="none"/>
          <w:lang w:val="en-US" w:eastAsia="zh-CN"/>
        </w:rPr>
        <w:t>商务</w:t>
      </w:r>
      <w:r>
        <w:rPr>
          <w:rFonts w:hint="eastAsia" w:ascii="宋体" w:hAnsi="宋体" w:eastAsia="宋体" w:cs="Times New Roman"/>
          <w:color w:val="000000"/>
          <w:szCs w:val="21"/>
          <w:highlight w:val="none"/>
          <w:lang w:val="en-US" w:eastAsia="zh-CN"/>
        </w:rPr>
        <w:t>部分证明材料（格式自拟）</w:t>
      </w:r>
    </w:p>
    <w:p w14:paraId="7F4A587B">
      <w:pPr>
        <w:shd w:val="clear" w:color="auto" w:fill="auto"/>
        <w:spacing w:line="360" w:lineRule="auto"/>
        <w:ind w:firstLine="287" w:firstLineChars="135"/>
        <w:rPr>
          <w:rFonts w:hint="eastAsia" w:ascii="宋体" w:hAnsi="宋体" w:eastAsia="宋体" w:cs="宋体"/>
          <w:color w:val="auto"/>
          <w:sz w:val="24"/>
          <w:highlight w:val="none"/>
        </w:rPr>
      </w:pPr>
      <w:r>
        <w:rPr>
          <w:rFonts w:hint="eastAsia" w:ascii="宋体" w:hAnsi="宋体" w:eastAsia="宋体" w:cs="Times New Roman"/>
          <w:color w:val="000000"/>
          <w:szCs w:val="21"/>
          <w:highlight w:val="none"/>
          <w:lang w:val="en-US" w:eastAsia="zh-CN"/>
        </w:rPr>
        <w:t>13、投标人认为有必要提供的其他证明材料（格式自拟）</w:t>
      </w:r>
    </w:p>
    <w:bookmarkEnd w:id="84"/>
    <w:bookmarkEnd w:id="85"/>
    <w:bookmarkEnd w:id="86"/>
    <w:bookmarkEnd w:id="87"/>
    <w:p w14:paraId="1EC7BE26">
      <w:pPr>
        <w:pStyle w:val="10"/>
        <w:numPr>
          <w:ilvl w:val="0"/>
          <w:numId w:val="0"/>
        </w:numPr>
        <w:kinsoku w:val="0"/>
        <w:overflowPunct w:val="0"/>
        <w:spacing w:before="130" w:line="355" w:lineRule="auto"/>
        <w:ind w:left="480" w:leftChars="0" w:right="7" w:rightChars="0"/>
        <w:jc w:val="center"/>
        <w:rPr>
          <w:rFonts w:hint="eastAsia" w:ascii="仿宋" w:hAnsi="仿宋" w:eastAsia="仿宋" w:cs="仿宋"/>
          <w:b/>
          <w:bCs/>
          <w:color w:val="auto"/>
          <w:sz w:val="36"/>
          <w:szCs w:val="36"/>
          <w:lang w:val="en-US" w:eastAsia="zh-CN"/>
        </w:rPr>
      </w:pPr>
      <w:bookmarkStart w:id="116" w:name="_Toc1266"/>
      <w:bookmarkStart w:id="117" w:name="_Toc23473"/>
      <w:bookmarkStart w:id="118" w:name="_Toc10107"/>
    </w:p>
    <w:p w14:paraId="2005EC3A">
      <w:pPr>
        <w:pStyle w:val="10"/>
        <w:numPr>
          <w:ilvl w:val="0"/>
          <w:numId w:val="0"/>
        </w:numPr>
        <w:kinsoku w:val="0"/>
        <w:overflowPunct w:val="0"/>
        <w:spacing w:before="130" w:line="355" w:lineRule="auto"/>
        <w:ind w:left="480" w:leftChars="0" w:right="7" w:rightChars="0"/>
        <w:jc w:val="center"/>
        <w:rPr>
          <w:rFonts w:hint="eastAsia" w:ascii="仿宋" w:hAnsi="仿宋" w:eastAsia="仿宋" w:cs="仿宋"/>
          <w:b/>
          <w:bCs/>
          <w:color w:val="auto"/>
          <w:sz w:val="36"/>
          <w:szCs w:val="36"/>
          <w:lang w:val="en-US" w:eastAsia="zh-CN"/>
        </w:rPr>
      </w:pPr>
    </w:p>
    <w:p w14:paraId="484FBD17">
      <w:pPr>
        <w:pStyle w:val="10"/>
        <w:numPr>
          <w:ilvl w:val="0"/>
          <w:numId w:val="0"/>
        </w:numPr>
        <w:kinsoku w:val="0"/>
        <w:overflowPunct w:val="0"/>
        <w:spacing w:before="130" w:line="355" w:lineRule="auto"/>
        <w:ind w:left="480" w:leftChars="0" w:right="7" w:rightChars="0"/>
        <w:jc w:val="center"/>
        <w:rPr>
          <w:rFonts w:hint="eastAsia" w:ascii="仿宋" w:hAnsi="仿宋" w:eastAsia="仿宋" w:cs="仿宋"/>
          <w:b/>
          <w:bCs/>
          <w:color w:val="auto"/>
          <w:sz w:val="36"/>
          <w:szCs w:val="36"/>
          <w:lang w:val="en-US" w:eastAsia="zh-CN"/>
        </w:rPr>
      </w:pPr>
    </w:p>
    <w:p w14:paraId="01008BDB">
      <w:pPr>
        <w:pStyle w:val="10"/>
        <w:numPr>
          <w:ilvl w:val="0"/>
          <w:numId w:val="0"/>
        </w:numPr>
        <w:kinsoku w:val="0"/>
        <w:overflowPunct w:val="0"/>
        <w:spacing w:before="130" w:line="355" w:lineRule="auto"/>
        <w:ind w:left="480" w:leftChars="0" w:right="7" w:rightChars="0"/>
        <w:jc w:val="center"/>
        <w:rPr>
          <w:rFonts w:hint="eastAsia" w:ascii="仿宋" w:hAnsi="仿宋" w:eastAsia="仿宋" w:cs="仿宋"/>
          <w:b/>
          <w:bCs/>
          <w:color w:val="auto"/>
          <w:sz w:val="36"/>
          <w:szCs w:val="36"/>
          <w:lang w:val="en-US" w:eastAsia="zh-CN"/>
        </w:rPr>
      </w:pPr>
    </w:p>
    <w:p w14:paraId="58ED1A54">
      <w:pPr>
        <w:pStyle w:val="10"/>
        <w:numPr>
          <w:ilvl w:val="0"/>
          <w:numId w:val="0"/>
        </w:numPr>
        <w:kinsoku w:val="0"/>
        <w:overflowPunct w:val="0"/>
        <w:spacing w:before="130" w:line="355" w:lineRule="auto"/>
        <w:ind w:left="480" w:leftChars="0" w:right="7" w:rightChars="0"/>
        <w:jc w:val="center"/>
        <w:rPr>
          <w:rFonts w:hint="eastAsia" w:ascii="仿宋" w:hAnsi="仿宋" w:eastAsia="仿宋" w:cs="仿宋"/>
          <w:b/>
          <w:bCs/>
          <w:color w:val="auto"/>
          <w:sz w:val="36"/>
          <w:szCs w:val="36"/>
          <w:lang w:val="en-US" w:eastAsia="zh-CN"/>
        </w:rPr>
      </w:pPr>
    </w:p>
    <w:p w14:paraId="69FBC90C">
      <w:pPr>
        <w:pStyle w:val="10"/>
        <w:numPr>
          <w:ilvl w:val="0"/>
          <w:numId w:val="0"/>
        </w:numPr>
        <w:kinsoku w:val="0"/>
        <w:overflowPunct w:val="0"/>
        <w:spacing w:before="130" w:line="355" w:lineRule="auto"/>
        <w:ind w:left="480" w:leftChars="0" w:right="7" w:rightChars="0"/>
        <w:jc w:val="center"/>
        <w:rPr>
          <w:rFonts w:hint="eastAsia" w:ascii="仿宋" w:hAnsi="仿宋" w:eastAsia="仿宋" w:cs="仿宋"/>
          <w:b/>
          <w:bCs/>
          <w:color w:val="auto"/>
          <w:sz w:val="36"/>
          <w:szCs w:val="36"/>
          <w:lang w:val="en-US" w:eastAsia="zh-CN"/>
        </w:rPr>
      </w:pPr>
    </w:p>
    <w:p w14:paraId="5F542E4C">
      <w:pPr>
        <w:pStyle w:val="10"/>
        <w:numPr>
          <w:ilvl w:val="0"/>
          <w:numId w:val="0"/>
        </w:numPr>
        <w:kinsoku w:val="0"/>
        <w:overflowPunct w:val="0"/>
        <w:spacing w:before="130" w:line="355" w:lineRule="auto"/>
        <w:ind w:left="480" w:leftChars="0" w:right="7" w:rightChars="0"/>
        <w:jc w:val="center"/>
        <w:rPr>
          <w:rFonts w:hint="eastAsia" w:ascii="仿宋" w:hAnsi="仿宋" w:eastAsia="仿宋" w:cs="仿宋"/>
          <w:b/>
          <w:bCs/>
          <w:color w:val="auto"/>
          <w:sz w:val="36"/>
          <w:szCs w:val="36"/>
          <w:lang w:val="en-US" w:eastAsia="zh-CN"/>
        </w:rPr>
      </w:pPr>
    </w:p>
    <w:p w14:paraId="7C6EF909">
      <w:pPr>
        <w:pStyle w:val="10"/>
        <w:numPr>
          <w:ilvl w:val="0"/>
          <w:numId w:val="0"/>
        </w:numPr>
        <w:kinsoku w:val="0"/>
        <w:overflowPunct w:val="0"/>
        <w:spacing w:before="130" w:line="355" w:lineRule="auto"/>
        <w:ind w:left="480" w:leftChars="0" w:right="7" w:rightChars="0"/>
        <w:jc w:val="center"/>
        <w:rPr>
          <w:rFonts w:hint="eastAsia" w:ascii="仿宋" w:hAnsi="仿宋" w:eastAsia="仿宋" w:cs="仿宋"/>
          <w:b/>
          <w:bCs/>
          <w:color w:val="auto"/>
          <w:sz w:val="28"/>
          <w:szCs w:val="28"/>
          <w:lang w:val="en-US" w:eastAsia="zh-CN"/>
        </w:rPr>
      </w:pPr>
    </w:p>
    <w:p w14:paraId="72C59953">
      <w:pPr>
        <w:pStyle w:val="10"/>
        <w:numPr>
          <w:ilvl w:val="0"/>
          <w:numId w:val="0"/>
        </w:numPr>
        <w:kinsoku w:val="0"/>
        <w:overflowPunct w:val="0"/>
        <w:spacing w:before="130" w:line="355" w:lineRule="auto"/>
        <w:ind w:left="480" w:leftChars="0" w:right="7" w:rightChars="0"/>
        <w:jc w:val="center"/>
        <w:rPr>
          <w:rFonts w:hint="eastAsia" w:ascii="宋体" w:hAnsi="宋体" w:eastAsia="宋体" w:cs="宋体"/>
          <w:b/>
          <w:bCs/>
          <w:color w:val="auto"/>
          <w:sz w:val="28"/>
          <w:szCs w:val="28"/>
        </w:rPr>
      </w:pPr>
      <w:r>
        <w:rPr>
          <w:rFonts w:hint="eastAsia" w:ascii="宋体" w:hAnsi="宋体" w:eastAsia="宋体" w:cs="宋体"/>
          <w:b/>
          <w:bCs/>
          <w:color w:val="auto"/>
          <w:sz w:val="28"/>
          <w:szCs w:val="28"/>
          <w:lang w:val="en-US" w:eastAsia="zh-CN"/>
        </w:rPr>
        <w:t>1</w:t>
      </w:r>
      <w:r>
        <w:rPr>
          <w:rFonts w:hint="eastAsia" w:ascii="宋体" w:hAnsi="宋体" w:eastAsia="宋体" w:cs="宋体"/>
          <w:b/>
          <w:bCs/>
          <w:color w:val="auto"/>
          <w:sz w:val="28"/>
          <w:szCs w:val="28"/>
        </w:rPr>
        <w:t>、投标函</w:t>
      </w:r>
    </w:p>
    <w:p w14:paraId="47C84520">
      <w:pPr>
        <w:keepNext w:val="0"/>
        <w:keepLines w:val="0"/>
        <w:pageBreakBefore w:val="0"/>
        <w:widowControl w:val="0"/>
        <w:topLinePunct w:val="0"/>
        <w:autoSpaceDE/>
        <w:autoSpaceDN/>
        <w:bidi w:val="0"/>
        <w:adjustRightInd/>
        <w:snapToGrid/>
        <w:spacing w:line="440" w:lineRule="exact"/>
        <w:textAlignment w:val="auto"/>
        <w:rPr>
          <w:rFonts w:hint="eastAsia" w:ascii="宋体" w:hAnsi="宋体" w:eastAsia="宋体" w:cs="宋体"/>
          <w:color w:val="auto"/>
          <w:kern w:val="0"/>
          <w:sz w:val="21"/>
          <w:szCs w:val="21"/>
          <w:u w:val="single"/>
        </w:rPr>
      </w:pPr>
      <w:r>
        <w:rPr>
          <w:rFonts w:hint="eastAsia" w:ascii="宋体" w:hAnsi="宋体" w:eastAsia="宋体" w:cs="宋体"/>
          <w:color w:val="auto"/>
          <w:kern w:val="0"/>
          <w:sz w:val="21"/>
          <w:szCs w:val="21"/>
        </w:rPr>
        <w:t>致：</w:t>
      </w:r>
      <w:r>
        <w:rPr>
          <w:rFonts w:hint="eastAsia" w:ascii="宋体" w:hAnsi="宋体" w:eastAsia="宋体" w:cs="宋体"/>
          <w:color w:val="auto"/>
          <w:kern w:val="0"/>
          <w:sz w:val="21"/>
          <w:szCs w:val="21"/>
          <w:u w:val="single"/>
        </w:rPr>
        <w:t xml:space="preserve">                     </w:t>
      </w:r>
    </w:p>
    <w:p w14:paraId="53A880FB">
      <w:pPr>
        <w:keepNext w:val="0"/>
        <w:keepLines w:val="0"/>
        <w:pageBreakBefore w:val="0"/>
        <w:widowControl w:val="0"/>
        <w:topLinePunct w:val="0"/>
        <w:autoSpaceDE/>
        <w:autoSpaceDN/>
        <w:bidi w:val="0"/>
        <w:adjustRightInd/>
        <w:snapToGrid/>
        <w:spacing w:line="440" w:lineRule="exact"/>
        <w:ind w:firstLine="426" w:firstLineChars="200"/>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为响应你方组织的</w:t>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u w:val="single"/>
          <w:lang w:val="en-US" w:eastAsia="zh-CN"/>
        </w:rPr>
        <w:t xml:space="preserve">                </w:t>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rPr>
        <w:t>项目的招标项目编号为：</w:t>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rPr>
        <w:t>，我方愿参与投标。</w:t>
      </w:r>
    </w:p>
    <w:p w14:paraId="5D49C797">
      <w:pPr>
        <w:keepNext w:val="0"/>
        <w:keepLines w:val="0"/>
        <w:pageBreakBefore w:val="0"/>
        <w:widowControl w:val="0"/>
        <w:topLinePunct w:val="0"/>
        <w:autoSpaceDE/>
        <w:autoSpaceDN/>
        <w:bidi w:val="0"/>
        <w:adjustRightInd/>
        <w:snapToGrid/>
        <w:spacing w:line="440" w:lineRule="exact"/>
        <w:ind w:firstLine="426" w:firstLineChars="200"/>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我方确认收到贵方提供的</w:t>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u w:val="none"/>
        </w:rPr>
        <w:t>招标</w:t>
      </w:r>
      <w:r>
        <w:rPr>
          <w:rFonts w:hint="eastAsia" w:ascii="宋体" w:hAnsi="宋体" w:eastAsia="宋体" w:cs="宋体"/>
          <w:color w:val="auto"/>
          <w:kern w:val="0"/>
          <w:sz w:val="21"/>
          <w:szCs w:val="21"/>
        </w:rPr>
        <w:t>文件的全部内容。</w:t>
      </w:r>
    </w:p>
    <w:p w14:paraId="55A13106">
      <w:pPr>
        <w:keepNext w:val="0"/>
        <w:keepLines w:val="0"/>
        <w:pageBreakBefore w:val="0"/>
        <w:widowControl w:val="0"/>
        <w:topLinePunct w:val="0"/>
        <w:autoSpaceDE/>
        <w:autoSpaceDN/>
        <w:bidi w:val="0"/>
        <w:adjustRightInd/>
        <w:snapToGrid/>
        <w:spacing w:line="440" w:lineRule="exact"/>
        <w:ind w:firstLine="426" w:firstLineChars="200"/>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我方在参与投标前已详细研究了招标文件的所有内容，包括澄清、修改文件（如果有）和所有已提供的参考资料以及有关附件，我方完全明白并认为此招标文件没有倾向性，也不存在排斥潜在报价投标人的内容，我方同意招标文件的相关条款，放弃对招标文件提出误解和质疑的一切权力。</w:t>
      </w:r>
    </w:p>
    <w:p w14:paraId="0222A1D4">
      <w:pPr>
        <w:keepNext w:val="0"/>
        <w:keepLines w:val="0"/>
        <w:pageBreakBefore w:val="0"/>
        <w:widowControl w:val="0"/>
        <w:topLinePunct w:val="0"/>
        <w:autoSpaceDE/>
        <w:autoSpaceDN/>
        <w:bidi w:val="0"/>
        <w:adjustRightInd/>
        <w:snapToGrid/>
        <w:spacing w:line="440" w:lineRule="exact"/>
        <w:ind w:firstLine="426" w:firstLineChars="200"/>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u w:val="single"/>
        </w:rPr>
        <w:t xml:space="preserve">      (投标人名称)      </w:t>
      </w:r>
      <w:r>
        <w:rPr>
          <w:rFonts w:hint="eastAsia" w:ascii="宋体" w:hAnsi="宋体" w:eastAsia="宋体" w:cs="宋体"/>
          <w:color w:val="auto"/>
          <w:kern w:val="0"/>
          <w:sz w:val="21"/>
          <w:szCs w:val="21"/>
        </w:rPr>
        <w:t>作为投标人正式授权</w:t>
      </w:r>
      <w:r>
        <w:rPr>
          <w:rFonts w:hint="eastAsia" w:ascii="宋体" w:hAnsi="宋体" w:eastAsia="宋体" w:cs="宋体"/>
          <w:color w:val="auto"/>
          <w:kern w:val="0"/>
          <w:sz w:val="21"/>
          <w:szCs w:val="21"/>
          <w:u w:val="single"/>
        </w:rPr>
        <w:t xml:space="preserve">  (授权代表全名, 职务)  </w:t>
      </w:r>
      <w:r>
        <w:rPr>
          <w:rFonts w:hint="eastAsia" w:ascii="宋体" w:hAnsi="宋体" w:eastAsia="宋体" w:cs="宋体"/>
          <w:color w:val="auto"/>
          <w:kern w:val="0"/>
          <w:sz w:val="21"/>
          <w:szCs w:val="21"/>
        </w:rPr>
        <w:t>代表我方全权处理有关本报价的一切事宜。</w:t>
      </w:r>
    </w:p>
    <w:p w14:paraId="50A8E3A0">
      <w:pPr>
        <w:keepNext w:val="0"/>
        <w:keepLines w:val="0"/>
        <w:pageBreakBefore w:val="0"/>
        <w:widowControl w:val="0"/>
        <w:topLinePunct w:val="0"/>
        <w:autoSpaceDE/>
        <w:autoSpaceDN/>
        <w:bidi w:val="0"/>
        <w:adjustRightInd/>
        <w:snapToGrid/>
        <w:spacing w:line="440" w:lineRule="exact"/>
        <w:ind w:firstLine="426" w:firstLineChars="200"/>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我方已完全明白招标文件的所有条款要求，并申明如下：</w:t>
      </w:r>
    </w:p>
    <w:p w14:paraId="378CB05A">
      <w:pPr>
        <w:spacing w:line="480" w:lineRule="exact"/>
        <w:ind w:firstLine="426" w:firstLineChars="20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（一）按招标文件提供的全部货物与相关服务的投标总价详见《报价一览表》。</w:t>
      </w:r>
    </w:p>
    <w:p w14:paraId="55BC9CA2">
      <w:pPr>
        <w:spacing w:line="480" w:lineRule="exact"/>
        <w:ind w:firstLine="426" w:firstLineChars="20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（二）本投标文件的有效期为投标截止时间起</w:t>
      </w:r>
      <w:r>
        <w:rPr>
          <w:rFonts w:hint="eastAsia" w:ascii="宋体" w:hAnsi="宋体" w:eastAsia="宋体" w:cs="宋体"/>
          <w:color w:val="auto"/>
          <w:kern w:val="0"/>
          <w:sz w:val="21"/>
          <w:szCs w:val="21"/>
          <w:u w:val="single"/>
          <w:lang w:val="en-US" w:eastAsia="zh-CN"/>
        </w:rPr>
        <w:t>60</w:t>
      </w:r>
      <w:r>
        <w:rPr>
          <w:rFonts w:hint="eastAsia" w:ascii="宋体" w:hAnsi="宋体" w:eastAsia="宋体" w:cs="宋体"/>
          <w:color w:val="auto"/>
          <w:kern w:val="0"/>
          <w:sz w:val="21"/>
          <w:szCs w:val="21"/>
        </w:rPr>
        <w:t>天。如中标，有效期将延至合同终止日为止。在此提交的资格证明文件均至投标截止日有效，如有在投标有效期内失效的，我方承诺在中标后补齐一切手续，保证所有资格证明文件能在签订采购合同时直至采购合同终止日有效。</w:t>
      </w:r>
    </w:p>
    <w:p w14:paraId="42931772">
      <w:pPr>
        <w:spacing w:line="480" w:lineRule="exact"/>
        <w:ind w:firstLine="426" w:firstLineChars="20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（三）我方同意按照贵方可能提出的要求而提供与投标有关的任何其它数据、信息或资料。</w:t>
      </w:r>
    </w:p>
    <w:p w14:paraId="0F927604">
      <w:pPr>
        <w:spacing w:line="480" w:lineRule="exact"/>
        <w:ind w:firstLine="426" w:firstLineChars="20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w:t>
      </w:r>
      <w:r>
        <w:rPr>
          <w:rFonts w:hint="eastAsia" w:ascii="宋体" w:hAnsi="宋体" w:eastAsia="宋体" w:cs="宋体"/>
          <w:color w:val="auto"/>
          <w:kern w:val="0"/>
          <w:sz w:val="21"/>
          <w:szCs w:val="21"/>
          <w:lang w:eastAsia="zh-CN"/>
        </w:rPr>
        <w:t>四</w:t>
      </w:r>
      <w:r>
        <w:rPr>
          <w:rFonts w:hint="eastAsia" w:ascii="宋体" w:hAnsi="宋体" w:eastAsia="宋体" w:cs="宋体"/>
          <w:color w:val="auto"/>
          <w:kern w:val="0"/>
          <w:sz w:val="21"/>
          <w:szCs w:val="21"/>
        </w:rPr>
        <w:t>）我方理解贵方不一定接受最低投标价或任何贵方可能收到的投标。</w:t>
      </w:r>
    </w:p>
    <w:p w14:paraId="51C79646">
      <w:pPr>
        <w:spacing w:line="480" w:lineRule="exact"/>
        <w:ind w:firstLine="426" w:firstLineChars="20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w:t>
      </w:r>
      <w:r>
        <w:rPr>
          <w:rFonts w:hint="eastAsia" w:ascii="宋体" w:hAnsi="宋体" w:eastAsia="宋体" w:cs="宋体"/>
          <w:color w:val="auto"/>
          <w:kern w:val="0"/>
          <w:sz w:val="21"/>
          <w:szCs w:val="21"/>
          <w:lang w:eastAsia="zh-CN"/>
        </w:rPr>
        <w:t>五</w:t>
      </w:r>
      <w:r>
        <w:rPr>
          <w:rFonts w:hint="eastAsia" w:ascii="宋体" w:hAnsi="宋体" w:eastAsia="宋体" w:cs="宋体"/>
          <w:color w:val="auto"/>
          <w:kern w:val="0"/>
          <w:sz w:val="21"/>
          <w:szCs w:val="21"/>
        </w:rPr>
        <w:t>）我方如果中标，将保证履行招标文件及其澄清、修改文件（如果有）中的全部责任和义务，按质、按量、按期完成《招标内容》及《合同书》中的全部任务。</w:t>
      </w:r>
    </w:p>
    <w:p w14:paraId="675DB549">
      <w:pPr>
        <w:spacing w:line="480" w:lineRule="exact"/>
        <w:ind w:firstLine="426" w:firstLineChars="20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w:t>
      </w:r>
      <w:r>
        <w:rPr>
          <w:rFonts w:hint="eastAsia" w:ascii="宋体" w:hAnsi="宋体" w:eastAsia="宋体" w:cs="宋体"/>
          <w:color w:val="auto"/>
          <w:kern w:val="0"/>
          <w:sz w:val="21"/>
          <w:szCs w:val="21"/>
          <w:lang w:eastAsia="zh-CN"/>
        </w:rPr>
        <w:t>六</w:t>
      </w:r>
      <w:r>
        <w:rPr>
          <w:rFonts w:hint="eastAsia" w:ascii="宋体" w:hAnsi="宋体" w:eastAsia="宋体" w:cs="宋体"/>
          <w:color w:val="auto"/>
          <w:kern w:val="0"/>
          <w:sz w:val="21"/>
          <w:szCs w:val="21"/>
        </w:rPr>
        <w:t>）如我方被授予合同，我方承诺支付就本次招标应支付或将支付的中标服务费（详见按招标文件要求格式填写的《中标服务费支付承诺书》）。</w:t>
      </w:r>
    </w:p>
    <w:p w14:paraId="5A727273">
      <w:pPr>
        <w:spacing w:line="480" w:lineRule="exact"/>
        <w:ind w:firstLine="426" w:firstLineChars="20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w:t>
      </w:r>
      <w:r>
        <w:rPr>
          <w:rFonts w:hint="eastAsia" w:ascii="宋体" w:hAnsi="宋体" w:eastAsia="宋体" w:cs="宋体"/>
          <w:color w:val="auto"/>
          <w:kern w:val="0"/>
          <w:sz w:val="21"/>
          <w:szCs w:val="21"/>
          <w:lang w:eastAsia="zh-CN"/>
        </w:rPr>
        <w:t>七</w:t>
      </w:r>
      <w:r>
        <w:rPr>
          <w:rFonts w:hint="eastAsia" w:ascii="宋体" w:hAnsi="宋体" w:eastAsia="宋体" w:cs="宋体"/>
          <w:color w:val="auto"/>
          <w:kern w:val="0"/>
          <w:sz w:val="21"/>
          <w:szCs w:val="21"/>
        </w:rPr>
        <w:t>）我方作为在法律、财务和运作上独立于采购人、招标代理机构的投标人，在此保证所提交的所有文件和全部说明是真实的和正确的。</w:t>
      </w:r>
    </w:p>
    <w:p w14:paraId="7BDF4BD4">
      <w:pPr>
        <w:spacing w:line="480" w:lineRule="exact"/>
        <w:ind w:firstLine="426" w:firstLineChars="20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w:t>
      </w:r>
      <w:r>
        <w:rPr>
          <w:rFonts w:hint="eastAsia" w:ascii="宋体" w:hAnsi="宋体" w:eastAsia="宋体" w:cs="宋体"/>
          <w:color w:val="auto"/>
          <w:kern w:val="0"/>
          <w:sz w:val="21"/>
          <w:szCs w:val="21"/>
          <w:lang w:eastAsia="zh-CN"/>
        </w:rPr>
        <w:t>八</w:t>
      </w:r>
      <w:r>
        <w:rPr>
          <w:rFonts w:hint="eastAsia" w:ascii="宋体" w:hAnsi="宋体" w:eastAsia="宋体" w:cs="宋体"/>
          <w:color w:val="auto"/>
          <w:kern w:val="0"/>
          <w:sz w:val="21"/>
          <w:szCs w:val="21"/>
        </w:rPr>
        <w:t>）我方投标报价已包含应向知识产权所有权人支付的所有相关税费，并保证采购人在中国使用我方提供的货物时，如有第三方提出侵犯其知识产权主张的，责任由我方承担。</w:t>
      </w:r>
    </w:p>
    <w:p w14:paraId="47048680">
      <w:pPr>
        <w:spacing w:line="480" w:lineRule="exact"/>
        <w:ind w:firstLine="426" w:firstLineChars="20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w:t>
      </w:r>
      <w:r>
        <w:rPr>
          <w:rFonts w:hint="eastAsia" w:ascii="宋体" w:hAnsi="宋体" w:eastAsia="宋体" w:cs="宋体"/>
          <w:color w:val="auto"/>
          <w:kern w:val="0"/>
          <w:sz w:val="21"/>
          <w:szCs w:val="21"/>
          <w:lang w:eastAsia="zh-CN"/>
        </w:rPr>
        <w:t>九</w:t>
      </w:r>
      <w:r>
        <w:rPr>
          <w:rFonts w:hint="eastAsia" w:ascii="宋体" w:hAnsi="宋体" w:eastAsia="宋体" w:cs="宋体"/>
          <w:color w:val="auto"/>
          <w:kern w:val="0"/>
          <w:sz w:val="21"/>
          <w:szCs w:val="21"/>
        </w:rPr>
        <w:t>）我方与其他投标人不存在单位负责人为同一人或者存在直接控股、管理关系。</w:t>
      </w:r>
    </w:p>
    <w:p w14:paraId="1591EAAE">
      <w:pPr>
        <w:spacing w:line="480" w:lineRule="exact"/>
        <w:ind w:firstLine="426" w:firstLineChars="20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（十）我方承诺未为本项目提供整体设计、规范编制或者项目管理、监理、检测等服务。</w:t>
      </w:r>
    </w:p>
    <w:p w14:paraId="187C0C30">
      <w:pPr>
        <w:spacing w:line="480" w:lineRule="exact"/>
        <w:ind w:firstLine="426" w:firstLineChars="20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（十</w:t>
      </w:r>
      <w:r>
        <w:rPr>
          <w:rFonts w:hint="eastAsia" w:ascii="宋体" w:hAnsi="宋体" w:eastAsia="宋体" w:cs="宋体"/>
          <w:color w:val="auto"/>
          <w:kern w:val="0"/>
          <w:sz w:val="21"/>
          <w:szCs w:val="21"/>
          <w:lang w:eastAsia="zh-CN"/>
        </w:rPr>
        <w:t>一</w:t>
      </w:r>
      <w:r>
        <w:rPr>
          <w:rFonts w:hint="eastAsia" w:ascii="宋体" w:hAnsi="宋体" w:eastAsia="宋体" w:cs="宋体"/>
          <w:color w:val="auto"/>
          <w:kern w:val="0"/>
          <w:sz w:val="21"/>
          <w:szCs w:val="21"/>
        </w:rPr>
        <w:t>）我方具备《政府采购法》第二十二条规定的条件，承诺如下：</w:t>
      </w:r>
    </w:p>
    <w:p w14:paraId="4D71C857">
      <w:pPr>
        <w:keepNext w:val="0"/>
        <w:keepLines w:val="0"/>
        <w:pageBreakBefore w:val="0"/>
        <w:widowControl w:val="0"/>
        <w:topLinePunct w:val="0"/>
        <w:autoSpaceDE/>
        <w:autoSpaceDN/>
        <w:bidi w:val="0"/>
        <w:adjustRightInd/>
        <w:snapToGrid/>
        <w:spacing w:line="440" w:lineRule="exact"/>
        <w:ind w:firstLine="426" w:firstLineChars="200"/>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（1）我方已依法缴纳了各项税费及社会保险费用，如有需要，可随时向采购人提供近三个月内的相关缴费证明，以便核查。</w:t>
      </w:r>
    </w:p>
    <w:p w14:paraId="261EC31C">
      <w:pPr>
        <w:keepNext w:val="0"/>
        <w:keepLines w:val="0"/>
        <w:pageBreakBefore w:val="0"/>
        <w:widowControl w:val="0"/>
        <w:topLinePunct w:val="0"/>
        <w:autoSpaceDE/>
        <w:autoSpaceDN/>
        <w:bidi w:val="0"/>
        <w:adjustRightInd/>
        <w:snapToGrid/>
        <w:spacing w:line="440" w:lineRule="exact"/>
        <w:ind w:firstLine="426" w:firstLineChars="200"/>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（2）我方已依法建立健全的财务会计制度，如有需要，可随时向采购人提供相关的证明材料，以便核查。</w:t>
      </w:r>
    </w:p>
    <w:p w14:paraId="5932361A">
      <w:pPr>
        <w:keepNext w:val="0"/>
        <w:keepLines w:val="0"/>
        <w:pageBreakBefore w:val="0"/>
        <w:widowControl w:val="0"/>
        <w:topLinePunct w:val="0"/>
        <w:autoSpaceDE/>
        <w:autoSpaceDN/>
        <w:bidi w:val="0"/>
        <w:adjustRightInd/>
        <w:snapToGrid/>
        <w:spacing w:line="440" w:lineRule="exact"/>
        <w:ind w:firstLine="426" w:firstLineChars="200"/>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（3）我方参加本项目政府采购活动前3年内在经营活动中没有重大违法记录。</w:t>
      </w:r>
    </w:p>
    <w:p w14:paraId="2A5CC86F">
      <w:pPr>
        <w:keepNext w:val="0"/>
        <w:keepLines w:val="0"/>
        <w:pageBreakBefore w:val="0"/>
        <w:widowControl w:val="0"/>
        <w:topLinePunct w:val="0"/>
        <w:autoSpaceDE/>
        <w:autoSpaceDN/>
        <w:bidi w:val="0"/>
        <w:adjustRightInd/>
        <w:snapToGrid/>
        <w:spacing w:line="440" w:lineRule="exact"/>
        <w:ind w:firstLine="426" w:firstLineChars="200"/>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（4）我方具备履行合同所必需的设备和专业技术能力。</w:t>
      </w:r>
    </w:p>
    <w:p w14:paraId="50EA848A">
      <w:pPr>
        <w:keepNext w:val="0"/>
        <w:keepLines w:val="0"/>
        <w:pageBreakBefore w:val="0"/>
        <w:widowControl w:val="0"/>
        <w:topLinePunct w:val="0"/>
        <w:autoSpaceDE/>
        <w:autoSpaceDN/>
        <w:bidi w:val="0"/>
        <w:adjustRightInd/>
        <w:snapToGrid/>
        <w:spacing w:line="440" w:lineRule="exact"/>
        <w:ind w:firstLine="426" w:firstLineChars="200"/>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（5）我方符合法律、行政法规规定的其他条件。</w:t>
      </w:r>
    </w:p>
    <w:p w14:paraId="0AFE35BF">
      <w:pPr>
        <w:keepNext w:val="0"/>
        <w:keepLines w:val="0"/>
        <w:pageBreakBefore w:val="0"/>
        <w:widowControl w:val="0"/>
        <w:topLinePunct w:val="0"/>
        <w:autoSpaceDE/>
        <w:autoSpaceDN/>
        <w:bidi w:val="0"/>
        <w:adjustRightInd/>
        <w:snapToGrid/>
        <w:spacing w:line="440" w:lineRule="exact"/>
        <w:ind w:firstLine="426" w:firstLineChars="200"/>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以上内容如有虚假或与事实不符的，评审委员会可将我方做无效投标处理，我方愿意承担相应的法律责任。</w:t>
      </w:r>
    </w:p>
    <w:p w14:paraId="1A6EFF41">
      <w:pPr>
        <w:keepNext w:val="0"/>
        <w:keepLines w:val="0"/>
        <w:pageBreakBefore w:val="0"/>
        <w:widowControl w:val="0"/>
        <w:topLinePunct w:val="0"/>
        <w:autoSpaceDE/>
        <w:autoSpaceDN/>
        <w:bidi w:val="0"/>
        <w:adjustRightInd/>
        <w:snapToGrid/>
        <w:spacing w:line="440" w:lineRule="exact"/>
        <w:ind w:firstLine="426" w:firstLineChars="200"/>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（十三）我方对在本函及投标文件中所作的所有承诺承担法律责任。</w:t>
      </w:r>
    </w:p>
    <w:p w14:paraId="1B5FC710">
      <w:pPr>
        <w:keepNext w:val="0"/>
        <w:keepLines w:val="0"/>
        <w:pageBreakBefore w:val="0"/>
        <w:widowControl w:val="0"/>
        <w:topLinePunct w:val="0"/>
        <w:autoSpaceDE/>
        <w:autoSpaceDN/>
        <w:bidi w:val="0"/>
        <w:adjustRightInd/>
        <w:snapToGrid/>
        <w:spacing w:line="440" w:lineRule="exact"/>
        <w:ind w:firstLine="426" w:firstLineChars="200"/>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（十四）所有与本招标有关的函件请发往下列地址：</w:t>
      </w:r>
    </w:p>
    <w:p w14:paraId="2DCC94F2">
      <w:pPr>
        <w:keepNext w:val="0"/>
        <w:keepLines w:val="0"/>
        <w:pageBreakBefore w:val="0"/>
        <w:widowControl w:val="0"/>
        <w:topLinePunct w:val="0"/>
        <w:autoSpaceDE/>
        <w:autoSpaceDN/>
        <w:bidi w:val="0"/>
        <w:adjustRightInd/>
        <w:snapToGrid/>
        <w:spacing w:line="440" w:lineRule="exact"/>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地    址：</w:t>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rPr>
        <w:t>.邮政编码：</w:t>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rPr>
        <w:t>.</w:t>
      </w:r>
    </w:p>
    <w:p w14:paraId="52DD3327">
      <w:pPr>
        <w:keepNext w:val="0"/>
        <w:keepLines w:val="0"/>
        <w:pageBreakBefore w:val="0"/>
        <w:widowControl w:val="0"/>
        <w:topLinePunct w:val="0"/>
        <w:autoSpaceDE/>
        <w:autoSpaceDN/>
        <w:bidi w:val="0"/>
        <w:adjustRightInd/>
        <w:snapToGrid/>
        <w:spacing w:line="440" w:lineRule="exact"/>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电    话：</w:t>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rPr>
        <w:t>.</w:t>
      </w:r>
    </w:p>
    <w:p w14:paraId="73337216">
      <w:pPr>
        <w:keepNext w:val="0"/>
        <w:keepLines w:val="0"/>
        <w:pageBreakBefore w:val="0"/>
        <w:widowControl w:val="0"/>
        <w:topLinePunct w:val="0"/>
        <w:autoSpaceDE/>
        <w:autoSpaceDN/>
        <w:bidi w:val="0"/>
        <w:adjustRightInd/>
        <w:snapToGrid/>
        <w:spacing w:line="440" w:lineRule="exact"/>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传    真：</w:t>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rPr>
        <w:t>.</w:t>
      </w:r>
    </w:p>
    <w:p w14:paraId="1BFC38DE">
      <w:pPr>
        <w:keepNext w:val="0"/>
        <w:keepLines w:val="0"/>
        <w:pageBreakBefore w:val="0"/>
        <w:widowControl w:val="0"/>
        <w:topLinePunct w:val="0"/>
        <w:autoSpaceDE/>
        <w:autoSpaceDN/>
        <w:bidi w:val="0"/>
        <w:adjustRightInd/>
        <w:snapToGrid/>
        <w:spacing w:line="440" w:lineRule="exact"/>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代表姓名：</w:t>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rPr>
        <w:t>.职    务：</w:t>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rPr>
        <w:t>.</w:t>
      </w:r>
    </w:p>
    <w:p w14:paraId="202150D5">
      <w:pPr>
        <w:keepNext w:val="0"/>
        <w:keepLines w:val="0"/>
        <w:pageBreakBefore w:val="0"/>
        <w:widowControl w:val="0"/>
        <w:topLinePunct w:val="0"/>
        <w:autoSpaceDE/>
        <w:autoSpaceDN/>
        <w:bidi w:val="0"/>
        <w:adjustRightInd/>
        <w:snapToGrid/>
        <w:spacing w:line="440" w:lineRule="exact"/>
        <w:ind w:right="480"/>
        <w:jc w:val="right"/>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投标人：</w:t>
      </w:r>
      <w:r>
        <w:rPr>
          <w:rFonts w:hint="eastAsia" w:ascii="宋体" w:hAnsi="宋体" w:eastAsia="宋体" w:cs="宋体"/>
          <w:color w:val="auto"/>
          <w:kern w:val="0"/>
          <w:sz w:val="21"/>
          <w:szCs w:val="21"/>
          <w:u w:val="single"/>
        </w:rPr>
        <w:tab/>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rPr>
        <w:t xml:space="preserve">（公章） </w:t>
      </w:r>
    </w:p>
    <w:p w14:paraId="4BBE94C0">
      <w:pPr>
        <w:keepNext w:val="0"/>
        <w:keepLines w:val="0"/>
        <w:pageBreakBefore w:val="0"/>
        <w:widowControl w:val="0"/>
        <w:wordWrap w:val="0"/>
        <w:topLinePunct w:val="0"/>
        <w:autoSpaceDE/>
        <w:autoSpaceDN/>
        <w:bidi w:val="0"/>
        <w:adjustRightInd/>
        <w:snapToGrid/>
        <w:spacing w:line="440" w:lineRule="exact"/>
        <w:ind w:firstLine="426" w:firstLineChars="200"/>
        <w:jc w:val="right"/>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法定代表人或委托人：</w:t>
      </w:r>
      <w:r>
        <w:rPr>
          <w:rFonts w:hint="eastAsia" w:ascii="宋体" w:hAnsi="宋体" w:eastAsia="宋体" w:cs="宋体"/>
          <w:color w:val="auto"/>
          <w:kern w:val="0"/>
          <w:sz w:val="21"/>
          <w:szCs w:val="21"/>
        </w:rPr>
        <w:tab/>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rPr>
        <w:t>（</w:t>
      </w:r>
      <w:r>
        <w:rPr>
          <w:rFonts w:hint="eastAsia" w:ascii="宋体" w:hAnsi="宋体" w:eastAsia="宋体" w:cs="宋体"/>
          <w:color w:val="auto"/>
          <w:kern w:val="0"/>
          <w:sz w:val="21"/>
          <w:szCs w:val="21"/>
          <w:lang w:eastAsia="zh-CN"/>
        </w:rPr>
        <w:t>签字或盖章</w:t>
      </w:r>
      <w:r>
        <w:rPr>
          <w:rFonts w:hint="eastAsia" w:ascii="宋体" w:hAnsi="宋体" w:eastAsia="宋体" w:cs="宋体"/>
          <w:color w:val="auto"/>
          <w:kern w:val="0"/>
          <w:sz w:val="21"/>
          <w:szCs w:val="21"/>
        </w:rPr>
        <w:t xml:space="preserve">）  </w:t>
      </w:r>
    </w:p>
    <w:p w14:paraId="4DBC4C8D">
      <w:pPr>
        <w:keepNext w:val="0"/>
        <w:keepLines w:val="0"/>
        <w:pageBreakBefore w:val="0"/>
        <w:widowControl w:val="0"/>
        <w:wordWrap w:val="0"/>
        <w:topLinePunct w:val="0"/>
        <w:autoSpaceDE/>
        <w:autoSpaceDN/>
        <w:bidi w:val="0"/>
        <w:adjustRightInd/>
        <w:snapToGrid/>
        <w:spacing w:line="440" w:lineRule="exact"/>
        <w:ind w:firstLine="426" w:firstLineChars="200"/>
        <w:jc w:val="right"/>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u w:val="single"/>
        </w:rPr>
        <w:tab/>
      </w:r>
      <w:r>
        <w:rPr>
          <w:rFonts w:hint="eastAsia" w:ascii="宋体" w:hAnsi="宋体" w:eastAsia="宋体" w:cs="宋体"/>
          <w:color w:val="auto"/>
          <w:kern w:val="0"/>
          <w:sz w:val="21"/>
          <w:szCs w:val="21"/>
        </w:rPr>
        <w:t>年</w:t>
      </w:r>
      <w:r>
        <w:rPr>
          <w:rFonts w:hint="eastAsia" w:ascii="宋体" w:hAnsi="宋体" w:eastAsia="宋体" w:cs="宋体"/>
          <w:color w:val="auto"/>
          <w:kern w:val="0"/>
          <w:sz w:val="21"/>
          <w:szCs w:val="21"/>
          <w:u w:val="single"/>
        </w:rPr>
        <w:tab/>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rPr>
        <w:t>月</w:t>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rPr>
        <w:t>日</w:t>
      </w:r>
    </w:p>
    <w:p w14:paraId="62F34EF2">
      <w:pPr>
        <w:pStyle w:val="4"/>
        <w:numPr>
          <w:ilvl w:val="0"/>
          <w:numId w:val="0"/>
        </w:numPr>
        <w:shd w:val="clear" w:color="auto" w:fill="auto"/>
        <w:spacing w:before="0" w:line="240" w:lineRule="atLeast"/>
        <w:ind w:left="431" w:leftChars="0"/>
        <w:rPr>
          <w:rFonts w:hint="eastAsia" w:ascii="宋体" w:hAnsi="宋体" w:eastAsia="宋体" w:cs="宋体"/>
          <w:color w:val="auto"/>
          <w:sz w:val="24"/>
          <w:highlight w:val="none"/>
        </w:rPr>
      </w:pPr>
    </w:p>
    <w:p w14:paraId="21D65AF3">
      <w:pPr>
        <w:pStyle w:val="5"/>
        <w:rPr>
          <w:rFonts w:hint="eastAsia"/>
        </w:rPr>
      </w:pPr>
    </w:p>
    <w:p w14:paraId="18439C4F">
      <w:pPr>
        <w:pStyle w:val="7"/>
        <w:shd w:val="clear" w:color="auto" w:fill="auto"/>
        <w:tabs>
          <w:tab w:val="left" w:pos="5580"/>
        </w:tabs>
        <w:spacing w:line="240" w:lineRule="atLeast"/>
        <w:ind w:firstLine="3364" w:firstLineChars="927"/>
        <w:jc w:val="both"/>
        <w:rPr>
          <w:rFonts w:hint="eastAsia" w:ascii="宋体" w:hAnsi="宋体" w:eastAsia="宋体" w:cs="宋体"/>
          <w:b/>
          <w:color w:val="auto"/>
          <w:sz w:val="36"/>
          <w:szCs w:val="24"/>
          <w:highlight w:val="none"/>
        </w:rPr>
      </w:pPr>
      <w:bookmarkStart w:id="119" w:name="_Toc494296984"/>
    </w:p>
    <w:p w14:paraId="3A5445C7">
      <w:pPr>
        <w:rPr>
          <w:rFonts w:hint="eastAsia"/>
        </w:rPr>
      </w:pPr>
    </w:p>
    <w:p w14:paraId="4F62110D">
      <w:pPr>
        <w:pStyle w:val="7"/>
        <w:shd w:val="clear" w:color="auto" w:fill="auto"/>
        <w:tabs>
          <w:tab w:val="left" w:pos="5580"/>
        </w:tabs>
        <w:spacing w:line="240" w:lineRule="atLeast"/>
        <w:ind w:left="0" w:leftChars="0" w:firstLine="0" w:firstLineChars="0"/>
        <w:jc w:val="both"/>
        <w:rPr>
          <w:rFonts w:hint="eastAsia" w:ascii="宋体" w:hAnsi="宋体" w:eastAsia="宋体" w:cs="宋体"/>
          <w:b/>
          <w:color w:val="auto"/>
          <w:sz w:val="36"/>
          <w:szCs w:val="24"/>
          <w:highlight w:val="none"/>
        </w:rPr>
      </w:pPr>
    </w:p>
    <w:p w14:paraId="337E8F5C">
      <w:pPr>
        <w:pStyle w:val="7"/>
        <w:numPr>
          <w:ilvl w:val="0"/>
          <w:numId w:val="0"/>
        </w:numPr>
        <w:shd w:val="clear" w:color="auto" w:fill="auto"/>
        <w:tabs>
          <w:tab w:val="left" w:pos="5580"/>
        </w:tabs>
        <w:spacing w:line="240" w:lineRule="atLeast"/>
        <w:ind w:leftChars="0"/>
        <w:jc w:val="center"/>
        <w:rPr>
          <w:rFonts w:hint="eastAsia" w:ascii="宋体" w:hAnsi="宋体" w:eastAsia="宋体" w:cs="宋体"/>
          <w:b/>
          <w:color w:val="auto"/>
          <w:sz w:val="28"/>
          <w:szCs w:val="21"/>
          <w:highlight w:val="none"/>
        </w:rPr>
      </w:pPr>
      <w:r>
        <w:rPr>
          <w:rFonts w:hint="eastAsia" w:ascii="宋体" w:hAnsi="宋体" w:cs="宋体"/>
          <w:b/>
          <w:color w:val="auto"/>
          <w:sz w:val="28"/>
          <w:szCs w:val="21"/>
          <w:highlight w:val="none"/>
          <w:lang w:val="en-US" w:eastAsia="zh-CN"/>
        </w:rPr>
        <w:t>2、</w:t>
      </w:r>
      <w:r>
        <w:rPr>
          <w:rFonts w:hint="eastAsia" w:ascii="宋体" w:hAnsi="宋体" w:eastAsia="宋体" w:cs="宋体"/>
          <w:b/>
          <w:color w:val="auto"/>
          <w:sz w:val="28"/>
          <w:szCs w:val="21"/>
          <w:highlight w:val="none"/>
        </w:rPr>
        <w:t>开标一览表</w:t>
      </w:r>
      <w:bookmarkEnd w:id="119"/>
    </w:p>
    <w:p w14:paraId="28DD710D">
      <w:pPr>
        <w:pStyle w:val="7"/>
        <w:numPr>
          <w:ilvl w:val="0"/>
          <w:numId w:val="0"/>
        </w:numPr>
        <w:shd w:val="clear" w:color="auto" w:fill="auto"/>
        <w:tabs>
          <w:tab w:val="left" w:pos="5580"/>
        </w:tabs>
        <w:spacing w:line="240" w:lineRule="atLeast"/>
        <w:ind w:leftChars="0"/>
        <w:jc w:val="both"/>
        <w:rPr>
          <w:rFonts w:hint="eastAsia" w:ascii="宋体" w:hAnsi="宋体" w:eastAsia="宋体" w:cs="宋体"/>
          <w:color w:val="auto"/>
          <w:szCs w:val="21"/>
          <w:highlight w:val="none"/>
          <w:u w:val="single"/>
        </w:rPr>
      </w:pPr>
      <w:r>
        <w:rPr>
          <w:rFonts w:hint="eastAsia" w:ascii="宋体" w:hAnsi="宋体" w:eastAsia="宋体" w:cs="宋体"/>
          <w:color w:val="auto"/>
          <w:sz w:val="21"/>
          <w:szCs w:val="21"/>
          <w:highlight w:val="none"/>
        </w:rPr>
        <w:t>招标项目名称</w:t>
      </w:r>
      <w:r>
        <w:rPr>
          <w:rFonts w:hint="eastAsia" w:ascii="宋体" w:hAnsi="宋体" w:eastAsia="宋体" w:cs="宋体"/>
          <w:color w:val="auto"/>
          <w:szCs w:val="21"/>
          <w:highlight w:val="none"/>
        </w:rPr>
        <w:t>：</w:t>
      </w:r>
    </w:p>
    <w:p w14:paraId="09454295">
      <w:pPr>
        <w:shd w:val="clear" w:color="auto" w:fill="auto"/>
        <w:spacing w:line="50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招标项目编号：                                                </w:t>
      </w:r>
    </w:p>
    <w:p w14:paraId="06104340">
      <w:pPr>
        <w:shd w:val="clear" w:color="auto" w:fill="auto"/>
        <w:spacing w:line="500" w:lineRule="exact"/>
        <w:jc w:val="righ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单位：元（人民币）</w:t>
      </w:r>
    </w:p>
    <w:tbl>
      <w:tblPr>
        <w:tblStyle w:val="28"/>
        <w:tblW w:w="8699" w:type="dxa"/>
        <w:tblInd w:w="2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05"/>
        <w:gridCol w:w="965"/>
        <w:gridCol w:w="6129"/>
      </w:tblGrid>
      <w:tr w14:paraId="637A67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7" w:hRule="atLeast"/>
        </w:trPr>
        <w:tc>
          <w:tcPr>
            <w:tcW w:w="2570" w:type="dxa"/>
            <w:gridSpan w:val="2"/>
            <w:noWrap w:val="0"/>
            <w:vAlign w:val="center"/>
          </w:tcPr>
          <w:p w14:paraId="75B66DA4">
            <w:pPr>
              <w:shd w:val="clear" w:color="auto" w:fill="auto"/>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投标项目名称</w:t>
            </w:r>
          </w:p>
        </w:tc>
        <w:tc>
          <w:tcPr>
            <w:tcW w:w="6129" w:type="dxa"/>
            <w:noWrap w:val="0"/>
            <w:vAlign w:val="center"/>
          </w:tcPr>
          <w:p w14:paraId="3844A43C">
            <w:pPr>
              <w:shd w:val="clear" w:color="auto" w:fill="auto"/>
              <w:rPr>
                <w:rFonts w:hint="eastAsia" w:ascii="宋体" w:hAnsi="宋体" w:eastAsia="宋体" w:cs="宋体"/>
                <w:color w:val="auto"/>
                <w:sz w:val="20"/>
                <w:szCs w:val="20"/>
                <w:highlight w:val="none"/>
              </w:rPr>
            </w:pPr>
          </w:p>
        </w:tc>
      </w:tr>
      <w:tr w14:paraId="27350F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9" w:hRule="atLeast"/>
        </w:trPr>
        <w:tc>
          <w:tcPr>
            <w:tcW w:w="2570" w:type="dxa"/>
            <w:gridSpan w:val="2"/>
            <w:noWrap w:val="0"/>
            <w:vAlign w:val="center"/>
          </w:tcPr>
          <w:p w14:paraId="6E3CC5E5">
            <w:pPr>
              <w:shd w:val="clear" w:color="auto" w:fill="auto"/>
              <w:jc w:val="center"/>
              <w:rPr>
                <w:rFonts w:hint="eastAsia" w:ascii="宋体" w:hAnsi="宋体" w:eastAsia="宋体" w:cs="宋体"/>
                <w:color w:val="auto"/>
                <w:sz w:val="20"/>
                <w:szCs w:val="20"/>
                <w:highlight w:val="none"/>
                <w:lang w:eastAsia="zh-CN"/>
              </w:rPr>
            </w:pPr>
            <w:r>
              <w:rPr>
                <w:rFonts w:hint="eastAsia" w:ascii="宋体" w:hAnsi="宋体" w:cs="宋体"/>
                <w:color w:val="auto"/>
                <w:sz w:val="20"/>
                <w:szCs w:val="20"/>
                <w:highlight w:val="none"/>
                <w:lang w:val="en-US" w:eastAsia="zh-CN"/>
              </w:rPr>
              <w:t>履约期限</w:t>
            </w:r>
          </w:p>
        </w:tc>
        <w:tc>
          <w:tcPr>
            <w:tcW w:w="6129" w:type="dxa"/>
            <w:noWrap w:val="0"/>
            <w:vAlign w:val="center"/>
          </w:tcPr>
          <w:p w14:paraId="6739EC0A">
            <w:pPr>
              <w:shd w:val="clear" w:color="auto" w:fill="auto"/>
              <w:jc w:val="center"/>
              <w:rPr>
                <w:rFonts w:hint="eastAsia" w:ascii="宋体" w:hAnsi="宋体" w:eastAsia="宋体" w:cs="宋体"/>
                <w:color w:val="auto"/>
                <w:sz w:val="20"/>
                <w:szCs w:val="20"/>
                <w:highlight w:val="none"/>
              </w:rPr>
            </w:pPr>
          </w:p>
        </w:tc>
      </w:tr>
      <w:tr w14:paraId="56E852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9" w:hRule="atLeast"/>
        </w:trPr>
        <w:tc>
          <w:tcPr>
            <w:tcW w:w="2570" w:type="dxa"/>
            <w:gridSpan w:val="2"/>
            <w:noWrap w:val="0"/>
            <w:vAlign w:val="center"/>
          </w:tcPr>
          <w:p w14:paraId="628E6F3E">
            <w:pPr>
              <w:shd w:val="clear" w:color="auto" w:fill="auto"/>
              <w:jc w:val="center"/>
              <w:rPr>
                <w:rFonts w:hint="default" w:ascii="宋体" w:hAnsi="宋体" w:eastAsia="宋体" w:cs="宋体"/>
                <w:color w:val="auto"/>
                <w:sz w:val="20"/>
                <w:szCs w:val="20"/>
                <w:highlight w:val="none"/>
                <w:lang w:val="en-US" w:eastAsia="zh-CN"/>
              </w:rPr>
            </w:pPr>
            <w:r>
              <w:rPr>
                <w:rFonts w:hint="eastAsia" w:ascii="宋体" w:hAnsi="宋体" w:cs="宋体"/>
                <w:color w:val="auto"/>
                <w:sz w:val="20"/>
                <w:szCs w:val="20"/>
                <w:highlight w:val="none"/>
                <w:lang w:val="en-US" w:eastAsia="zh-CN"/>
              </w:rPr>
              <w:t>履约</w:t>
            </w:r>
            <w:r>
              <w:rPr>
                <w:rFonts w:hint="eastAsia" w:ascii="宋体" w:hAnsi="宋体" w:eastAsia="宋体" w:cs="宋体"/>
                <w:color w:val="auto"/>
                <w:sz w:val="20"/>
                <w:szCs w:val="20"/>
                <w:highlight w:val="none"/>
                <w:lang w:val="en-US" w:eastAsia="zh-CN"/>
              </w:rPr>
              <w:t>地点</w:t>
            </w:r>
          </w:p>
        </w:tc>
        <w:tc>
          <w:tcPr>
            <w:tcW w:w="6129" w:type="dxa"/>
            <w:noWrap w:val="0"/>
            <w:vAlign w:val="center"/>
          </w:tcPr>
          <w:p w14:paraId="049B092C">
            <w:pPr>
              <w:shd w:val="clear" w:color="auto" w:fill="auto"/>
              <w:jc w:val="center"/>
              <w:rPr>
                <w:rFonts w:hint="eastAsia" w:ascii="宋体" w:hAnsi="宋体" w:eastAsia="宋体" w:cs="宋体"/>
                <w:color w:val="auto"/>
                <w:sz w:val="20"/>
                <w:szCs w:val="20"/>
                <w:highlight w:val="none"/>
              </w:rPr>
            </w:pPr>
          </w:p>
        </w:tc>
      </w:tr>
      <w:tr w14:paraId="46DD17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9" w:hRule="atLeast"/>
        </w:trPr>
        <w:tc>
          <w:tcPr>
            <w:tcW w:w="2570" w:type="dxa"/>
            <w:gridSpan w:val="2"/>
            <w:noWrap w:val="0"/>
            <w:vAlign w:val="center"/>
          </w:tcPr>
          <w:p w14:paraId="52CFB354">
            <w:pPr>
              <w:shd w:val="clear" w:color="auto" w:fill="auto"/>
              <w:jc w:val="center"/>
              <w:rPr>
                <w:rFonts w:hint="default" w:ascii="宋体" w:hAnsi="宋体" w:eastAsia="宋体" w:cs="宋体"/>
                <w:color w:val="auto"/>
                <w:sz w:val="20"/>
                <w:szCs w:val="20"/>
                <w:highlight w:val="none"/>
                <w:lang w:val="en-US" w:eastAsia="zh-CN"/>
              </w:rPr>
            </w:pPr>
            <w:r>
              <w:rPr>
                <w:rFonts w:hint="eastAsia" w:ascii="宋体" w:hAnsi="宋体" w:cs="宋体"/>
                <w:color w:val="auto"/>
                <w:sz w:val="20"/>
                <w:szCs w:val="20"/>
                <w:highlight w:val="none"/>
                <w:lang w:val="en-US" w:eastAsia="zh-CN"/>
              </w:rPr>
              <w:t>承保</w:t>
            </w:r>
            <w:r>
              <w:rPr>
                <w:rFonts w:hint="eastAsia" w:ascii="宋体" w:hAnsi="宋体" w:eastAsia="宋体" w:cs="宋体"/>
                <w:color w:val="auto"/>
                <w:sz w:val="20"/>
                <w:szCs w:val="20"/>
                <w:highlight w:val="none"/>
                <w:lang w:val="en-US" w:eastAsia="zh-CN"/>
              </w:rPr>
              <w:t>期</w:t>
            </w:r>
          </w:p>
        </w:tc>
        <w:tc>
          <w:tcPr>
            <w:tcW w:w="6129" w:type="dxa"/>
            <w:noWrap w:val="0"/>
            <w:vAlign w:val="center"/>
          </w:tcPr>
          <w:p w14:paraId="704F6D85">
            <w:pPr>
              <w:shd w:val="clear" w:color="auto" w:fill="auto"/>
              <w:jc w:val="center"/>
              <w:rPr>
                <w:rFonts w:hint="eastAsia" w:ascii="宋体" w:hAnsi="宋体" w:eastAsia="宋体" w:cs="宋体"/>
                <w:color w:val="auto"/>
                <w:sz w:val="20"/>
                <w:szCs w:val="20"/>
                <w:highlight w:val="none"/>
              </w:rPr>
            </w:pPr>
          </w:p>
        </w:tc>
      </w:tr>
      <w:tr w14:paraId="711673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3" w:hRule="atLeast"/>
        </w:trPr>
        <w:tc>
          <w:tcPr>
            <w:tcW w:w="2570" w:type="dxa"/>
            <w:gridSpan w:val="2"/>
            <w:tcBorders>
              <w:top w:val="single" w:color="auto" w:sz="4" w:space="0"/>
            </w:tcBorders>
            <w:noWrap w:val="0"/>
            <w:vAlign w:val="center"/>
          </w:tcPr>
          <w:p w14:paraId="693DACDF">
            <w:pPr>
              <w:shd w:val="clear" w:color="auto" w:fill="auto"/>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投标有效期</w:t>
            </w:r>
          </w:p>
        </w:tc>
        <w:tc>
          <w:tcPr>
            <w:tcW w:w="6129" w:type="dxa"/>
            <w:noWrap w:val="0"/>
            <w:vAlign w:val="center"/>
          </w:tcPr>
          <w:p w14:paraId="42EE229A">
            <w:pPr>
              <w:shd w:val="clear" w:color="auto" w:fill="auto"/>
              <w:jc w:val="center"/>
              <w:rPr>
                <w:rFonts w:hint="eastAsia" w:ascii="宋体" w:hAnsi="宋体" w:eastAsia="宋体" w:cs="宋体"/>
                <w:color w:val="auto"/>
                <w:sz w:val="20"/>
                <w:szCs w:val="20"/>
                <w:highlight w:val="none"/>
              </w:rPr>
            </w:pPr>
          </w:p>
        </w:tc>
      </w:tr>
      <w:tr w14:paraId="43884E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3" w:hRule="atLeast"/>
        </w:trPr>
        <w:tc>
          <w:tcPr>
            <w:tcW w:w="1605" w:type="dxa"/>
            <w:vMerge w:val="restart"/>
            <w:noWrap w:val="0"/>
            <w:vAlign w:val="center"/>
          </w:tcPr>
          <w:p w14:paraId="28AEDD1E">
            <w:pPr>
              <w:shd w:val="clear" w:color="auto" w:fill="auto"/>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投标报价</w:t>
            </w:r>
          </w:p>
          <w:p w14:paraId="542460BE">
            <w:pPr>
              <w:shd w:val="clear" w:color="auto" w:fill="auto"/>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（人民币）</w:t>
            </w:r>
          </w:p>
        </w:tc>
        <w:tc>
          <w:tcPr>
            <w:tcW w:w="965" w:type="dxa"/>
            <w:tcBorders>
              <w:top w:val="single" w:color="auto" w:sz="4" w:space="0"/>
              <w:bottom w:val="single" w:color="auto" w:sz="4" w:space="0"/>
            </w:tcBorders>
            <w:noWrap w:val="0"/>
            <w:vAlign w:val="center"/>
          </w:tcPr>
          <w:p w14:paraId="0DE18579">
            <w:pPr>
              <w:widowControl/>
              <w:shd w:val="clear" w:color="auto" w:fill="auto"/>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小写</w:t>
            </w:r>
          </w:p>
        </w:tc>
        <w:tc>
          <w:tcPr>
            <w:tcW w:w="6129" w:type="dxa"/>
            <w:noWrap w:val="0"/>
            <w:vAlign w:val="center"/>
          </w:tcPr>
          <w:p w14:paraId="0EF82BE2">
            <w:pPr>
              <w:shd w:val="clear" w:color="auto" w:fill="auto"/>
              <w:jc w:val="center"/>
              <w:rPr>
                <w:rFonts w:hint="eastAsia" w:ascii="宋体" w:hAnsi="宋体" w:eastAsia="宋体" w:cs="宋体"/>
                <w:color w:val="auto"/>
                <w:sz w:val="20"/>
                <w:szCs w:val="20"/>
                <w:highlight w:val="none"/>
              </w:rPr>
            </w:pPr>
          </w:p>
        </w:tc>
      </w:tr>
      <w:tr w14:paraId="3AF84F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8" w:hRule="atLeast"/>
        </w:trPr>
        <w:tc>
          <w:tcPr>
            <w:tcW w:w="1605" w:type="dxa"/>
            <w:vMerge w:val="continue"/>
            <w:noWrap w:val="0"/>
            <w:vAlign w:val="center"/>
          </w:tcPr>
          <w:p w14:paraId="70504482">
            <w:pPr>
              <w:shd w:val="clear" w:color="auto" w:fill="auto"/>
              <w:jc w:val="center"/>
              <w:rPr>
                <w:rFonts w:hint="eastAsia" w:ascii="宋体" w:hAnsi="宋体" w:eastAsia="宋体" w:cs="宋体"/>
                <w:color w:val="auto"/>
                <w:sz w:val="20"/>
                <w:szCs w:val="20"/>
                <w:highlight w:val="none"/>
              </w:rPr>
            </w:pPr>
          </w:p>
        </w:tc>
        <w:tc>
          <w:tcPr>
            <w:tcW w:w="965" w:type="dxa"/>
            <w:tcBorders>
              <w:top w:val="single" w:color="auto" w:sz="4" w:space="0"/>
              <w:bottom w:val="single" w:color="auto" w:sz="4" w:space="0"/>
            </w:tcBorders>
            <w:noWrap w:val="0"/>
            <w:vAlign w:val="center"/>
          </w:tcPr>
          <w:p w14:paraId="41BE5DCF">
            <w:pPr>
              <w:widowControl/>
              <w:shd w:val="clear" w:color="auto" w:fill="auto"/>
              <w:jc w:val="center"/>
              <w:rPr>
                <w:rFonts w:hint="eastAsia" w:ascii="宋体" w:hAnsi="宋体" w:eastAsia="宋体" w:cs="宋体"/>
                <w:color w:val="auto"/>
                <w:sz w:val="20"/>
                <w:szCs w:val="20"/>
                <w:highlight w:val="none"/>
                <w:lang w:eastAsia="zh-CN"/>
              </w:rPr>
            </w:pPr>
            <w:r>
              <w:rPr>
                <w:rFonts w:hint="eastAsia" w:ascii="宋体" w:hAnsi="宋体" w:eastAsia="宋体" w:cs="宋体"/>
                <w:color w:val="auto"/>
                <w:sz w:val="20"/>
                <w:szCs w:val="20"/>
                <w:highlight w:val="none"/>
                <w:lang w:eastAsia="zh-CN"/>
              </w:rPr>
              <w:t>大写</w:t>
            </w:r>
          </w:p>
        </w:tc>
        <w:tc>
          <w:tcPr>
            <w:tcW w:w="6129" w:type="dxa"/>
            <w:noWrap w:val="0"/>
            <w:vAlign w:val="center"/>
          </w:tcPr>
          <w:p w14:paraId="5EBF64F5">
            <w:pPr>
              <w:shd w:val="clear" w:color="auto" w:fill="auto"/>
              <w:jc w:val="center"/>
              <w:rPr>
                <w:rFonts w:hint="eastAsia" w:ascii="宋体" w:hAnsi="宋体" w:eastAsia="宋体" w:cs="宋体"/>
                <w:color w:val="auto"/>
                <w:sz w:val="20"/>
                <w:szCs w:val="20"/>
                <w:highlight w:val="none"/>
              </w:rPr>
            </w:pPr>
          </w:p>
        </w:tc>
      </w:tr>
    </w:tbl>
    <w:p w14:paraId="599B0F9B">
      <w:pPr>
        <w:shd w:val="clear" w:color="auto" w:fill="auto"/>
        <w:spacing w:line="500" w:lineRule="exact"/>
        <w:ind w:firstLine="416" w:firstLineChars="196"/>
        <w:rPr>
          <w:rFonts w:hint="eastAsia" w:ascii="宋体" w:hAnsi="宋体" w:eastAsia="宋体" w:cs="宋体"/>
          <w:color w:val="auto"/>
          <w:szCs w:val="21"/>
          <w:highlight w:val="none"/>
        </w:rPr>
      </w:pPr>
      <w:r>
        <w:rPr>
          <w:rFonts w:hint="eastAsia" w:ascii="宋体" w:hAnsi="宋体" w:eastAsia="宋体" w:cs="宋体"/>
          <w:color w:val="auto"/>
          <w:szCs w:val="21"/>
          <w:highlight w:val="none"/>
        </w:rPr>
        <w:t>填写说明：</w:t>
      </w:r>
    </w:p>
    <w:p w14:paraId="45D7CFFC">
      <w:pPr>
        <w:shd w:val="clear" w:color="auto" w:fill="auto"/>
        <w:spacing w:line="500" w:lineRule="exact"/>
        <w:ind w:firstLine="426" w:firstLineChars="200"/>
        <w:rPr>
          <w:rFonts w:hint="eastAsia" w:ascii="宋体" w:hAnsi="宋体" w:eastAsia="宋体" w:cs="宋体"/>
          <w:color w:val="auto"/>
          <w:szCs w:val="21"/>
          <w:highlight w:val="none"/>
        </w:rPr>
      </w:pPr>
      <w:r>
        <w:rPr>
          <w:rFonts w:hint="eastAsia" w:ascii="宋体" w:hAnsi="宋体" w:cs="宋体"/>
          <w:color w:val="auto"/>
          <w:szCs w:val="21"/>
          <w:highlight w:val="none"/>
          <w:lang w:val="en-US" w:eastAsia="zh-CN"/>
        </w:rPr>
        <w:t>1</w:t>
      </w:r>
      <w:r>
        <w:rPr>
          <w:rFonts w:hint="eastAsia" w:ascii="宋体" w:hAnsi="宋体" w:eastAsia="宋体" w:cs="宋体"/>
          <w:color w:val="auto"/>
          <w:szCs w:val="21"/>
          <w:highlight w:val="none"/>
        </w:rPr>
        <w:t>.开标时，本表中的内容与投标文件中的投标函、货物价格明细表及分项价格表的内容不一致的，以本表为准；大写金额与小写金额不一致的，以大写金额为准；总价金额与按单价汇总金额不一致的，以单价金额计算结果为准；单价金额小数点有明显错位的，应以总价为准，并修改单价。</w:t>
      </w:r>
    </w:p>
    <w:p w14:paraId="4874D560">
      <w:pPr>
        <w:shd w:val="clear" w:color="auto" w:fill="auto"/>
        <w:spacing w:line="500" w:lineRule="exact"/>
        <w:ind w:firstLine="426" w:firstLineChars="200"/>
        <w:rPr>
          <w:rFonts w:hint="eastAsia" w:ascii="宋体" w:hAnsi="宋体" w:eastAsia="宋体" w:cs="宋体"/>
          <w:color w:val="auto"/>
          <w:szCs w:val="21"/>
          <w:highlight w:val="none"/>
        </w:rPr>
      </w:pPr>
      <w:r>
        <w:rPr>
          <w:rFonts w:hint="eastAsia" w:ascii="宋体" w:hAnsi="宋体" w:cs="宋体"/>
          <w:color w:val="auto"/>
          <w:szCs w:val="21"/>
          <w:highlight w:val="none"/>
          <w:lang w:val="en-US" w:eastAsia="zh-CN"/>
        </w:rPr>
        <w:t>2</w:t>
      </w:r>
      <w:r>
        <w:rPr>
          <w:rFonts w:hint="eastAsia" w:ascii="宋体" w:hAnsi="宋体" w:eastAsia="宋体" w:cs="宋体"/>
          <w:color w:val="auto"/>
          <w:szCs w:val="21"/>
          <w:highlight w:val="none"/>
        </w:rPr>
        <w:t>.投标总价为招标范围所列全部招标项目的报价总和，并应与投标报价明细表及分项价格表保持一致。</w:t>
      </w:r>
    </w:p>
    <w:p w14:paraId="41F3EFD2">
      <w:pPr>
        <w:shd w:val="clear" w:color="auto" w:fill="auto"/>
        <w:spacing w:line="500" w:lineRule="exact"/>
        <w:ind w:firstLine="426" w:firstLineChars="200"/>
        <w:rPr>
          <w:rFonts w:hint="eastAsia" w:ascii="宋体" w:hAnsi="宋体" w:eastAsia="宋体" w:cs="宋体"/>
          <w:color w:val="auto"/>
          <w:szCs w:val="21"/>
          <w:highlight w:val="none"/>
        </w:rPr>
      </w:pPr>
      <w:r>
        <w:rPr>
          <w:rFonts w:hint="eastAsia" w:ascii="宋体" w:hAnsi="宋体" w:cs="宋体"/>
          <w:color w:val="auto"/>
          <w:szCs w:val="21"/>
          <w:highlight w:val="none"/>
          <w:lang w:val="en-US" w:eastAsia="zh-CN"/>
        </w:rPr>
        <w:t>3</w:t>
      </w:r>
      <w:r>
        <w:rPr>
          <w:rFonts w:hint="eastAsia" w:ascii="宋体" w:hAnsi="宋体" w:eastAsia="宋体" w:cs="宋体"/>
          <w:color w:val="auto"/>
          <w:szCs w:val="21"/>
          <w:highlight w:val="none"/>
        </w:rPr>
        <w:t>.投标报价不得填报选择性报价。</w:t>
      </w:r>
    </w:p>
    <w:p w14:paraId="19D0266B">
      <w:pPr>
        <w:shd w:val="clear" w:color="auto" w:fill="auto"/>
        <w:spacing w:line="500" w:lineRule="exact"/>
        <w:ind w:firstLine="426"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投标人名称：</w:t>
      </w:r>
      <w:r>
        <w:rPr>
          <w:rFonts w:hint="eastAsia" w:ascii="宋体" w:hAnsi="宋体" w:eastAsia="宋体" w:cs="宋体"/>
          <w:color w:val="auto"/>
          <w:szCs w:val="21"/>
          <w:highlight w:val="none"/>
          <w:u w:val="single"/>
        </w:rPr>
        <w:t xml:space="preserve">    （加盖公章）     </w:t>
      </w:r>
      <w:r>
        <w:rPr>
          <w:rFonts w:hint="eastAsia" w:ascii="宋体" w:hAnsi="宋体" w:eastAsia="宋体" w:cs="宋体"/>
          <w:color w:val="auto"/>
          <w:szCs w:val="21"/>
          <w:highlight w:val="none"/>
        </w:rPr>
        <w:t xml:space="preserve">       </w:t>
      </w:r>
    </w:p>
    <w:p w14:paraId="3CDEEF76">
      <w:pPr>
        <w:shd w:val="clear" w:color="auto" w:fill="auto"/>
        <w:spacing w:line="500" w:lineRule="exact"/>
        <w:ind w:firstLine="426"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法定代表人签字或盖章：</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 </w:t>
      </w:r>
    </w:p>
    <w:p w14:paraId="33BA5619">
      <w:pPr>
        <w:shd w:val="clear" w:color="auto" w:fill="auto"/>
        <w:spacing w:line="500" w:lineRule="exact"/>
        <w:ind w:firstLine="426"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授权代表签字或盖章：</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  </w:t>
      </w:r>
    </w:p>
    <w:p w14:paraId="25162941">
      <w:pPr>
        <w:shd w:val="clear" w:color="auto" w:fill="auto"/>
        <w:spacing w:line="500" w:lineRule="exact"/>
        <w:ind w:firstLine="426" w:firstLineChars="200"/>
        <w:rPr>
          <w:rFonts w:hint="eastAsia"/>
        </w:rPr>
      </w:pPr>
      <w:r>
        <w:rPr>
          <w:rFonts w:hint="eastAsia" w:ascii="宋体" w:hAnsi="宋体" w:eastAsia="宋体" w:cs="宋体"/>
          <w:color w:val="auto"/>
          <w:szCs w:val="21"/>
          <w:highlight w:val="none"/>
        </w:rPr>
        <w:t>签署日期：</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 年</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月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日</w:t>
      </w:r>
    </w:p>
    <w:p w14:paraId="002A6755">
      <w:pPr>
        <w:pStyle w:val="4"/>
        <w:numPr>
          <w:ilvl w:val="0"/>
          <w:numId w:val="0"/>
        </w:numPr>
        <w:shd w:val="clear" w:color="auto" w:fill="auto"/>
        <w:spacing w:before="0" w:line="240" w:lineRule="atLeast"/>
        <w:jc w:val="center"/>
        <w:rPr>
          <w:rFonts w:hint="eastAsia" w:ascii="宋体" w:hAnsi="宋体" w:eastAsia="宋体" w:cs="宋体"/>
          <w:b/>
          <w:bCs/>
          <w:color w:val="auto"/>
          <w:sz w:val="24"/>
          <w:highlight w:val="none"/>
        </w:rPr>
      </w:pPr>
    </w:p>
    <w:p w14:paraId="0651B18E">
      <w:pPr>
        <w:rPr>
          <w:rFonts w:hint="eastAsia" w:ascii="宋体" w:hAnsi="宋体" w:eastAsia="宋体" w:cs="宋体"/>
          <w:b/>
          <w:bCs/>
          <w:color w:val="auto"/>
          <w:sz w:val="24"/>
          <w:highlight w:val="none"/>
        </w:rPr>
      </w:pPr>
    </w:p>
    <w:p w14:paraId="3C0E84A6">
      <w:pPr>
        <w:pStyle w:val="2"/>
        <w:rPr>
          <w:rFonts w:hint="eastAsia" w:ascii="宋体" w:hAnsi="宋体" w:eastAsia="宋体" w:cs="宋体"/>
          <w:b/>
          <w:bCs/>
          <w:color w:val="auto"/>
          <w:sz w:val="24"/>
          <w:highlight w:val="none"/>
        </w:rPr>
      </w:pPr>
    </w:p>
    <w:p w14:paraId="4F8CD9C7">
      <w:pPr>
        <w:rPr>
          <w:rFonts w:hint="eastAsia" w:ascii="宋体" w:hAnsi="宋体" w:eastAsia="宋体" w:cs="宋体"/>
          <w:b/>
          <w:bCs/>
          <w:color w:val="auto"/>
          <w:sz w:val="24"/>
          <w:highlight w:val="none"/>
        </w:rPr>
      </w:pPr>
    </w:p>
    <w:p w14:paraId="215B630F">
      <w:pPr>
        <w:pStyle w:val="2"/>
        <w:rPr>
          <w:rFonts w:hint="eastAsia"/>
        </w:rPr>
      </w:pPr>
    </w:p>
    <w:p w14:paraId="439C308E">
      <w:pPr>
        <w:pStyle w:val="10"/>
        <w:rPr>
          <w:rFonts w:hint="eastAsia"/>
        </w:rPr>
      </w:pPr>
    </w:p>
    <w:p w14:paraId="515A7860">
      <w:pPr>
        <w:pStyle w:val="4"/>
        <w:numPr>
          <w:ilvl w:val="0"/>
          <w:numId w:val="0"/>
        </w:numPr>
        <w:shd w:val="clear" w:color="auto" w:fill="auto"/>
        <w:spacing w:before="0" w:line="240" w:lineRule="atLeast"/>
        <w:jc w:val="center"/>
        <w:rPr>
          <w:rFonts w:hint="eastAsia" w:ascii="宋体" w:hAnsi="宋体" w:eastAsia="宋体" w:cs="宋体"/>
          <w:b/>
          <w:bCs/>
          <w:color w:val="auto"/>
          <w:sz w:val="24"/>
          <w:highlight w:val="none"/>
        </w:rPr>
      </w:pPr>
      <w:r>
        <w:rPr>
          <w:rFonts w:hint="eastAsia" w:ascii="宋体" w:hAnsi="宋体" w:cs="宋体"/>
          <w:b/>
          <w:bCs/>
          <w:color w:val="auto"/>
          <w:sz w:val="24"/>
          <w:highlight w:val="none"/>
          <w:lang w:val="en-US" w:eastAsia="zh-CN"/>
        </w:rPr>
        <w:t>3</w:t>
      </w:r>
      <w:r>
        <w:rPr>
          <w:rFonts w:hint="eastAsia" w:ascii="宋体" w:hAnsi="宋体" w:eastAsia="宋体" w:cs="宋体"/>
          <w:b/>
          <w:bCs/>
          <w:color w:val="auto"/>
          <w:sz w:val="24"/>
          <w:highlight w:val="none"/>
        </w:rPr>
        <w:t xml:space="preserve"> </w:t>
      </w:r>
      <w:r>
        <w:rPr>
          <w:rFonts w:hint="eastAsia" w:ascii="宋体" w:hAnsi="宋体" w:eastAsia="宋体" w:cs="宋体"/>
          <w:b/>
          <w:bCs/>
          <w:color w:val="auto"/>
          <w:sz w:val="24"/>
          <w:highlight w:val="none"/>
          <w:lang w:eastAsia="zh-CN"/>
        </w:rPr>
        <w:t>、</w:t>
      </w:r>
      <w:bookmarkEnd w:id="116"/>
      <w:bookmarkEnd w:id="117"/>
      <w:bookmarkEnd w:id="118"/>
      <w:bookmarkStart w:id="120" w:name="_Toc216582815"/>
      <w:bookmarkStart w:id="121" w:name="_Toc10313"/>
      <w:bookmarkStart w:id="122" w:name="_Toc1881"/>
      <w:bookmarkStart w:id="123" w:name="_Toc515647818"/>
      <w:bookmarkStart w:id="124" w:name="_Toc20897"/>
      <w:bookmarkStart w:id="125" w:name="_Toc28959"/>
      <w:bookmarkStart w:id="126" w:name="_Toc515647820"/>
      <w:bookmarkStart w:id="127" w:name="_Toc216582817"/>
      <w:bookmarkStart w:id="128" w:name="_Toc22563"/>
      <w:r>
        <w:rPr>
          <w:rFonts w:hint="eastAsia" w:ascii="宋体" w:hAnsi="宋体" w:eastAsia="宋体" w:cs="宋体"/>
          <w:b/>
          <w:bCs/>
          <w:color w:val="auto"/>
          <w:sz w:val="24"/>
          <w:highlight w:val="none"/>
        </w:rPr>
        <w:t>投标分项报价表</w:t>
      </w:r>
      <w:bookmarkEnd w:id="120"/>
      <w:bookmarkEnd w:id="121"/>
      <w:bookmarkEnd w:id="122"/>
      <w:bookmarkEnd w:id="123"/>
      <w:bookmarkEnd w:id="124"/>
    </w:p>
    <w:p w14:paraId="27D0A50C">
      <w:pPr>
        <w:pStyle w:val="14"/>
        <w:shd w:val="clear" w:color="auto" w:fill="auto"/>
        <w:spacing w:line="240" w:lineRule="atLeast"/>
        <w:ind w:left="1087" w:leftChars="257" w:hanging="540"/>
        <w:rPr>
          <w:rFonts w:hint="eastAsia" w:ascii="宋体" w:hAnsi="宋体" w:eastAsia="宋体" w:cs="宋体"/>
          <w:color w:val="auto"/>
          <w:sz w:val="24"/>
          <w:highlight w:val="none"/>
        </w:rPr>
      </w:pPr>
    </w:p>
    <w:p w14:paraId="2DAF0EAB">
      <w:pPr>
        <w:pStyle w:val="14"/>
        <w:shd w:val="clear" w:color="auto" w:fill="auto"/>
        <w:spacing w:line="240" w:lineRule="atLeast"/>
        <w:ind w:left="1087" w:leftChars="257" w:hanging="54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项目名称:                </w:t>
      </w:r>
    </w:p>
    <w:p w14:paraId="13D43437">
      <w:pPr>
        <w:pStyle w:val="14"/>
        <w:shd w:val="clear" w:color="auto" w:fill="auto"/>
        <w:spacing w:line="240" w:lineRule="atLeast"/>
        <w:ind w:left="1087" w:leftChars="257" w:hanging="54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招标编号</w:t>
      </w:r>
      <w:r>
        <w:rPr>
          <w:rFonts w:hint="eastAsia" w:hAnsi="宋体" w:cs="宋体"/>
          <w:color w:val="auto"/>
          <w:sz w:val="21"/>
          <w:szCs w:val="21"/>
          <w:highlight w:val="none"/>
          <w:lang w:eastAsia="zh-CN"/>
        </w:rPr>
        <w:t>：</w:t>
      </w:r>
    </w:p>
    <w:p w14:paraId="704EB0C1">
      <w:pPr>
        <w:pStyle w:val="14"/>
        <w:shd w:val="clear" w:color="auto" w:fill="auto"/>
        <w:spacing w:line="240" w:lineRule="atLeast"/>
        <w:ind w:left="1087" w:leftChars="257" w:hanging="540"/>
        <w:jc w:val="center"/>
        <w:rPr>
          <w:rFonts w:hint="eastAsia" w:ascii="宋体" w:hAnsi="宋体" w:eastAsia="宋体" w:cs="宋体"/>
          <w:color w:val="auto"/>
          <w:sz w:val="21"/>
          <w:szCs w:val="21"/>
          <w:highlight w:val="none"/>
        </w:rPr>
      </w:pPr>
      <w:r>
        <w:rPr>
          <w:rFonts w:hint="eastAsia"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　</w:t>
      </w:r>
    </w:p>
    <w:p w14:paraId="54B48111">
      <w:pPr>
        <w:pStyle w:val="14"/>
        <w:shd w:val="clear" w:color="auto" w:fill="auto"/>
        <w:spacing w:line="240" w:lineRule="atLeast"/>
        <w:ind w:left="1087" w:leftChars="257" w:hanging="540"/>
        <w:jc w:val="center"/>
        <w:rPr>
          <w:rFonts w:hint="eastAsia" w:ascii="宋体" w:hAnsi="宋体" w:eastAsia="宋体" w:cs="宋体"/>
          <w:color w:val="auto"/>
          <w:sz w:val="21"/>
          <w:szCs w:val="21"/>
          <w:highlight w:val="none"/>
        </w:rPr>
      </w:pPr>
      <w:r>
        <w:rPr>
          <w:rFonts w:hint="eastAsia" w:ascii="仿宋" w:hAnsi="仿宋" w:eastAsia="仿宋" w:cs="仿宋"/>
          <w:color w:val="auto"/>
          <w:sz w:val="21"/>
          <w:szCs w:val="21"/>
          <w:highlight w:val="none"/>
          <w:lang w:val="en-US" w:eastAsia="zh-CN"/>
        </w:rPr>
        <w:t xml:space="preserve">                                                         </w:t>
      </w:r>
      <w:r>
        <w:rPr>
          <w:rFonts w:hint="eastAsia" w:ascii="宋体" w:hAnsi="宋体" w:eastAsia="宋体" w:cs="宋体"/>
          <w:color w:val="auto"/>
          <w:sz w:val="21"/>
          <w:szCs w:val="21"/>
          <w:highlight w:val="none"/>
        </w:rPr>
        <w:t>单位：元（人民币）</w:t>
      </w:r>
    </w:p>
    <w:tbl>
      <w:tblPr>
        <w:tblStyle w:val="28"/>
        <w:tblW w:w="86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8"/>
        <w:gridCol w:w="1812"/>
        <w:gridCol w:w="1171"/>
        <w:gridCol w:w="1171"/>
        <w:gridCol w:w="840"/>
        <w:gridCol w:w="1178"/>
        <w:gridCol w:w="960"/>
        <w:gridCol w:w="720"/>
      </w:tblGrid>
      <w:tr w14:paraId="7E11F1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jc w:val="center"/>
        </w:trPr>
        <w:tc>
          <w:tcPr>
            <w:tcW w:w="778" w:type="dxa"/>
            <w:noWrap w:val="0"/>
            <w:vAlign w:val="center"/>
          </w:tcPr>
          <w:p w14:paraId="4E35A03B">
            <w:pPr>
              <w:pStyle w:val="14"/>
              <w:shd w:val="clear" w:color="auto" w:fill="auto"/>
              <w:spacing w:line="240" w:lineRule="atLeas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序号</w:t>
            </w:r>
          </w:p>
        </w:tc>
        <w:tc>
          <w:tcPr>
            <w:tcW w:w="1812" w:type="dxa"/>
            <w:noWrap w:val="0"/>
            <w:vAlign w:val="center"/>
          </w:tcPr>
          <w:p w14:paraId="5A6C8A08">
            <w:pPr>
              <w:pStyle w:val="14"/>
              <w:shd w:val="clear" w:color="auto" w:fill="auto"/>
              <w:spacing w:line="240" w:lineRule="atLeast"/>
              <w:jc w:val="center"/>
              <w:rPr>
                <w:rFonts w:hint="eastAsia" w:ascii="宋体" w:hAnsi="宋体" w:eastAsia="宋体" w:cs="宋体"/>
                <w:color w:val="auto"/>
                <w:sz w:val="21"/>
                <w:szCs w:val="21"/>
                <w:highlight w:val="none"/>
                <w:lang w:val="en-US" w:eastAsia="zh-CN"/>
              </w:rPr>
            </w:pPr>
            <w:r>
              <w:rPr>
                <w:rFonts w:hint="eastAsia" w:hAnsi="宋体" w:cs="宋体"/>
                <w:color w:val="auto"/>
                <w:sz w:val="21"/>
                <w:szCs w:val="21"/>
                <w:highlight w:val="none"/>
                <w:lang w:val="en-US" w:eastAsia="zh-CN"/>
              </w:rPr>
              <w:t>险种</w:t>
            </w:r>
            <w:r>
              <w:rPr>
                <w:rFonts w:hint="eastAsia" w:hAnsi="宋体" w:eastAsia="宋体" w:cs="宋体"/>
                <w:color w:val="auto"/>
                <w:sz w:val="21"/>
                <w:szCs w:val="21"/>
                <w:highlight w:val="none"/>
                <w:lang w:val="en-US" w:eastAsia="zh-CN"/>
              </w:rPr>
              <w:t>名称</w:t>
            </w:r>
          </w:p>
        </w:tc>
        <w:tc>
          <w:tcPr>
            <w:tcW w:w="1171" w:type="dxa"/>
            <w:noWrap w:val="0"/>
            <w:vAlign w:val="center"/>
          </w:tcPr>
          <w:p w14:paraId="18089D9E">
            <w:pPr>
              <w:pStyle w:val="14"/>
              <w:shd w:val="clear" w:color="auto" w:fill="auto"/>
              <w:spacing w:line="240" w:lineRule="atLeast"/>
              <w:jc w:val="center"/>
              <w:rPr>
                <w:rFonts w:hint="default" w:ascii="宋体" w:hAnsi="宋体" w:eastAsia="宋体" w:cs="宋体"/>
                <w:color w:val="auto"/>
                <w:sz w:val="21"/>
                <w:szCs w:val="21"/>
                <w:highlight w:val="none"/>
                <w:lang w:val="en-US" w:eastAsia="zh-CN"/>
              </w:rPr>
            </w:pPr>
            <w:r>
              <w:rPr>
                <w:rFonts w:hint="eastAsia" w:hAnsi="宋体" w:cs="宋体"/>
                <w:color w:val="auto"/>
                <w:sz w:val="21"/>
                <w:szCs w:val="21"/>
                <w:highlight w:val="none"/>
                <w:lang w:val="en-US" w:eastAsia="zh-CN"/>
              </w:rPr>
              <w:t>保险责任</w:t>
            </w:r>
          </w:p>
        </w:tc>
        <w:tc>
          <w:tcPr>
            <w:tcW w:w="1171" w:type="dxa"/>
            <w:noWrap w:val="0"/>
            <w:vAlign w:val="center"/>
          </w:tcPr>
          <w:p w14:paraId="362CCEDD">
            <w:pPr>
              <w:pStyle w:val="14"/>
              <w:shd w:val="clear" w:color="auto" w:fill="auto"/>
              <w:spacing w:line="240" w:lineRule="atLeast"/>
              <w:jc w:val="center"/>
              <w:rPr>
                <w:rFonts w:hint="default" w:ascii="宋体" w:hAnsi="宋体" w:eastAsia="宋体" w:cs="宋体"/>
                <w:color w:val="auto"/>
                <w:sz w:val="21"/>
                <w:szCs w:val="21"/>
                <w:highlight w:val="none"/>
                <w:lang w:val="en-US" w:eastAsia="zh-CN"/>
              </w:rPr>
            </w:pPr>
            <w:r>
              <w:rPr>
                <w:rFonts w:hint="eastAsia" w:hAnsi="宋体" w:cs="宋体"/>
                <w:color w:val="auto"/>
                <w:sz w:val="21"/>
                <w:szCs w:val="21"/>
                <w:highlight w:val="none"/>
                <w:lang w:val="en-US" w:eastAsia="zh-CN"/>
              </w:rPr>
              <w:t>保险责任</w:t>
            </w:r>
          </w:p>
        </w:tc>
        <w:tc>
          <w:tcPr>
            <w:tcW w:w="840" w:type="dxa"/>
            <w:noWrap w:val="0"/>
            <w:vAlign w:val="center"/>
          </w:tcPr>
          <w:p w14:paraId="01621FC0">
            <w:pPr>
              <w:pStyle w:val="14"/>
              <w:shd w:val="clear" w:color="auto" w:fill="auto"/>
              <w:spacing w:line="240" w:lineRule="atLeast"/>
              <w:jc w:val="center"/>
              <w:rPr>
                <w:rFonts w:hint="default" w:ascii="宋体" w:hAnsi="宋体" w:eastAsia="宋体" w:cs="宋体"/>
                <w:color w:val="auto"/>
                <w:sz w:val="21"/>
                <w:szCs w:val="21"/>
                <w:highlight w:val="none"/>
                <w:lang w:val="en-US" w:eastAsia="zh-CN"/>
              </w:rPr>
            </w:pPr>
            <w:r>
              <w:rPr>
                <w:rFonts w:hint="default" w:ascii="宋体" w:hAnsi="宋体" w:eastAsia="宋体" w:cs="宋体"/>
                <w:color w:val="auto"/>
                <w:sz w:val="21"/>
                <w:szCs w:val="21"/>
                <w:highlight w:val="none"/>
                <w:lang w:val="en-US" w:eastAsia="zh-CN"/>
              </w:rPr>
              <w:t>保额</w:t>
            </w:r>
          </w:p>
        </w:tc>
        <w:tc>
          <w:tcPr>
            <w:tcW w:w="1178" w:type="dxa"/>
            <w:noWrap w:val="0"/>
            <w:vAlign w:val="center"/>
          </w:tcPr>
          <w:p w14:paraId="2A3C0B27">
            <w:pPr>
              <w:pStyle w:val="14"/>
              <w:shd w:val="clear" w:color="auto" w:fill="auto"/>
              <w:spacing w:line="240" w:lineRule="atLeas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保险费</w:t>
            </w:r>
            <w:r>
              <w:rPr>
                <w:rFonts w:hint="eastAsia" w:hAnsi="宋体" w:cs="宋体"/>
                <w:color w:val="auto"/>
                <w:sz w:val="21"/>
                <w:szCs w:val="21"/>
                <w:highlight w:val="none"/>
                <w:lang w:val="en-US" w:eastAsia="zh-CN"/>
              </w:rPr>
              <w:t>（元）</w:t>
            </w:r>
          </w:p>
        </w:tc>
        <w:tc>
          <w:tcPr>
            <w:tcW w:w="960" w:type="dxa"/>
            <w:noWrap w:val="0"/>
            <w:vAlign w:val="center"/>
          </w:tcPr>
          <w:p w14:paraId="55409B62">
            <w:pPr>
              <w:pStyle w:val="14"/>
              <w:shd w:val="clear" w:color="auto" w:fill="auto"/>
              <w:spacing w:line="240" w:lineRule="atLeast"/>
              <w:jc w:val="both"/>
              <w:rPr>
                <w:rFonts w:hint="eastAsia" w:ascii="宋体" w:hAnsi="宋体" w:eastAsia="宋体" w:cs="宋体"/>
                <w:color w:val="auto"/>
                <w:sz w:val="21"/>
                <w:szCs w:val="21"/>
                <w:highlight w:val="none"/>
                <w:lang w:val="en-US" w:eastAsia="zh-CN"/>
              </w:rPr>
            </w:pPr>
            <w:r>
              <w:rPr>
                <w:rFonts w:hint="eastAsia" w:hAnsi="宋体" w:cs="宋体"/>
                <w:color w:val="auto"/>
                <w:sz w:val="21"/>
                <w:szCs w:val="21"/>
                <w:highlight w:val="none"/>
                <w:lang w:val="en-US" w:eastAsia="zh-CN"/>
              </w:rPr>
              <w:t>保险期</w:t>
            </w:r>
          </w:p>
        </w:tc>
        <w:tc>
          <w:tcPr>
            <w:tcW w:w="720" w:type="dxa"/>
            <w:noWrap w:val="0"/>
            <w:vAlign w:val="center"/>
          </w:tcPr>
          <w:p w14:paraId="6DA4EA1F">
            <w:pPr>
              <w:pStyle w:val="14"/>
              <w:shd w:val="clear" w:color="auto" w:fill="auto"/>
              <w:spacing w:line="240" w:lineRule="atLeas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备注</w:t>
            </w:r>
          </w:p>
        </w:tc>
      </w:tr>
      <w:tr w14:paraId="562AE8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jc w:val="center"/>
        </w:trPr>
        <w:tc>
          <w:tcPr>
            <w:tcW w:w="778" w:type="dxa"/>
            <w:noWrap w:val="0"/>
            <w:vAlign w:val="center"/>
          </w:tcPr>
          <w:p w14:paraId="110F9DAC">
            <w:pPr>
              <w:pStyle w:val="14"/>
              <w:shd w:val="clear" w:color="auto" w:fill="auto"/>
              <w:spacing w:line="240" w:lineRule="atLeas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p>
        </w:tc>
        <w:tc>
          <w:tcPr>
            <w:tcW w:w="1812" w:type="dxa"/>
            <w:noWrap w:val="0"/>
            <w:vAlign w:val="center"/>
          </w:tcPr>
          <w:p w14:paraId="1FF569D4">
            <w:pPr>
              <w:pStyle w:val="14"/>
              <w:shd w:val="clear" w:color="auto" w:fill="auto"/>
              <w:spacing w:line="240" w:lineRule="atLeast"/>
              <w:jc w:val="center"/>
              <w:rPr>
                <w:rFonts w:hint="eastAsia" w:ascii="宋体" w:hAnsi="宋体" w:eastAsia="宋体" w:cs="宋体"/>
                <w:color w:val="auto"/>
                <w:sz w:val="21"/>
                <w:szCs w:val="21"/>
                <w:highlight w:val="none"/>
                <w:lang w:val="en-US" w:eastAsia="zh-CN"/>
              </w:rPr>
            </w:pPr>
          </w:p>
        </w:tc>
        <w:tc>
          <w:tcPr>
            <w:tcW w:w="1171" w:type="dxa"/>
            <w:noWrap w:val="0"/>
            <w:vAlign w:val="center"/>
          </w:tcPr>
          <w:p w14:paraId="4AEA790A">
            <w:pPr>
              <w:pStyle w:val="14"/>
              <w:shd w:val="clear" w:color="auto" w:fill="auto"/>
              <w:spacing w:line="240" w:lineRule="atLeast"/>
              <w:ind w:left="1087" w:leftChars="257" w:hanging="540"/>
              <w:jc w:val="center"/>
              <w:rPr>
                <w:rFonts w:hint="eastAsia" w:ascii="宋体" w:hAnsi="宋体" w:eastAsia="宋体" w:cs="宋体"/>
                <w:color w:val="auto"/>
                <w:sz w:val="21"/>
                <w:szCs w:val="21"/>
                <w:highlight w:val="none"/>
                <w:lang w:val="en-US" w:eastAsia="zh-CN"/>
              </w:rPr>
            </w:pPr>
          </w:p>
        </w:tc>
        <w:tc>
          <w:tcPr>
            <w:tcW w:w="1171" w:type="dxa"/>
            <w:noWrap w:val="0"/>
            <w:vAlign w:val="center"/>
          </w:tcPr>
          <w:p w14:paraId="4A808F72">
            <w:pPr>
              <w:pStyle w:val="14"/>
              <w:shd w:val="clear" w:color="auto" w:fill="auto"/>
              <w:spacing w:line="240" w:lineRule="atLeast"/>
              <w:ind w:left="1087" w:leftChars="257" w:hanging="540"/>
              <w:jc w:val="center"/>
              <w:rPr>
                <w:rFonts w:hint="eastAsia" w:ascii="宋体" w:hAnsi="宋体" w:eastAsia="宋体" w:cs="宋体"/>
                <w:color w:val="auto"/>
                <w:sz w:val="21"/>
                <w:szCs w:val="21"/>
                <w:highlight w:val="none"/>
                <w:lang w:val="en-US" w:eastAsia="zh-CN"/>
              </w:rPr>
            </w:pPr>
          </w:p>
        </w:tc>
        <w:tc>
          <w:tcPr>
            <w:tcW w:w="840" w:type="dxa"/>
            <w:noWrap w:val="0"/>
            <w:vAlign w:val="center"/>
          </w:tcPr>
          <w:p w14:paraId="133BE9A5">
            <w:pPr>
              <w:pStyle w:val="14"/>
              <w:shd w:val="clear" w:color="auto" w:fill="auto"/>
              <w:spacing w:line="240" w:lineRule="atLeast"/>
              <w:ind w:left="1087" w:leftChars="257" w:hanging="540"/>
              <w:jc w:val="center"/>
              <w:rPr>
                <w:rFonts w:hint="eastAsia" w:ascii="宋体" w:hAnsi="宋体" w:eastAsia="宋体" w:cs="宋体"/>
                <w:color w:val="auto"/>
                <w:sz w:val="21"/>
                <w:szCs w:val="21"/>
                <w:highlight w:val="none"/>
                <w:lang w:val="en-US" w:eastAsia="zh-CN"/>
              </w:rPr>
            </w:pPr>
          </w:p>
        </w:tc>
        <w:tc>
          <w:tcPr>
            <w:tcW w:w="1178" w:type="dxa"/>
            <w:noWrap w:val="0"/>
            <w:vAlign w:val="center"/>
          </w:tcPr>
          <w:p w14:paraId="14BF5A9F">
            <w:pPr>
              <w:pStyle w:val="14"/>
              <w:shd w:val="clear" w:color="auto" w:fill="auto"/>
              <w:spacing w:line="240" w:lineRule="atLeast"/>
              <w:ind w:left="1087" w:leftChars="257" w:hanging="540"/>
              <w:jc w:val="center"/>
              <w:rPr>
                <w:rFonts w:hint="eastAsia" w:ascii="宋体" w:hAnsi="宋体" w:eastAsia="宋体" w:cs="宋体"/>
                <w:color w:val="auto"/>
                <w:sz w:val="21"/>
                <w:szCs w:val="21"/>
                <w:highlight w:val="none"/>
                <w:lang w:val="en-US" w:eastAsia="zh-CN"/>
              </w:rPr>
            </w:pPr>
          </w:p>
        </w:tc>
        <w:tc>
          <w:tcPr>
            <w:tcW w:w="960" w:type="dxa"/>
            <w:noWrap w:val="0"/>
            <w:vAlign w:val="center"/>
          </w:tcPr>
          <w:p w14:paraId="6783C52E">
            <w:pPr>
              <w:pStyle w:val="14"/>
              <w:shd w:val="clear" w:color="auto" w:fill="auto"/>
              <w:spacing w:line="240" w:lineRule="atLeast"/>
              <w:ind w:left="1087" w:leftChars="257" w:hanging="540"/>
              <w:jc w:val="center"/>
              <w:rPr>
                <w:rFonts w:hint="eastAsia" w:ascii="宋体" w:hAnsi="宋体" w:eastAsia="宋体" w:cs="宋体"/>
                <w:color w:val="auto"/>
                <w:sz w:val="21"/>
                <w:szCs w:val="21"/>
                <w:highlight w:val="none"/>
                <w:lang w:val="en-US" w:eastAsia="zh-CN"/>
              </w:rPr>
            </w:pPr>
          </w:p>
        </w:tc>
        <w:tc>
          <w:tcPr>
            <w:tcW w:w="720" w:type="dxa"/>
            <w:noWrap w:val="0"/>
            <w:vAlign w:val="center"/>
          </w:tcPr>
          <w:p w14:paraId="7EC0E5F6">
            <w:pPr>
              <w:pStyle w:val="14"/>
              <w:shd w:val="clear" w:color="auto" w:fill="auto"/>
              <w:spacing w:line="240" w:lineRule="atLeast"/>
              <w:ind w:left="1087" w:leftChars="257" w:hanging="540"/>
              <w:jc w:val="center"/>
              <w:rPr>
                <w:rFonts w:hint="eastAsia" w:ascii="宋体" w:hAnsi="宋体" w:eastAsia="宋体" w:cs="宋体"/>
                <w:color w:val="auto"/>
                <w:sz w:val="21"/>
                <w:szCs w:val="21"/>
                <w:highlight w:val="none"/>
                <w:lang w:val="en-US" w:eastAsia="zh-CN"/>
              </w:rPr>
            </w:pPr>
          </w:p>
        </w:tc>
      </w:tr>
      <w:tr w14:paraId="194FC8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778" w:type="dxa"/>
            <w:noWrap w:val="0"/>
            <w:vAlign w:val="center"/>
          </w:tcPr>
          <w:p w14:paraId="6C43C31B">
            <w:pPr>
              <w:pStyle w:val="14"/>
              <w:shd w:val="clear" w:color="auto" w:fill="auto"/>
              <w:spacing w:line="240" w:lineRule="atLeas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1812" w:type="dxa"/>
            <w:noWrap w:val="0"/>
            <w:vAlign w:val="center"/>
          </w:tcPr>
          <w:p w14:paraId="6A93463D">
            <w:pPr>
              <w:pStyle w:val="14"/>
              <w:shd w:val="clear" w:color="auto" w:fill="auto"/>
              <w:spacing w:line="240" w:lineRule="atLeast"/>
              <w:jc w:val="both"/>
              <w:rPr>
                <w:rFonts w:hint="eastAsia" w:ascii="宋体" w:hAnsi="宋体" w:eastAsia="宋体" w:cs="宋体"/>
                <w:color w:val="auto"/>
                <w:sz w:val="21"/>
                <w:szCs w:val="21"/>
                <w:highlight w:val="none"/>
                <w:lang w:val="en-US" w:eastAsia="zh-CN"/>
              </w:rPr>
            </w:pPr>
          </w:p>
        </w:tc>
        <w:tc>
          <w:tcPr>
            <w:tcW w:w="1171" w:type="dxa"/>
            <w:noWrap w:val="0"/>
            <w:vAlign w:val="center"/>
          </w:tcPr>
          <w:p w14:paraId="15151271">
            <w:pPr>
              <w:pStyle w:val="14"/>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1171" w:type="dxa"/>
            <w:noWrap w:val="0"/>
            <w:vAlign w:val="center"/>
          </w:tcPr>
          <w:p w14:paraId="4C626DC1">
            <w:pPr>
              <w:pStyle w:val="14"/>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840" w:type="dxa"/>
            <w:noWrap w:val="0"/>
            <w:vAlign w:val="center"/>
          </w:tcPr>
          <w:p w14:paraId="10311FB8">
            <w:pPr>
              <w:pStyle w:val="14"/>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1178" w:type="dxa"/>
            <w:noWrap w:val="0"/>
            <w:vAlign w:val="center"/>
          </w:tcPr>
          <w:p w14:paraId="30576F22">
            <w:pPr>
              <w:pStyle w:val="14"/>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960" w:type="dxa"/>
            <w:noWrap w:val="0"/>
            <w:vAlign w:val="center"/>
          </w:tcPr>
          <w:p w14:paraId="7CE01572">
            <w:pPr>
              <w:pStyle w:val="14"/>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720" w:type="dxa"/>
            <w:noWrap w:val="0"/>
            <w:vAlign w:val="center"/>
          </w:tcPr>
          <w:p w14:paraId="724962E7">
            <w:pPr>
              <w:pStyle w:val="14"/>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r>
      <w:tr w14:paraId="01645B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778" w:type="dxa"/>
            <w:noWrap w:val="0"/>
            <w:vAlign w:val="center"/>
          </w:tcPr>
          <w:p w14:paraId="26235430">
            <w:pPr>
              <w:pStyle w:val="14"/>
              <w:shd w:val="clear" w:color="auto" w:fill="auto"/>
              <w:spacing w:line="240" w:lineRule="atLeas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w:t>
            </w:r>
          </w:p>
        </w:tc>
        <w:tc>
          <w:tcPr>
            <w:tcW w:w="1812" w:type="dxa"/>
            <w:noWrap w:val="0"/>
            <w:vAlign w:val="center"/>
          </w:tcPr>
          <w:p w14:paraId="2190F25A">
            <w:pPr>
              <w:pStyle w:val="14"/>
              <w:shd w:val="clear" w:color="auto" w:fill="auto"/>
              <w:spacing w:line="240" w:lineRule="atLeast"/>
              <w:jc w:val="both"/>
              <w:rPr>
                <w:rFonts w:hint="eastAsia" w:ascii="宋体" w:hAnsi="宋体" w:eastAsia="宋体" w:cs="宋体"/>
                <w:color w:val="auto"/>
                <w:sz w:val="21"/>
                <w:szCs w:val="21"/>
                <w:highlight w:val="none"/>
                <w:lang w:val="en-US" w:eastAsia="zh-CN"/>
              </w:rPr>
            </w:pPr>
          </w:p>
        </w:tc>
        <w:tc>
          <w:tcPr>
            <w:tcW w:w="1171" w:type="dxa"/>
            <w:noWrap w:val="0"/>
            <w:vAlign w:val="center"/>
          </w:tcPr>
          <w:p w14:paraId="4ADAFACB">
            <w:pPr>
              <w:pStyle w:val="14"/>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1171" w:type="dxa"/>
            <w:noWrap w:val="0"/>
            <w:vAlign w:val="center"/>
          </w:tcPr>
          <w:p w14:paraId="4BA5AD71">
            <w:pPr>
              <w:pStyle w:val="14"/>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840" w:type="dxa"/>
            <w:noWrap w:val="0"/>
            <w:vAlign w:val="center"/>
          </w:tcPr>
          <w:p w14:paraId="74289EFD">
            <w:pPr>
              <w:pStyle w:val="14"/>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1178" w:type="dxa"/>
            <w:noWrap w:val="0"/>
            <w:vAlign w:val="center"/>
          </w:tcPr>
          <w:p w14:paraId="1B7A54A3">
            <w:pPr>
              <w:pStyle w:val="14"/>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960" w:type="dxa"/>
            <w:noWrap w:val="0"/>
            <w:vAlign w:val="center"/>
          </w:tcPr>
          <w:p w14:paraId="1F6CFDDE">
            <w:pPr>
              <w:pStyle w:val="14"/>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720" w:type="dxa"/>
            <w:noWrap w:val="0"/>
            <w:vAlign w:val="center"/>
          </w:tcPr>
          <w:p w14:paraId="085034C2">
            <w:pPr>
              <w:pStyle w:val="14"/>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r>
      <w:tr w14:paraId="0D9525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778" w:type="dxa"/>
            <w:noWrap w:val="0"/>
            <w:vAlign w:val="center"/>
          </w:tcPr>
          <w:p w14:paraId="13D0D7BE">
            <w:pPr>
              <w:pStyle w:val="14"/>
              <w:shd w:val="clear" w:color="auto" w:fill="auto"/>
              <w:spacing w:line="240" w:lineRule="atLeas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1812" w:type="dxa"/>
            <w:noWrap w:val="0"/>
            <w:vAlign w:val="center"/>
          </w:tcPr>
          <w:p w14:paraId="38AC3966">
            <w:pPr>
              <w:pStyle w:val="14"/>
              <w:shd w:val="clear" w:color="auto" w:fill="auto"/>
              <w:spacing w:line="240" w:lineRule="atLeast"/>
              <w:jc w:val="both"/>
              <w:rPr>
                <w:rFonts w:hint="eastAsia" w:ascii="宋体" w:hAnsi="宋体" w:eastAsia="宋体" w:cs="宋体"/>
                <w:color w:val="auto"/>
                <w:sz w:val="21"/>
                <w:szCs w:val="21"/>
                <w:highlight w:val="none"/>
                <w:lang w:val="en-US" w:eastAsia="zh-CN"/>
              </w:rPr>
            </w:pPr>
          </w:p>
        </w:tc>
        <w:tc>
          <w:tcPr>
            <w:tcW w:w="1171" w:type="dxa"/>
            <w:noWrap w:val="0"/>
            <w:vAlign w:val="center"/>
          </w:tcPr>
          <w:p w14:paraId="1CDBCEC0">
            <w:pPr>
              <w:pStyle w:val="14"/>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1171" w:type="dxa"/>
            <w:noWrap w:val="0"/>
            <w:vAlign w:val="center"/>
          </w:tcPr>
          <w:p w14:paraId="1579C137">
            <w:pPr>
              <w:pStyle w:val="14"/>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840" w:type="dxa"/>
            <w:noWrap w:val="0"/>
            <w:vAlign w:val="center"/>
          </w:tcPr>
          <w:p w14:paraId="5E52940C">
            <w:pPr>
              <w:pStyle w:val="14"/>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1178" w:type="dxa"/>
            <w:noWrap w:val="0"/>
            <w:vAlign w:val="center"/>
          </w:tcPr>
          <w:p w14:paraId="45EC5A12">
            <w:pPr>
              <w:pStyle w:val="14"/>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960" w:type="dxa"/>
            <w:noWrap w:val="0"/>
            <w:vAlign w:val="center"/>
          </w:tcPr>
          <w:p w14:paraId="20F9901C">
            <w:pPr>
              <w:pStyle w:val="14"/>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720" w:type="dxa"/>
            <w:noWrap w:val="0"/>
            <w:vAlign w:val="center"/>
          </w:tcPr>
          <w:p w14:paraId="2D8155E5">
            <w:pPr>
              <w:pStyle w:val="14"/>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r>
      <w:tr w14:paraId="3218D9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778" w:type="dxa"/>
            <w:noWrap w:val="0"/>
            <w:vAlign w:val="center"/>
          </w:tcPr>
          <w:p w14:paraId="2B06DBAB">
            <w:pPr>
              <w:pStyle w:val="14"/>
              <w:shd w:val="clear" w:color="auto" w:fill="auto"/>
              <w:spacing w:line="240" w:lineRule="atLeas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w:t>
            </w:r>
          </w:p>
        </w:tc>
        <w:tc>
          <w:tcPr>
            <w:tcW w:w="1812" w:type="dxa"/>
            <w:noWrap w:val="0"/>
            <w:vAlign w:val="center"/>
          </w:tcPr>
          <w:p w14:paraId="317A7BED">
            <w:pPr>
              <w:pStyle w:val="14"/>
              <w:shd w:val="clear" w:color="auto" w:fill="auto"/>
              <w:spacing w:line="240" w:lineRule="atLeast"/>
              <w:jc w:val="both"/>
              <w:rPr>
                <w:rFonts w:hint="eastAsia" w:ascii="宋体" w:hAnsi="宋体" w:eastAsia="宋体" w:cs="宋体"/>
                <w:color w:val="auto"/>
                <w:sz w:val="21"/>
                <w:szCs w:val="21"/>
                <w:highlight w:val="none"/>
                <w:lang w:val="en-US" w:eastAsia="zh-CN"/>
              </w:rPr>
            </w:pPr>
          </w:p>
        </w:tc>
        <w:tc>
          <w:tcPr>
            <w:tcW w:w="1171" w:type="dxa"/>
            <w:noWrap w:val="0"/>
            <w:vAlign w:val="center"/>
          </w:tcPr>
          <w:p w14:paraId="2A5BE19D">
            <w:pPr>
              <w:pStyle w:val="14"/>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1171" w:type="dxa"/>
            <w:noWrap w:val="0"/>
            <w:vAlign w:val="center"/>
          </w:tcPr>
          <w:p w14:paraId="2E951D15">
            <w:pPr>
              <w:pStyle w:val="14"/>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840" w:type="dxa"/>
            <w:noWrap w:val="0"/>
            <w:vAlign w:val="center"/>
          </w:tcPr>
          <w:p w14:paraId="567E9AD1">
            <w:pPr>
              <w:pStyle w:val="14"/>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1178" w:type="dxa"/>
            <w:noWrap w:val="0"/>
            <w:vAlign w:val="center"/>
          </w:tcPr>
          <w:p w14:paraId="4AFC28E8">
            <w:pPr>
              <w:pStyle w:val="14"/>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960" w:type="dxa"/>
            <w:noWrap w:val="0"/>
            <w:vAlign w:val="center"/>
          </w:tcPr>
          <w:p w14:paraId="392D4E36">
            <w:pPr>
              <w:pStyle w:val="14"/>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720" w:type="dxa"/>
            <w:noWrap w:val="0"/>
            <w:vAlign w:val="center"/>
          </w:tcPr>
          <w:p w14:paraId="6CB33251">
            <w:pPr>
              <w:pStyle w:val="14"/>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r>
      <w:tr w14:paraId="2B9D08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8630" w:type="dxa"/>
            <w:gridSpan w:val="8"/>
            <w:noWrap w:val="0"/>
            <w:vAlign w:val="center"/>
          </w:tcPr>
          <w:p w14:paraId="2782A766">
            <w:pPr>
              <w:pStyle w:val="14"/>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r>
              <w:rPr>
                <w:rFonts w:hint="eastAsia" w:hAnsi="宋体" w:eastAsia="宋体" w:cs="宋体"/>
                <w:color w:val="auto"/>
                <w:sz w:val="21"/>
                <w:szCs w:val="21"/>
                <w:highlight w:val="none"/>
                <w:lang w:val="en-US" w:eastAsia="zh-CN"/>
              </w:rPr>
              <w:t>总计（元）：</w:t>
            </w:r>
          </w:p>
        </w:tc>
      </w:tr>
    </w:tbl>
    <w:p w14:paraId="5B1A3E62">
      <w:pPr>
        <w:pStyle w:val="14"/>
        <w:shd w:val="clear" w:color="auto" w:fill="auto"/>
        <w:spacing w:line="240" w:lineRule="atLeast"/>
        <w:ind w:left="1087" w:leftChars="257" w:hanging="540"/>
        <w:rPr>
          <w:rFonts w:hint="eastAsia" w:ascii="宋体" w:hAnsi="宋体" w:eastAsia="宋体" w:cs="宋体"/>
          <w:color w:val="auto"/>
          <w:sz w:val="21"/>
          <w:szCs w:val="21"/>
          <w:highlight w:val="none"/>
        </w:rPr>
      </w:pPr>
    </w:p>
    <w:p w14:paraId="7CB51A65">
      <w:pPr>
        <w:pStyle w:val="15"/>
        <w:rPr>
          <w:rFonts w:hint="eastAsia"/>
        </w:rPr>
      </w:pPr>
    </w:p>
    <w:p w14:paraId="61D39305">
      <w:pPr>
        <w:pStyle w:val="14"/>
        <w:shd w:val="clear" w:color="auto" w:fill="auto"/>
        <w:spacing w:line="240" w:lineRule="atLeast"/>
        <w:ind w:left="1087" w:leftChars="257" w:hanging="54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法定代表人或其委托代理人签字:</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rPr>
        <w:tab/>
      </w:r>
      <w:r>
        <w:rPr>
          <w:rFonts w:hint="eastAsia" w:ascii="宋体" w:hAnsi="宋体" w:eastAsia="宋体" w:cs="宋体"/>
          <w:color w:val="auto"/>
          <w:sz w:val="21"/>
          <w:szCs w:val="21"/>
          <w:highlight w:val="none"/>
          <w:u w:val="single"/>
        </w:rPr>
        <w:t xml:space="preserve">                 </w:t>
      </w:r>
    </w:p>
    <w:p w14:paraId="44882C9C">
      <w:pPr>
        <w:pStyle w:val="14"/>
        <w:shd w:val="clear" w:color="auto" w:fill="auto"/>
        <w:tabs>
          <w:tab w:val="left" w:pos="5370"/>
        </w:tabs>
        <w:spacing w:line="240" w:lineRule="atLeast"/>
        <w:ind w:left="1087" w:leftChars="257" w:hanging="54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投标人(盖单位章):</w:t>
      </w:r>
      <w:r>
        <w:rPr>
          <w:rFonts w:hint="eastAsia" w:ascii="宋体" w:hAnsi="宋体" w:eastAsia="宋体" w:cs="宋体"/>
          <w:color w:val="auto"/>
          <w:sz w:val="21"/>
          <w:szCs w:val="21"/>
          <w:highlight w:val="none"/>
          <w:u w:val="single"/>
        </w:rPr>
        <w:tab/>
      </w:r>
    </w:p>
    <w:p w14:paraId="07995405">
      <w:pPr>
        <w:shd w:val="clear" w:color="auto" w:fill="auto"/>
        <w:spacing w:line="500" w:lineRule="exact"/>
        <w:ind w:firstLine="639" w:firstLineChars="300"/>
        <w:rPr>
          <w:rFonts w:hint="eastAsia"/>
        </w:rPr>
      </w:pPr>
      <w:r>
        <w:rPr>
          <w:rFonts w:hint="eastAsia" w:ascii="宋体" w:hAnsi="宋体" w:eastAsia="宋体" w:cs="宋体"/>
          <w:color w:val="auto"/>
          <w:szCs w:val="21"/>
          <w:highlight w:val="none"/>
        </w:rPr>
        <w:t>签署日期：</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 年</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月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日</w:t>
      </w:r>
    </w:p>
    <w:p w14:paraId="2220494C">
      <w:pPr>
        <w:pStyle w:val="14"/>
        <w:shd w:val="clear" w:color="auto" w:fill="auto"/>
        <w:spacing w:line="240" w:lineRule="atLeast"/>
        <w:ind w:left="1087" w:leftChars="257" w:hanging="540"/>
        <w:rPr>
          <w:rFonts w:hint="eastAsia" w:ascii="宋体" w:hAnsi="宋体" w:eastAsia="宋体" w:cs="宋体"/>
          <w:color w:val="auto"/>
          <w:sz w:val="21"/>
          <w:szCs w:val="21"/>
          <w:highlight w:val="none"/>
        </w:rPr>
      </w:pPr>
    </w:p>
    <w:p w14:paraId="0A55F3D9">
      <w:pPr>
        <w:pStyle w:val="14"/>
        <w:shd w:val="clear" w:color="auto" w:fill="auto"/>
        <w:spacing w:line="240" w:lineRule="atLeast"/>
        <w:ind w:left="1087" w:leftChars="257" w:hanging="54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注:</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.如果按单价计算的结果与总价不一致,以单价为准修正总价。</w:t>
      </w:r>
    </w:p>
    <w:p w14:paraId="7D3C20A9">
      <w:pPr>
        <w:pStyle w:val="14"/>
        <w:shd w:val="clear" w:color="auto" w:fill="auto"/>
        <w:spacing w:line="240" w:lineRule="atLeast"/>
        <w:ind w:left="1087" w:leftChars="257" w:hanging="54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.如果不提供详细分项报价将视为没有实质性响应</w:t>
      </w:r>
      <w:r>
        <w:rPr>
          <w:rFonts w:hint="eastAsia" w:hAnsi="宋体" w:cs="宋体"/>
          <w:color w:val="auto"/>
          <w:sz w:val="21"/>
          <w:szCs w:val="21"/>
          <w:highlight w:val="none"/>
          <w:lang w:val="en-US" w:eastAsia="zh-CN"/>
        </w:rPr>
        <w:t>招标</w:t>
      </w:r>
      <w:r>
        <w:rPr>
          <w:rFonts w:hint="eastAsia" w:hAnsi="宋体" w:eastAsia="宋体" w:cs="宋体"/>
          <w:color w:val="auto"/>
          <w:sz w:val="21"/>
          <w:szCs w:val="21"/>
          <w:highlight w:val="none"/>
          <w:lang w:eastAsia="zh-CN"/>
        </w:rPr>
        <w:t>文件</w:t>
      </w:r>
      <w:r>
        <w:rPr>
          <w:rFonts w:hint="eastAsia" w:ascii="宋体" w:hAnsi="宋体" w:eastAsia="宋体" w:cs="宋体"/>
          <w:color w:val="auto"/>
          <w:sz w:val="21"/>
          <w:szCs w:val="21"/>
          <w:highlight w:val="none"/>
        </w:rPr>
        <w:t>。</w:t>
      </w:r>
    </w:p>
    <w:p w14:paraId="41FE05B4">
      <w:pPr>
        <w:pStyle w:val="14"/>
        <w:shd w:val="clear" w:color="auto" w:fill="auto"/>
        <w:spacing w:line="240" w:lineRule="atLeast"/>
        <w:ind w:left="1087" w:leftChars="257" w:hanging="54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.如果开标一览表（报价表）内容与投标文件中明细表内容不一致的，以开标一览表（报价表）内容为准。</w:t>
      </w:r>
    </w:p>
    <w:p w14:paraId="4D9B6C45">
      <w:pPr>
        <w:pStyle w:val="14"/>
        <w:shd w:val="clear" w:color="auto" w:fill="auto"/>
        <w:spacing w:line="240" w:lineRule="atLeast"/>
        <w:ind w:firstLine="852" w:firstLineChars="4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投标人必须按此表格式中的对应栏目内容填写，若需增加栏目，请在栏目</w:t>
      </w:r>
      <w:r>
        <w:rPr>
          <w:rFonts w:hint="eastAsia" w:ascii="宋体" w:hAnsi="宋体" w:eastAsia="宋体" w:cs="宋体"/>
          <w:color w:val="auto"/>
          <w:sz w:val="21"/>
          <w:szCs w:val="21"/>
          <w:highlight w:val="none"/>
          <w:lang w:val="zh-CN" w:eastAsia="zh-CN"/>
        </w:rPr>
        <w:t>“其</w:t>
      </w:r>
      <w:r>
        <w:rPr>
          <w:rFonts w:hint="eastAsia" w:ascii="宋体" w:hAnsi="宋体" w:eastAsia="宋体" w:cs="宋体"/>
          <w:color w:val="auto"/>
          <w:sz w:val="21"/>
          <w:szCs w:val="21"/>
          <w:highlight w:val="none"/>
        </w:rPr>
        <w:t>它”中填写，并作详细说明。</w:t>
      </w:r>
    </w:p>
    <w:p w14:paraId="0A97977B">
      <w:pPr>
        <w:pStyle w:val="14"/>
        <w:shd w:val="clear" w:color="auto" w:fill="auto"/>
        <w:spacing w:line="240" w:lineRule="atLeast"/>
        <w:ind w:left="1087" w:leftChars="257" w:hanging="540"/>
        <w:rPr>
          <w:rFonts w:hint="eastAsia" w:ascii="宋体" w:hAnsi="宋体" w:eastAsia="宋体" w:cs="宋体"/>
          <w:b/>
          <w:bCs/>
          <w:color w:val="auto"/>
          <w:sz w:val="24"/>
          <w:highlight w:val="none"/>
          <w:lang w:val="en-US" w:eastAsia="zh-CN"/>
        </w:rPr>
      </w:pPr>
      <w:r>
        <w:rPr>
          <w:rFonts w:hint="eastAsia" w:ascii="宋体" w:hAnsi="宋体" w:eastAsia="宋体" w:cs="宋体"/>
          <w:color w:val="auto"/>
          <w:sz w:val="24"/>
          <w:highlight w:val="yellow"/>
        </w:rPr>
        <w:br w:type="page"/>
      </w:r>
      <w:bookmarkStart w:id="129" w:name="_Toc12170"/>
    </w:p>
    <w:p w14:paraId="5C7838D5">
      <w:pPr>
        <w:pStyle w:val="4"/>
        <w:numPr>
          <w:ilvl w:val="0"/>
          <w:numId w:val="0"/>
        </w:numPr>
        <w:shd w:val="clear" w:color="auto" w:fill="auto"/>
        <w:spacing w:before="0" w:line="240" w:lineRule="atLeast"/>
        <w:jc w:val="center"/>
        <w:rPr>
          <w:rFonts w:hint="eastAsia" w:ascii="宋体" w:hAnsi="宋体" w:eastAsia="宋体" w:cs="宋体"/>
          <w:b/>
          <w:bCs/>
          <w:color w:val="auto"/>
          <w:sz w:val="24"/>
          <w:highlight w:val="none"/>
        </w:rPr>
      </w:pPr>
      <w:r>
        <w:rPr>
          <w:rFonts w:hint="eastAsia" w:ascii="宋体" w:hAnsi="宋体" w:cs="宋体"/>
          <w:b/>
          <w:bCs/>
          <w:color w:val="auto"/>
          <w:sz w:val="24"/>
          <w:highlight w:val="none"/>
          <w:lang w:val="en-US" w:eastAsia="zh-CN"/>
        </w:rPr>
        <w:t>4</w:t>
      </w:r>
      <w:r>
        <w:rPr>
          <w:rFonts w:hint="eastAsia" w:ascii="宋体" w:hAnsi="宋体" w:eastAsia="宋体" w:cs="宋体"/>
          <w:b/>
          <w:bCs/>
          <w:color w:val="auto"/>
          <w:sz w:val="24"/>
          <w:highlight w:val="none"/>
          <w:lang w:val="en-US" w:eastAsia="zh-CN"/>
        </w:rPr>
        <w:t>、</w:t>
      </w:r>
      <w:r>
        <w:rPr>
          <w:rFonts w:hint="eastAsia" w:ascii="宋体" w:hAnsi="宋体" w:eastAsia="宋体" w:cs="宋体"/>
          <w:b/>
          <w:bCs/>
          <w:color w:val="auto"/>
          <w:sz w:val="24"/>
          <w:highlight w:val="none"/>
        </w:rPr>
        <w:t>技术规格偏离表</w:t>
      </w:r>
      <w:bookmarkEnd w:id="125"/>
      <w:bookmarkEnd w:id="126"/>
      <w:bookmarkEnd w:id="127"/>
      <w:bookmarkEnd w:id="128"/>
      <w:bookmarkEnd w:id="129"/>
    </w:p>
    <w:p w14:paraId="116D8CA5">
      <w:pPr>
        <w:pStyle w:val="14"/>
        <w:shd w:val="clear" w:color="auto" w:fill="auto"/>
        <w:spacing w:line="240" w:lineRule="atLeast"/>
        <w:ind w:left="1087" w:leftChars="257" w:hanging="540"/>
        <w:rPr>
          <w:rFonts w:hint="eastAsia" w:ascii="宋体" w:hAnsi="宋体" w:eastAsia="宋体" w:cs="宋体"/>
          <w:color w:val="auto"/>
          <w:sz w:val="24"/>
          <w:highlight w:val="none"/>
        </w:rPr>
      </w:pPr>
    </w:p>
    <w:p w14:paraId="33F2DB6D">
      <w:pPr>
        <w:pStyle w:val="14"/>
        <w:shd w:val="clear" w:color="auto" w:fill="auto"/>
        <w:spacing w:line="240" w:lineRule="atLeas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项目名称:                       招标编号:                 </w:t>
      </w:r>
    </w:p>
    <w:p w14:paraId="670BDA33">
      <w:pPr>
        <w:pStyle w:val="14"/>
        <w:shd w:val="clear" w:color="auto" w:fill="auto"/>
        <w:spacing w:line="240" w:lineRule="atLeast"/>
        <w:ind w:left="1087" w:leftChars="257" w:hanging="540"/>
        <w:rPr>
          <w:rFonts w:hint="eastAsia" w:ascii="宋体" w:hAnsi="宋体" w:eastAsia="宋体" w:cs="宋体"/>
          <w:color w:val="auto"/>
          <w:sz w:val="24"/>
          <w:highlight w:val="none"/>
        </w:rPr>
      </w:pPr>
    </w:p>
    <w:tbl>
      <w:tblPr>
        <w:tblStyle w:val="28"/>
        <w:tblW w:w="749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1"/>
        <w:gridCol w:w="1357"/>
        <w:gridCol w:w="1297"/>
        <w:gridCol w:w="1194"/>
        <w:gridCol w:w="2184"/>
        <w:gridCol w:w="669"/>
      </w:tblGrid>
      <w:tr w14:paraId="75BB9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jc w:val="center"/>
        </w:trPr>
        <w:tc>
          <w:tcPr>
            <w:tcW w:w="791" w:type="dxa"/>
            <w:noWrap w:val="0"/>
            <w:vAlign w:val="center"/>
          </w:tcPr>
          <w:p w14:paraId="0164A33E">
            <w:pPr>
              <w:pStyle w:val="14"/>
              <w:shd w:val="clear" w:color="auto" w:fill="auto"/>
              <w:spacing w:line="240" w:lineRule="atLeas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序号</w:t>
            </w:r>
          </w:p>
        </w:tc>
        <w:tc>
          <w:tcPr>
            <w:tcW w:w="1357" w:type="dxa"/>
            <w:noWrap w:val="0"/>
            <w:vAlign w:val="center"/>
          </w:tcPr>
          <w:p w14:paraId="0E01F4E0">
            <w:pPr>
              <w:pStyle w:val="14"/>
              <w:shd w:val="clear" w:color="auto" w:fill="auto"/>
              <w:spacing w:line="240" w:lineRule="atLeast"/>
              <w:jc w:val="center"/>
              <w:rPr>
                <w:rFonts w:hint="eastAsia" w:ascii="宋体" w:hAnsi="宋体" w:eastAsia="宋体" w:cs="宋体"/>
                <w:color w:val="auto"/>
                <w:sz w:val="24"/>
                <w:highlight w:val="none"/>
                <w:lang w:val="en-US" w:eastAsia="zh-CN"/>
              </w:rPr>
            </w:pPr>
            <w:r>
              <w:rPr>
                <w:rFonts w:hint="eastAsia" w:hAnsi="宋体" w:cs="宋体"/>
                <w:color w:val="auto"/>
                <w:sz w:val="24"/>
                <w:highlight w:val="none"/>
                <w:lang w:val="en-US" w:eastAsia="zh-CN"/>
              </w:rPr>
              <w:t>服务</w:t>
            </w:r>
            <w:r>
              <w:rPr>
                <w:rFonts w:hint="eastAsia" w:ascii="宋体" w:hAnsi="宋体" w:eastAsia="宋体" w:cs="宋体"/>
                <w:color w:val="auto"/>
                <w:sz w:val="24"/>
                <w:highlight w:val="none"/>
                <w:lang w:val="en-US" w:eastAsia="zh-CN"/>
              </w:rPr>
              <w:t>名称</w:t>
            </w:r>
          </w:p>
        </w:tc>
        <w:tc>
          <w:tcPr>
            <w:tcW w:w="1297" w:type="dxa"/>
            <w:noWrap w:val="0"/>
            <w:vAlign w:val="center"/>
          </w:tcPr>
          <w:p w14:paraId="409FEAA8">
            <w:pPr>
              <w:pStyle w:val="14"/>
              <w:shd w:val="clear" w:color="auto" w:fill="auto"/>
              <w:spacing w:line="240" w:lineRule="atLeas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招标规格</w:t>
            </w:r>
          </w:p>
        </w:tc>
        <w:tc>
          <w:tcPr>
            <w:tcW w:w="1194" w:type="dxa"/>
            <w:noWrap w:val="0"/>
            <w:vAlign w:val="center"/>
          </w:tcPr>
          <w:p w14:paraId="690BC9FD">
            <w:pPr>
              <w:pStyle w:val="14"/>
              <w:shd w:val="clear" w:color="auto" w:fill="auto"/>
              <w:spacing w:line="240" w:lineRule="atLeas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投标规格</w:t>
            </w:r>
          </w:p>
        </w:tc>
        <w:tc>
          <w:tcPr>
            <w:tcW w:w="2184" w:type="dxa"/>
            <w:noWrap w:val="0"/>
            <w:vAlign w:val="center"/>
          </w:tcPr>
          <w:p w14:paraId="7EF7429B">
            <w:pPr>
              <w:pStyle w:val="14"/>
              <w:shd w:val="clear" w:color="auto" w:fill="auto"/>
              <w:spacing w:line="240" w:lineRule="atLeas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偏离</w:t>
            </w:r>
          </w:p>
        </w:tc>
        <w:tc>
          <w:tcPr>
            <w:tcW w:w="669" w:type="dxa"/>
            <w:noWrap w:val="0"/>
            <w:vAlign w:val="center"/>
          </w:tcPr>
          <w:p w14:paraId="12702155">
            <w:pPr>
              <w:pStyle w:val="14"/>
              <w:shd w:val="clear" w:color="auto" w:fill="auto"/>
              <w:spacing w:line="240" w:lineRule="atLeas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说明</w:t>
            </w:r>
          </w:p>
        </w:tc>
      </w:tr>
      <w:tr w14:paraId="2270D6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2" w:hRule="atLeast"/>
          <w:jc w:val="center"/>
        </w:trPr>
        <w:tc>
          <w:tcPr>
            <w:tcW w:w="791" w:type="dxa"/>
            <w:noWrap w:val="0"/>
            <w:vAlign w:val="top"/>
          </w:tcPr>
          <w:p w14:paraId="4CAFFC1D">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1357" w:type="dxa"/>
            <w:noWrap w:val="0"/>
            <w:vAlign w:val="top"/>
          </w:tcPr>
          <w:p w14:paraId="446E6777">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1297" w:type="dxa"/>
            <w:noWrap w:val="0"/>
            <w:vAlign w:val="top"/>
          </w:tcPr>
          <w:p w14:paraId="283EA928">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1194" w:type="dxa"/>
            <w:noWrap w:val="0"/>
            <w:vAlign w:val="top"/>
          </w:tcPr>
          <w:p w14:paraId="1E0434B0">
            <w:pPr>
              <w:pStyle w:val="14"/>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2184" w:type="dxa"/>
            <w:noWrap w:val="0"/>
            <w:vAlign w:val="center"/>
          </w:tcPr>
          <w:p w14:paraId="3A3C3E8F">
            <w:pPr>
              <w:pStyle w:val="14"/>
              <w:keepNext w:val="0"/>
              <w:keepLines w:val="0"/>
              <w:pageBreakBefore w:val="0"/>
              <w:widowControl w:val="0"/>
              <w:shd w:val="clear" w:color="auto" w:fill="auto"/>
              <w:kinsoku/>
              <w:wordWrap/>
              <w:overflowPunct/>
              <w:topLinePunct w:val="0"/>
              <w:autoSpaceDE/>
              <w:autoSpaceDN/>
              <w:bidi w:val="0"/>
              <w:adjustRightInd/>
              <w:snapToGrid/>
              <w:spacing w:line="240" w:lineRule="atLeast"/>
              <w:jc w:val="left"/>
              <w:textAlignment w:val="auto"/>
              <w:rPr>
                <w:rFonts w:hint="default" w:ascii="宋体" w:hAnsi="宋体" w:eastAsia="宋体" w:cs="宋体"/>
                <w:color w:val="auto"/>
                <w:sz w:val="21"/>
                <w:szCs w:val="16"/>
                <w:highlight w:val="none"/>
                <w:lang w:val="en-US" w:eastAsia="zh-CN"/>
              </w:rPr>
            </w:pPr>
            <w:r>
              <w:rPr>
                <w:rFonts w:hint="eastAsia" w:hAnsi="宋体" w:eastAsia="宋体" w:cs="宋体"/>
                <w:b/>
                <w:bCs/>
                <w:color w:val="auto"/>
                <w:sz w:val="21"/>
                <w:szCs w:val="16"/>
                <w:highlight w:val="none"/>
                <w:u w:val="single" w:color="auto"/>
                <w:lang w:val="en-US" w:eastAsia="zh-CN"/>
              </w:rPr>
              <w:t>如有正偏离需提供证明材料，证明材料附后(并注明页码)</w:t>
            </w:r>
          </w:p>
        </w:tc>
        <w:tc>
          <w:tcPr>
            <w:tcW w:w="669" w:type="dxa"/>
            <w:noWrap w:val="0"/>
            <w:vAlign w:val="top"/>
          </w:tcPr>
          <w:p w14:paraId="4C4C5999">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r>
      <w:tr w14:paraId="4E3042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791" w:type="dxa"/>
            <w:noWrap w:val="0"/>
            <w:vAlign w:val="top"/>
          </w:tcPr>
          <w:p w14:paraId="74CF0A11">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1357" w:type="dxa"/>
            <w:noWrap w:val="0"/>
            <w:vAlign w:val="top"/>
          </w:tcPr>
          <w:p w14:paraId="7BA09DBC">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1297" w:type="dxa"/>
            <w:noWrap w:val="0"/>
            <w:vAlign w:val="top"/>
          </w:tcPr>
          <w:p w14:paraId="18F96902">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1194" w:type="dxa"/>
            <w:noWrap w:val="0"/>
            <w:vAlign w:val="top"/>
          </w:tcPr>
          <w:p w14:paraId="21965BA1">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2184" w:type="dxa"/>
            <w:noWrap w:val="0"/>
            <w:vAlign w:val="top"/>
          </w:tcPr>
          <w:p w14:paraId="722A1294">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669" w:type="dxa"/>
            <w:noWrap w:val="0"/>
            <w:vAlign w:val="top"/>
          </w:tcPr>
          <w:p w14:paraId="440A894F">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r>
      <w:tr w14:paraId="6DF657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791" w:type="dxa"/>
            <w:noWrap w:val="0"/>
            <w:vAlign w:val="top"/>
          </w:tcPr>
          <w:p w14:paraId="19EEAFE2">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1357" w:type="dxa"/>
            <w:noWrap w:val="0"/>
            <w:vAlign w:val="top"/>
          </w:tcPr>
          <w:p w14:paraId="63EB3A6F">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1297" w:type="dxa"/>
            <w:noWrap w:val="0"/>
            <w:vAlign w:val="top"/>
          </w:tcPr>
          <w:p w14:paraId="1D2148D5">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1194" w:type="dxa"/>
            <w:noWrap w:val="0"/>
            <w:vAlign w:val="top"/>
          </w:tcPr>
          <w:p w14:paraId="78EF7EA4">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2184" w:type="dxa"/>
            <w:noWrap w:val="0"/>
            <w:vAlign w:val="top"/>
          </w:tcPr>
          <w:p w14:paraId="090440E7">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669" w:type="dxa"/>
            <w:noWrap w:val="0"/>
            <w:vAlign w:val="top"/>
          </w:tcPr>
          <w:p w14:paraId="303E2AFA">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r>
      <w:tr w14:paraId="5E1731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791" w:type="dxa"/>
            <w:noWrap w:val="0"/>
            <w:vAlign w:val="top"/>
          </w:tcPr>
          <w:p w14:paraId="35E646E6">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1357" w:type="dxa"/>
            <w:noWrap w:val="0"/>
            <w:vAlign w:val="top"/>
          </w:tcPr>
          <w:p w14:paraId="6D5D5236">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1297" w:type="dxa"/>
            <w:noWrap w:val="0"/>
            <w:vAlign w:val="top"/>
          </w:tcPr>
          <w:p w14:paraId="07B7F8F5">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1194" w:type="dxa"/>
            <w:noWrap w:val="0"/>
            <w:vAlign w:val="top"/>
          </w:tcPr>
          <w:p w14:paraId="6CA7AC24">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2184" w:type="dxa"/>
            <w:noWrap w:val="0"/>
            <w:vAlign w:val="top"/>
          </w:tcPr>
          <w:p w14:paraId="2A282595">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669" w:type="dxa"/>
            <w:noWrap w:val="0"/>
            <w:vAlign w:val="top"/>
          </w:tcPr>
          <w:p w14:paraId="52251CAA">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r>
      <w:tr w14:paraId="1AA8B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791" w:type="dxa"/>
            <w:noWrap w:val="0"/>
            <w:vAlign w:val="top"/>
          </w:tcPr>
          <w:p w14:paraId="37FC5443">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1357" w:type="dxa"/>
            <w:noWrap w:val="0"/>
            <w:vAlign w:val="top"/>
          </w:tcPr>
          <w:p w14:paraId="05140D0B">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1297" w:type="dxa"/>
            <w:noWrap w:val="0"/>
            <w:vAlign w:val="top"/>
          </w:tcPr>
          <w:p w14:paraId="1BF8A11A">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1194" w:type="dxa"/>
            <w:noWrap w:val="0"/>
            <w:vAlign w:val="top"/>
          </w:tcPr>
          <w:p w14:paraId="3E0B49C3">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2184" w:type="dxa"/>
            <w:noWrap w:val="0"/>
            <w:vAlign w:val="top"/>
          </w:tcPr>
          <w:p w14:paraId="749D7E16">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669" w:type="dxa"/>
            <w:noWrap w:val="0"/>
            <w:vAlign w:val="top"/>
          </w:tcPr>
          <w:p w14:paraId="19D8B79A">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r>
      <w:tr w14:paraId="688842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791" w:type="dxa"/>
            <w:noWrap w:val="0"/>
            <w:vAlign w:val="top"/>
          </w:tcPr>
          <w:p w14:paraId="5E9E75F9">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1357" w:type="dxa"/>
            <w:noWrap w:val="0"/>
            <w:vAlign w:val="top"/>
          </w:tcPr>
          <w:p w14:paraId="5C0C9ECC">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1297" w:type="dxa"/>
            <w:noWrap w:val="0"/>
            <w:vAlign w:val="top"/>
          </w:tcPr>
          <w:p w14:paraId="0E91C6F1">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1194" w:type="dxa"/>
            <w:noWrap w:val="0"/>
            <w:vAlign w:val="top"/>
          </w:tcPr>
          <w:p w14:paraId="28C89DA6">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2184" w:type="dxa"/>
            <w:noWrap w:val="0"/>
            <w:vAlign w:val="top"/>
          </w:tcPr>
          <w:p w14:paraId="6C8D4700">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669" w:type="dxa"/>
            <w:noWrap w:val="0"/>
            <w:vAlign w:val="top"/>
          </w:tcPr>
          <w:p w14:paraId="0001ABAF">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r>
      <w:tr w14:paraId="27940A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791" w:type="dxa"/>
            <w:noWrap w:val="0"/>
            <w:vAlign w:val="top"/>
          </w:tcPr>
          <w:p w14:paraId="420D4BF3">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1357" w:type="dxa"/>
            <w:noWrap w:val="0"/>
            <w:vAlign w:val="top"/>
          </w:tcPr>
          <w:p w14:paraId="24674A0A">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1297" w:type="dxa"/>
            <w:noWrap w:val="0"/>
            <w:vAlign w:val="top"/>
          </w:tcPr>
          <w:p w14:paraId="18722C42">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1194" w:type="dxa"/>
            <w:noWrap w:val="0"/>
            <w:vAlign w:val="top"/>
          </w:tcPr>
          <w:p w14:paraId="51CC59C0">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2184" w:type="dxa"/>
            <w:noWrap w:val="0"/>
            <w:vAlign w:val="top"/>
          </w:tcPr>
          <w:p w14:paraId="06070813">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669" w:type="dxa"/>
            <w:noWrap w:val="0"/>
            <w:vAlign w:val="top"/>
          </w:tcPr>
          <w:p w14:paraId="68BCBD11">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r>
      <w:tr w14:paraId="54425B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791" w:type="dxa"/>
            <w:noWrap w:val="0"/>
            <w:vAlign w:val="top"/>
          </w:tcPr>
          <w:p w14:paraId="60DAB01B">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1357" w:type="dxa"/>
            <w:noWrap w:val="0"/>
            <w:vAlign w:val="top"/>
          </w:tcPr>
          <w:p w14:paraId="51CB0E17">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1297" w:type="dxa"/>
            <w:noWrap w:val="0"/>
            <w:vAlign w:val="top"/>
          </w:tcPr>
          <w:p w14:paraId="40587EDF">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1194" w:type="dxa"/>
            <w:noWrap w:val="0"/>
            <w:vAlign w:val="top"/>
          </w:tcPr>
          <w:p w14:paraId="53C7645C">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2184" w:type="dxa"/>
            <w:noWrap w:val="0"/>
            <w:vAlign w:val="top"/>
          </w:tcPr>
          <w:p w14:paraId="17091BBE">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669" w:type="dxa"/>
            <w:noWrap w:val="0"/>
            <w:vAlign w:val="top"/>
          </w:tcPr>
          <w:p w14:paraId="0D92B163">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r>
      <w:tr w14:paraId="0B7EFD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791" w:type="dxa"/>
            <w:noWrap w:val="0"/>
            <w:vAlign w:val="top"/>
          </w:tcPr>
          <w:p w14:paraId="4F815CA2">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1357" w:type="dxa"/>
            <w:noWrap w:val="0"/>
            <w:vAlign w:val="top"/>
          </w:tcPr>
          <w:p w14:paraId="1B19E2FB">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1297" w:type="dxa"/>
            <w:noWrap w:val="0"/>
            <w:vAlign w:val="top"/>
          </w:tcPr>
          <w:p w14:paraId="61228DFD">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1194" w:type="dxa"/>
            <w:noWrap w:val="0"/>
            <w:vAlign w:val="top"/>
          </w:tcPr>
          <w:p w14:paraId="74393460">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2184" w:type="dxa"/>
            <w:noWrap w:val="0"/>
            <w:vAlign w:val="top"/>
          </w:tcPr>
          <w:p w14:paraId="4304BDC8">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669" w:type="dxa"/>
            <w:noWrap w:val="0"/>
            <w:vAlign w:val="top"/>
          </w:tcPr>
          <w:p w14:paraId="390D0943">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r>
      <w:tr w14:paraId="178EDB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791" w:type="dxa"/>
            <w:noWrap w:val="0"/>
            <w:vAlign w:val="top"/>
          </w:tcPr>
          <w:p w14:paraId="45774858">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1357" w:type="dxa"/>
            <w:noWrap w:val="0"/>
            <w:vAlign w:val="top"/>
          </w:tcPr>
          <w:p w14:paraId="76E17735">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1297" w:type="dxa"/>
            <w:noWrap w:val="0"/>
            <w:vAlign w:val="top"/>
          </w:tcPr>
          <w:p w14:paraId="75A85C5F">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1194" w:type="dxa"/>
            <w:noWrap w:val="0"/>
            <w:vAlign w:val="top"/>
          </w:tcPr>
          <w:p w14:paraId="3BE72485">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2184" w:type="dxa"/>
            <w:noWrap w:val="0"/>
            <w:vAlign w:val="top"/>
          </w:tcPr>
          <w:p w14:paraId="17622EA1">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669" w:type="dxa"/>
            <w:noWrap w:val="0"/>
            <w:vAlign w:val="top"/>
          </w:tcPr>
          <w:p w14:paraId="65C0D9A0">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r>
      <w:tr w14:paraId="658B4A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791" w:type="dxa"/>
            <w:noWrap w:val="0"/>
            <w:vAlign w:val="top"/>
          </w:tcPr>
          <w:p w14:paraId="2477769D">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1357" w:type="dxa"/>
            <w:noWrap w:val="0"/>
            <w:vAlign w:val="top"/>
          </w:tcPr>
          <w:p w14:paraId="46DFE0E4">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1297" w:type="dxa"/>
            <w:noWrap w:val="0"/>
            <w:vAlign w:val="top"/>
          </w:tcPr>
          <w:p w14:paraId="039776F4">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1194" w:type="dxa"/>
            <w:noWrap w:val="0"/>
            <w:vAlign w:val="top"/>
          </w:tcPr>
          <w:p w14:paraId="5E50B16B">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2184" w:type="dxa"/>
            <w:noWrap w:val="0"/>
            <w:vAlign w:val="top"/>
          </w:tcPr>
          <w:p w14:paraId="6CD61397">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669" w:type="dxa"/>
            <w:noWrap w:val="0"/>
            <w:vAlign w:val="top"/>
          </w:tcPr>
          <w:p w14:paraId="1014D75A">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r>
      <w:tr w14:paraId="4C42B0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791" w:type="dxa"/>
            <w:noWrap w:val="0"/>
            <w:vAlign w:val="top"/>
          </w:tcPr>
          <w:p w14:paraId="61F7B2FE">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1357" w:type="dxa"/>
            <w:noWrap w:val="0"/>
            <w:vAlign w:val="top"/>
          </w:tcPr>
          <w:p w14:paraId="718E5061">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1297" w:type="dxa"/>
            <w:noWrap w:val="0"/>
            <w:vAlign w:val="top"/>
          </w:tcPr>
          <w:p w14:paraId="7AAE7499">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1194" w:type="dxa"/>
            <w:noWrap w:val="0"/>
            <w:vAlign w:val="top"/>
          </w:tcPr>
          <w:p w14:paraId="7030F790">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2184" w:type="dxa"/>
            <w:noWrap w:val="0"/>
            <w:vAlign w:val="top"/>
          </w:tcPr>
          <w:p w14:paraId="77E9581B">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669" w:type="dxa"/>
            <w:noWrap w:val="0"/>
            <w:vAlign w:val="top"/>
          </w:tcPr>
          <w:p w14:paraId="5824BCD0">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r>
      <w:tr w14:paraId="52B9AF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791" w:type="dxa"/>
            <w:noWrap w:val="0"/>
            <w:vAlign w:val="top"/>
          </w:tcPr>
          <w:p w14:paraId="3CF40F64">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1357" w:type="dxa"/>
            <w:noWrap w:val="0"/>
            <w:vAlign w:val="top"/>
          </w:tcPr>
          <w:p w14:paraId="1C163095">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1297" w:type="dxa"/>
            <w:noWrap w:val="0"/>
            <w:vAlign w:val="top"/>
          </w:tcPr>
          <w:p w14:paraId="3DEE61E0">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1194" w:type="dxa"/>
            <w:noWrap w:val="0"/>
            <w:vAlign w:val="top"/>
          </w:tcPr>
          <w:p w14:paraId="060EE2FA">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2184" w:type="dxa"/>
            <w:noWrap w:val="0"/>
            <w:vAlign w:val="top"/>
          </w:tcPr>
          <w:p w14:paraId="609ECDEC">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c>
          <w:tcPr>
            <w:tcW w:w="669" w:type="dxa"/>
            <w:noWrap w:val="0"/>
            <w:vAlign w:val="top"/>
          </w:tcPr>
          <w:p w14:paraId="7F303520">
            <w:pPr>
              <w:pStyle w:val="14"/>
              <w:shd w:val="clear" w:color="auto" w:fill="auto"/>
              <w:spacing w:line="240" w:lineRule="atLeast"/>
              <w:ind w:left="1087" w:leftChars="257" w:hanging="540"/>
              <w:rPr>
                <w:rFonts w:hint="eastAsia" w:ascii="宋体" w:hAnsi="宋体" w:eastAsia="宋体" w:cs="宋体"/>
                <w:color w:val="auto"/>
                <w:sz w:val="24"/>
                <w:highlight w:val="none"/>
                <w:lang w:val="en-US" w:eastAsia="zh-CN"/>
              </w:rPr>
            </w:pPr>
          </w:p>
        </w:tc>
      </w:tr>
    </w:tbl>
    <w:p w14:paraId="019BE4E3">
      <w:pPr>
        <w:pStyle w:val="14"/>
        <w:shd w:val="clear" w:color="auto" w:fill="auto"/>
        <w:spacing w:line="240" w:lineRule="atLeast"/>
        <w:ind w:left="1087" w:leftChars="257" w:hanging="540"/>
        <w:rPr>
          <w:rFonts w:hint="eastAsia" w:ascii="宋体" w:hAnsi="宋体" w:eastAsia="宋体" w:cs="宋体"/>
          <w:color w:val="auto"/>
          <w:sz w:val="24"/>
          <w:highlight w:val="none"/>
        </w:rPr>
      </w:pPr>
    </w:p>
    <w:p w14:paraId="0A80663F">
      <w:pPr>
        <w:pStyle w:val="14"/>
        <w:shd w:val="clear" w:color="auto" w:fill="auto"/>
        <w:spacing w:line="240" w:lineRule="atLeast"/>
        <w:ind w:left="1087" w:leftChars="257" w:hanging="540"/>
        <w:rPr>
          <w:rFonts w:hint="eastAsia" w:ascii="宋体" w:hAnsi="宋体" w:eastAsia="宋体" w:cs="宋体"/>
          <w:color w:val="auto"/>
          <w:sz w:val="24"/>
          <w:highlight w:val="none"/>
          <w:lang w:eastAsia="zh-CN"/>
        </w:rPr>
      </w:pPr>
    </w:p>
    <w:p w14:paraId="4F8C90C1">
      <w:pPr>
        <w:pStyle w:val="14"/>
        <w:shd w:val="clear" w:color="auto" w:fill="auto"/>
        <w:spacing w:line="240" w:lineRule="atLeast"/>
        <w:ind w:left="1087"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法定代表人或其委托代理人签字:</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rPr>
        <w:tab/>
      </w:r>
      <w:r>
        <w:rPr>
          <w:rFonts w:hint="eastAsia" w:ascii="宋体" w:hAnsi="宋体" w:eastAsia="宋体" w:cs="宋体"/>
          <w:color w:val="auto"/>
          <w:sz w:val="24"/>
          <w:highlight w:val="none"/>
          <w:u w:val="single"/>
        </w:rPr>
        <w:t xml:space="preserve">                 </w:t>
      </w:r>
    </w:p>
    <w:p w14:paraId="39B889E5">
      <w:pPr>
        <w:pStyle w:val="14"/>
        <w:shd w:val="clear" w:color="auto" w:fill="auto"/>
        <w:tabs>
          <w:tab w:val="left" w:pos="5370"/>
        </w:tabs>
        <w:spacing w:line="240" w:lineRule="atLeast"/>
        <w:ind w:left="1087" w:leftChars="257" w:hanging="54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投标人(盖单位章):</w:t>
      </w:r>
      <w:r>
        <w:rPr>
          <w:rFonts w:hint="eastAsia" w:ascii="宋体" w:hAnsi="宋体" w:eastAsia="宋体" w:cs="宋体"/>
          <w:color w:val="auto"/>
          <w:sz w:val="24"/>
          <w:highlight w:val="none"/>
          <w:u w:val="single"/>
        </w:rPr>
        <w:tab/>
      </w:r>
    </w:p>
    <w:p w14:paraId="6D5EB37B">
      <w:pPr>
        <w:pStyle w:val="14"/>
        <w:shd w:val="clear" w:color="auto" w:fill="auto"/>
        <w:tabs>
          <w:tab w:val="left" w:pos="5580"/>
        </w:tabs>
        <w:spacing w:line="240" w:lineRule="atLeast"/>
        <w:ind w:left="1087" w:leftChars="257" w:hanging="540"/>
        <w:rPr>
          <w:rFonts w:hint="eastAsia" w:ascii="宋体" w:hAnsi="宋体" w:eastAsia="宋体" w:cs="宋体"/>
          <w:b/>
          <w:bCs/>
          <w:color w:val="auto"/>
          <w:sz w:val="24"/>
          <w:highlight w:val="none"/>
          <w:lang w:val="en-US" w:eastAsia="zh-CN"/>
        </w:rPr>
      </w:pPr>
      <w:r>
        <w:rPr>
          <w:rFonts w:hint="eastAsia" w:ascii="宋体" w:hAnsi="宋体" w:eastAsia="宋体" w:cs="宋体"/>
          <w:color w:val="auto"/>
          <w:sz w:val="24"/>
          <w:highlight w:val="none"/>
          <w:lang w:val="en-US" w:eastAsia="zh-CN"/>
        </w:rPr>
        <w:t>日期：          年    月      日</w:t>
      </w:r>
      <w:r>
        <w:rPr>
          <w:rFonts w:hint="eastAsia" w:ascii="宋体" w:hAnsi="宋体" w:eastAsia="宋体" w:cs="宋体"/>
          <w:color w:val="auto"/>
          <w:sz w:val="24"/>
          <w:highlight w:val="yellow"/>
          <w:u w:val="single"/>
        </w:rPr>
        <w:br w:type="page"/>
      </w:r>
      <w:bookmarkStart w:id="130" w:name="_Toc216582818"/>
      <w:bookmarkStart w:id="131" w:name="_Toc515647821"/>
      <w:bookmarkStart w:id="132" w:name="_Toc21391"/>
      <w:bookmarkStart w:id="133" w:name="_Toc23"/>
      <w:bookmarkStart w:id="134" w:name="_Toc1980"/>
    </w:p>
    <w:p w14:paraId="5D09755E">
      <w:pPr>
        <w:pStyle w:val="4"/>
        <w:numPr>
          <w:ilvl w:val="0"/>
          <w:numId w:val="0"/>
        </w:numPr>
        <w:shd w:val="clear" w:color="auto" w:fill="auto"/>
        <w:spacing w:before="0" w:line="240" w:lineRule="atLeast"/>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val="en-US" w:eastAsia="zh-CN"/>
        </w:rPr>
        <w:t>5</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rPr>
        <w:t>商务条款偏离表</w:t>
      </w:r>
      <w:bookmarkEnd w:id="130"/>
      <w:r>
        <w:rPr>
          <w:rFonts w:hint="eastAsia" w:ascii="宋体" w:hAnsi="宋体" w:eastAsia="宋体" w:cs="宋体"/>
          <w:b/>
          <w:bCs/>
          <w:color w:val="auto"/>
          <w:sz w:val="24"/>
          <w:highlight w:val="none"/>
        </w:rPr>
        <w:t>（投标文件格式</w:t>
      </w:r>
      <w:r>
        <w:rPr>
          <w:rFonts w:hint="eastAsia" w:ascii="宋体" w:hAnsi="宋体" w:eastAsia="宋体" w:cs="宋体"/>
          <w:b/>
          <w:bCs/>
          <w:color w:val="auto"/>
          <w:sz w:val="24"/>
          <w:highlight w:val="none"/>
          <w:lang w:eastAsia="zh-CN"/>
        </w:rPr>
        <w:t>九</w:t>
      </w:r>
      <w:r>
        <w:rPr>
          <w:rFonts w:hint="eastAsia" w:ascii="宋体" w:hAnsi="宋体" w:eastAsia="宋体" w:cs="宋体"/>
          <w:b/>
          <w:bCs/>
          <w:color w:val="auto"/>
          <w:sz w:val="24"/>
          <w:highlight w:val="none"/>
        </w:rPr>
        <w:t>）</w:t>
      </w:r>
      <w:bookmarkEnd w:id="131"/>
      <w:bookmarkEnd w:id="132"/>
      <w:bookmarkEnd w:id="133"/>
      <w:bookmarkEnd w:id="134"/>
    </w:p>
    <w:p w14:paraId="40AB0414">
      <w:pPr>
        <w:pStyle w:val="14"/>
        <w:shd w:val="clear" w:color="auto" w:fill="auto"/>
        <w:spacing w:line="240" w:lineRule="atLeast"/>
        <w:ind w:left="1087" w:leftChars="257" w:hanging="540"/>
        <w:rPr>
          <w:rFonts w:hint="eastAsia" w:ascii="宋体" w:hAnsi="宋体" w:eastAsia="宋体" w:cs="宋体"/>
          <w:color w:val="auto"/>
          <w:sz w:val="24"/>
          <w:highlight w:val="none"/>
        </w:rPr>
      </w:pPr>
    </w:p>
    <w:p w14:paraId="771B3149">
      <w:pPr>
        <w:pStyle w:val="14"/>
        <w:shd w:val="clear" w:color="auto" w:fill="auto"/>
        <w:spacing w:line="240" w:lineRule="atLeast"/>
        <w:ind w:left="1087" w:leftChars="257" w:hanging="540"/>
        <w:rPr>
          <w:rFonts w:hint="eastAsia" w:ascii="宋体" w:hAnsi="宋体" w:eastAsia="宋体" w:cs="宋体"/>
          <w:color w:val="auto"/>
          <w:sz w:val="24"/>
          <w:highlight w:val="none"/>
        </w:rPr>
      </w:pPr>
    </w:p>
    <w:p w14:paraId="4B3390CA">
      <w:pPr>
        <w:pStyle w:val="14"/>
        <w:shd w:val="clear" w:color="auto" w:fill="auto"/>
        <w:spacing w:line="240" w:lineRule="atLeast"/>
        <w:ind w:left="1087" w:leftChars="257" w:hanging="540"/>
        <w:rPr>
          <w:rFonts w:hint="eastAsia" w:ascii="宋体" w:hAnsi="宋体" w:eastAsia="宋体" w:cs="宋体"/>
          <w:color w:val="auto"/>
          <w:sz w:val="22"/>
          <w:szCs w:val="18"/>
          <w:highlight w:val="none"/>
        </w:rPr>
      </w:pPr>
      <w:r>
        <w:rPr>
          <w:rFonts w:hint="eastAsia" w:ascii="宋体" w:hAnsi="宋体" w:eastAsia="宋体" w:cs="宋体"/>
          <w:color w:val="auto"/>
          <w:sz w:val="22"/>
          <w:szCs w:val="18"/>
          <w:highlight w:val="none"/>
        </w:rPr>
        <w:t xml:space="preserve">项目名称:                      招标编号:    </w:t>
      </w:r>
      <w:r>
        <w:rPr>
          <w:rFonts w:hint="eastAsia" w:hAnsi="宋体" w:eastAsia="宋体" w:cs="宋体"/>
          <w:color w:val="auto"/>
          <w:sz w:val="22"/>
          <w:szCs w:val="18"/>
          <w:highlight w:val="none"/>
          <w:lang w:val="en-US" w:eastAsia="zh-CN"/>
        </w:rPr>
        <w:t xml:space="preserve">       </w:t>
      </w:r>
      <w:r>
        <w:rPr>
          <w:rFonts w:hint="eastAsia" w:ascii="宋体" w:hAnsi="宋体" w:eastAsia="宋体" w:cs="宋体"/>
          <w:color w:val="auto"/>
          <w:sz w:val="22"/>
          <w:szCs w:val="18"/>
          <w:highlight w:val="none"/>
        </w:rPr>
        <w:t xml:space="preserve">      包号:</w:t>
      </w:r>
    </w:p>
    <w:p w14:paraId="51C557AE">
      <w:pPr>
        <w:pStyle w:val="14"/>
        <w:shd w:val="clear" w:color="auto" w:fill="auto"/>
        <w:spacing w:line="240" w:lineRule="atLeast"/>
        <w:ind w:left="1087" w:leftChars="257" w:hanging="540"/>
        <w:rPr>
          <w:rFonts w:hint="eastAsia" w:ascii="宋体" w:hAnsi="宋体" w:eastAsia="宋体" w:cs="宋体"/>
          <w:color w:val="auto"/>
          <w:sz w:val="22"/>
          <w:szCs w:val="18"/>
          <w:highlight w:val="none"/>
        </w:rPr>
      </w:pPr>
    </w:p>
    <w:tbl>
      <w:tblPr>
        <w:tblStyle w:val="2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4"/>
        <w:gridCol w:w="2882"/>
        <w:gridCol w:w="2882"/>
        <w:gridCol w:w="1029"/>
      </w:tblGrid>
      <w:tr w14:paraId="6A49DD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84" w:type="dxa"/>
            <w:noWrap w:val="0"/>
            <w:vAlign w:val="top"/>
          </w:tcPr>
          <w:p w14:paraId="0ABD5852">
            <w:pPr>
              <w:pStyle w:val="14"/>
              <w:shd w:val="clear" w:color="auto" w:fill="auto"/>
              <w:spacing w:line="240" w:lineRule="atLeast"/>
              <w:jc w:val="center"/>
              <w:rPr>
                <w:rFonts w:hint="eastAsia" w:ascii="宋体" w:hAnsi="宋体" w:eastAsia="宋体" w:cs="宋体"/>
                <w:color w:val="auto"/>
                <w:sz w:val="22"/>
                <w:szCs w:val="18"/>
                <w:highlight w:val="none"/>
                <w:lang w:val="en-US" w:eastAsia="zh-CN"/>
              </w:rPr>
            </w:pPr>
            <w:r>
              <w:rPr>
                <w:rFonts w:hint="eastAsia" w:ascii="宋体" w:hAnsi="宋体" w:eastAsia="宋体" w:cs="宋体"/>
                <w:color w:val="auto"/>
                <w:sz w:val="22"/>
                <w:szCs w:val="18"/>
                <w:highlight w:val="none"/>
                <w:lang w:val="en-US" w:eastAsia="zh-CN"/>
              </w:rPr>
              <w:t>序号</w:t>
            </w:r>
          </w:p>
        </w:tc>
        <w:tc>
          <w:tcPr>
            <w:tcW w:w="2882" w:type="dxa"/>
            <w:noWrap w:val="0"/>
            <w:vAlign w:val="top"/>
          </w:tcPr>
          <w:p w14:paraId="7F396ADF">
            <w:pPr>
              <w:pStyle w:val="14"/>
              <w:shd w:val="clear" w:color="auto" w:fill="auto"/>
              <w:spacing w:line="240" w:lineRule="atLeast"/>
              <w:jc w:val="center"/>
              <w:rPr>
                <w:rFonts w:hint="eastAsia" w:ascii="宋体" w:hAnsi="宋体" w:eastAsia="宋体" w:cs="宋体"/>
                <w:color w:val="auto"/>
                <w:sz w:val="22"/>
                <w:szCs w:val="18"/>
                <w:highlight w:val="none"/>
                <w:lang w:val="en-US" w:eastAsia="zh-CN"/>
              </w:rPr>
            </w:pPr>
            <w:r>
              <w:rPr>
                <w:rFonts w:hint="eastAsia" w:hAnsi="宋体" w:cs="宋体"/>
                <w:color w:val="auto"/>
                <w:sz w:val="22"/>
                <w:szCs w:val="18"/>
                <w:highlight w:val="none"/>
                <w:lang w:val="en-US" w:eastAsia="zh-CN"/>
              </w:rPr>
              <w:t>招标</w:t>
            </w:r>
            <w:r>
              <w:rPr>
                <w:rFonts w:hint="eastAsia" w:hAnsi="宋体" w:eastAsia="宋体" w:cs="宋体"/>
                <w:color w:val="auto"/>
                <w:sz w:val="22"/>
                <w:szCs w:val="18"/>
                <w:highlight w:val="none"/>
                <w:lang w:val="en-US" w:eastAsia="zh-CN"/>
              </w:rPr>
              <w:t>文件</w:t>
            </w:r>
            <w:r>
              <w:rPr>
                <w:rFonts w:hint="eastAsia" w:ascii="宋体" w:hAnsi="宋体" w:eastAsia="宋体" w:cs="宋体"/>
                <w:color w:val="auto"/>
                <w:sz w:val="22"/>
                <w:szCs w:val="18"/>
                <w:highlight w:val="none"/>
                <w:lang w:val="en-US" w:eastAsia="zh-CN"/>
              </w:rPr>
              <w:t>的商务条款</w:t>
            </w:r>
          </w:p>
        </w:tc>
        <w:tc>
          <w:tcPr>
            <w:tcW w:w="2882" w:type="dxa"/>
            <w:noWrap w:val="0"/>
            <w:vAlign w:val="top"/>
          </w:tcPr>
          <w:p w14:paraId="6835EFD3">
            <w:pPr>
              <w:pStyle w:val="14"/>
              <w:shd w:val="clear" w:color="auto" w:fill="auto"/>
              <w:spacing w:line="240" w:lineRule="atLeast"/>
              <w:jc w:val="center"/>
              <w:rPr>
                <w:rFonts w:hint="eastAsia" w:ascii="宋体" w:hAnsi="宋体" w:eastAsia="宋体" w:cs="宋体"/>
                <w:color w:val="auto"/>
                <w:sz w:val="22"/>
                <w:szCs w:val="18"/>
                <w:highlight w:val="none"/>
                <w:lang w:val="en-US" w:eastAsia="zh-CN"/>
              </w:rPr>
            </w:pPr>
            <w:r>
              <w:rPr>
                <w:rFonts w:hint="eastAsia" w:ascii="宋体" w:hAnsi="宋体" w:eastAsia="宋体" w:cs="宋体"/>
                <w:color w:val="auto"/>
                <w:sz w:val="22"/>
                <w:szCs w:val="18"/>
                <w:highlight w:val="none"/>
                <w:lang w:val="en-US" w:eastAsia="zh-CN"/>
              </w:rPr>
              <w:t>投标文件的商务条款</w:t>
            </w:r>
          </w:p>
        </w:tc>
        <w:tc>
          <w:tcPr>
            <w:tcW w:w="1029" w:type="dxa"/>
            <w:noWrap w:val="0"/>
            <w:vAlign w:val="top"/>
          </w:tcPr>
          <w:p w14:paraId="173A4319">
            <w:pPr>
              <w:pStyle w:val="14"/>
              <w:shd w:val="clear" w:color="auto" w:fill="auto"/>
              <w:spacing w:line="240" w:lineRule="atLeast"/>
              <w:jc w:val="center"/>
              <w:rPr>
                <w:rFonts w:hint="eastAsia" w:ascii="宋体" w:hAnsi="宋体" w:eastAsia="宋体" w:cs="宋体"/>
                <w:color w:val="auto"/>
                <w:sz w:val="22"/>
                <w:szCs w:val="18"/>
                <w:highlight w:val="none"/>
                <w:lang w:val="en-US" w:eastAsia="zh-CN"/>
              </w:rPr>
            </w:pPr>
            <w:r>
              <w:rPr>
                <w:rFonts w:hint="eastAsia" w:ascii="宋体" w:hAnsi="宋体" w:eastAsia="宋体" w:cs="宋体"/>
                <w:color w:val="auto"/>
                <w:sz w:val="22"/>
                <w:szCs w:val="18"/>
                <w:highlight w:val="none"/>
                <w:lang w:val="en-US" w:eastAsia="zh-CN"/>
              </w:rPr>
              <w:t>说明</w:t>
            </w:r>
          </w:p>
        </w:tc>
      </w:tr>
      <w:tr w14:paraId="304CFF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84" w:type="dxa"/>
            <w:noWrap w:val="0"/>
            <w:vAlign w:val="top"/>
          </w:tcPr>
          <w:p w14:paraId="0E531755">
            <w:pPr>
              <w:pStyle w:val="14"/>
              <w:shd w:val="clear" w:color="auto" w:fill="auto"/>
              <w:spacing w:line="240" w:lineRule="atLeast"/>
              <w:ind w:left="1087" w:leftChars="257" w:hanging="540"/>
              <w:rPr>
                <w:rFonts w:hint="eastAsia" w:ascii="宋体" w:hAnsi="宋体" w:eastAsia="宋体" w:cs="宋体"/>
                <w:color w:val="auto"/>
                <w:sz w:val="22"/>
                <w:szCs w:val="18"/>
                <w:highlight w:val="none"/>
                <w:lang w:val="en-US" w:eastAsia="zh-CN"/>
              </w:rPr>
            </w:pPr>
          </w:p>
        </w:tc>
        <w:tc>
          <w:tcPr>
            <w:tcW w:w="2882" w:type="dxa"/>
            <w:noWrap w:val="0"/>
            <w:vAlign w:val="top"/>
          </w:tcPr>
          <w:p w14:paraId="1565E02E">
            <w:pPr>
              <w:pStyle w:val="14"/>
              <w:shd w:val="clear" w:color="auto" w:fill="auto"/>
              <w:spacing w:line="240" w:lineRule="atLeast"/>
              <w:ind w:left="1087" w:leftChars="257" w:hanging="540"/>
              <w:jc w:val="center"/>
              <w:rPr>
                <w:rFonts w:hint="eastAsia" w:ascii="宋体" w:hAnsi="宋体" w:eastAsia="宋体" w:cs="宋体"/>
                <w:color w:val="auto"/>
                <w:sz w:val="22"/>
                <w:szCs w:val="18"/>
                <w:highlight w:val="none"/>
                <w:lang w:val="en-US" w:eastAsia="zh-CN"/>
              </w:rPr>
            </w:pPr>
          </w:p>
        </w:tc>
        <w:tc>
          <w:tcPr>
            <w:tcW w:w="2882" w:type="dxa"/>
            <w:noWrap w:val="0"/>
            <w:vAlign w:val="top"/>
          </w:tcPr>
          <w:p w14:paraId="2379ABFB">
            <w:pPr>
              <w:pStyle w:val="14"/>
              <w:shd w:val="clear" w:color="auto" w:fill="auto"/>
              <w:spacing w:line="240" w:lineRule="atLeast"/>
              <w:ind w:left="1087" w:leftChars="257" w:hanging="540"/>
              <w:jc w:val="center"/>
              <w:rPr>
                <w:rFonts w:hint="eastAsia" w:ascii="宋体" w:hAnsi="宋体" w:eastAsia="宋体" w:cs="宋体"/>
                <w:color w:val="auto"/>
                <w:sz w:val="22"/>
                <w:szCs w:val="18"/>
                <w:highlight w:val="none"/>
                <w:lang w:val="en-US" w:eastAsia="zh-CN"/>
              </w:rPr>
            </w:pPr>
          </w:p>
        </w:tc>
        <w:tc>
          <w:tcPr>
            <w:tcW w:w="1029" w:type="dxa"/>
            <w:noWrap w:val="0"/>
            <w:vAlign w:val="top"/>
          </w:tcPr>
          <w:p w14:paraId="729F18D5">
            <w:pPr>
              <w:pStyle w:val="14"/>
              <w:shd w:val="clear" w:color="auto" w:fill="auto"/>
              <w:spacing w:line="240" w:lineRule="atLeast"/>
              <w:ind w:left="1087" w:leftChars="257" w:hanging="540"/>
              <w:rPr>
                <w:rFonts w:hint="eastAsia" w:ascii="宋体" w:hAnsi="宋体" w:eastAsia="宋体" w:cs="宋体"/>
                <w:color w:val="auto"/>
                <w:sz w:val="22"/>
                <w:szCs w:val="18"/>
                <w:highlight w:val="none"/>
                <w:lang w:val="en-US" w:eastAsia="zh-CN"/>
              </w:rPr>
            </w:pPr>
          </w:p>
        </w:tc>
      </w:tr>
      <w:tr w14:paraId="658BDC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84" w:type="dxa"/>
            <w:noWrap w:val="0"/>
            <w:vAlign w:val="top"/>
          </w:tcPr>
          <w:p w14:paraId="7830BC5A">
            <w:pPr>
              <w:pStyle w:val="14"/>
              <w:shd w:val="clear" w:color="auto" w:fill="auto"/>
              <w:spacing w:line="240" w:lineRule="atLeast"/>
              <w:ind w:left="1087" w:leftChars="257" w:hanging="540"/>
              <w:rPr>
                <w:rFonts w:hint="eastAsia" w:ascii="宋体" w:hAnsi="宋体" w:eastAsia="宋体" w:cs="宋体"/>
                <w:color w:val="auto"/>
                <w:sz w:val="22"/>
                <w:szCs w:val="18"/>
                <w:highlight w:val="none"/>
                <w:lang w:val="en-US" w:eastAsia="zh-CN"/>
              </w:rPr>
            </w:pPr>
          </w:p>
        </w:tc>
        <w:tc>
          <w:tcPr>
            <w:tcW w:w="2882" w:type="dxa"/>
            <w:noWrap w:val="0"/>
            <w:vAlign w:val="top"/>
          </w:tcPr>
          <w:p w14:paraId="11585140">
            <w:pPr>
              <w:pStyle w:val="14"/>
              <w:shd w:val="clear" w:color="auto" w:fill="auto"/>
              <w:spacing w:line="240" w:lineRule="atLeast"/>
              <w:ind w:left="1087" w:leftChars="257" w:hanging="540"/>
              <w:rPr>
                <w:rFonts w:hint="eastAsia" w:ascii="宋体" w:hAnsi="宋体" w:eastAsia="宋体" w:cs="宋体"/>
                <w:color w:val="auto"/>
                <w:sz w:val="22"/>
                <w:szCs w:val="18"/>
                <w:highlight w:val="none"/>
                <w:lang w:val="en-US" w:eastAsia="zh-CN"/>
              </w:rPr>
            </w:pPr>
          </w:p>
        </w:tc>
        <w:tc>
          <w:tcPr>
            <w:tcW w:w="2882" w:type="dxa"/>
            <w:noWrap w:val="0"/>
            <w:vAlign w:val="top"/>
          </w:tcPr>
          <w:p w14:paraId="214BF5BC">
            <w:pPr>
              <w:pStyle w:val="14"/>
              <w:shd w:val="clear" w:color="auto" w:fill="auto"/>
              <w:spacing w:line="240" w:lineRule="atLeast"/>
              <w:ind w:left="1087" w:leftChars="257" w:hanging="540"/>
              <w:rPr>
                <w:rFonts w:hint="eastAsia" w:ascii="宋体" w:hAnsi="宋体" w:eastAsia="宋体" w:cs="宋体"/>
                <w:color w:val="auto"/>
                <w:sz w:val="22"/>
                <w:szCs w:val="18"/>
                <w:highlight w:val="none"/>
                <w:lang w:val="en-US" w:eastAsia="zh-CN"/>
              </w:rPr>
            </w:pPr>
          </w:p>
        </w:tc>
        <w:tc>
          <w:tcPr>
            <w:tcW w:w="1029" w:type="dxa"/>
            <w:noWrap w:val="0"/>
            <w:vAlign w:val="top"/>
          </w:tcPr>
          <w:p w14:paraId="5F1A3D27">
            <w:pPr>
              <w:pStyle w:val="14"/>
              <w:shd w:val="clear" w:color="auto" w:fill="auto"/>
              <w:spacing w:line="240" w:lineRule="atLeast"/>
              <w:ind w:left="1087" w:leftChars="257" w:hanging="540"/>
              <w:rPr>
                <w:rFonts w:hint="eastAsia" w:ascii="宋体" w:hAnsi="宋体" w:eastAsia="宋体" w:cs="宋体"/>
                <w:color w:val="auto"/>
                <w:sz w:val="22"/>
                <w:szCs w:val="18"/>
                <w:highlight w:val="none"/>
                <w:lang w:val="en-US" w:eastAsia="zh-CN"/>
              </w:rPr>
            </w:pPr>
          </w:p>
        </w:tc>
      </w:tr>
      <w:tr w14:paraId="193D9F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84" w:type="dxa"/>
            <w:noWrap w:val="0"/>
            <w:vAlign w:val="top"/>
          </w:tcPr>
          <w:p w14:paraId="3F74D647">
            <w:pPr>
              <w:pStyle w:val="14"/>
              <w:shd w:val="clear" w:color="auto" w:fill="auto"/>
              <w:spacing w:line="240" w:lineRule="atLeast"/>
              <w:ind w:left="1087" w:leftChars="257" w:hanging="540"/>
              <w:rPr>
                <w:rFonts w:hint="eastAsia" w:ascii="宋体" w:hAnsi="宋体" w:eastAsia="宋体" w:cs="宋体"/>
                <w:color w:val="auto"/>
                <w:sz w:val="22"/>
                <w:szCs w:val="18"/>
                <w:highlight w:val="none"/>
                <w:lang w:val="en-US" w:eastAsia="zh-CN"/>
              </w:rPr>
            </w:pPr>
          </w:p>
        </w:tc>
        <w:tc>
          <w:tcPr>
            <w:tcW w:w="2882" w:type="dxa"/>
            <w:noWrap w:val="0"/>
            <w:vAlign w:val="top"/>
          </w:tcPr>
          <w:p w14:paraId="534D2C1E">
            <w:pPr>
              <w:pStyle w:val="14"/>
              <w:shd w:val="clear" w:color="auto" w:fill="auto"/>
              <w:spacing w:line="240" w:lineRule="atLeast"/>
              <w:ind w:left="1087" w:leftChars="257" w:hanging="540"/>
              <w:rPr>
                <w:rFonts w:hint="eastAsia" w:ascii="宋体" w:hAnsi="宋体" w:eastAsia="宋体" w:cs="宋体"/>
                <w:color w:val="auto"/>
                <w:sz w:val="22"/>
                <w:szCs w:val="18"/>
                <w:highlight w:val="none"/>
                <w:lang w:val="en-US" w:eastAsia="zh-CN"/>
              </w:rPr>
            </w:pPr>
          </w:p>
        </w:tc>
        <w:tc>
          <w:tcPr>
            <w:tcW w:w="2882" w:type="dxa"/>
            <w:noWrap w:val="0"/>
            <w:vAlign w:val="top"/>
          </w:tcPr>
          <w:p w14:paraId="6A3ED85D">
            <w:pPr>
              <w:pStyle w:val="14"/>
              <w:shd w:val="clear" w:color="auto" w:fill="auto"/>
              <w:spacing w:line="240" w:lineRule="atLeast"/>
              <w:ind w:left="1087" w:leftChars="257" w:hanging="540"/>
              <w:rPr>
                <w:rFonts w:hint="eastAsia" w:ascii="宋体" w:hAnsi="宋体" w:eastAsia="宋体" w:cs="宋体"/>
                <w:color w:val="auto"/>
                <w:sz w:val="22"/>
                <w:szCs w:val="18"/>
                <w:highlight w:val="none"/>
                <w:lang w:val="en-US" w:eastAsia="zh-CN"/>
              </w:rPr>
            </w:pPr>
          </w:p>
        </w:tc>
        <w:tc>
          <w:tcPr>
            <w:tcW w:w="1029" w:type="dxa"/>
            <w:noWrap w:val="0"/>
            <w:vAlign w:val="top"/>
          </w:tcPr>
          <w:p w14:paraId="0DF3191D">
            <w:pPr>
              <w:pStyle w:val="14"/>
              <w:shd w:val="clear" w:color="auto" w:fill="auto"/>
              <w:spacing w:line="240" w:lineRule="atLeast"/>
              <w:ind w:left="1087" w:leftChars="257" w:hanging="540"/>
              <w:rPr>
                <w:rFonts w:hint="eastAsia" w:ascii="宋体" w:hAnsi="宋体" w:eastAsia="宋体" w:cs="宋体"/>
                <w:color w:val="auto"/>
                <w:sz w:val="22"/>
                <w:szCs w:val="18"/>
                <w:highlight w:val="none"/>
                <w:lang w:val="en-US" w:eastAsia="zh-CN"/>
              </w:rPr>
            </w:pPr>
          </w:p>
        </w:tc>
      </w:tr>
      <w:tr w14:paraId="6CD66D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84" w:type="dxa"/>
            <w:noWrap w:val="0"/>
            <w:vAlign w:val="top"/>
          </w:tcPr>
          <w:p w14:paraId="76B43355">
            <w:pPr>
              <w:pStyle w:val="14"/>
              <w:shd w:val="clear" w:color="auto" w:fill="auto"/>
              <w:spacing w:line="240" w:lineRule="atLeast"/>
              <w:ind w:left="1087" w:leftChars="257" w:hanging="540"/>
              <w:rPr>
                <w:rFonts w:hint="eastAsia" w:ascii="宋体" w:hAnsi="宋体" w:eastAsia="宋体" w:cs="宋体"/>
                <w:color w:val="auto"/>
                <w:sz w:val="22"/>
                <w:szCs w:val="18"/>
                <w:highlight w:val="none"/>
                <w:lang w:val="en-US" w:eastAsia="zh-CN"/>
              </w:rPr>
            </w:pPr>
          </w:p>
        </w:tc>
        <w:tc>
          <w:tcPr>
            <w:tcW w:w="2882" w:type="dxa"/>
            <w:noWrap w:val="0"/>
            <w:vAlign w:val="top"/>
          </w:tcPr>
          <w:p w14:paraId="085B1D21">
            <w:pPr>
              <w:pStyle w:val="14"/>
              <w:shd w:val="clear" w:color="auto" w:fill="auto"/>
              <w:spacing w:line="240" w:lineRule="atLeast"/>
              <w:ind w:left="1087" w:leftChars="257" w:hanging="540"/>
              <w:rPr>
                <w:rFonts w:hint="eastAsia" w:ascii="宋体" w:hAnsi="宋体" w:eastAsia="宋体" w:cs="宋体"/>
                <w:color w:val="auto"/>
                <w:sz w:val="22"/>
                <w:szCs w:val="18"/>
                <w:highlight w:val="none"/>
                <w:lang w:val="en-US" w:eastAsia="zh-CN"/>
              </w:rPr>
            </w:pPr>
          </w:p>
        </w:tc>
        <w:tc>
          <w:tcPr>
            <w:tcW w:w="2882" w:type="dxa"/>
            <w:noWrap w:val="0"/>
            <w:vAlign w:val="top"/>
          </w:tcPr>
          <w:p w14:paraId="34607318">
            <w:pPr>
              <w:pStyle w:val="14"/>
              <w:shd w:val="clear" w:color="auto" w:fill="auto"/>
              <w:spacing w:line="240" w:lineRule="atLeast"/>
              <w:ind w:left="1087" w:leftChars="257" w:hanging="540"/>
              <w:rPr>
                <w:rFonts w:hint="eastAsia" w:ascii="宋体" w:hAnsi="宋体" w:eastAsia="宋体" w:cs="宋体"/>
                <w:color w:val="auto"/>
                <w:sz w:val="22"/>
                <w:szCs w:val="18"/>
                <w:highlight w:val="none"/>
                <w:lang w:val="en-US" w:eastAsia="zh-CN"/>
              </w:rPr>
            </w:pPr>
          </w:p>
        </w:tc>
        <w:tc>
          <w:tcPr>
            <w:tcW w:w="1029" w:type="dxa"/>
            <w:noWrap w:val="0"/>
            <w:vAlign w:val="top"/>
          </w:tcPr>
          <w:p w14:paraId="7A185983">
            <w:pPr>
              <w:pStyle w:val="14"/>
              <w:shd w:val="clear" w:color="auto" w:fill="auto"/>
              <w:spacing w:line="240" w:lineRule="atLeast"/>
              <w:ind w:left="1087" w:leftChars="257" w:hanging="540"/>
              <w:rPr>
                <w:rFonts w:hint="eastAsia" w:ascii="宋体" w:hAnsi="宋体" w:eastAsia="宋体" w:cs="宋体"/>
                <w:color w:val="auto"/>
                <w:sz w:val="22"/>
                <w:szCs w:val="18"/>
                <w:highlight w:val="none"/>
                <w:lang w:val="en-US" w:eastAsia="zh-CN"/>
              </w:rPr>
            </w:pPr>
          </w:p>
        </w:tc>
      </w:tr>
      <w:tr w14:paraId="1DA23F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84" w:type="dxa"/>
            <w:noWrap w:val="0"/>
            <w:vAlign w:val="top"/>
          </w:tcPr>
          <w:p w14:paraId="6CAE6A2A">
            <w:pPr>
              <w:pStyle w:val="14"/>
              <w:shd w:val="clear" w:color="auto" w:fill="auto"/>
              <w:spacing w:line="240" w:lineRule="atLeast"/>
              <w:ind w:left="1087" w:leftChars="257" w:hanging="540"/>
              <w:rPr>
                <w:rFonts w:hint="eastAsia" w:ascii="宋体" w:hAnsi="宋体" w:eastAsia="宋体" w:cs="宋体"/>
                <w:color w:val="auto"/>
                <w:sz w:val="24"/>
                <w:highlight w:val="yellow"/>
                <w:lang w:val="en-US" w:eastAsia="zh-CN"/>
              </w:rPr>
            </w:pPr>
          </w:p>
        </w:tc>
        <w:tc>
          <w:tcPr>
            <w:tcW w:w="2882" w:type="dxa"/>
            <w:noWrap w:val="0"/>
            <w:vAlign w:val="top"/>
          </w:tcPr>
          <w:p w14:paraId="508AEE03">
            <w:pPr>
              <w:pStyle w:val="14"/>
              <w:shd w:val="clear" w:color="auto" w:fill="auto"/>
              <w:spacing w:line="240" w:lineRule="atLeast"/>
              <w:ind w:left="1087" w:leftChars="257" w:hanging="540"/>
              <w:rPr>
                <w:rFonts w:hint="eastAsia" w:ascii="宋体" w:hAnsi="宋体" w:eastAsia="宋体" w:cs="宋体"/>
                <w:color w:val="auto"/>
                <w:sz w:val="24"/>
                <w:highlight w:val="yellow"/>
                <w:lang w:val="en-US" w:eastAsia="zh-CN"/>
              </w:rPr>
            </w:pPr>
          </w:p>
        </w:tc>
        <w:tc>
          <w:tcPr>
            <w:tcW w:w="2882" w:type="dxa"/>
            <w:noWrap w:val="0"/>
            <w:vAlign w:val="top"/>
          </w:tcPr>
          <w:p w14:paraId="47265FE1">
            <w:pPr>
              <w:pStyle w:val="14"/>
              <w:shd w:val="clear" w:color="auto" w:fill="auto"/>
              <w:spacing w:line="240" w:lineRule="atLeast"/>
              <w:ind w:left="1087" w:leftChars="257" w:hanging="540"/>
              <w:rPr>
                <w:rFonts w:hint="eastAsia" w:ascii="宋体" w:hAnsi="宋体" w:eastAsia="宋体" w:cs="宋体"/>
                <w:color w:val="auto"/>
                <w:sz w:val="24"/>
                <w:highlight w:val="yellow"/>
                <w:lang w:val="en-US" w:eastAsia="zh-CN"/>
              </w:rPr>
            </w:pPr>
          </w:p>
        </w:tc>
        <w:tc>
          <w:tcPr>
            <w:tcW w:w="1029" w:type="dxa"/>
            <w:noWrap w:val="0"/>
            <w:vAlign w:val="top"/>
          </w:tcPr>
          <w:p w14:paraId="2B3BAF1F">
            <w:pPr>
              <w:pStyle w:val="14"/>
              <w:shd w:val="clear" w:color="auto" w:fill="auto"/>
              <w:spacing w:line="240" w:lineRule="atLeast"/>
              <w:ind w:left="1087" w:leftChars="257" w:hanging="540"/>
              <w:rPr>
                <w:rFonts w:hint="eastAsia" w:ascii="宋体" w:hAnsi="宋体" w:eastAsia="宋体" w:cs="宋体"/>
                <w:color w:val="auto"/>
                <w:sz w:val="24"/>
                <w:highlight w:val="yellow"/>
                <w:lang w:val="en-US" w:eastAsia="zh-CN"/>
              </w:rPr>
            </w:pPr>
          </w:p>
        </w:tc>
      </w:tr>
      <w:tr w14:paraId="4DC4BB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84" w:type="dxa"/>
            <w:noWrap w:val="0"/>
            <w:vAlign w:val="top"/>
          </w:tcPr>
          <w:p w14:paraId="05D501AC">
            <w:pPr>
              <w:pStyle w:val="14"/>
              <w:shd w:val="clear" w:color="auto" w:fill="auto"/>
              <w:spacing w:line="240" w:lineRule="atLeast"/>
              <w:ind w:left="1087" w:leftChars="257" w:hanging="540"/>
              <w:rPr>
                <w:rFonts w:hint="eastAsia" w:ascii="宋体" w:hAnsi="宋体" w:eastAsia="宋体" w:cs="宋体"/>
                <w:color w:val="auto"/>
                <w:sz w:val="24"/>
                <w:highlight w:val="yellow"/>
                <w:lang w:val="en-US" w:eastAsia="zh-CN"/>
              </w:rPr>
            </w:pPr>
          </w:p>
        </w:tc>
        <w:tc>
          <w:tcPr>
            <w:tcW w:w="2882" w:type="dxa"/>
            <w:noWrap w:val="0"/>
            <w:vAlign w:val="top"/>
          </w:tcPr>
          <w:p w14:paraId="43C06402">
            <w:pPr>
              <w:pStyle w:val="14"/>
              <w:shd w:val="clear" w:color="auto" w:fill="auto"/>
              <w:spacing w:line="240" w:lineRule="atLeast"/>
              <w:ind w:left="1087" w:leftChars="257" w:hanging="540"/>
              <w:rPr>
                <w:rFonts w:hint="eastAsia" w:ascii="宋体" w:hAnsi="宋体" w:eastAsia="宋体" w:cs="宋体"/>
                <w:color w:val="auto"/>
                <w:sz w:val="24"/>
                <w:highlight w:val="yellow"/>
                <w:lang w:val="en-US" w:eastAsia="zh-CN"/>
              </w:rPr>
            </w:pPr>
          </w:p>
        </w:tc>
        <w:tc>
          <w:tcPr>
            <w:tcW w:w="2882" w:type="dxa"/>
            <w:noWrap w:val="0"/>
            <w:vAlign w:val="top"/>
          </w:tcPr>
          <w:p w14:paraId="7704E30B">
            <w:pPr>
              <w:pStyle w:val="14"/>
              <w:shd w:val="clear" w:color="auto" w:fill="auto"/>
              <w:spacing w:line="240" w:lineRule="atLeast"/>
              <w:ind w:left="1087" w:leftChars="257" w:hanging="540"/>
              <w:rPr>
                <w:rFonts w:hint="eastAsia" w:ascii="宋体" w:hAnsi="宋体" w:eastAsia="宋体" w:cs="宋体"/>
                <w:color w:val="auto"/>
                <w:sz w:val="24"/>
                <w:highlight w:val="yellow"/>
                <w:lang w:val="en-US" w:eastAsia="zh-CN"/>
              </w:rPr>
            </w:pPr>
          </w:p>
        </w:tc>
        <w:tc>
          <w:tcPr>
            <w:tcW w:w="1029" w:type="dxa"/>
            <w:noWrap w:val="0"/>
            <w:vAlign w:val="top"/>
          </w:tcPr>
          <w:p w14:paraId="270B56AA">
            <w:pPr>
              <w:pStyle w:val="14"/>
              <w:shd w:val="clear" w:color="auto" w:fill="auto"/>
              <w:spacing w:line="240" w:lineRule="atLeast"/>
              <w:ind w:left="1087" w:leftChars="257" w:hanging="540"/>
              <w:rPr>
                <w:rFonts w:hint="eastAsia" w:ascii="宋体" w:hAnsi="宋体" w:eastAsia="宋体" w:cs="宋体"/>
                <w:color w:val="auto"/>
                <w:sz w:val="24"/>
                <w:highlight w:val="yellow"/>
                <w:lang w:val="en-US" w:eastAsia="zh-CN"/>
              </w:rPr>
            </w:pPr>
          </w:p>
        </w:tc>
      </w:tr>
      <w:tr w14:paraId="4FC9A8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84" w:type="dxa"/>
            <w:noWrap w:val="0"/>
            <w:vAlign w:val="top"/>
          </w:tcPr>
          <w:p w14:paraId="7A82397B">
            <w:pPr>
              <w:pStyle w:val="14"/>
              <w:shd w:val="clear" w:color="auto" w:fill="auto"/>
              <w:spacing w:line="240" w:lineRule="atLeast"/>
              <w:ind w:left="1087" w:leftChars="257" w:hanging="540"/>
              <w:rPr>
                <w:rFonts w:hint="eastAsia" w:ascii="宋体" w:hAnsi="宋体" w:eastAsia="宋体" w:cs="宋体"/>
                <w:color w:val="auto"/>
                <w:sz w:val="24"/>
                <w:highlight w:val="yellow"/>
                <w:lang w:val="en-US" w:eastAsia="zh-CN"/>
              </w:rPr>
            </w:pPr>
          </w:p>
        </w:tc>
        <w:tc>
          <w:tcPr>
            <w:tcW w:w="2882" w:type="dxa"/>
            <w:noWrap w:val="0"/>
            <w:vAlign w:val="top"/>
          </w:tcPr>
          <w:p w14:paraId="758182B3">
            <w:pPr>
              <w:pStyle w:val="14"/>
              <w:shd w:val="clear" w:color="auto" w:fill="auto"/>
              <w:spacing w:line="240" w:lineRule="atLeast"/>
              <w:ind w:left="1087" w:leftChars="257" w:hanging="540"/>
              <w:rPr>
                <w:rFonts w:hint="eastAsia" w:ascii="宋体" w:hAnsi="宋体" w:eastAsia="宋体" w:cs="宋体"/>
                <w:color w:val="auto"/>
                <w:sz w:val="24"/>
                <w:highlight w:val="yellow"/>
                <w:lang w:val="en-US" w:eastAsia="zh-CN"/>
              </w:rPr>
            </w:pPr>
          </w:p>
        </w:tc>
        <w:tc>
          <w:tcPr>
            <w:tcW w:w="2882" w:type="dxa"/>
            <w:noWrap w:val="0"/>
            <w:vAlign w:val="top"/>
          </w:tcPr>
          <w:p w14:paraId="192C7563">
            <w:pPr>
              <w:pStyle w:val="14"/>
              <w:shd w:val="clear" w:color="auto" w:fill="auto"/>
              <w:spacing w:line="240" w:lineRule="atLeast"/>
              <w:ind w:left="1087" w:leftChars="257" w:hanging="540"/>
              <w:rPr>
                <w:rFonts w:hint="eastAsia" w:ascii="宋体" w:hAnsi="宋体" w:eastAsia="宋体" w:cs="宋体"/>
                <w:color w:val="auto"/>
                <w:sz w:val="24"/>
                <w:highlight w:val="yellow"/>
                <w:lang w:val="en-US" w:eastAsia="zh-CN"/>
              </w:rPr>
            </w:pPr>
          </w:p>
        </w:tc>
        <w:tc>
          <w:tcPr>
            <w:tcW w:w="1029" w:type="dxa"/>
            <w:noWrap w:val="0"/>
            <w:vAlign w:val="top"/>
          </w:tcPr>
          <w:p w14:paraId="1DC7A1E6">
            <w:pPr>
              <w:pStyle w:val="14"/>
              <w:shd w:val="clear" w:color="auto" w:fill="auto"/>
              <w:spacing w:line="240" w:lineRule="atLeast"/>
              <w:ind w:left="1087" w:leftChars="257" w:hanging="540"/>
              <w:rPr>
                <w:rFonts w:hint="eastAsia" w:ascii="宋体" w:hAnsi="宋体" w:eastAsia="宋体" w:cs="宋体"/>
                <w:color w:val="auto"/>
                <w:sz w:val="24"/>
                <w:highlight w:val="yellow"/>
                <w:lang w:val="en-US" w:eastAsia="zh-CN"/>
              </w:rPr>
            </w:pPr>
          </w:p>
        </w:tc>
      </w:tr>
      <w:tr w14:paraId="7B55A2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84" w:type="dxa"/>
            <w:noWrap w:val="0"/>
            <w:vAlign w:val="top"/>
          </w:tcPr>
          <w:p w14:paraId="4106D929">
            <w:pPr>
              <w:pStyle w:val="14"/>
              <w:shd w:val="clear" w:color="auto" w:fill="auto"/>
              <w:spacing w:line="240" w:lineRule="atLeast"/>
              <w:ind w:left="1087" w:leftChars="257" w:hanging="540"/>
              <w:rPr>
                <w:rFonts w:hint="eastAsia" w:ascii="宋体" w:hAnsi="宋体" w:eastAsia="宋体" w:cs="宋体"/>
                <w:color w:val="auto"/>
                <w:sz w:val="24"/>
                <w:highlight w:val="yellow"/>
                <w:lang w:val="en-US" w:eastAsia="zh-CN"/>
              </w:rPr>
            </w:pPr>
          </w:p>
        </w:tc>
        <w:tc>
          <w:tcPr>
            <w:tcW w:w="2882" w:type="dxa"/>
            <w:noWrap w:val="0"/>
            <w:vAlign w:val="top"/>
          </w:tcPr>
          <w:p w14:paraId="60F80C4D">
            <w:pPr>
              <w:pStyle w:val="14"/>
              <w:shd w:val="clear" w:color="auto" w:fill="auto"/>
              <w:spacing w:line="240" w:lineRule="atLeast"/>
              <w:ind w:left="1087" w:leftChars="257" w:hanging="540"/>
              <w:rPr>
                <w:rFonts w:hint="eastAsia" w:ascii="宋体" w:hAnsi="宋体" w:eastAsia="宋体" w:cs="宋体"/>
                <w:color w:val="auto"/>
                <w:sz w:val="24"/>
                <w:highlight w:val="yellow"/>
                <w:lang w:val="en-US" w:eastAsia="zh-CN"/>
              </w:rPr>
            </w:pPr>
          </w:p>
        </w:tc>
        <w:tc>
          <w:tcPr>
            <w:tcW w:w="2882" w:type="dxa"/>
            <w:noWrap w:val="0"/>
            <w:vAlign w:val="top"/>
          </w:tcPr>
          <w:p w14:paraId="03C84211">
            <w:pPr>
              <w:pStyle w:val="14"/>
              <w:shd w:val="clear" w:color="auto" w:fill="auto"/>
              <w:spacing w:line="240" w:lineRule="atLeast"/>
              <w:ind w:left="1087" w:leftChars="257" w:hanging="540"/>
              <w:rPr>
                <w:rFonts w:hint="eastAsia" w:ascii="宋体" w:hAnsi="宋体" w:eastAsia="宋体" w:cs="宋体"/>
                <w:color w:val="auto"/>
                <w:sz w:val="24"/>
                <w:highlight w:val="yellow"/>
                <w:lang w:val="en-US" w:eastAsia="zh-CN"/>
              </w:rPr>
            </w:pPr>
          </w:p>
        </w:tc>
        <w:tc>
          <w:tcPr>
            <w:tcW w:w="1029" w:type="dxa"/>
            <w:noWrap w:val="0"/>
            <w:vAlign w:val="top"/>
          </w:tcPr>
          <w:p w14:paraId="604BCD63">
            <w:pPr>
              <w:pStyle w:val="14"/>
              <w:shd w:val="clear" w:color="auto" w:fill="auto"/>
              <w:spacing w:line="240" w:lineRule="atLeast"/>
              <w:ind w:left="1087" w:leftChars="257" w:hanging="540"/>
              <w:rPr>
                <w:rFonts w:hint="eastAsia" w:ascii="宋体" w:hAnsi="宋体" w:eastAsia="宋体" w:cs="宋体"/>
                <w:color w:val="auto"/>
                <w:sz w:val="24"/>
                <w:highlight w:val="yellow"/>
                <w:lang w:val="en-US" w:eastAsia="zh-CN"/>
              </w:rPr>
            </w:pPr>
          </w:p>
        </w:tc>
      </w:tr>
      <w:tr w14:paraId="1CE99B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84" w:type="dxa"/>
            <w:noWrap w:val="0"/>
            <w:vAlign w:val="top"/>
          </w:tcPr>
          <w:p w14:paraId="1A98F05F">
            <w:pPr>
              <w:pStyle w:val="14"/>
              <w:shd w:val="clear" w:color="auto" w:fill="auto"/>
              <w:spacing w:line="240" w:lineRule="atLeast"/>
              <w:ind w:left="1087" w:leftChars="257" w:hanging="540"/>
              <w:rPr>
                <w:rFonts w:hint="eastAsia" w:ascii="宋体" w:hAnsi="宋体" w:eastAsia="宋体" w:cs="宋体"/>
                <w:color w:val="auto"/>
                <w:sz w:val="24"/>
                <w:highlight w:val="yellow"/>
                <w:lang w:val="en-US" w:eastAsia="zh-CN"/>
              </w:rPr>
            </w:pPr>
          </w:p>
        </w:tc>
        <w:tc>
          <w:tcPr>
            <w:tcW w:w="2882" w:type="dxa"/>
            <w:noWrap w:val="0"/>
            <w:vAlign w:val="top"/>
          </w:tcPr>
          <w:p w14:paraId="63244BED">
            <w:pPr>
              <w:pStyle w:val="14"/>
              <w:shd w:val="clear" w:color="auto" w:fill="auto"/>
              <w:spacing w:line="240" w:lineRule="atLeast"/>
              <w:ind w:left="1087" w:leftChars="257" w:hanging="540"/>
              <w:rPr>
                <w:rFonts w:hint="eastAsia" w:ascii="宋体" w:hAnsi="宋体" w:eastAsia="宋体" w:cs="宋体"/>
                <w:color w:val="auto"/>
                <w:sz w:val="24"/>
                <w:highlight w:val="yellow"/>
                <w:lang w:val="en-US" w:eastAsia="zh-CN"/>
              </w:rPr>
            </w:pPr>
          </w:p>
        </w:tc>
        <w:tc>
          <w:tcPr>
            <w:tcW w:w="2882" w:type="dxa"/>
            <w:noWrap w:val="0"/>
            <w:vAlign w:val="top"/>
          </w:tcPr>
          <w:p w14:paraId="30AC5C06">
            <w:pPr>
              <w:pStyle w:val="14"/>
              <w:shd w:val="clear" w:color="auto" w:fill="auto"/>
              <w:spacing w:line="240" w:lineRule="atLeast"/>
              <w:ind w:left="1087" w:leftChars="257" w:hanging="540"/>
              <w:rPr>
                <w:rFonts w:hint="eastAsia" w:ascii="宋体" w:hAnsi="宋体" w:eastAsia="宋体" w:cs="宋体"/>
                <w:color w:val="auto"/>
                <w:sz w:val="24"/>
                <w:highlight w:val="yellow"/>
                <w:lang w:val="en-US" w:eastAsia="zh-CN"/>
              </w:rPr>
            </w:pPr>
          </w:p>
        </w:tc>
        <w:tc>
          <w:tcPr>
            <w:tcW w:w="1029" w:type="dxa"/>
            <w:noWrap w:val="0"/>
            <w:vAlign w:val="top"/>
          </w:tcPr>
          <w:p w14:paraId="5C078842">
            <w:pPr>
              <w:pStyle w:val="14"/>
              <w:shd w:val="clear" w:color="auto" w:fill="auto"/>
              <w:spacing w:line="240" w:lineRule="atLeast"/>
              <w:ind w:left="1087" w:leftChars="257" w:hanging="540"/>
              <w:rPr>
                <w:rFonts w:hint="eastAsia" w:ascii="宋体" w:hAnsi="宋体" w:eastAsia="宋体" w:cs="宋体"/>
                <w:color w:val="auto"/>
                <w:sz w:val="24"/>
                <w:highlight w:val="yellow"/>
                <w:lang w:val="en-US" w:eastAsia="zh-CN"/>
              </w:rPr>
            </w:pPr>
          </w:p>
        </w:tc>
      </w:tr>
      <w:tr w14:paraId="58B7CD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84" w:type="dxa"/>
            <w:noWrap w:val="0"/>
            <w:vAlign w:val="top"/>
          </w:tcPr>
          <w:p w14:paraId="797D29EA">
            <w:pPr>
              <w:pStyle w:val="14"/>
              <w:shd w:val="clear" w:color="auto" w:fill="auto"/>
              <w:spacing w:line="240" w:lineRule="atLeast"/>
              <w:ind w:left="1087" w:leftChars="257" w:hanging="540"/>
              <w:rPr>
                <w:rFonts w:hint="eastAsia" w:ascii="宋体" w:hAnsi="宋体" w:eastAsia="宋体" w:cs="宋体"/>
                <w:color w:val="auto"/>
                <w:sz w:val="24"/>
                <w:highlight w:val="yellow"/>
                <w:lang w:val="en-US" w:eastAsia="zh-CN"/>
              </w:rPr>
            </w:pPr>
          </w:p>
        </w:tc>
        <w:tc>
          <w:tcPr>
            <w:tcW w:w="2882" w:type="dxa"/>
            <w:noWrap w:val="0"/>
            <w:vAlign w:val="top"/>
          </w:tcPr>
          <w:p w14:paraId="76A28880">
            <w:pPr>
              <w:pStyle w:val="14"/>
              <w:shd w:val="clear" w:color="auto" w:fill="auto"/>
              <w:spacing w:line="240" w:lineRule="atLeast"/>
              <w:ind w:left="1087" w:leftChars="257" w:hanging="540"/>
              <w:rPr>
                <w:rFonts w:hint="eastAsia" w:ascii="宋体" w:hAnsi="宋体" w:eastAsia="宋体" w:cs="宋体"/>
                <w:color w:val="auto"/>
                <w:sz w:val="24"/>
                <w:highlight w:val="yellow"/>
                <w:lang w:val="en-US" w:eastAsia="zh-CN"/>
              </w:rPr>
            </w:pPr>
          </w:p>
        </w:tc>
        <w:tc>
          <w:tcPr>
            <w:tcW w:w="2882" w:type="dxa"/>
            <w:noWrap w:val="0"/>
            <w:vAlign w:val="top"/>
          </w:tcPr>
          <w:p w14:paraId="3C969668">
            <w:pPr>
              <w:pStyle w:val="14"/>
              <w:shd w:val="clear" w:color="auto" w:fill="auto"/>
              <w:spacing w:line="240" w:lineRule="atLeast"/>
              <w:ind w:left="1087" w:leftChars="257" w:hanging="540"/>
              <w:rPr>
                <w:rFonts w:hint="eastAsia" w:ascii="宋体" w:hAnsi="宋体" w:eastAsia="宋体" w:cs="宋体"/>
                <w:color w:val="auto"/>
                <w:sz w:val="24"/>
                <w:highlight w:val="yellow"/>
                <w:lang w:val="en-US" w:eastAsia="zh-CN"/>
              </w:rPr>
            </w:pPr>
          </w:p>
        </w:tc>
        <w:tc>
          <w:tcPr>
            <w:tcW w:w="1029" w:type="dxa"/>
            <w:noWrap w:val="0"/>
            <w:vAlign w:val="top"/>
          </w:tcPr>
          <w:p w14:paraId="0A6F31DC">
            <w:pPr>
              <w:pStyle w:val="14"/>
              <w:shd w:val="clear" w:color="auto" w:fill="auto"/>
              <w:spacing w:line="240" w:lineRule="atLeast"/>
              <w:ind w:left="1087" w:leftChars="257" w:hanging="540"/>
              <w:rPr>
                <w:rFonts w:hint="eastAsia" w:ascii="宋体" w:hAnsi="宋体" w:eastAsia="宋体" w:cs="宋体"/>
                <w:color w:val="auto"/>
                <w:sz w:val="24"/>
                <w:highlight w:val="yellow"/>
                <w:lang w:val="en-US" w:eastAsia="zh-CN"/>
              </w:rPr>
            </w:pPr>
          </w:p>
        </w:tc>
      </w:tr>
      <w:tr w14:paraId="6F3FD4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84" w:type="dxa"/>
            <w:noWrap w:val="0"/>
            <w:vAlign w:val="top"/>
          </w:tcPr>
          <w:p w14:paraId="31528B4B">
            <w:pPr>
              <w:pStyle w:val="14"/>
              <w:shd w:val="clear" w:color="auto" w:fill="auto"/>
              <w:spacing w:line="240" w:lineRule="atLeast"/>
              <w:ind w:left="1087" w:leftChars="257" w:hanging="540"/>
              <w:rPr>
                <w:rFonts w:hint="eastAsia" w:ascii="宋体" w:hAnsi="宋体" w:eastAsia="宋体" w:cs="宋体"/>
                <w:color w:val="auto"/>
                <w:sz w:val="24"/>
                <w:highlight w:val="yellow"/>
                <w:lang w:val="en-US" w:eastAsia="zh-CN"/>
              </w:rPr>
            </w:pPr>
          </w:p>
        </w:tc>
        <w:tc>
          <w:tcPr>
            <w:tcW w:w="2882" w:type="dxa"/>
            <w:noWrap w:val="0"/>
            <w:vAlign w:val="top"/>
          </w:tcPr>
          <w:p w14:paraId="387AB910">
            <w:pPr>
              <w:pStyle w:val="14"/>
              <w:shd w:val="clear" w:color="auto" w:fill="auto"/>
              <w:spacing w:line="240" w:lineRule="atLeast"/>
              <w:ind w:left="1087" w:leftChars="257" w:hanging="540"/>
              <w:rPr>
                <w:rFonts w:hint="eastAsia" w:ascii="宋体" w:hAnsi="宋体" w:eastAsia="宋体" w:cs="宋体"/>
                <w:color w:val="auto"/>
                <w:sz w:val="24"/>
                <w:highlight w:val="yellow"/>
                <w:lang w:val="en-US" w:eastAsia="zh-CN"/>
              </w:rPr>
            </w:pPr>
          </w:p>
        </w:tc>
        <w:tc>
          <w:tcPr>
            <w:tcW w:w="2882" w:type="dxa"/>
            <w:noWrap w:val="0"/>
            <w:vAlign w:val="top"/>
          </w:tcPr>
          <w:p w14:paraId="042B480C">
            <w:pPr>
              <w:pStyle w:val="14"/>
              <w:shd w:val="clear" w:color="auto" w:fill="auto"/>
              <w:spacing w:line="240" w:lineRule="atLeast"/>
              <w:ind w:left="1087" w:leftChars="257" w:hanging="540"/>
              <w:rPr>
                <w:rFonts w:hint="eastAsia" w:ascii="宋体" w:hAnsi="宋体" w:eastAsia="宋体" w:cs="宋体"/>
                <w:color w:val="auto"/>
                <w:sz w:val="24"/>
                <w:highlight w:val="yellow"/>
                <w:lang w:val="en-US" w:eastAsia="zh-CN"/>
              </w:rPr>
            </w:pPr>
          </w:p>
        </w:tc>
        <w:tc>
          <w:tcPr>
            <w:tcW w:w="1029" w:type="dxa"/>
            <w:noWrap w:val="0"/>
            <w:vAlign w:val="top"/>
          </w:tcPr>
          <w:p w14:paraId="59698F20">
            <w:pPr>
              <w:pStyle w:val="14"/>
              <w:shd w:val="clear" w:color="auto" w:fill="auto"/>
              <w:spacing w:line="240" w:lineRule="atLeast"/>
              <w:ind w:left="1087" w:leftChars="257" w:hanging="540"/>
              <w:rPr>
                <w:rFonts w:hint="eastAsia" w:ascii="宋体" w:hAnsi="宋体" w:eastAsia="宋体" w:cs="宋体"/>
                <w:color w:val="auto"/>
                <w:sz w:val="24"/>
                <w:highlight w:val="yellow"/>
                <w:lang w:val="en-US" w:eastAsia="zh-CN"/>
              </w:rPr>
            </w:pPr>
          </w:p>
        </w:tc>
      </w:tr>
      <w:tr w14:paraId="574834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84" w:type="dxa"/>
            <w:noWrap w:val="0"/>
            <w:vAlign w:val="top"/>
          </w:tcPr>
          <w:p w14:paraId="582B274C">
            <w:pPr>
              <w:pStyle w:val="14"/>
              <w:shd w:val="clear" w:color="auto" w:fill="auto"/>
              <w:spacing w:line="240" w:lineRule="atLeast"/>
              <w:ind w:left="1087" w:leftChars="257" w:hanging="540"/>
              <w:rPr>
                <w:rFonts w:hint="eastAsia" w:ascii="宋体" w:hAnsi="宋体" w:eastAsia="宋体" w:cs="宋体"/>
                <w:color w:val="auto"/>
                <w:sz w:val="24"/>
                <w:highlight w:val="yellow"/>
                <w:lang w:val="en-US" w:eastAsia="zh-CN"/>
              </w:rPr>
            </w:pPr>
          </w:p>
        </w:tc>
        <w:tc>
          <w:tcPr>
            <w:tcW w:w="2882" w:type="dxa"/>
            <w:noWrap w:val="0"/>
            <w:vAlign w:val="top"/>
          </w:tcPr>
          <w:p w14:paraId="0910830E">
            <w:pPr>
              <w:pStyle w:val="14"/>
              <w:shd w:val="clear" w:color="auto" w:fill="auto"/>
              <w:spacing w:line="240" w:lineRule="atLeast"/>
              <w:ind w:left="1087" w:leftChars="257" w:hanging="540"/>
              <w:rPr>
                <w:rFonts w:hint="eastAsia" w:ascii="宋体" w:hAnsi="宋体" w:eastAsia="宋体" w:cs="宋体"/>
                <w:color w:val="auto"/>
                <w:sz w:val="24"/>
                <w:highlight w:val="yellow"/>
                <w:lang w:val="en-US" w:eastAsia="zh-CN"/>
              </w:rPr>
            </w:pPr>
          </w:p>
        </w:tc>
        <w:tc>
          <w:tcPr>
            <w:tcW w:w="2882" w:type="dxa"/>
            <w:noWrap w:val="0"/>
            <w:vAlign w:val="top"/>
          </w:tcPr>
          <w:p w14:paraId="3AE8A55C">
            <w:pPr>
              <w:pStyle w:val="14"/>
              <w:shd w:val="clear" w:color="auto" w:fill="auto"/>
              <w:spacing w:line="240" w:lineRule="atLeast"/>
              <w:ind w:left="1087" w:leftChars="257" w:hanging="540"/>
              <w:rPr>
                <w:rFonts w:hint="eastAsia" w:ascii="宋体" w:hAnsi="宋体" w:eastAsia="宋体" w:cs="宋体"/>
                <w:color w:val="auto"/>
                <w:sz w:val="24"/>
                <w:highlight w:val="yellow"/>
                <w:lang w:val="en-US" w:eastAsia="zh-CN"/>
              </w:rPr>
            </w:pPr>
          </w:p>
        </w:tc>
        <w:tc>
          <w:tcPr>
            <w:tcW w:w="1029" w:type="dxa"/>
            <w:noWrap w:val="0"/>
            <w:vAlign w:val="top"/>
          </w:tcPr>
          <w:p w14:paraId="6D86314D">
            <w:pPr>
              <w:pStyle w:val="14"/>
              <w:shd w:val="clear" w:color="auto" w:fill="auto"/>
              <w:spacing w:line="240" w:lineRule="atLeast"/>
              <w:ind w:left="1087" w:leftChars="257" w:hanging="540"/>
              <w:rPr>
                <w:rFonts w:hint="eastAsia" w:ascii="宋体" w:hAnsi="宋体" w:eastAsia="宋体" w:cs="宋体"/>
                <w:color w:val="auto"/>
                <w:sz w:val="24"/>
                <w:highlight w:val="yellow"/>
                <w:lang w:val="en-US" w:eastAsia="zh-CN"/>
              </w:rPr>
            </w:pPr>
          </w:p>
        </w:tc>
      </w:tr>
      <w:tr w14:paraId="576C1B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84" w:type="dxa"/>
            <w:noWrap w:val="0"/>
            <w:vAlign w:val="top"/>
          </w:tcPr>
          <w:p w14:paraId="613F3105">
            <w:pPr>
              <w:pStyle w:val="14"/>
              <w:shd w:val="clear" w:color="auto" w:fill="auto"/>
              <w:spacing w:line="240" w:lineRule="atLeast"/>
              <w:ind w:left="1087" w:leftChars="257" w:hanging="540"/>
              <w:rPr>
                <w:rFonts w:hint="eastAsia" w:ascii="宋体" w:hAnsi="宋体" w:eastAsia="宋体" w:cs="宋体"/>
                <w:color w:val="auto"/>
                <w:sz w:val="24"/>
                <w:highlight w:val="yellow"/>
                <w:lang w:val="en-US" w:eastAsia="zh-CN"/>
              </w:rPr>
            </w:pPr>
          </w:p>
        </w:tc>
        <w:tc>
          <w:tcPr>
            <w:tcW w:w="2882" w:type="dxa"/>
            <w:noWrap w:val="0"/>
            <w:vAlign w:val="top"/>
          </w:tcPr>
          <w:p w14:paraId="0C991E2F">
            <w:pPr>
              <w:pStyle w:val="14"/>
              <w:shd w:val="clear" w:color="auto" w:fill="auto"/>
              <w:spacing w:line="240" w:lineRule="atLeast"/>
              <w:ind w:left="1087" w:leftChars="257" w:hanging="540"/>
              <w:rPr>
                <w:rFonts w:hint="eastAsia" w:ascii="宋体" w:hAnsi="宋体" w:eastAsia="宋体" w:cs="宋体"/>
                <w:color w:val="auto"/>
                <w:sz w:val="24"/>
                <w:highlight w:val="yellow"/>
                <w:lang w:val="en-US" w:eastAsia="zh-CN"/>
              </w:rPr>
            </w:pPr>
          </w:p>
        </w:tc>
        <w:tc>
          <w:tcPr>
            <w:tcW w:w="2882" w:type="dxa"/>
            <w:noWrap w:val="0"/>
            <w:vAlign w:val="top"/>
          </w:tcPr>
          <w:p w14:paraId="2B57C3A2">
            <w:pPr>
              <w:pStyle w:val="14"/>
              <w:shd w:val="clear" w:color="auto" w:fill="auto"/>
              <w:spacing w:line="240" w:lineRule="atLeast"/>
              <w:ind w:left="1087" w:leftChars="257" w:hanging="540"/>
              <w:rPr>
                <w:rFonts w:hint="eastAsia" w:ascii="宋体" w:hAnsi="宋体" w:eastAsia="宋体" w:cs="宋体"/>
                <w:color w:val="auto"/>
                <w:sz w:val="24"/>
                <w:highlight w:val="yellow"/>
                <w:lang w:val="en-US" w:eastAsia="zh-CN"/>
              </w:rPr>
            </w:pPr>
          </w:p>
        </w:tc>
        <w:tc>
          <w:tcPr>
            <w:tcW w:w="1029" w:type="dxa"/>
            <w:noWrap w:val="0"/>
            <w:vAlign w:val="top"/>
          </w:tcPr>
          <w:p w14:paraId="3B859262">
            <w:pPr>
              <w:pStyle w:val="14"/>
              <w:shd w:val="clear" w:color="auto" w:fill="auto"/>
              <w:spacing w:line="240" w:lineRule="atLeast"/>
              <w:ind w:left="1087" w:leftChars="257" w:hanging="540"/>
              <w:rPr>
                <w:rFonts w:hint="eastAsia" w:ascii="宋体" w:hAnsi="宋体" w:eastAsia="宋体" w:cs="宋体"/>
                <w:color w:val="auto"/>
                <w:sz w:val="24"/>
                <w:highlight w:val="yellow"/>
                <w:lang w:val="en-US" w:eastAsia="zh-CN"/>
              </w:rPr>
            </w:pPr>
          </w:p>
        </w:tc>
      </w:tr>
      <w:tr w14:paraId="7FB04B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84" w:type="dxa"/>
            <w:noWrap w:val="0"/>
            <w:vAlign w:val="top"/>
          </w:tcPr>
          <w:p w14:paraId="075D4024">
            <w:pPr>
              <w:pStyle w:val="14"/>
              <w:shd w:val="clear" w:color="auto" w:fill="auto"/>
              <w:spacing w:line="240" w:lineRule="atLeast"/>
              <w:ind w:left="1087" w:leftChars="257" w:hanging="540"/>
              <w:rPr>
                <w:rFonts w:hint="eastAsia" w:ascii="宋体" w:hAnsi="宋体" w:eastAsia="宋体" w:cs="宋体"/>
                <w:color w:val="auto"/>
                <w:sz w:val="24"/>
                <w:highlight w:val="yellow"/>
                <w:lang w:val="en-US" w:eastAsia="zh-CN"/>
              </w:rPr>
            </w:pPr>
          </w:p>
        </w:tc>
        <w:tc>
          <w:tcPr>
            <w:tcW w:w="2882" w:type="dxa"/>
            <w:noWrap w:val="0"/>
            <w:vAlign w:val="top"/>
          </w:tcPr>
          <w:p w14:paraId="7AC44D36">
            <w:pPr>
              <w:pStyle w:val="14"/>
              <w:shd w:val="clear" w:color="auto" w:fill="auto"/>
              <w:spacing w:line="240" w:lineRule="atLeast"/>
              <w:ind w:left="1087" w:leftChars="257" w:hanging="540"/>
              <w:rPr>
                <w:rFonts w:hint="eastAsia" w:ascii="宋体" w:hAnsi="宋体" w:eastAsia="宋体" w:cs="宋体"/>
                <w:color w:val="auto"/>
                <w:sz w:val="24"/>
                <w:highlight w:val="yellow"/>
                <w:lang w:val="en-US" w:eastAsia="zh-CN"/>
              </w:rPr>
            </w:pPr>
          </w:p>
        </w:tc>
        <w:tc>
          <w:tcPr>
            <w:tcW w:w="2882" w:type="dxa"/>
            <w:noWrap w:val="0"/>
            <w:vAlign w:val="top"/>
          </w:tcPr>
          <w:p w14:paraId="0C2C046B">
            <w:pPr>
              <w:pStyle w:val="14"/>
              <w:shd w:val="clear" w:color="auto" w:fill="auto"/>
              <w:spacing w:line="240" w:lineRule="atLeast"/>
              <w:ind w:left="1087" w:leftChars="257" w:hanging="540"/>
              <w:rPr>
                <w:rFonts w:hint="eastAsia" w:ascii="宋体" w:hAnsi="宋体" w:eastAsia="宋体" w:cs="宋体"/>
                <w:color w:val="auto"/>
                <w:sz w:val="24"/>
                <w:highlight w:val="yellow"/>
                <w:lang w:val="en-US" w:eastAsia="zh-CN"/>
              </w:rPr>
            </w:pPr>
          </w:p>
        </w:tc>
        <w:tc>
          <w:tcPr>
            <w:tcW w:w="1029" w:type="dxa"/>
            <w:noWrap w:val="0"/>
            <w:vAlign w:val="top"/>
          </w:tcPr>
          <w:p w14:paraId="0236FB67">
            <w:pPr>
              <w:pStyle w:val="14"/>
              <w:shd w:val="clear" w:color="auto" w:fill="auto"/>
              <w:spacing w:line="240" w:lineRule="atLeast"/>
              <w:ind w:left="1087" w:leftChars="257" w:hanging="540"/>
              <w:rPr>
                <w:rFonts w:hint="eastAsia" w:ascii="宋体" w:hAnsi="宋体" w:eastAsia="宋体" w:cs="宋体"/>
                <w:color w:val="auto"/>
                <w:sz w:val="24"/>
                <w:highlight w:val="yellow"/>
                <w:lang w:val="en-US" w:eastAsia="zh-CN"/>
              </w:rPr>
            </w:pPr>
          </w:p>
        </w:tc>
      </w:tr>
      <w:tr w14:paraId="04B59D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84" w:type="dxa"/>
            <w:noWrap w:val="0"/>
            <w:vAlign w:val="top"/>
          </w:tcPr>
          <w:p w14:paraId="4D1B0A42">
            <w:pPr>
              <w:pStyle w:val="14"/>
              <w:shd w:val="clear" w:color="auto" w:fill="auto"/>
              <w:spacing w:line="240" w:lineRule="atLeast"/>
              <w:ind w:left="1087" w:leftChars="257" w:hanging="540"/>
              <w:rPr>
                <w:rFonts w:hint="eastAsia" w:ascii="宋体" w:hAnsi="宋体" w:eastAsia="宋体" w:cs="宋体"/>
                <w:color w:val="auto"/>
                <w:sz w:val="24"/>
                <w:highlight w:val="yellow"/>
                <w:lang w:val="en-US" w:eastAsia="zh-CN"/>
              </w:rPr>
            </w:pPr>
          </w:p>
        </w:tc>
        <w:tc>
          <w:tcPr>
            <w:tcW w:w="2882" w:type="dxa"/>
            <w:noWrap w:val="0"/>
            <w:vAlign w:val="top"/>
          </w:tcPr>
          <w:p w14:paraId="6922AFD2">
            <w:pPr>
              <w:pStyle w:val="14"/>
              <w:shd w:val="clear" w:color="auto" w:fill="auto"/>
              <w:spacing w:line="240" w:lineRule="atLeast"/>
              <w:ind w:left="1087" w:leftChars="257" w:hanging="540"/>
              <w:rPr>
                <w:rFonts w:hint="eastAsia" w:ascii="宋体" w:hAnsi="宋体" w:eastAsia="宋体" w:cs="宋体"/>
                <w:color w:val="auto"/>
                <w:sz w:val="24"/>
                <w:highlight w:val="yellow"/>
                <w:lang w:val="en-US" w:eastAsia="zh-CN"/>
              </w:rPr>
            </w:pPr>
          </w:p>
        </w:tc>
        <w:tc>
          <w:tcPr>
            <w:tcW w:w="2882" w:type="dxa"/>
            <w:noWrap w:val="0"/>
            <w:vAlign w:val="top"/>
          </w:tcPr>
          <w:p w14:paraId="12F087B3">
            <w:pPr>
              <w:pStyle w:val="14"/>
              <w:shd w:val="clear" w:color="auto" w:fill="auto"/>
              <w:spacing w:line="240" w:lineRule="atLeast"/>
              <w:ind w:left="1087" w:leftChars="257" w:hanging="540"/>
              <w:rPr>
                <w:rFonts w:hint="eastAsia" w:ascii="宋体" w:hAnsi="宋体" w:eastAsia="宋体" w:cs="宋体"/>
                <w:color w:val="auto"/>
                <w:sz w:val="24"/>
                <w:highlight w:val="yellow"/>
                <w:lang w:val="en-US" w:eastAsia="zh-CN"/>
              </w:rPr>
            </w:pPr>
          </w:p>
        </w:tc>
        <w:tc>
          <w:tcPr>
            <w:tcW w:w="1029" w:type="dxa"/>
            <w:noWrap w:val="0"/>
            <w:vAlign w:val="top"/>
          </w:tcPr>
          <w:p w14:paraId="3B3D19DC">
            <w:pPr>
              <w:pStyle w:val="14"/>
              <w:shd w:val="clear" w:color="auto" w:fill="auto"/>
              <w:spacing w:line="240" w:lineRule="atLeast"/>
              <w:ind w:left="1087" w:leftChars="257" w:hanging="540"/>
              <w:rPr>
                <w:rFonts w:hint="eastAsia" w:ascii="宋体" w:hAnsi="宋体" w:eastAsia="宋体" w:cs="宋体"/>
                <w:color w:val="auto"/>
                <w:sz w:val="24"/>
                <w:highlight w:val="yellow"/>
                <w:lang w:val="en-US" w:eastAsia="zh-CN"/>
              </w:rPr>
            </w:pPr>
          </w:p>
        </w:tc>
      </w:tr>
    </w:tbl>
    <w:p w14:paraId="70C6C9C1">
      <w:pPr>
        <w:pStyle w:val="14"/>
        <w:shd w:val="clear" w:color="auto" w:fill="auto"/>
        <w:spacing w:line="240" w:lineRule="atLeast"/>
        <w:ind w:left="1087" w:leftChars="257" w:hanging="540"/>
        <w:rPr>
          <w:rFonts w:hint="eastAsia" w:ascii="宋体" w:hAnsi="宋体" w:eastAsia="宋体" w:cs="宋体"/>
          <w:color w:val="auto"/>
          <w:sz w:val="24"/>
          <w:highlight w:val="yellow"/>
        </w:rPr>
      </w:pPr>
    </w:p>
    <w:p w14:paraId="06C7F2F2">
      <w:pPr>
        <w:pStyle w:val="14"/>
        <w:shd w:val="clear" w:color="auto" w:fill="auto"/>
        <w:spacing w:line="240" w:lineRule="atLeast"/>
        <w:ind w:left="1087" w:leftChars="257" w:hanging="540"/>
        <w:rPr>
          <w:rFonts w:hint="eastAsia" w:ascii="宋体" w:hAnsi="宋体" w:eastAsia="宋体" w:cs="宋体"/>
          <w:color w:val="auto"/>
          <w:sz w:val="24"/>
          <w:highlight w:val="yellow"/>
        </w:rPr>
      </w:pPr>
    </w:p>
    <w:p w14:paraId="708EF107">
      <w:pPr>
        <w:pStyle w:val="14"/>
        <w:shd w:val="clear" w:color="auto" w:fill="auto"/>
        <w:spacing w:line="240" w:lineRule="atLeast"/>
        <w:ind w:left="1087" w:leftChars="257" w:hanging="540"/>
        <w:rPr>
          <w:rFonts w:hint="eastAsia" w:ascii="宋体" w:hAnsi="宋体" w:eastAsia="宋体" w:cs="宋体"/>
          <w:color w:val="auto"/>
          <w:sz w:val="22"/>
          <w:szCs w:val="18"/>
          <w:highlight w:val="none"/>
        </w:rPr>
      </w:pPr>
      <w:r>
        <w:rPr>
          <w:rFonts w:hint="eastAsia" w:ascii="宋体" w:hAnsi="宋体" w:eastAsia="宋体" w:cs="宋体"/>
          <w:color w:val="auto"/>
          <w:sz w:val="22"/>
          <w:szCs w:val="18"/>
          <w:highlight w:val="none"/>
        </w:rPr>
        <w:t>法定代表人或其委托代理人签字:</w:t>
      </w:r>
      <w:r>
        <w:rPr>
          <w:rFonts w:hint="eastAsia" w:ascii="宋体" w:hAnsi="宋体" w:eastAsia="宋体" w:cs="宋体"/>
          <w:color w:val="auto"/>
          <w:sz w:val="22"/>
          <w:szCs w:val="18"/>
          <w:highlight w:val="none"/>
          <w:u w:val="single"/>
        </w:rPr>
        <w:t xml:space="preserve"> </w:t>
      </w:r>
      <w:r>
        <w:rPr>
          <w:rFonts w:hint="eastAsia" w:ascii="宋体" w:hAnsi="宋体" w:eastAsia="宋体" w:cs="宋体"/>
          <w:color w:val="auto"/>
          <w:sz w:val="22"/>
          <w:szCs w:val="18"/>
          <w:highlight w:val="none"/>
          <w:u w:val="single"/>
        </w:rPr>
        <w:tab/>
      </w:r>
      <w:r>
        <w:rPr>
          <w:rFonts w:hint="eastAsia" w:ascii="宋体" w:hAnsi="宋体" w:eastAsia="宋体" w:cs="宋体"/>
          <w:color w:val="auto"/>
          <w:sz w:val="22"/>
          <w:szCs w:val="18"/>
          <w:highlight w:val="none"/>
          <w:u w:val="single"/>
        </w:rPr>
        <w:t xml:space="preserve">                 </w:t>
      </w:r>
    </w:p>
    <w:p w14:paraId="63F73364">
      <w:pPr>
        <w:pStyle w:val="14"/>
        <w:shd w:val="clear" w:color="auto" w:fill="auto"/>
        <w:tabs>
          <w:tab w:val="left" w:pos="5370"/>
        </w:tabs>
        <w:spacing w:line="240" w:lineRule="atLeast"/>
        <w:ind w:left="1087" w:leftChars="257" w:hanging="540"/>
        <w:rPr>
          <w:rFonts w:hint="eastAsia" w:ascii="宋体" w:hAnsi="宋体" w:eastAsia="宋体" w:cs="宋体"/>
          <w:color w:val="auto"/>
          <w:sz w:val="22"/>
          <w:szCs w:val="18"/>
          <w:highlight w:val="none"/>
          <w:u w:val="single"/>
        </w:rPr>
      </w:pPr>
      <w:r>
        <w:rPr>
          <w:rFonts w:hint="eastAsia" w:ascii="宋体" w:hAnsi="宋体" w:eastAsia="宋体" w:cs="宋体"/>
          <w:color w:val="auto"/>
          <w:sz w:val="22"/>
          <w:szCs w:val="18"/>
          <w:highlight w:val="none"/>
        </w:rPr>
        <w:t>投标人(盖单位章):</w:t>
      </w:r>
      <w:r>
        <w:rPr>
          <w:rFonts w:hint="eastAsia" w:ascii="宋体" w:hAnsi="宋体" w:eastAsia="宋体" w:cs="宋体"/>
          <w:color w:val="auto"/>
          <w:sz w:val="22"/>
          <w:szCs w:val="18"/>
          <w:highlight w:val="none"/>
          <w:u w:val="single"/>
        </w:rPr>
        <w:tab/>
      </w:r>
    </w:p>
    <w:p w14:paraId="40DE71CA">
      <w:pPr>
        <w:shd w:val="clear" w:color="auto" w:fill="auto"/>
        <w:spacing w:line="500" w:lineRule="exact"/>
        <w:ind w:firstLine="426" w:firstLineChars="200"/>
        <w:rPr>
          <w:rFonts w:hint="eastAsia"/>
        </w:rPr>
      </w:pPr>
      <w:r>
        <w:rPr>
          <w:rFonts w:hint="eastAsia" w:ascii="宋体" w:hAnsi="宋体" w:eastAsia="宋体" w:cs="宋体"/>
          <w:color w:val="auto"/>
          <w:szCs w:val="21"/>
          <w:highlight w:val="none"/>
        </w:rPr>
        <w:t>签署日期：</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 年</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月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日</w:t>
      </w:r>
    </w:p>
    <w:p w14:paraId="6C482738">
      <w:pPr>
        <w:pStyle w:val="79"/>
        <w:keepNext w:val="0"/>
        <w:keepLines w:val="0"/>
        <w:widowControl w:val="0"/>
        <w:shd w:val="clear" w:color="auto" w:fill="auto"/>
        <w:bidi w:val="0"/>
        <w:spacing w:before="0" w:after="0" w:line="240" w:lineRule="auto"/>
        <w:ind w:left="0" w:right="0" w:firstLine="420"/>
        <w:jc w:val="center"/>
        <w:rPr>
          <w:rFonts w:hint="eastAsia" w:ascii="宋体" w:hAnsi="宋体" w:eastAsia="宋体" w:cs="宋体"/>
          <w:color w:val="auto"/>
          <w:highlight w:val="none"/>
        </w:rPr>
      </w:pPr>
      <w:r>
        <w:rPr>
          <w:rFonts w:hint="eastAsia" w:ascii="宋体" w:hAnsi="宋体" w:eastAsia="宋体" w:cs="宋体"/>
          <w:color w:val="auto"/>
          <w:highlight w:val="none"/>
        </w:rPr>
        <w:br w:type="page"/>
      </w:r>
      <w:bookmarkStart w:id="135" w:name="_Toc10725"/>
      <w:bookmarkStart w:id="136" w:name="_Toc515647823"/>
      <w:bookmarkStart w:id="137" w:name="_Toc21312"/>
      <w:bookmarkStart w:id="138" w:name="_Toc2963"/>
      <w:bookmarkStart w:id="139" w:name="_Toc515647827"/>
      <w:bookmarkStart w:id="140" w:name="_Toc30795"/>
      <w:bookmarkStart w:id="141" w:name="_Toc28099"/>
    </w:p>
    <w:p w14:paraId="1C5CEED9">
      <w:pPr>
        <w:pStyle w:val="79"/>
        <w:keepNext w:val="0"/>
        <w:keepLines w:val="0"/>
        <w:widowControl w:val="0"/>
        <w:shd w:val="clear" w:color="auto" w:fill="auto"/>
        <w:bidi w:val="0"/>
        <w:spacing w:before="0" w:after="0" w:line="240" w:lineRule="auto"/>
        <w:ind w:left="0" w:right="0" w:firstLine="420"/>
        <w:jc w:val="center"/>
        <w:rPr>
          <w:rFonts w:hint="eastAsia" w:ascii="仿宋" w:hAnsi="仿宋" w:eastAsia="仿宋" w:cs="仿宋"/>
          <w:b/>
          <w:bCs/>
          <w:color w:val="auto"/>
          <w:spacing w:val="0"/>
          <w:w w:val="100"/>
          <w:position w:val="0"/>
          <w:sz w:val="36"/>
          <w:szCs w:val="36"/>
          <w:lang w:val="en-US" w:eastAsia="zh-CN"/>
        </w:rPr>
      </w:pPr>
      <w:r>
        <w:rPr>
          <w:rFonts w:hint="eastAsia" w:ascii="宋体" w:hAnsi="宋体" w:eastAsia="宋体" w:cs="宋体"/>
          <w:b/>
          <w:bCs/>
          <w:color w:val="auto"/>
          <w:spacing w:val="0"/>
          <w:w w:val="100"/>
          <w:position w:val="0"/>
          <w:sz w:val="24"/>
          <w:szCs w:val="24"/>
          <w:lang w:val="en-US" w:eastAsia="zh-CN"/>
        </w:rPr>
        <w:t>6、投标人基本情况表</w:t>
      </w:r>
    </w:p>
    <w:p w14:paraId="552E273F">
      <w:pPr>
        <w:pStyle w:val="10"/>
        <w:numPr>
          <w:ilvl w:val="0"/>
          <w:numId w:val="0"/>
        </w:numPr>
        <w:kinsoku w:val="0"/>
        <w:overflowPunct w:val="0"/>
        <w:spacing w:before="5"/>
        <w:ind w:leftChars="0" w:right="0" w:rightChars="0"/>
        <w:rPr>
          <w:rFonts w:hint="eastAsia" w:ascii="仿宋" w:hAnsi="仿宋" w:eastAsia="仿宋" w:cs="仿宋"/>
          <w:b/>
          <w:bCs/>
          <w:color w:val="auto"/>
          <w:sz w:val="6"/>
          <w:szCs w:val="6"/>
        </w:rPr>
      </w:pPr>
    </w:p>
    <w:tbl>
      <w:tblPr>
        <w:tblStyle w:val="28"/>
        <w:tblW w:w="8639" w:type="dxa"/>
        <w:jc w:val="center"/>
        <w:tblLayout w:type="fixed"/>
        <w:tblCellMar>
          <w:top w:w="0" w:type="dxa"/>
          <w:left w:w="0" w:type="dxa"/>
          <w:bottom w:w="0" w:type="dxa"/>
          <w:right w:w="0" w:type="dxa"/>
        </w:tblCellMar>
      </w:tblPr>
      <w:tblGrid>
        <w:gridCol w:w="1231"/>
        <w:gridCol w:w="1432"/>
        <w:gridCol w:w="842"/>
        <w:gridCol w:w="488"/>
        <w:gridCol w:w="1331"/>
        <w:gridCol w:w="455"/>
        <w:gridCol w:w="910"/>
        <w:gridCol w:w="1950"/>
      </w:tblGrid>
      <w:tr w14:paraId="4774EBA0">
        <w:tblPrEx>
          <w:tblCellMar>
            <w:top w:w="0" w:type="dxa"/>
            <w:left w:w="0" w:type="dxa"/>
            <w:bottom w:w="0" w:type="dxa"/>
            <w:right w:w="0" w:type="dxa"/>
          </w:tblCellMar>
        </w:tblPrEx>
        <w:trPr>
          <w:trHeight w:val="852" w:hRule="exact"/>
          <w:jc w:val="center"/>
        </w:trPr>
        <w:tc>
          <w:tcPr>
            <w:tcW w:w="1231" w:type="dxa"/>
            <w:tcBorders>
              <w:top w:val="single" w:color="000000" w:sz="4" w:space="0"/>
              <w:left w:val="single" w:color="000000" w:sz="4" w:space="0"/>
              <w:bottom w:val="single" w:color="000000" w:sz="4" w:space="0"/>
              <w:right w:val="single" w:color="000000" w:sz="4" w:space="0"/>
            </w:tcBorders>
            <w:noWrap w:val="0"/>
            <w:vAlign w:val="top"/>
          </w:tcPr>
          <w:p w14:paraId="1F6D68D8">
            <w:pPr>
              <w:pStyle w:val="54"/>
              <w:kinsoku w:val="0"/>
              <w:overflowPunct w:val="0"/>
              <w:spacing w:before="145"/>
              <w:ind w:left="137"/>
              <w:rPr>
                <w:rFonts w:hint="eastAsia" w:ascii="宋体" w:hAnsi="宋体" w:eastAsia="宋体" w:cs="宋体"/>
                <w:color w:val="auto"/>
                <w:sz w:val="21"/>
                <w:szCs w:val="21"/>
              </w:rPr>
            </w:pPr>
            <w:r>
              <w:rPr>
                <w:rFonts w:hint="eastAsia" w:ascii="宋体" w:hAnsi="宋体" w:eastAsia="宋体" w:cs="宋体"/>
                <w:color w:val="auto"/>
                <w:sz w:val="21"/>
                <w:szCs w:val="21"/>
              </w:rPr>
              <w:t>单位名称</w:t>
            </w:r>
          </w:p>
        </w:tc>
        <w:tc>
          <w:tcPr>
            <w:tcW w:w="7408" w:type="dxa"/>
            <w:gridSpan w:val="7"/>
            <w:tcBorders>
              <w:top w:val="single" w:color="000000" w:sz="4" w:space="0"/>
              <w:left w:val="single" w:color="000000" w:sz="4" w:space="0"/>
              <w:bottom w:val="single" w:color="000000" w:sz="4" w:space="0"/>
              <w:right w:val="single" w:color="000000" w:sz="4" w:space="0"/>
            </w:tcBorders>
            <w:noWrap w:val="0"/>
            <w:vAlign w:val="top"/>
          </w:tcPr>
          <w:p w14:paraId="17F2F33D">
            <w:pPr>
              <w:rPr>
                <w:rFonts w:hint="eastAsia" w:ascii="宋体" w:hAnsi="宋体" w:eastAsia="宋体" w:cs="宋体"/>
                <w:color w:val="auto"/>
                <w:sz w:val="21"/>
                <w:szCs w:val="21"/>
              </w:rPr>
            </w:pPr>
          </w:p>
        </w:tc>
      </w:tr>
      <w:tr w14:paraId="54B16094">
        <w:tblPrEx>
          <w:tblCellMar>
            <w:top w:w="0" w:type="dxa"/>
            <w:left w:w="0" w:type="dxa"/>
            <w:bottom w:w="0" w:type="dxa"/>
            <w:right w:w="0" w:type="dxa"/>
          </w:tblCellMar>
        </w:tblPrEx>
        <w:trPr>
          <w:trHeight w:val="852" w:hRule="exact"/>
          <w:jc w:val="center"/>
        </w:trPr>
        <w:tc>
          <w:tcPr>
            <w:tcW w:w="1231" w:type="dxa"/>
            <w:tcBorders>
              <w:top w:val="single" w:color="000000" w:sz="4" w:space="0"/>
              <w:left w:val="single" w:color="000000" w:sz="4" w:space="0"/>
              <w:bottom w:val="single" w:color="000000" w:sz="4" w:space="0"/>
              <w:right w:val="single" w:color="000000" w:sz="4" w:space="0"/>
            </w:tcBorders>
            <w:noWrap w:val="0"/>
            <w:vAlign w:val="top"/>
          </w:tcPr>
          <w:p w14:paraId="115D1F8F">
            <w:pPr>
              <w:pStyle w:val="54"/>
              <w:kinsoku w:val="0"/>
              <w:overflowPunct w:val="0"/>
              <w:spacing w:before="145"/>
              <w:ind w:left="137"/>
              <w:rPr>
                <w:rFonts w:hint="eastAsia" w:ascii="宋体" w:hAnsi="宋体" w:eastAsia="宋体" w:cs="宋体"/>
                <w:color w:val="auto"/>
                <w:sz w:val="21"/>
                <w:szCs w:val="21"/>
              </w:rPr>
            </w:pPr>
            <w:r>
              <w:rPr>
                <w:rFonts w:hint="eastAsia" w:ascii="宋体" w:hAnsi="宋体" w:eastAsia="宋体" w:cs="宋体"/>
                <w:color w:val="auto"/>
                <w:sz w:val="21"/>
                <w:szCs w:val="21"/>
              </w:rPr>
              <w:t>单位地址</w:t>
            </w:r>
          </w:p>
        </w:tc>
        <w:tc>
          <w:tcPr>
            <w:tcW w:w="7408" w:type="dxa"/>
            <w:gridSpan w:val="7"/>
            <w:tcBorders>
              <w:top w:val="single" w:color="000000" w:sz="4" w:space="0"/>
              <w:left w:val="single" w:color="000000" w:sz="4" w:space="0"/>
              <w:bottom w:val="single" w:color="000000" w:sz="4" w:space="0"/>
              <w:right w:val="single" w:color="000000" w:sz="4" w:space="0"/>
            </w:tcBorders>
            <w:noWrap w:val="0"/>
            <w:vAlign w:val="top"/>
          </w:tcPr>
          <w:p w14:paraId="4FF6EC53">
            <w:pPr>
              <w:rPr>
                <w:rFonts w:hint="eastAsia" w:ascii="宋体" w:hAnsi="宋体" w:eastAsia="宋体" w:cs="宋体"/>
                <w:color w:val="auto"/>
                <w:sz w:val="21"/>
                <w:szCs w:val="21"/>
              </w:rPr>
            </w:pPr>
          </w:p>
        </w:tc>
      </w:tr>
      <w:tr w14:paraId="36DDC230">
        <w:tblPrEx>
          <w:tblCellMar>
            <w:top w:w="0" w:type="dxa"/>
            <w:left w:w="0" w:type="dxa"/>
            <w:bottom w:w="0" w:type="dxa"/>
            <w:right w:w="0" w:type="dxa"/>
          </w:tblCellMar>
        </w:tblPrEx>
        <w:trPr>
          <w:trHeight w:val="852" w:hRule="exact"/>
          <w:jc w:val="center"/>
        </w:trPr>
        <w:tc>
          <w:tcPr>
            <w:tcW w:w="1231" w:type="dxa"/>
            <w:tcBorders>
              <w:top w:val="single" w:color="000000" w:sz="4" w:space="0"/>
              <w:left w:val="single" w:color="000000" w:sz="4" w:space="0"/>
              <w:bottom w:val="single" w:color="000000" w:sz="4" w:space="0"/>
              <w:right w:val="single" w:color="000000" w:sz="4" w:space="0"/>
            </w:tcBorders>
            <w:noWrap w:val="0"/>
            <w:vAlign w:val="top"/>
          </w:tcPr>
          <w:p w14:paraId="24D3C9A7">
            <w:pPr>
              <w:pStyle w:val="54"/>
              <w:kinsoku w:val="0"/>
              <w:overflowPunct w:val="0"/>
              <w:spacing w:before="145"/>
              <w:ind w:left="137"/>
              <w:rPr>
                <w:rFonts w:hint="eastAsia" w:ascii="宋体" w:hAnsi="宋体" w:eastAsia="宋体" w:cs="宋体"/>
                <w:color w:val="auto"/>
                <w:sz w:val="21"/>
                <w:szCs w:val="21"/>
              </w:rPr>
            </w:pPr>
            <w:r>
              <w:rPr>
                <w:rFonts w:hint="eastAsia" w:ascii="宋体" w:hAnsi="宋体" w:eastAsia="宋体" w:cs="宋体"/>
                <w:color w:val="auto"/>
                <w:sz w:val="21"/>
                <w:szCs w:val="21"/>
              </w:rPr>
              <w:t>主管部门</w:t>
            </w:r>
          </w:p>
        </w:tc>
        <w:tc>
          <w:tcPr>
            <w:tcW w:w="7408" w:type="dxa"/>
            <w:gridSpan w:val="7"/>
            <w:tcBorders>
              <w:top w:val="single" w:color="000000" w:sz="4" w:space="0"/>
              <w:left w:val="single" w:color="000000" w:sz="4" w:space="0"/>
              <w:bottom w:val="single" w:color="000000" w:sz="4" w:space="0"/>
              <w:right w:val="single" w:color="000000" w:sz="4" w:space="0"/>
            </w:tcBorders>
            <w:noWrap w:val="0"/>
            <w:vAlign w:val="top"/>
          </w:tcPr>
          <w:p w14:paraId="31ED3989">
            <w:pPr>
              <w:rPr>
                <w:rFonts w:hint="eastAsia" w:ascii="宋体" w:hAnsi="宋体" w:eastAsia="宋体" w:cs="宋体"/>
                <w:color w:val="auto"/>
                <w:sz w:val="21"/>
                <w:szCs w:val="21"/>
              </w:rPr>
            </w:pPr>
          </w:p>
        </w:tc>
      </w:tr>
      <w:tr w14:paraId="02DD7550">
        <w:tblPrEx>
          <w:tblCellMar>
            <w:top w:w="0" w:type="dxa"/>
            <w:left w:w="0" w:type="dxa"/>
            <w:bottom w:w="0" w:type="dxa"/>
            <w:right w:w="0" w:type="dxa"/>
          </w:tblCellMar>
        </w:tblPrEx>
        <w:trPr>
          <w:trHeight w:val="852" w:hRule="exact"/>
          <w:jc w:val="center"/>
        </w:trPr>
        <w:tc>
          <w:tcPr>
            <w:tcW w:w="1231" w:type="dxa"/>
            <w:tcBorders>
              <w:top w:val="single" w:color="000000" w:sz="4" w:space="0"/>
              <w:left w:val="single" w:color="000000" w:sz="4" w:space="0"/>
              <w:bottom w:val="single" w:color="000000" w:sz="4" w:space="0"/>
              <w:right w:val="single" w:color="000000" w:sz="4" w:space="0"/>
            </w:tcBorders>
            <w:noWrap w:val="0"/>
            <w:vAlign w:val="top"/>
          </w:tcPr>
          <w:p w14:paraId="557012C5">
            <w:pPr>
              <w:pStyle w:val="54"/>
              <w:kinsoku w:val="0"/>
              <w:overflowPunct w:val="0"/>
              <w:spacing w:before="145"/>
              <w:ind w:left="137"/>
              <w:rPr>
                <w:rFonts w:hint="eastAsia" w:ascii="宋体" w:hAnsi="宋体" w:eastAsia="宋体" w:cs="宋体"/>
                <w:color w:val="auto"/>
                <w:sz w:val="21"/>
                <w:szCs w:val="21"/>
              </w:rPr>
            </w:pPr>
            <w:r>
              <w:rPr>
                <w:rFonts w:hint="eastAsia" w:ascii="宋体" w:hAnsi="宋体" w:eastAsia="宋体" w:cs="宋体"/>
                <w:color w:val="auto"/>
                <w:sz w:val="21"/>
                <w:szCs w:val="21"/>
              </w:rPr>
              <w:t>成立时间</w:t>
            </w:r>
          </w:p>
        </w:tc>
        <w:tc>
          <w:tcPr>
            <w:tcW w:w="2274" w:type="dxa"/>
            <w:gridSpan w:val="2"/>
            <w:tcBorders>
              <w:top w:val="single" w:color="000000" w:sz="4" w:space="0"/>
              <w:left w:val="single" w:color="000000" w:sz="4" w:space="0"/>
              <w:bottom w:val="single" w:color="000000" w:sz="4" w:space="0"/>
              <w:right w:val="single" w:color="000000" w:sz="4" w:space="0"/>
            </w:tcBorders>
            <w:noWrap w:val="0"/>
            <w:vAlign w:val="top"/>
          </w:tcPr>
          <w:p w14:paraId="6C4A91A3">
            <w:pPr>
              <w:rPr>
                <w:rFonts w:hint="eastAsia" w:ascii="宋体" w:hAnsi="宋体" w:eastAsia="宋体" w:cs="宋体"/>
                <w:color w:val="auto"/>
                <w:sz w:val="21"/>
                <w:szCs w:val="21"/>
              </w:rPr>
            </w:pPr>
          </w:p>
        </w:tc>
        <w:tc>
          <w:tcPr>
            <w:tcW w:w="2274" w:type="dxa"/>
            <w:gridSpan w:val="3"/>
            <w:tcBorders>
              <w:top w:val="single" w:color="000000" w:sz="4" w:space="0"/>
              <w:left w:val="single" w:color="000000" w:sz="4" w:space="0"/>
              <w:bottom w:val="single" w:color="000000" w:sz="4" w:space="0"/>
              <w:right w:val="single" w:color="000000" w:sz="4" w:space="0"/>
            </w:tcBorders>
            <w:noWrap w:val="0"/>
            <w:vAlign w:val="top"/>
          </w:tcPr>
          <w:p w14:paraId="484ADF02">
            <w:pPr>
              <w:pStyle w:val="54"/>
              <w:kinsoku w:val="0"/>
              <w:overflowPunct w:val="0"/>
              <w:spacing w:before="145"/>
              <w:ind w:left="181"/>
              <w:rPr>
                <w:rFonts w:hint="eastAsia" w:ascii="宋体" w:hAnsi="宋体" w:eastAsia="宋体" w:cs="宋体"/>
                <w:color w:val="auto"/>
                <w:sz w:val="21"/>
                <w:szCs w:val="21"/>
              </w:rPr>
            </w:pPr>
            <w:r>
              <w:rPr>
                <w:rFonts w:hint="eastAsia" w:ascii="宋体" w:hAnsi="宋体" w:eastAsia="宋体" w:cs="宋体"/>
                <w:color w:val="auto"/>
                <w:sz w:val="21"/>
                <w:szCs w:val="21"/>
              </w:rPr>
              <w:t>注册资金（万元）</w:t>
            </w:r>
          </w:p>
        </w:tc>
        <w:tc>
          <w:tcPr>
            <w:tcW w:w="2860" w:type="dxa"/>
            <w:gridSpan w:val="2"/>
            <w:tcBorders>
              <w:top w:val="single" w:color="000000" w:sz="4" w:space="0"/>
              <w:left w:val="single" w:color="000000" w:sz="4" w:space="0"/>
              <w:bottom w:val="single" w:color="000000" w:sz="4" w:space="0"/>
              <w:right w:val="single" w:color="000000" w:sz="4" w:space="0"/>
            </w:tcBorders>
            <w:noWrap w:val="0"/>
            <w:vAlign w:val="top"/>
          </w:tcPr>
          <w:p w14:paraId="16A2FB1A">
            <w:pPr>
              <w:rPr>
                <w:rFonts w:hint="eastAsia" w:ascii="宋体" w:hAnsi="宋体" w:eastAsia="宋体" w:cs="宋体"/>
                <w:color w:val="auto"/>
                <w:sz w:val="21"/>
                <w:szCs w:val="21"/>
              </w:rPr>
            </w:pPr>
          </w:p>
        </w:tc>
      </w:tr>
      <w:tr w14:paraId="4DDD8E32">
        <w:tblPrEx>
          <w:tblCellMar>
            <w:top w:w="0" w:type="dxa"/>
            <w:left w:w="0" w:type="dxa"/>
            <w:bottom w:w="0" w:type="dxa"/>
            <w:right w:w="0" w:type="dxa"/>
          </w:tblCellMar>
        </w:tblPrEx>
        <w:trPr>
          <w:trHeight w:val="852" w:hRule="exact"/>
          <w:jc w:val="center"/>
        </w:trPr>
        <w:tc>
          <w:tcPr>
            <w:tcW w:w="1231" w:type="dxa"/>
            <w:tcBorders>
              <w:top w:val="single" w:color="000000" w:sz="4" w:space="0"/>
              <w:left w:val="single" w:color="000000" w:sz="4" w:space="0"/>
              <w:bottom w:val="single" w:color="000000" w:sz="4" w:space="0"/>
              <w:right w:val="single" w:color="000000" w:sz="4" w:space="0"/>
            </w:tcBorders>
            <w:noWrap w:val="0"/>
            <w:vAlign w:val="top"/>
          </w:tcPr>
          <w:p w14:paraId="19FD3A98">
            <w:pPr>
              <w:pStyle w:val="54"/>
              <w:kinsoku w:val="0"/>
              <w:overflowPunct w:val="0"/>
              <w:spacing w:before="146"/>
              <w:ind w:left="137"/>
              <w:rPr>
                <w:rFonts w:hint="eastAsia" w:ascii="宋体" w:hAnsi="宋体" w:eastAsia="宋体" w:cs="宋体"/>
                <w:color w:val="auto"/>
                <w:sz w:val="21"/>
                <w:szCs w:val="21"/>
              </w:rPr>
            </w:pPr>
            <w:r>
              <w:rPr>
                <w:rFonts w:hint="eastAsia" w:ascii="宋体" w:hAnsi="宋体" w:eastAsia="宋体" w:cs="宋体"/>
                <w:color w:val="auto"/>
                <w:sz w:val="21"/>
                <w:szCs w:val="21"/>
              </w:rPr>
              <w:t>单位性质</w:t>
            </w:r>
          </w:p>
        </w:tc>
        <w:tc>
          <w:tcPr>
            <w:tcW w:w="7408" w:type="dxa"/>
            <w:gridSpan w:val="7"/>
            <w:tcBorders>
              <w:top w:val="single" w:color="000000" w:sz="4" w:space="0"/>
              <w:left w:val="single" w:color="000000" w:sz="4" w:space="0"/>
              <w:bottom w:val="single" w:color="000000" w:sz="4" w:space="0"/>
              <w:right w:val="single" w:color="000000" w:sz="4" w:space="0"/>
            </w:tcBorders>
            <w:noWrap w:val="0"/>
            <w:vAlign w:val="top"/>
          </w:tcPr>
          <w:p w14:paraId="2075F8F8">
            <w:pPr>
              <w:rPr>
                <w:rFonts w:hint="eastAsia" w:ascii="宋体" w:hAnsi="宋体" w:eastAsia="宋体" w:cs="宋体"/>
                <w:color w:val="auto"/>
                <w:sz w:val="21"/>
                <w:szCs w:val="21"/>
              </w:rPr>
            </w:pPr>
          </w:p>
        </w:tc>
      </w:tr>
      <w:tr w14:paraId="46B057D3">
        <w:tblPrEx>
          <w:tblCellMar>
            <w:top w:w="0" w:type="dxa"/>
            <w:left w:w="0" w:type="dxa"/>
            <w:bottom w:w="0" w:type="dxa"/>
            <w:right w:w="0" w:type="dxa"/>
          </w:tblCellMar>
        </w:tblPrEx>
        <w:trPr>
          <w:trHeight w:val="1150" w:hRule="exact"/>
          <w:jc w:val="center"/>
        </w:trPr>
        <w:tc>
          <w:tcPr>
            <w:tcW w:w="1231" w:type="dxa"/>
            <w:tcBorders>
              <w:top w:val="single" w:color="000000" w:sz="4" w:space="0"/>
              <w:left w:val="single" w:color="000000" w:sz="4" w:space="0"/>
              <w:bottom w:val="single" w:color="000000" w:sz="4" w:space="0"/>
              <w:right w:val="single" w:color="000000" w:sz="4" w:space="0"/>
            </w:tcBorders>
            <w:noWrap w:val="0"/>
            <w:vAlign w:val="top"/>
          </w:tcPr>
          <w:p w14:paraId="6DEC101C">
            <w:pPr>
              <w:pStyle w:val="54"/>
              <w:kinsoku w:val="0"/>
              <w:overflowPunct w:val="0"/>
              <w:spacing w:before="141" w:line="312" w:lineRule="exact"/>
              <w:ind w:left="257" w:right="133" w:hanging="120"/>
              <w:rPr>
                <w:rFonts w:hint="eastAsia" w:ascii="宋体" w:hAnsi="宋体" w:eastAsia="宋体" w:cs="宋体"/>
                <w:color w:val="auto"/>
                <w:sz w:val="21"/>
                <w:szCs w:val="21"/>
              </w:rPr>
            </w:pPr>
            <w:r>
              <w:rPr>
                <w:rFonts w:hint="eastAsia" w:ascii="宋体" w:hAnsi="宋体" w:eastAsia="宋体" w:cs="宋体"/>
                <w:color w:val="auto"/>
                <w:sz w:val="21"/>
                <w:szCs w:val="21"/>
              </w:rPr>
              <w:t>投标期间 联系人</w:t>
            </w:r>
          </w:p>
        </w:tc>
        <w:tc>
          <w:tcPr>
            <w:tcW w:w="1432" w:type="dxa"/>
            <w:tcBorders>
              <w:top w:val="single" w:color="000000" w:sz="4" w:space="0"/>
              <w:left w:val="single" w:color="000000" w:sz="4" w:space="0"/>
              <w:bottom w:val="single" w:color="000000" w:sz="4" w:space="0"/>
              <w:right w:val="single" w:color="000000" w:sz="4" w:space="0"/>
            </w:tcBorders>
            <w:noWrap w:val="0"/>
            <w:vAlign w:val="top"/>
          </w:tcPr>
          <w:p w14:paraId="43A46323">
            <w:pPr>
              <w:rPr>
                <w:rFonts w:hint="eastAsia" w:ascii="宋体" w:hAnsi="宋体" w:eastAsia="宋体" w:cs="宋体"/>
                <w:color w:val="auto"/>
                <w:sz w:val="21"/>
                <w:szCs w:val="21"/>
              </w:rPr>
            </w:pPr>
          </w:p>
        </w:tc>
        <w:tc>
          <w:tcPr>
            <w:tcW w:w="1330" w:type="dxa"/>
            <w:gridSpan w:val="2"/>
            <w:tcBorders>
              <w:top w:val="single" w:color="000000" w:sz="4" w:space="0"/>
              <w:left w:val="single" w:color="000000" w:sz="4" w:space="0"/>
              <w:bottom w:val="single" w:color="000000" w:sz="4" w:space="0"/>
              <w:right w:val="single" w:color="000000" w:sz="4" w:space="0"/>
            </w:tcBorders>
            <w:noWrap w:val="0"/>
            <w:vAlign w:val="top"/>
          </w:tcPr>
          <w:p w14:paraId="594A45E8">
            <w:pPr>
              <w:pStyle w:val="54"/>
              <w:kinsoku w:val="0"/>
              <w:overflowPunct w:val="0"/>
              <w:spacing w:before="4"/>
              <w:rPr>
                <w:rFonts w:hint="eastAsia" w:ascii="宋体" w:hAnsi="宋体" w:eastAsia="宋体" w:cs="宋体"/>
                <w:b/>
                <w:bCs/>
                <w:color w:val="auto"/>
                <w:sz w:val="21"/>
                <w:szCs w:val="21"/>
              </w:rPr>
            </w:pPr>
          </w:p>
          <w:p w14:paraId="359071F9">
            <w:pPr>
              <w:pStyle w:val="54"/>
              <w:kinsoku w:val="0"/>
              <w:overflowPunct w:val="0"/>
              <w:ind w:left="366"/>
              <w:rPr>
                <w:rFonts w:hint="eastAsia" w:ascii="宋体" w:hAnsi="宋体" w:eastAsia="宋体" w:cs="宋体"/>
                <w:color w:val="auto"/>
                <w:sz w:val="21"/>
                <w:szCs w:val="21"/>
              </w:rPr>
            </w:pPr>
            <w:r>
              <w:rPr>
                <w:rFonts w:hint="eastAsia" w:ascii="宋体" w:hAnsi="宋体" w:eastAsia="宋体" w:cs="宋体"/>
                <w:color w:val="auto"/>
                <w:sz w:val="21"/>
                <w:szCs w:val="21"/>
              </w:rPr>
              <w:t>电 话</w:t>
            </w:r>
          </w:p>
        </w:tc>
        <w:tc>
          <w:tcPr>
            <w:tcW w:w="1331" w:type="dxa"/>
            <w:tcBorders>
              <w:top w:val="single" w:color="000000" w:sz="4" w:space="0"/>
              <w:left w:val="single" w:color="000000" w:sz="4" w:space="0"/>
              <w:bottom w:val="single" w:color="000000" w:sz="4" w:space="0"/>
              <w:right w:val="single" w:color="000000" w:sz="4" w:space="0"/>
            </w:tcBorders>
            <w:noWrap w:val="0"/>
            <w:vAlign w:val="top"/>
          </w:tcPr>
          <w:p w14:paraId="2A149496">
            <w:pPr>
              <w:rPr>
                <w:rFonts w:hint="eastAsia" w:ascii="宋体" w:hAnsi="宋体" w:eastAsia="宋体" w:cs="宋体"/>
                <w:color w:val="auto"/>
                <w:sz w:val="21"/>
                <w:szCs w:val="21"/>
              </w:rPr>
            </w:pPr>
          </w:p>
        </w:tc>
        <w:tc>
          <w:tcPr>
            <w:tcW w:w="1365" w:type="dxa"/>
            <w:gridSpan w:val="2"/>
            <w:tcBorders>
              <w:top w:val="single" w:color="000000" w:sz="4" w:space="0"/>
              <w:left w:val="single" w:color="000000" w:sz="4" w:space="0"/>
              <w:bottom w:val="single" w:color="000000" w:sz="4" w:space="0"/>
              <w:right w:val="single" w:color="000000" w:sz="4" w:space="0"/>
            </w:tcBorders>
            <w:noWrap w:val="0"/>
            <w:vAlign w:val="top"/>
          </w:tcPr>
          <w:p w14:paraId="365499B5">
            <w:pPr>
              <w:pStyle w:val="54"/>
              <w:kinsoku w:val="0"/>
              <w:overflowPunct w:val="0"/>
              <w:spacing w:before="4"/>
              <w:rPr>
                <w:rFonts w:hint="eastAsia" w:ascii="宋体" w:hAnsi="宋体" w:eastAsia="宋体" w:cs="宋体"/>
                <w:b/>
                <w:bCs/>
                <w:color w:val="auto"/>
                <w:sz w:val="21"/>
                <w:szCs w:val="21"/>
              </w:rPr>
            </w:pPr>
          </w:p>
          <w:p w14:paraId="0517F0B1">
            <w:pPr>
              <w:pStyle w:val="54"/>
              <w:kinsoku w:val="0"/>
              <w:overflowPunct w:val="0"/>
              <w:ind w:left="383"/>
              <w:rPr>
                <w:rFonts w:hint="eastAsia" w:ascii="宋体" w:hAnsi="宋体" w:eastAsia="宋体" w:cs="宋体"/>
                <w:color w:val="auto"/>
                <w:sz w:val="21"/>
                <w:szCs w:val="21"/>
              </w:rPr>
            </w:pPr>
            <w:r>
              <w:rPr>
                <w:rFonts w:hint="eastAsia" w:ascii="宋体" w:hAnsi="宋体" w:eastAsia="宋体" w:cs="宋体"/>
                <w:color w:val="auto"/>
                <w:sz w:val="21"/>
                <w:szCs w:val="21"/>
              </w:rPr>
              <w:t>传 真</w:t>
            </w:r>
          </w:p>
        </w:tc>
        <w:tc>
          <w:tcPr>
            <w:tcW w:w="1950" w:type="dxa"/>
            <w:tcBorders>
              <w:top w:val="single" w:color="000000" w:sz="4" w:space="0"/>
              <w:left w:val="single" w:color="000000" w:sz="4" w:space="0"/>
              <w:bottom w:val="single" w:color="000000" w:sz="4" w:space="0"/>
              <w:right w:val="single" w:color="000000" w:sz="4" w:space="0"/>
            </w:tcBorders>
            <w:noWrap w:val="0"/>
            <w:vAlign w:val="top"/>
          </w:tcPr>
          <w:p w14:paraId="74F28718">
            <w:pPr>
              <w:rPr>
                <w:rFonts w:hint="eastAsia" w:ascii="宋体" w:hAnsi="宋体" w:eastAsia="宋体" w:cs="宋体"/>
                <w:color w:val="auto"/>
                <w:sz w:val="21"/>
                <w:szCs w:val="21"/>
              </w:rPr>
            </w:pPr>
          </w:p>
        </w:tc>
      </w:tr>
      <w:tr w14:paraId="784C8C23">
        <w:tblPrEx>
          <w:tblCellMar>
            <w:top w:w="0" w:type="dxa"/>
            <w:left w:w="0" w:type="dxa"/>
            <w:bottom w:w="0" w:type="dxa"/>
            <w:right w:w="0" w:type="dxa"/>
          </w:tblCellMar>
        </w:tblPrEx>
        <w:trPr>
          <w:trHeight w:val="1150" w:hRule="exact"/>
          <w:jc w:val="center"/>
        </w:trPr>
        <w:tc>
          <w:tcPr>
            <w:tcW w:w="1231" w:type="dxa"/>
            <w:tcBorders>
              <w:top w:val="single" w:color="000000" w:sz="4" w:space="0"/>
              <w:left w:val="single" w:color="000000" w:sz="4" w:space="0"/>
              <w:bottom w:val="single" w:color="000000" w:sz="4" w:space="0"/>
              <w:right w:val="single" w:color="000000" w:sz="4" w:space="0"/>
            </w:tcBorders>
            <w:noWrap w:val="0"/>
            <w:vAlign w:val="top"/>
          </w:tcPr>
          <w:p w14:paraId="1C699595">
            <w:pPr>
              <w:pStyle w:val="54"/>
              <w:kinsoku w:val="0"/>
              <w:overflowPunct w:val="0"/>
              <w:spacing w:before="141" w:line="312" w:lineRule="exact"/>
              <w:ind w:left="257" w:right="133" w:hanging="120"/>
              <w:rPr>
                <w:rFonts w:hint="eastAsia" w:ascii="宋体" w:hAnsi="宋体" w:eastAsia="宋体" w:cs="宋体"/>
                <w:color w:val="auto"/>
                <w:sz w:val="21"/>
                <w:szCs w:val="21"/>
              </w:rPr>
            </w:pPr>
            <w:r>
              <w:rPr>
                <w:rFonts w:hint="eastAsia" w:ascii="宋体" w:hAnsi="宋体" w:eastAsia="宋体" w:cs="宋体"/>
                <w:color w:val="auto"/>
                <w:sz w:val="21"/>
                <w:szCs w:val="21"/>
              </w:rPr>
              <w:t>职工总数</w:t>
            </w:r>
          </w:p>
        </w:tc>
        <w:tc>
          <w:tcPr>
            <w:tcW w:w="7408" w:type="dxa"/>
            <w:gridSpan w:val="7"/>
            <w:tcBorders>
              <w:top w:val="single" w:color="000000" w:sz="4" w:space="0"/>
              <w:left w:val="single" w:color="000000" w:sz="4" w:space="0"/>
              <w:bottom w:val="single" w:color="000000" w:sz="4" w:space="0"/>
              <w:right w:val="single" w:color="000000" w:sz="4" w:space="0"/>
            </w:tcBorders>
            <w:noWrap w:val="0"/>
            <w:vAlign w:val="top"/>
          </w:tcPr>
          <w:p w14:paraId="35EC5DB7">
            <w:pPr>
              <w:pStyle w:val="54"/>
              <w:kinsoku w:val="0"/>
              <w:overflowPunct w:val="0"/>
              <w:spacing w:before="144"/>
              <w:rPr>
                <w:rFonts w:hint="eastAsia" w:ascii="宋体" w:hAnsi="宋体" w:eastAsia="宋体" w:cs="宋体"/>
                <w:color w:val="auto"/>
                <w:sz w:val="21"/>
                <w:szCs w:val="21"/>
              </w:rPr>
            </w:pPr>
          </w:p>
        </w:tc>
      </w:tr>
      <w:tr w14:paraId="7BA5DD2F">
        <w:tblPrEx>
          <w:tblCellMar>
            <w:top w:w="0" w:type="dxa"/>
            <w:left w:w="0" w:type="dxa"/>
            <w:bottom w:w="0" w:type="dxa"/>
            <w:right w:w="0" w:type="dxa"/>
          </w:tblCellMar>
        </w:tblPrEx>
        <w:trPr>
          <w:trHeight w:val="2009" w:hRule="exact"/>
          <w:jc w:val="center"/>
        </w:trPr>
        <w:tc>
          <w:tcPr>
            <w:tcW w:w="1231" w:type="dxa"/>
            <w:tcBorders>
              <w:top w:val="single" w:color="000000" w:sz="4" w:space="0"/>
              <w:left w:val="single" w:color="000000" w:sz="4" w:space="0"/>
              <w:bottom w:val="single" w:color="000000" w:sz="4" w:space="0"/>
              <w:right w:val="single" w:color="000000" w:sz="4" w:space="0"/>
            </w:tcBorders>
            <w:noWrap w:val="0"/>
            <w:vAlign w:val="top"/>
          </w:tcPr>
          <w:p w14:paraId="0EB9911D">
            <w:pPr>
              <w:pStyle w:val="54"/>
              <w:kinsoku w:val="0"/>
              <w:overflowPunct w:val="0"/>
              <w:spacing w:line="237" w:lineRule="auto"/>
              <w:ind w:left="497" w:right="493"/>
              <w:jc w:val="both"/>
              <w:rPr>
                <w:rFonts w:hint="eastAsia" w:ascii="宋体" w:hAnsi="宋体" w:eastAsia="宋体" w:cs="宋体"/>
                <w:color w:val="auto"/>
                <w:sz w:val="21"/>
                <w:szCs w:val="21"/>
              </w:rPr>
            </w:pPr>
            <w:r>
              <w:rPr>
                <w:rFonts w:hint="eastAsia" w:ascii="宋体" w:hAnsi="宋体" w:eastAsia="宋体" w:cs="宋体"/>
                <w:color w:val="auto"/>
                <w:sz w:val="21"/>
                <w:szCs w:val="21"/>
              </w:rPr>
              <w:t>单 位 概 况</w:t>
            </w:r>
          </w:p>
        </w:tc>
        <w:tc>
          <w:tcPr>
            <w:tcW w:w="7408" w:type="dxa"/>
            <w:gridSpan w:val="7"/>
            <w:tcBorders>
              <w:top w:val="single" w:color="000000" w:sz="4" w:space="0"/>
              <w:left w:val="single" w:color="000000" w:sz="4" w:space="0"/>
              <w:bottom w:val="single" w:color="000000" w:sz="4" w:space="0"/>
              <w:right w:val="single" w:color="000000" w:sz="4" w:space="0"/>
            </w:tcBorders>
            <w:noWrap w:val="0"/>
            <w:vAlign w:val="top"/>
          </w:tcPr>
          <w:p w14:paraId="5AE1F32D">
            <w:pPr>
              <w:rPr>
                <w:rFonts w:hint="eastAsia" w:ascii="宋体" w:hAnsi="宋体" w:eastAsia="宋体" w:cs="宋体"/>
                <w:color w:val="auto"/>
                <w:sz w:val="21"/>
                <w:szCs w:val="21"/>
              </w:rPr>
            </w:pPr>
          </w:p>
        </w:tc>
      </w:tr>
    </w:tbl>
    <w:p w14:paraId="1CDCBE3C">
      <w:pPr>
        <w:pStyle w:val="80"/>
        <w:keepNext w:val="0"/>
        <w:keepLines w:val="0"/>
        <w:pageBreakBefore w:val="0"/>
        <w:widowControl w:val="0"/>
        <w:numPr>
          <w:ilvl w:val="0"/>
          <w:numId w:val="0"/>
        </w:numPr>
        <w:shd w:val="clear" w:color="auto" w:fill="auto"/>
        <w:wordWrap/>
        <w:topLinePunct w:val="0"/>
        <w:autoSpaceDE/>
        <w:autoSpaceDN/>
        <w:bidi w:val="0"/>
        <w:adjustRightInd/>
        <w:snapToGrid/>
        <w:spacing w:before="0" w:after="0" w:line="440" w:lineRule="exact"/>
        <w:ind w:leftChars="0" w:right="0" w:rightChars="0"/>
        <w:jc w:val="both"/>
        <w:textAlignment w:val="auto"/>
        <w:rPr>
          <w:rFonts w:hint="eastAsia" w:ascii="仿宋" w:hAnsi="仿宋" w:eastAsia="仿宋" w:cs="仿宋"/>
          <w:color w:val="auto"/>
          <w:sz w:val="24"/>
          <w:szCs w:val="24"/>
          <w:lang w:val="en-US" w:eastAsia="zh-CN"/>
        </w:rPr>
      </w:pPr>
    </w:p>
    <w:p w14:paraId="1FB53058">
      <w:pPr>
        <w:pStyle w:val="80"/>
        <w:keepNext w:val="0"/>
        <w:keepLines w:val="0"/>
        <w:pageBreakBefore w:val="0"/>
        <w:widowControl w:val="0"/>
        <w:numPr>
          <w:ilvl w:val="0"/>
          <w:numId w:val="0"/>
        </w:numPr>
        <w:shd w:val="clear" w:color="auto" w:fill="auto"/>
        <w:wordWrap/>
        <w:topLinePunct w:val="0"/>
        <w:autoSpaceDE/>
        <w:autoSpaceDN/>
        <w:bidi w:val="0"/>
        <w:adjustRightInd/>
        <w:snapToGrid/>
        <w:spacing w:before="0" w:after="0" w:line="440" w:lineRule="exact"/>
        <w:ind w:leftChars="0" w:right="0" w:rightChars="0"/>
        <w:jc w:val="both"/>
        <w:textAlignment w:val="auto"/>
        <w:rPr>
          <w:rFonts w:hint="eastAsia" w:ascii="仿宋" w:hAnsi="仿宋" w:eastAsia="仿宋" w:cs="仿宋"/>
          <w:color w:val="auto"/>
          <w:sz w:val="24"/>
          <w:szCs w:val="24"/>
          <w:lang w:val="en-US" w:eastAsia="zh-CN"/>
        </w:rPr>
      </w:pPr>
    </w:p>
    <w:p w14:paraId="5DA3B372">
      <w:pPr>
        <w:pStyle w:val="80"/>
        <w:keepNext w:val="0"/>
        <w:keepLines w:val="0"/>
        <w:pageBreakBefore w:val="0"/>
        <w:widowControl w:val="0"/>
        <w:numPr>
          <w:ilvl w:val="0"/>
          <w:numId w:val="0"/>
        </w:numPr>
        <w:shd w:val="clear" w:color="auto" w:fill="auto"/>
        <w:wordWrap/>
        <w:topLinePunct w:val="0"/>
        <w:autoSpaceDE/>
        <w:autoSpaceDN/>
        <w:bidi w:val="0"/>
        <w:adjustRightInd/>
        <w:snapToGrid/>
        <w:spacing w:before="0" w:after="0" w:line="440" w:lineRule="exact"/>
        <w:ind w:leftChars="0" w:right="0" w:rightChars="0"/>
        <w:jc w:val="both"/>
        <w:textAlignment w:val="auto"/>
        <w:rPr>
          <w:rFonts w:hint="eastAsia" w:ascii="仿宋" w:hAnsi="仿宋" w:eastAsia="仿宋" w:cs="仿宋"/>
          <w:color w:val="auto"/>
          <w:sz w:val="24"/>
          <w:szCs w:val="24"/>
          <w:lang w:val="en-US" w:eastAsia="zh-CN"/>
        </w:rPr>
      </w:pPr>
    </w:p>
    <w:p w14:paraId="16B95C49">
      <w:pPr>
        <w:pStyle w:val="80"/>
        <w:keepNext w:val="0"/>
        <w:keepLines w:val="0"/>
        <w:pageBreakBefore w:val="0"/>
        <w:widowControl w:val="0"/>
        <w:numPr>
          <w:ilvl w:val="0"/>
          <w:numId w:val="0"/>
        </w:numPr>
        <w:shd w:val="clear" w:color="auto" w:fill="auto"/>
        <w:wordWrap/>
        <w:topLinePunct w:val="0"/>
        <w:autoSpaceDE/>
        <w:autoSpaceDN/>
        <w:bidi w:val="0"/>
        <w:adjustRightInd/>
        <w:snapToGrid/>
        <w:spacing w:before="0" w:after="0" w:line="440" w:lineRule="exact"/>
        <w:ind w:leftChars="0" w:right="0" w:rightChars="0"/>
        <w:jc w:val="both"/>
        <w:textAlignment w:val="auto"/>
        <w:rPr>
          <w:rFonts w:hint="eastAsia" w:ascii="仿宋" w:hAnsi="仿宋" w:eastAsia="仿宋" w:cs="仿宋"/>
          <w:color w:val="auto"/>
          <w:sz w:val="24"/>
          <w:szCs w:val="24"/>
          <w:lang w:val="en-US" w:eastAsia="zh-CN"/>
        </w:rPr>
      </w:pPr>
    </w:p>
    <w:p w14:paraId="6E5349E3">
      <w:pPr>
        <w:pStyle w:val="80"/>
        <w:keepNext w:val="0"/>
        <w:keepLines w:val="0"/>
        <w:pageBreakBefore w:val="0"/>
        <w:widowControl w:val="0"/>
        <w:numPr>
          <w:ilvl w:val="0"/>
          <w:numId w:val="0"/>
        </w:numPr>
        <w:shd w:val="clear" w:color="auto" w:fill="auto"/>
        <w:wordWrap/>
        <w:topLinePunct w:val="0"/>
        <w:autoSpaceDE/>
        <w:autoSpaceDN/>
        <w:bidi w:val="0"/>
        <w:adjustRightInd/>
        <w:snapToGrid/>
        <w:spacing w:before="0" w:after="0" w:line="440" w:lineRule="exact"/>
        <w:ind w:leftChars="0" w:right="0" w:rightChars="0"/>
        <w:jc w:val="both"/>
        <w:textAlignment w:val="auto"/>
        <w:rPr>
          <w:rFonts w:hint="eastAsia" w:ascii="仿宋" w:hAnsi="仿宋" w:eastAsia="仿宋" w:cs="仿宋"/>
          <w:color w:val="auto"/>
          <w:sz w:val="24"/>
          <w:szCs w:val="24"/>
          <w:lang w:val="en-US" w:eastAsia="zh-CN"/>
        </w:rPr>
      </w:pPr>
    </w:p>
    <w:p w14:paraId="6E77D3B9">
      <w:pPr>
        <w:pStyle w:val="80"/>
        <w:keepNext w:val="0"/>
        <w:keepLines w:val="0"/>
        <w:pageBreakBefore w:val="0"/>
        <w:widowControl w:val="0"/>
        <w:numPr>
          <w:ilvl w:val="0"/>
          <w:numId w:val="0"/>
        </w:numPr>
        <w:shd w:val="clear" w:color="auto" w:fill="auto"/>
        <w:wordWrap/>
        <w:topLinePunct w:val="0"/>
        <w:autoSpaceDE/>
        <w:autoSpaceDN/>
        <w:bidi w:val="0"/>
        <w:adjustRightInd/>
        <w:snapToGrid/>
        <w:spacing w:before="0" w:after="0" w:line="440" w:lineRule="exact"/>
        <w:ind w:leftChars="0" w:right="0" w:rightChars="0"/>
        <w:jc w:val="both"/>
        <w:textAlignment w:val="auto"/>
        <w:rPr>
          <w:rFonts w:hint="eastAsia" w:ascii="仿宋" w:hAnsi="仿宋" w:eastAsia="仿宋" w:cs="仿宋"/>
          <w:color w:val="auto"/>
          <w:sz w:val="24"/>
          <w:szCs w:val="24"/>
          <w:lang w:val="en-US" w:eastAsia="zh-CN"/>
        </w:rPr>
      </w:pPr>
    </w:p>
    <w:p w14:paraId="4AAC81A4">
      <w:pPr>
        <w:pStyle w:val="80"/>
        <w:keepNext w:val="0"/>
        <w:keepLines w:val="0"/>
        <w:pageBreakBefore w:val="0"/>
        <w:widowControl w:val="0"/>
        <w:numPr>
          <w:ilvl w:val="0"/>
          <w:numId w:val="0"/>
        </w:numPr>
        <w:shd w:val="clear" w:color="auto" w:fill="auto"/>
        <w:wordWrap/>
        <w:topLinePunct w:val="0"/>
        <w:autoSpaceDE/>
        <w:autoSpaceDN/>
        <w:bidi w:val="0"/>
        <w:adjustRightInd/>
        <w:snapToGrid/>
        <w:spacing w:before="0" w:after="0" w:line="440" w:lineRule="exact"/>
        <w:ind w:leftChars="0" w:right="0" w:rightChars="0"/>
        <w:jc w:val="both"/>
        <w:textAlignment w:val="auto"/>
        <w:rPr>
          <w:rFonts w:hint="eastAsia" w:ascii="仿宋" w:hAnsi="仿宋" w:eastAsia="仿宋" w:cs="仿宋"/>
          <w:color w:val="auto"/>
          <w:sz w:val="24"/>
          <w:szCs w:val="24"/>
          <w:lang w:val="en-US" w:eastAsia="zh-CN"/>
        </w:rPr>
      </w:pPr>
    </w:p>
    <w:p w14:paraId="4726617F">
      <w:pPr>
        <w:pStyle w:val="80"/>
        <w:keepNext w:val="0"/>
        <w:keepLines w:val="0"/>
        <w:pageBreakBefore w:val="0"/>
        <w:widowControl w:val="0"/>
        <w:numPr>
          <w:ilvl w:val="0"/>
          <w:numId w:val="0"/>
        </w:numPr>
        <w:shd w:val="clear" w:color="auto" w:fill="auto"/>
        <w:wordWrap/>
        <w:topLinePunct w:val="0"/>
        <w:autoSpaceDE/>
        <w:autoSpaceDN/>
        <w:bidi w:val="0"/>
        <w:adjustRightInd/>
        <w:snapToGrid/>
        <w:spacing w:before="0" w:after="0" w:line="440" w:lineRule="exact"/>
        <w:ind w:leftChars="0" w:right="0" w:rightChars="0"/>
        <w:jc w:val="both"/>
        <w:textAlignment w:val="auto"/>
        <w:rPr>
          <w:rFonts w:hint="eastAsia" w:ascii="仿宋" w:hAnsi="仿宋" w:eastAsia="仿宋" w:cs="仿宋"/>
          <w:b/>
          <w:color w:val="auto"/>
          <w:sz w:val="30"/>
          <w:szCs w:val="30"/>
        </w:rPr>
      </w:pPr>
    </w:p>
    <w:p w14:paraId="06BFB944">
      <w:pPr>
        <w:pStyle w:val="10"/>
        <w:numPr>
          <w:ilvl w:val="0"/>
          <w:numId w:val="0"/>
        </w:numPr>
        <w:kinsoku w:val="0"/>
        <w:overflowPunct w:val="0"/>
        <w:spacing w:before="34" w:line="357" w:lineRule="auto"/>
        <w:ind w:left="480" w:leftChars="0" w:right="126" w:rightChars="0"/>
        <w:jc w:val="center"/>
        <w:rPr>
          <w:rFonts w:hint="eastAsia" w:ascii="宋体" w:hAnsi="宋体" w:eastAsia="宋体" w:cs="宋体"/>
          <w:b w:val="0"/>
          <w:bCs/>
          <w:color w:val="auto"/>
          <w:kern w:val="0"/>
          <w:sz w:val="24"/>
          <w:szCs w:val="24"/>
          <w:lang w:val="en-US" w:eastAsia="zh-CN"/>
        </w:rPr>
      </w:pPr>
    </w:p>
    <w:p w14:paraId="4EE6C2EB">
      <w:pPr>
        <w:pStyle w:val="10"/>
        <w:numPr>
          <w:ilvl w:val="0"/>
          <w:numId w:val="0"/>
        </w:numPr>
        <w:kinsoku w:val="0"/>
        <w:overflowPunct w:val="0"/>
        <w:spacing w:before="34" w:line="357" w:lineRule="auto"/>
        <w:ind w:left="480" w:leftChars="0" w:right="126" w:rightChars="0"/>
        <w:jc w:val="center"/>
        <w:rPr>
          <w:rFonts w:hint="eastAsia" w:ascii="宋体" w:hAnsi="宋体" w:eastAsia="宋体" w:cs="宋体"/>
          <w:b/>
          <w:bCs/>
          <w:color w:val="auto"/>
          <w:w w:val="90"/>
          <w:sz w:val="24"/>
          <w:szCs w:val="24"/>
          <w:lang w:eastAsia="zh-CN"/>
        </w:rPr>
      </w:pPr>
      <w:r>
        <w:rPr>
          <w:rFonts w:hint="eastAsia" w:ascii="宋体" w:hAnsi="宋体" w:eastAsia="宋体" w:cs="宋体"/>
          <w:b w:val="0"/>
          <w:bCs/>
          <w:color w:val="auto"/>
          <w:kern w:val="0"/>
          <w:sz w:val="24"/>
          <w:szCs w:val="24"/>
          <w:lang w:val="en-US" w:eastAsia="zh-CN"/>
        </w:rPr>
        <w:t>7、</w:t>
      </w:r>
      <w:r>
        <w:rPr>
          <w:rFonts w:hint="eastAsia" w:ascii="宋体" w:hAnsi="宋体" w:cs="宋体"/>
          <w:b/>
          <w:bCs/>
          <w:color w:val="auto"/>
          <w:w w:val="90"/>
          <w:sz w:val="24"/>
          <w:szCs w:val="24"/>
          <w:lang w:eastAsia="zh-CN"/>
        </w:rPr>
        <w:t>近三年（2022年1月1日至今）</w:t>
      </w:r>
      <w:r>
        <w:rPr>
          <w:rFonts w:hint="eastAsia" w:ascii="宋体" w:hAnsi="宋体" w:eastAsia="宋体" w:cs="宋体"/>
          <w:b/>
          <w:bCs/>
          <w:color w:val="auto"/>
          <w:w w:val="90"/>
          <w:sz w:val="24"/>
          <w:szCs w:val="24"/>
        </w:rPr>
        <w:t>类似项目业绩</w:t>
      </w:r>
      <w:r>
        <w:rPr>
          <w:rFonts w:hint="eastAsia" w:ascii="宋体" w:hAnsi="宋体" w:eastAsia="宋体" w:cs="宋体"/>
          <w:b/>
          <w:bCs/>
          <w:color w:val="auto"/>
          <w:w w:val="90"/>
          <w:sz w:val="24"/>
          <w:szCs w:val="24"/>
          <w:lang w:eastAsia="zh-CN"/>
        </w:rPr>
        <w:t>表</w:t>
      </w:r>
    </w:p>
    <w:p w14:paraId="0C1174DD">
      <w:pPr>
        <w:pStyle w:val="10"/>
        <w:numPr>
          <w:ilvl w:val="0"/>
          <w:numId w:val="0"/>
        </w:numPr>
        <w:kinsoku w:val="0"/>
        <w:overflowPunct w:val="0"/>
        <w:ind w:leftChars="0" w:right="0" w:rightChars="0"/>
        <w:rPr>
          <w:rFonts w:hint="eastAsia" w:ascii="仿宋" w:hAnsi="仿宋" w:eastAsia="仿宋" w:cs="仿宋"/>
          <w:b/>
          <w:bCs/>
          <w:color w:val="auto"/>
          <w:sz w:val="20"/>
          <w:szCs w:val="20"/>
        </w:rPr>
      </w:pPr>
    </w:p>
    <w:tbl>
      <w:tblPr>
        <w:tblStyle w:val="28"/>
        <w:tblW w:w="9115" w:type="dxa"/>
        <w:jc w:val="center"/>
        <w:tblLayout w:type="fixed"/>
        <w:tblCellMar>
          <w:top w:w="0" w:type="dxa"/>
          <w:left w:w="10" w:type="dxa"/>
          <w:bottom w:w="0" w:type="dxa"/>
          <w:right w:w="10" w:type="dxa"/>
        </w:tblCellMar>
      </w:tblPr>
      <w:tblGrid>
        <w:gridCol w:w="1919"/>
        <w:gridCol w:w="7196"/>
      </w:tblGrid>
      <w:tr w14:paraId="6ED7A031">
        <w:tblPrEx>
          <w:tblCellMar>
            <w:top w:w="0" w:type="dxa"/>
            <w:left w:w="10" w:type="dxa"/>
            <w:bottom w:w="0" w:type="dxa"/>
            <w:right w:w="10" w:type="dxa"/>
          </w:tblCellMar>
        </w:tblPrEx>
        <w:trPr>
          <w:trHeight w:val="511" w:hRule="exact"/>
          <w:jc w:val="center"/>
        </w:trPr>
        <w:tc>
          <w:tcPr>
            <w:tcW w:w="1919" w:type="dxa"/>
            <w:tcBorders>
              <w:top w:val="single" w:color="auto" w:sz="4" w:space="0"/>
              <w:left w:val="single" w:color="auto" w:sz="4" w:space="0"/>
            </w:tcBorders>
            <w:noWrap w:val="0"/>
            <w:vAlign w:val="center"/>
          </w:tcPr>
          <w:p w14:paraId="33BCD06F">
            <w:pPr>
              <w:pStyle w:val="81"/>
              <w:keepNext w:val="0"/>
              <w:keepLines w:val="0"/>
              <w:widowControl w:val="0"/>
              <w:shd w:val="clear" w:color="auto" w:fill="auto"/>
              <w:bidi w:val="0"/>
              <w:spacing w:before="0" w:after="0" w:line="240" w:lineRule="auto"/>
              <w:ind w:left="0" w:right="0" w:firstLine="0"/>
              <w:jc w:val="center"/>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项目名称</w:t>
            </w:r>
          </w:p>
        </w:tc>
        <w:tc>
          <w:tcPr>
            <w:tcW w:w="7196" w:type="dxa"/>
            <w:tcBorders>
              <w:top w:val="single" w:color="auto" w:sz="4" w:space="0"/>
              <w:left w:val="single" w:color="auto" w:sz="4" w:space="0"/>
              <w:right w:val="single" w:color="auto" w:sz="4" w:space="0"/>
            </w:tcBorders>
            <w:noWrap w:val="0"/>
            <w:vAlign w:val="top"/>
          </w:tcPr>
          <w:p w14:paraId="3905CD7D">
            <w:pPr>
              <w:widowControl w:val="0"/>
              <w:rPr>
                <w:rFonts w:hint="eastAsia" w:ascii="宋体" w:hAnsi="宋体" w:eastAsia="宋体" w:cs="宋体"/>
                <w:color w:val="auto"/>
                <w:sz w:val="21"/>
                <w:szCs w:val="21"/>
              </w:rPr>
            </w:pPr>
          </w:p>
        </w:tc>
      </w:tr>
      <w:tr w14:paraId="6519C905">
        <w:tblPrEx>
          <w:tblCellMar>
            <w:top w:w="0" w:type="dxa"/>
            <w:left w:w="10" w:type="dxa"/>
            <w:bottom w:w="0" w:type="dxa"/>
            <w:right w:w="10" w:type="dxa"/>
          </w:tblCellMar>
        </w:tblPrEx>
        <w:trPr>
          <w:trHeight w:val="518" w:hRule="exact"/>
          <w:jc w:val="center"/>
        </w:trPr>
        <w:tc>
          <w:tcPr>
            <w:tcW w:w="1919" w:type="dxa"/>
            <w:tcBorders>
              <w:top w:val="single" w:color="auto" w:sz="4" w:space="0"/>
              <w:left w:val="single" w:color="auto" w:sz="4" w:space="0"/>
            </w:tcBorders>
            <w:noWrap w:val="0"/>
            <w:vAlign w:val="center"/>
          </w:tcPr>
          <w:p w14:paraId="05B98806">
            <w:pPr>
              <w:pStyle w:val="81"/>
              <w:keepNext w:val="0"/>
              <w:keepLines w:val="0"/>
              <w:widowControl w:val="0"/>
              <w:shd w:val="clear" w:color="auto" w:fill="auto"/>
              <w:bidi w:val="0"/>
              <w:spacing w:before="120" w:after="0" w:line="240" w:lineRule="auto"/>
              <w:ind w:left="0" w:leftChars="0" w:right="0" w:firstLine="0" w:firstLineChars="0"/>
              <w:jc w:val="center"/>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项目单位名称</w:t>
            </w:r>
          </w:p>
        </w:tc>
        <w:tc>
          <w:tcPr>
            <w:tcW w:w="7196" w:type="dxa"/>
            <w:tcBorders>
              <w:top w:val="single" w:color="auto" w:sz="4" w:space="0"/>
              <w:left w:val="single" w:color="auto" w:sz="4" w:space="0"/>
              <w:right w:val="single" w:color="auto" w:sz="4" w:space="0"/>
            </w:tcBorders>
            <w:noWrap w:val="0"/>
            <w:vAlign w:val="top"/>
          </w:tcPr>
          <w:p w14:paraId="001855DC">
            <w:pPr>
              <w:widowControl w:val="0"/>
              <w:rPr>
                <w:rFonts w:hint="eastAsia" w:ascii="宋体" w:hAnsi="宋体" w:eastAsia="宋体" w:cs="宋体"/>
                <w:color w:val="auto"/>
                <w:sz w:val="21"/>
                <w:szCs w:val="21"/>
              </w:rPr>
            </w:pPr>
          </w:p>
        </w:tc>
      </w:tr>
      <w:tr w14:paraId="758EA95D">
        <w:tblPrEx>
          <w:tblCellMar>
            <w:top w:w="0" w:type="dxa"/>
            <w:left w:w="10" w:type="dxa"/>
            <w:bottom w:w="0" w:type="dxa"/>
            <w:right w:w="10" w:type="dxa"/>
          </w:tblCellMar>
        </w:tblPrEx>
        <w:trPr>
          <w:trHeight w:val="724" w:hRule="exact"/>
          <w:jc w:val="center"/>
        </w:trPr>
        <w:tc>
          <w:tcPr>
            <w:tcW w:w="1919" w:type="dxa"/>
            <w:tcBorders>
              <w:top w:val="single" w:color="auto" w:sz="4" w:space="0"/>
              <w:left w:val="single" w:color="auto" w:sz="4" w:space="0"/>
            </w:tcBorders>
            <w:noWrap w:val="0"/>
            <w:vAlign w:val="center"/>
          </w:tcPr>
          <w:p w14:paraId="68CFAD8A">
            <w:pPr>
              <w:pStyle w:val="81"/>
              <w:keepNext w:val="0"/>
              <w:keepLines w:val="0"/>
              <w:widowControl w:val="0"/>
              <w:shd w:val="clear" w:color="auto" w:fill="auto"/>
              <w:bidi w:val="0"/>
              <w:spacing w:before="0" w:after="0" w:line="320" w:lineRule="exact"/>
              <w:ind w:left="0" w:right="0" w:firstLine="0"/>
              <w:jc w:val="center"/>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项目单位联系姓名及联系方式</w:t>
            </w:r>
          </w:p>
        </w:tc>
        <w:tc>
          <w:tcPr>
            <w:tcW w:w="7196" w:type="dxa"/>
            <w:tcBorders>
              <w:top w:val="single" w:color="auto" w:sz="4" w:space="0"/>
              <w:left w:val="single" w:color="auto" w:sz="4" w:space="0"/>
              <w:right w:val="single" w:color="auto" w:sz="4" w:space="0"/>
            </w:tcBorders>
            <w:noWrap w:val="0"/>
            <w:vAlign w:val="top"/>
          </w:tcPr>
          <w:p w14:paraId="4CF479DB">
            <w:pPr>
              <w:widowControl w:val="0"/>
              <w:rPr>
                <w:rFonts w:hint="eastAsia" w:ascii="宋体" w:hAnsi="宋体" w:eastAsia="宋体" w:cs="宋体"/>
                <w:color w:val="auto"/>
                <w:sz w:val="21"/>
                <w:szCs w:val="21"/>
              </w:rPr>
            </w:pPr>
          </w:p>
        </w:tc>
      </w:tr>
      <w:tr w14:paraId="2C31FD8D">
        <w:tblPrEx>
          <w:tblCellMar>
            <w:top w:w="0" w:type="dxa"/>
            <w:left w:w="10" w:type="dxa"/>
            <w:bottom w:w="0" w:type="dxa"/>
            <w:right w:w="10" w:type="dxa"/>
          </w:tblCellMar>
        </w:tblPrEx>
        <w:trPr>
          <w:trHeight w:val="634" w:hRule="exact"/>
          <w:jc w:val="center"/>
        </w:trPr>
        <w:tc>
          <w:tcPr>
            <w:tcW w:w="1919" w:type="dxa"/>
            <w:tcBorders>
              <w:top w:val="single" w:color="auto" w:sz="4" w:space="0"/>
              <w:left w:val="single" w:color="auto" w:sz="4" w:space="0"/>
            </w:tcBorders>
            <w:noWrap w:val="0"/>
            <w:vAlign w:val="center"/>
          </w:tcPr>
          <w:p w14:paraId="1B240A6A">
            <w:pPr>
              <w:pStyle w:val="81"/>
              <w:keepNext w:val="0"/>
              <w:keepLines w:val="0"/>
              <w:widowControl w:val="0"/>
              <w:shd w:val="clear" w:color="auto" w:fill="auto"/>
              <w:bidi w:val="0"/>
              <w:spacing w:before="0" w:after="0" w:line="240" w:lineRule="auto"/>
              <w:ind w:left="0" w:right="0" w:firstLine="0"/>
              <w:jc w:val="center"/>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合同金额</w:t>
            </w:r>
          </w:p>
        </w:tc>
        <w:tc>
          <w:tcPr>
            <w:tcW w:w="7196" w:type="dxa"/>
            <w:tcBorders>
              <w:top w:val="single" w:color="auto" w:sz="4" w:space="0"/>
              <w:left w:val="single" w:color="auto" w:sz="4" w:space="0"/>
              <w:right w:val="single" w:color="auto" w:sz="4" w:space="0"/>
            </w:tcBorders>
            <w:noWrap w:val="0"/>
            <w:vAlign w:val="top"/>
          </w:tcPr>
          <w:p w14:paraId="0D2D0302">
            <w:pPr>
              <w:widowControl w:val="0"/>
              <w:rPr>
                <w:rFonts w:hint="eastAsia" w:ascii="宋体" w:hAnsi="宋体" w:eastAsia="宋体" w:cs="宋体"/>
                <w:color w:val="auto"/>
                <w:sz w:val="21"/>
                <w:szCs w:val="21"/>
              </w:rPr>
            </w:pPr>
          </w:p>
        </w:tc>
      </w:tr>
      <w:tr w14:paraId="4C595069">
        <w:tblPrEx>
          <w:tblCellMar>
            <w:top w:w="0" w:type="dxa"/>
            <w:left w:w="10" w:type="dxa"/>
            <w:bottom w:w="0" w:type="dxa"/>
            <w:right w:w="10" w:type="dxa"/>
          </w:tblCellMar>
        </w:tblPrEx>
        <w:trPr>
          <w:trHeight w:val="637" w:hRule="exact"/>
          <w:jc w:val="center"/>
        </w:trPr>
        <w:tc>
          <w:tcPr>
            <w:tcW w:w="1919" w:type="dxa"/>
            <w:tcBorders>
              <w:top w:val="single" w:color="auto" w:sz="4" w:space="0"/>
              <w:left w:val="single" w:color="auto" w:sz="4" w:space="0"/>
            </w:tcBorders>
            <w:noWrap w:val="0"/>
            <w:vAlign w:val="center"/>
          </w:tcPr>
          <w:p w14:paraId="120FF2C0">
            <w:pPr>
              <w:pStyle w:val="81"/>
              <w:keepNext w:val="0"/>
              <w:keepLines w:val="0"/>
              <w:widowControl w:val="0"/>
              <w:shd w:val="clear" w:color="auto" w:fill="auto"/>
              <w:bidi w:val="0"/>
              <w:spacing w:before="0" w:after="0" w:line="306" w:lineRule="exact"/>
              <w:ind w:left="0" w:right="0" w:firstLine="0"/>
              <w:jc w:val="center"/>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项目负责人姓名</w:t>
            </w:r>
          </w:p>
        </w:tc>
        <w:tc>
          <w:tcPr>
            <w:tcW w:w="7196" w:type="dxa"/>
            <w:tcBorders>
              <w:top w:val="single" w:color="auto" w:sz="4" w:space="0"/>
              <w:left w:val="single" w:color="auto" w:sz="4" w:space="0"/>
              <w:right w:val="single" w:color="auto" w:sz="4" w:space="0"/>
            </w:tcBorders>
            <w:noWrap w:val="0"/>
            <w:vAlign w:val="top"/>
          </w:tcPr>
          <w:p w14:paraId="2333B80A">
            <w:pPr>
              <w:widowControl w:val="0"/>
              <w:rPr>
                <w:rFonts w:hint="eastAsia" w:ascii="宋体" w:hAnsi="宋体" w:eastAsia="宋体" w:cs="宋体"/>
                <w:color w:val="auto"/>
                <w:sz w:val="21"/>
                <w:szCs w:val="21"/>
              </w:rPr>
            </w:pPr>
          </w:p>
        </w:tc>
      </w:tr>
      <w:tr w14:paraId="7D980F36">
        <w:tblPrEx>
          <w:tblCellMar>
            <w:top w:w="0" w:type="dxa"/>
            <w:left w:w="10" w:type="dxa"/>
            <w:bottom w:w="0" w:type="dxa"/>
            <w:right w:w="10" w:type="dxa"/>
          </w:tblCellMar>
        </w:tblPrEx>
        <w:trPr>
          <w:trHeight w:val="482" w:hRule="exact"/>
          <w:jc w:val="center"/>
        </w:trPr>
        <w:tc>
          <w:tcPr>
            <w:tcW w:w="1919" w:type="dxa"/>
            <w:tcBorders>
              <w:top w:val="single" w:color="auto" w:sz="4" w:space="0"/>
              <w:left w:val="single" w:color="auto" w:sz="4" w:space="0"/>
            </w:tcBorders>
            <w:noWrap w:val="0"/>
            <w:vAlign w:val="center"/>
          </w:tcPr>
          <w:p w14:paraId="6D4BD29C">
            <w:pPr>
              <w:pStyle w:val="81"/>
              <w:keepNext w:val="0"/>
              <w:keepLines w:val="0"/>
              <w:widowControl w:val="0"/>
              <w:shd w:val="clear" w:color="auto" w:fill="auto"/>
              <w:bidi w:val="0"/>
              <w:spacing w:before="120" w:after="0" w:line="240" w:lineRule="auto"/>
              <w:ind w:left="0" w:leftChars="0" w:right="0" w:firstLine="0" w:firstLineChars="0"/>
              <w:jc w:val="center"/>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项目实施时间</w:t>
            </w:r>
          </w:p>
        </w:tc>
        <w:tc>
          <w:tcPr>
            <w:tcW w:w="7196" w:type="dxa"/>
            <w:tcBorders>
              <w:top w:val="single" w:color="auto" w:sz="4" w:space="0"/>
              <w:left w:val="single" w:color="auto" w:sz="4" w:space="0"/>
              <w:right w:val="single" w:color="auto" w:sz="4" w:space="0"/>
            </w:tcBorders>
            <w:noWrap w:val="0"/>
            <w:vAlign w:val="top"/>
          </w:tcPr>
          <w:p w14:paraId="1C0B18DD">
            <w:pPr>
              <w:widowControl w:val="0"/>
              <w:rPr>
                <w:rFonts w:hint="eastAsia" w:ascii="宋体" w:hAnsi="宋体" w:eastAsia="宋体" w:cs="宋体"/>
                <w:color w:val="auto"/>
                <w:sz w:val="21"/>
                <w:szCs w:val="21"/>
              </w:rPr>
            </w:pPr>
          </w:p>
        </w:tc>
      </w:tr>
      <w:tr w14:paraId="37AADABE">
        <w:tblPrEx>
          <w:tblCellMar>
            <w:top w:w="0" w:type="dxa"/>
            <w:left w:w="10" w:type="dxa"/>
            <w:bottom w:w="0" w:type="dxa"/>
            <w:right w:w="10" w:type="dxa"/>
          </w:tblCellMar>
        </w:tblPrEx>
        <w:trPr>
          <w:trHeight w:val="1699" w:hRule="exact"/>
          <w:jc w:val="center"/>
        </w:trPr>
        <w:tc>
          <w:tcPr>
            <w:tcW w:w="1919" w:type="dxa"/>
            <w:tcBorders>
              <w:top w:val="single" w:color="auto" w:sz="4" w:space="0"/>
              <w:left w:val="single" w:color="auto" w:sz="4" w:space="0"/>
              <w:bottom w:val="single" w:color="auto" w:sz="4" w:space="0"/>
            </w:tcBorders>
            <w:noWrap w:val="0"/>
            <w:vAlign w:val="center"/>
          </w:tcPr>
          <w:p w14:paraId="7B87CB53">
            <w:pPr>
              <w:pStyle w:val="81"/>
              <w:keepNext w:val="0"/>
              <w:keepLines w:val="0"/>
              <w:widowControl w:val="0"/>
              <w:shd w:val="clear" w:color="auto" w:fill="auto"/>
              <w:bidi w:val="0"/>
              <w:spacing w:before="0" w:after="0" w:line="240" w:lineRule="auto"/>
              <w:ind w:left="0" w:leftChars="0" w:right="0" w:firstLine="0" w:firstLineChars="0"/>
              <w:jc w:val="center"/>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项目内容说明</w:t>
            </w:r>
          </w:p>
        </w:tc>
        <w:tc>
          <w:tcPr>
            <w:tcW w:w="7196" w:type="dxa"/>
            <w:tcBorders>
              <w:top w:val="single" w:color="auto" w:sz="4" w:space="0"/>
              <w:left w:val="single" w:color="auto" w:sz="4" w:space="0"/>
              <w:bottom w:val="single" w:color="auto" w:sz="4" w:space="0"/>
              <w:right w:val="single" w:color="auto" w:sz="4" w:space="0"/>
            </w:tcBorders>
            <w:noWrap w:val="0"/>
            <w:vAlign w:val="top"/>
          </w:tcPr>
          <w:p w14:paraId="04B62064">
            <w:pPr>
              <w:widowControl w:val="0"/>
              <w:rPr>
                <w:rFonts w:hint="eastAsia" w:ascii="宋体" w:hAnsi="宋体" w:eastAsia="宋体" w:cs="宋体"/>
                <w:color w:val="auto"/>
                <w:sz w:val="21"/>
                <w:szCs w:val="21"/>
              </w:rPr>
            </w:pPr>
          </w:p>
        </w:tc>
      </w:tr>
    </w:tbl>
    <w:p w14:paraId="6E34B27F">
      <w:pPr>
        <w:rPr>
          <w:rFonts w:hint="eastAsia" w:ascii="仿宋" w:hAnsi="仿宋" w:eastAsia="仿宋" w:cs="仿宋"/>
          <w:color w:val="auto"/>
          <w:spacing w:val="-1"/>
          <w:kern w:val="0"/>
          <w:sz w:val="24"/>
        </w:rPr>
      </w:pPr>
    </w:p>
    <w:p w14:paraId="10FA78A3">
      <w:pPr>
        <w:rPr>
          <w:rFonts w:hint="eastAsia" w:ascii="宋体" w:hAnsi="宋体" w:eastAsia="宋体" w:cs="宋体"/>
          <w:color w:val="auto"/>
          <w:spacing w:val="-1"/>
          <w:kern w:val="0"/>
          <w:sz w:val="21"/>
          <w:szCs w:val="21"/>
        </w:rPr>
      </w:pPr>
      <w:r>
        <w:rPr>
          <w:rFonts w:hint="eastAsia" w:ascii="宋体" w:hAnsi="宋体" w:eastAsia="宋体" w:cs="宋体"/>
          <w:color w:val="auto"/>
          <w:spacing w:val="-1"/>
          <w:kern w:val="0"/>
          <w:sz w:val="21"/>
          <w:szCs w:val="21"/>
        </w:rPr>
        <w:t>注：每个</w:t>
      </w:r>
      <w:r>
        <w:rPr>
          <w:rFonts w:hint="eastAsia" w:ascii="宋体" w:hAnsi="宋体" w:eastAsia="宋体" w:cs="宋体"/>
          <w:color w:val="auto"/>
          <w:spacing w:val="-1"/>
          <w:kern w:val="0"/>
          <w:sz w:val="21"/>
          <w:szCs w:val="21"/>
          <w:lang w:eastAsia="zh-CN"/>
        </w:rPr>
        <w:t>业绩</w:t>
      </w:r>
      <w:r>
        <w:rPr>
          <w:rFonts w:hint="eastAsia" w:ascii="宋体" w:hAnsi="宋体" w:eastAsia="宋体" w:cs="宋体"/>
          <w:color w:val="auto"/>
          <w:spacing w:val="-1"/>
          <w:kern w:val="0"/>
          <w:sz w:val="21"/>
          <w:szCs w:val="21"/>
        </w:rPr>
        <w:t>须单独附表，并附上</w:t>
      </w:r>
      <w:r>
        <w:rPr>
          <w:rFonts w:hint="eastAsia" w:ascii="宋体" w:hAnsi="宋体" w:eastAsia="宋体" w:cs="宋体"/>
          <w:color w:val="auto"/>
          <w:spacing w:val="-1"/>
          <w:kern w:val="0"/>
          <w:sz w:val="21"/>
          <w:szCs w:val="21"/>
          <w:lang w:eastAsia="zh-CN"/>
        </w:rPr>
        <w:t>合同</w:t>
      </w:r>
      <w:r>
        <w:rPr>
          <w:rFonts w:hint="eastAsia" w:ascii="宋体" w:hAnsi="宋体" w:eastAsia="宋体" w:cs="宋体"/>
          <w:color w:val="auto"/>
          <w:spacing w:val="-1"/>
          <w:kern w:val="0"/>
          <w:sz w:val="21"/>
          <w:szCs w:val="21"/>
          <w:lang w:val="en-US" w:eastAsia="zh-CN"/>
        </w:rPr>
        <w:t>或</w:t>
      </w:r>
      <w:r>
        <w:rPr>
          <w:rFonts w:hint="eastAsia" w:ascii="宋体" w:hAnsi="宋体" w:eastAsia="宋体" w:cs="宋体"/>
          <w:color w:val="auto"/>
          <w:spacing w:val="-1"/>
          <w:kern w:val="0"/>
          <w:sz w:val="21"/>
          <w:szCs w:val="21"/>
          <w:lang w:eastAsia="zh-CN"/>
        </w:rPr>
        <w:t>中标通知书</w:t>
      </w:r>
      <w:r>
        <w:rPr>
          <w:rFonts w:hint="eastAsia" w:ascii="宋体" w:hAnsi="宋体" w:eastAsia="宋体" w:cs="宋体"/>
          <w:color w:val="auto"/>
          <w:spacing w:val="-1"/>
          <w:kern w:val="0"/>
          <w:sz w:val="21"/>
          <w:szCs w:val="21"/>
        </w:rPr>
        <w:t>相关证明材料，否则专家在评审时将不予采信。</w:t>
      </w:r>
    </w:p>
    <w:p w14:paraId="2D4652F8">
      <w:pPr>
        <w:pStyle w:val="10"/>
        <w:numPr>
          <w:ilvl w:val="0"/>
          <w:numId w:val="0"/>
        </w:numPr>
        <w:tabs>
          <w:tab w:val="left" w:pos="8227"/>
        </w:tabs>
        <w:kinsoku w:val="0"/>
        <w:overflowPunct w:val="0"/>
        <w:spacing w:line="381" w:lineRule="auto"/>
        <w:ind w:left="1680" w:leftChars="0" w:right="118" w:rightChars="0"/>
        <w:rPr>
          <w:rFonts w:hint="eastAsia" w:ascii="宋体" w:hAnsi="宋体" w:eastAsia="宋体" w:cs="宋体"/>
          <w:color w:val="auto"/>
          <w:sz w:val="21"/>
          <w:szCs w:val="21"/>
        </w:rPr>
      </w:pPr>
    </w:p>
    <w:p w14:paraId="36798604">
      <w:pPr>
        <w:pStyle w:val="10"/>
        <w:numPr>
          <w:ilvl w:val="0"/>
          <w:numId w:val="0"/>
        </w:numPr>
        <w:tabs>
          <w:tab w:val="left" w:pos="8227"/>
        </w:tabs>
        <w:kinsoku w:val="0"/>
        <w:overflowPunct w:val="0"/>
        <w:spacing w:line="381" w:lineRule="auto"/>
        <w:ind w:left="1680" w:leftChars="0" w:right="118" w:rightChars="0"/>
        <w:rPr>
          <w:rFonts w:hint="eastAsia" w:ascii="宋体" w:hAnsi="宋体" w:eastAsia="宋体" w:cs="宋体"/>
          <w:color w:val="auto"/>
          <w:sz w:val="21"/>
          <w:szCs w:val="21"/>
        </w:rPr>
      </w:pPr>
    </w:p>
    <w:p w14:paraId="7263D67D">
      <w:pPr>
        <w:pStyle w:val="10"/>
        <w:numPr>
          <w:ilvl w:val="0"/>
          <w:numId w:val="0"/>
        </w:numPr>
        <w:tabs>
          <w:tab w:val="left" w:pos="8227"/>
        </w:tabs>
        <w:kinsoku w:val="0"/>
        <w:overflowPunct w:val="0"/>
        <w:spacing w:line="381" w:lineRule="auto"/>
        <w:ind w:left="1680" w:leftChars="0" w:right="118" w:rightChars="0"/>
        <w:rPr>
          <w:rFonts w:hint="eastAsia" w:ascii="宋体" w:hAnsi="宋体" w:eastAsia="宋体" w:cs="宋体"/>
          <w:color w:val="auto"/>
          <w:sz w:val="21"/>
          <w:szCs w:val="21"/>
        </w:rPr>
      </w:pPr>
    </w:p>
    <w:p w14:paraId="20D4C5CB">
      <w:pPr>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投标人：</w:t>
      </w:r>
      <w:r>
        <w:rPr>
          <w:rFonts w:hint="eastAsia" w:ascii="宋体" w:hAnsi="宋体" w:eastAsia="宋体" w:cs="宋体"/>
          <w:color w:val="auto"/>
          <w:kern w:val="2"/>
          <w:sz w:val="21"/>
          <w:szCs w:val="21"/>
          <w:u w:val="single"/>
          <w:lang w:val="en-US" w:eastAsia="zh-CN" w:bidi="ar-SA"/>
        </w:rPr>
        <w:t xml:space="preserve">                                </w:t>
      </w:r>
      <w:r>
        <w:rPr>
          <w:rFonts w:hint="eastAsia" w:ascii="宋体" w:hAnsi="宋体" w:eastAsia="宋体" w:cs="宋体"/>
          <w:color w:val="auto"/>
          <w:kern w:val="2"/>
          <w:sz w:val="21"/>
          <w:szCs w:val="21"/>
          <w:lang w:val="en-US" w:eastAsia="zh-CN" w:bidi="ar-SA"/>
        </w:rPr>
        <w:t>（盖章）</w:t>
      </w:r>
    </w:p>
    <w:p w14:paraId="636355BE">
      <w:pPr>
        <w:pStyle w:val="10"/>
        <w:numPr>
          <w:ilvl w:val="0"/>
          <w:numId w:val="0"/>
        </w:numPr>
        <w:tabs>
          <w:tab w:val="left" w:pos="8227"/>
        </w:tabs>
        <w:kinsoku w:val="0"/>
        <w:overflowPunct w:val="0"/>
        <w:spacing w:line="381" w:lineRule="auto"/>
        <w:ind w:left="1680" w:leftChars="0" w:right="118" w:rightChars="0"/>
        <w:rPr>
          <w:rFonts w:hint="eastAsia" w:ascii="宋体" w:hAnsi="宋体" w:eastAsia="宋体" w:cs="宋体"/>
          <w:color w:val="auto"/>
          <w:w w:val="95"/>
          <w:sz w:val="21"/>
          <w:szCs w:val="21"/>
        </w:rPr>
      </w:pPr>
      <w:r>
        <w:rPr>
          <w:rFonts w:hint="eastAsia" w:ascii="宋体" w:hAnsi="宋体" w:eastAsia="宋体" w:cs="宋体"/>
          <w:color w:val="auto"/>
          <w:sz w:val="21"/>
          <w:szCs w:val="21"/>
        </w:rPr>
        <w:t>法定代表人或被授权人：</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kern w:val="2"/>
          <w:sz w:val="21"/>
          <w:szCs w:val="21"/>
          <w:lang w:val="en-US" w:eastAsia="zh-CN" w:bidi="ar-SA"/>
        </w:rPr>
        <w:t>(签字或盖章）</w:t>
      </w:r>
    </w:p>
    <w:p w14:paraId="28EF6381">
      <w:pPr>
        <w:pStyle w:val="10"/>
        <w:numPr>
          <w:ilvl w:val="0"/>
          <w:numId w:val="0"/>
        </w:numPr>
        <w:tabs>
          <w:tab w:val="left" w:pos="5551"/>
          <w:tab w:val="left" w:pos="6511"/>
          <w:tab w:val="left" w:pos="7111"/>
          <w:tab w:val="left" w:pos="7711"/>
        </w:tabs>
        <w:kinsoku w:val="0"/>
        <w:overflowPunct w:val="0"/>
        <w:spacing w:before="46"/>
        <w:ind w:right="0" w:rightChars="0" w:firstLine="3834" w:firstLineChars="1800"/>
        <w:rPr>
          <w:rFonts w:hint="eastAsia" w:ascii="宋体" w:hAnsi="宋体" w:eastAsia="宋体" w:cs="宋体"/>
          <w:color w:val="auto"/>
          <w:sz w:val="21"/>
          <w:szCs w:val="21"/>
        </w:rPr>
      </w:pPr>
      <w:r>
        <w:rPr>
          <w:rFonts w:hint="eastAsia" w:ascii="宋体" w:hAnsi="宋体" w:eastAsia="宋体" w:cs="宋体"/>
          <w:color w:val="auto"/>
          <w:sz w:val="21"/>
          <w:szCs w:val="21"/>
        </w:rPr>
        <w:t>日期：</w:t>
      </w:r>
      <w:r>
        <w:rPr>
          <w:rFonts w:hint="eastAsia" w:ascii="宋体" w:hAnsi="宋体" w:eastAsia="宋体" w:cs="宋体"/>
          <w:color w:val="auto"/>
          <w:sz w:val="21"/>
          <w:szCs w:val="21"/>
          <w:u w:val="single"/>
        </w:rPr>
        <w:tab/>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rPr>
        <w:t>年</w:t>
      </w:r>
      <w:r>
        <w:rPr>
          <w:rFonts w:hint="eastAsia" w:ascii="宋体" w:hAnsi="宋体" w:eastAsia="宋体" w:cs="宋体"/>
          <w:color w:val="auto"/>
          <w:sz w:val="21"/>
          <w:szCs w:val="21"/>
          <w:u w:val="single"/>
        </w:rPr>
        <w:tab/>
      </w:r>
      <w:r>
        <w:rPr>
          <w:rFonts w:hint="eastAsia" w:ascii="宋体" w:hAnsi="宋体" w:eastAsia="宋体" w:cs="宋体"/>
          <w:color w:val="auto"/>
          <w:sz w:val="21"/>
          <w:szCs w:val="21"/>
        </w:rPr>
        <w:t>月</w:t>
      </w:r>
      <w:r>
        <w:rPr>
          <w:rFonts w:hint="eastAsia" w:ascii="宋体" w:hAnsi="宋体" w:eastAsia="宋体" w:cs="宋体"/>
          <w:color w:val="auto"/>
          <w:sz w:val="21"/>
          <w:szCs w:val="21"/>
          <w:u w:val="single"/>
        </w:rPr>
        <w:tab/>
      </w:r>
      <w:r>
        <w:rPr>
          <w:rFonts w:hint="eastAsia" w:ascii="宋体" w:hAnsi="宋体" w:eastAsia="宋体" w:cs="宋体"/>
          <w:color w:val="auto"/>
          <w:sz w:val="21"/>
          <w:szCs w:val="21"/>
        </w:rPr>
        <w:t>日</w:t>
      </w:r>
    </w:p>
    <w:p w14:paraId="7301EFB5">
      <w:pPr>
        <w:pStyle w:val="5"/>
        <w:jc w:val="both"/>
        <w:rPr>
          <w:rFonts w:hint="eastAsia" w:ascii="宋体" w:hAnsi="宋体" w:eastAsia="宋体" w:cs="宋体"/>
          <w:b/>
          <w:bCs/>
          <w:color w:val="auto"/>
          <w:kern w:val="0"/>
          <w:sz w:val="24"/>
          <w:szCs w:val="20"/>
          <w:highlight w:val="none"/>
          <w:u w:val="none"/>
          <w:lang w:val="en-US" w:eastAsia="zh-CN" w:bidi="ar-SA"/>
        </w:rPr>
      </w:pPr>
    </w:p>
    <w:p w14:paraId="6F8A99CB">
      <w:pPr>
        <w:rPr>
          <w:rFonts w:hint="eastAsia" w:ascii="宋体" w:hAnsi="宋体" w:eastAsia="宋体" w:cs="宋体"/>
          <w:b/>
          <w:bCs/>
          <w:color w:val="auto"/>
          <w:kern w:val="0"/>
          <w:sz w:val="24"/>
          <w:szCs w:val="20"/>
          <w:highlight w:val="none"/>
          <w:u w:val="none"/>
          <w:lang w:val="en-US" w:eastAsia="zh-CN" w:bidi="ar-SA"/>
        </w:rPr>
      </w:pPr>
    </w:p>
    <w:p w14:paraId="216DEEB8">
      <w:pPr>
        <w:pStyle w:val="10"/>
        <w:rPr>
          <w:rFonts w:hint="eastAsia"/>
          <w:lang w:val="en-US" w:eastAsia="zh-CN"/>
        </w:rPr>
      </w:pPr>
    </w:p>
    <w:p w14:paraId="6EB69EC2">
      <w:pPr>
        <w:pStyle w:val="10"/>
        <w:rPr>
          <w:rFonts w:hint="eastAsia"/>
          <w:lang w:val="en-US" w:eastAsia="zh-CN"/>
        </w:rPr>
      </w:pPr>
    </w:p>
    <w:p w14:paraId="0B2D0607">
      <w:pPr>
        <w:pStyle w:val="5"/>
        <w:jc w:val="center"/>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kern w:val="0"/>
          <w:sz w:val="24"/>
          <w:szCs w:val="20"/>
          <w:highlight w:val="none"/>
          <w:u w:val="none"/>
          <w:lang w:val="en-US" w:eastAsia="zh-CN" w:bidi="ar-SA"/>
        </w:rPr>
        <w:t>8、中小企业声明函</w:t>
      </w:r>
      <w:r>
        <w:rPr>
          <w:rFonts w:hint="eastAsia" w:ascii="宋体" w:hAnsi="宋体" w:cs="宋体"/>
          <w:b/>
          <w:bCs/>
          <w:color w:val="auto"/>
          <w:kern w:val="0"/>
          <w:sz w:val="24"/>
          <w:szCs w:val="20"/>
          <w:highlight w:val="none"/>
          <w:u w:val="none"/>
          <w:lang w:val="en-US" w:eastAsia="zh-CN" w:bidi="ar-SA"/>
        </w:rPr>
        <w:t>（服务）</w:t>
      </w:r>
    </w:p>
    <w:bookmarkEnd w:id="135"/>
    <w:bookmarkEnd w:id="136"/>
    <w:bookmarkEnd w:id="137"/>
    <w:bookmarkEnd w:id="138"/>
    <w:p w14:paraId="767B0DC9">
      <w:pPr>
        <w:widowControl/>
        <w:kinsoku/>
        <w:topLinePunct w:val="0"/>
        <w:bidi w:val="0"/>
        <w:spacing w:before="100" w:beforeAutospacing="1" w:after="100" w:afterAutospacing="1" w:line="380" w:lineRule="exact"/>
        <w:ind w:firstLine="420"/>
        <w:jc w:val="left"/>
        <w:rPr>
          <w:rFonts w:hint="eastAsia" w:ascii="宋体" w:hAnsi="宋体" w:eastAsia="宋体" w:cs="宋体"/>
          <w:color w:val="auto"/>
          <w:kern w:val="2"/>
          <w:sz w:val="21"/>
          <w:szCs w:val="21"/>
          <w:u w:val="none" w:color="000000"/>
          <w:lang w:val="en-US" w:eastAsia="zh-CN" w:bidi="ar-SA"/>
        </w:rPr>
      </w:pPr>
      <w:r>
        <w:rPr>
          <w:rFonts w:hint="eastAsia" w:ascii="宋体" w:hAnsi="宋体" w:eastAsia="宋体" w:cs="宋体"/>
          <w:color w:val="auto"/>
          <w:kern w:val="2"/>
          <w:sz w:val="21"/>
          <w:szCs w:val="21"/>
          <w:u w:val="none" w:color="000000"/>
          <w:lang w:val="en-US" w:eastAsia="zh-CN" w:bidi="ar-SA"/>
        </w:rPr>
        <w:t>本公司郑重声明，根据《政府采购促进中小企业发展管理办法》（财库﹝2020﹞46 号）的规定，本公司参加</w:t>
      </w:r>
      <w:r>
        <w:rPr>
          <w:rFonts w:hint="eastAsia" w:ascii="宋体" w:hAnsi="宋体" w:eastAsia="宋体" w:cs="宋体"/>
          <w:color w:val="auto"/>
          <w:kern w:val="2"/>
          <w:sz w:val="21"/>
          <w:szCs w:val="21"/>
          <w:u w:val="single" w:color="auto"/>
          <w:lang w:val="en-US" w:eastAsia="zh-CN" w:bidi="ar-SA"/>
        </w:rPr>
        <w:t>（单位名称）</w:t>
      </w:r>
      <w:r>
        <w:rPr>
          <w:rFonts w:hint="eastAsia" w:ascii="宋体" w:hAnsi="宋体" w:eastAsia="宋体" w:cs="宋体"/>
          <w:color w:val="auto"/>
          <w:kern w:val="2"/>
          <w:sz w:val="21"/>
          <w:szCs w:val="21"/>
          <w:u w:val="none" w:color="000000"/>
          <w:lang w:val="en-US" w:eastAsia="zh-CN" w:bidi="ar-SA"/>
        </w:rPr>
        <w:t>的</w:t>
      </w:r>
      <w:r>
        <w:rPr>
          <w:rFonts w:hint="eastAsia" w:ascii="宋体" w:hAnsi="宋体" w:eastAsia="宋体" w:cs="宋体"/>
          <w:color w:val="auto"/>
          <w:kern w:val="2"/>
          <w:sz w:val="21"/>
          <w:szCs w:val="21"/>
          <w:u w:val="single" w:color="auto"/>
          <w:lang w:val="en-US" w:eastAsia="zh-CN" w:bidi="ar-SA"/>
        </w:rPr>
        <w:t>（项目名称）</w:t>
      </w:r>
      <w:r>
        <w:rPr>
          <w:rFonts w:hint="eastAsia" w:ascii="宋体" w:hAnsi="宋体" w:eastAsia="宋体" w:cs="宋体"/>
          <w:color w:val="auto"/>
          <w:kern w:val="2"/>
          <w:sz w:val="21"/>
          <w:szCs w:val="21"/>
          <w:u w:val="none" w:color="000000"/>
          <w:lang w:val="en-US" w:eastAsia="zh-CN" w:bidi="ar-SA"/>
        </w:rPr>
        <w:t>采购活动，</w:t>
      </w:r>
      <w:r>
        <w:rPr>
          <w:rFonts w:hint="eastAsia" w:ascii="宋体" w:hAnsi="宋体" w:cs="宋体"/>
          <w:color w:val="auto"/>
          <w:kern w:val="2"/>
          <w:sz w:val="21"/>
          <w:szCs w:val="21"/>
          <w:u w:val="none" w:color="000000"/>
          <w:lang w:val="en-US" w:eastAsia="zh-CN" w:bidi="ar-SA"/>
        </w:rPr>
        <w:t>服务</w:t>
      </w:r>
      <w:r>
        <w:rPr>
          <w:rFonts w:hint="eastAsia" w:ascii="宋体" w:hAnsi="宋体" w:eastAsia="宋体" w:cs="宋体"/>
          <w:color w:val="auto"/>
          <w:kern w:val="2"/>
          <w:sz w:val="21"/>
          <w:szCs w:val="21"/>
          <w:u w:val="none" w:color="000000"/>
          <w:lang w:val="en-US" w:eastAsia="zh-CN" w:bidi="ar-SA"/>
        </w:rPr>
        <w:t>全部由符合政策要求的中小企业</w:t>
      </w:r>
      <w:r>
        <w:rPr>
          <w:rFonts w:hint="eastAsia" w:ascii="宋体" w:hAnsi="宋体" w:cs="宋体"/>
          <w:color w:val="auto"/>
          <w:kern w:val="2"/>
          <w:sz w:val="21"/>
          <w:szCs w:val="21"/>
          <w:u w:val="none" w:color="000000"/>
          <w:lang w:val="en-US" w:eastAsia="zh-CN" w:bidi="ar-SA"/>
        </w:rPr>
        <w:t>承接</w:t>
      </w:r>
      <w:r>
        <w:rPr>
          <w:rFonts w:hint="eastAsia" w:ascii="宋体" w:hAnsi="宋体" w:eastAsia="宋体" w:cs="宋体"/>
          <w:color w:val="auto"/>
          <w:kern w:val="2"/>
          <w:sz w:val="21"/>
          <w:szCs w:val="21"/>
          <w:u w:val="none" w:color="000000"/>
          <w:lang w:val="en-US" w:eastAsia="zh-CN" w:bidi="ar-SA"/>
        </w:rPr>
        <w:t xml:space="preserve">。相关企业 （含联合体中的中小企业、签订分包意向协议的中小企业） 的具体情况如下： </w:t>
      </w:r>
    </w:p>
    <w:p w14:paraId="4B05DF9E">
      <w:pPr>
        <w:widowControl/>
        <w:kinsoku/>
        <w:topLinePunct w:val="0"/>
        <w:bidi w:val="0"/>
        <w:spacing w:before="100" w:beforeAutospacing="1" w:after="100" w:afterAutospacing="1" w:line="380" w:lineRule="exact"/>
        <w:ind w:firstLine="420"/>
        <w:jc w:val="left"/>
        <w:rPr>
          <w:rFonts w:hint="eastAsia" w:ascii="宋体" w:hAnsi="宋体" w:eastAsia="宋体" w:cs="宋体"/>
          <w:color w:val="auto"/>
          <w:kern w:val="2"/>
          <w:sz w:val="21"/>
          <w:szCs w:val="21"/>
          <w:u w:val="none" w:color="000000"/>
          <w:lang w:val="en-US" w:eastAsia="zh-CN" w:bidi="ar-SA"/>
        </w:rPr>
      </w:pPr>
      <w:r>
        <w:rPr>
          <w:rFonts w:hint="eastAsia" w:ascii="宋体" w:hAnsi="宋体" w:eastAsia="宋体" w:cs="宋体"/>
          <w:color w:val="auto"/>
          <w:kern w:val="2"/>
          <w:sz w:val="21"/>
          <w:szCs w:val="21"/>
          <w:u w:val="none" w:color="000000"/>
          <w:lang w:val="en-US" w:eastAsia="zh-CN" w:bidi="ar-SA"/>
        </w:rPr>
        <w:t xml:space="preserve">1. </w:t>
      </w:r>
      <w:r>
        <w:rPr>
          <w:rFonts w:hint="eastAsia" w:ascii="宋体" w:hAnsi="宋体" w:eastAsia="宋体" w:cs="宋体"/>
          <w:color w:val="auto"/>
          <w:kern w:val="2"/>
          <w:sz w:val="21"/>
          <w:szCs w:val="21"/>
          <w:u w:val="single" w:color="auto"/>
          <w:lang w:val="en-US" w:eastAsia="zh-CN" w:bidi="ar-SA"/>
        </w:rPr>
        <w:t>（标的名称）</w:t>
      </w:r>
      <w:r>
        <w:rPr>
          <w:rFonts w:hint="eastAsia" w:ascii="宋体" w:hAnsi="宋体" w:eastAsia="宋体" w:cs="宋体"/>
          <w:color w:val="auto"/>
          <w:kern w:val="2"/>
          <w:sz w:val="21"/>
          <w:szCs w:val="21"/>
          <w:u w:val="none" w:color="000000"/>
          <w:lang w:val="en-US" w:eastAsia="zh-CN" w:bidi="ar-SA"/>
        </w:rPr>
        <w:t xml:space="preserve"> ，属于（采购文件中明确的所属行业） 行业；</w:t>
      </w:r>
      <w:r>
        <w:rPr>
          <w:rFonts w:hint="eastAsia" w:ascii="宋体" w:hAnsi="宋体" w:cs="宋体"/>
          <w:color w:val="auto"/>
          <w:kern w:val="2"/>
          <w:sz w:val="21"/>
          <w:szCs w:val="21"/>
          <w:u w:val="none" w:color="000000"/>
          <w:lang w:val="en-US" w:eastAsia="zh-CN" w:bidi="ar-SA"/>
        </w:rPr>
        <w:t>承建（承接）企业为</w:t>
      </w:r>
      <w:r>
        <w:rPr>
          <w:rFonts w:hint="eastAsia" w:ascii="宋体" w:hAnsi="宋体" w:eastAsia="宋体" w:cs="宋体"/>
          <w:color w:val="auto"/>
          <w:kern w:val="2"/>
          <w:sz w:val="21"/>
          <w:szCs w:val="21"/>
          <w:u w:val="single" w:color="auto"/>
          <w:lang w:val="en-US" w:eastAsia="zh-CN" w:bidi="ar-SA"/>
        </w:rPr>
        <w:t>（企业名称）</w:t>
      </w:r>
      <w:r>
        <w:rPr>
          <w:rFonts w:hint="eastAsia" w:ascii="宋体" w:hAnsi="宋体" w:eastAsia="宋体" w:cs="宋体"/>
          <w:color w:val="auto"/>
          <w:kern w:val="2"/>
          <w:sz w:val="21"/>
          <w:szCs w:val="21"/>
          <w:u w:val="none" w:color="000000"/>
          <w:lang w:val="en-US" w:eastAsia="zh-CN" w:bidi="ar-SA"/>
        </w:rPr>
        <w:t>，从业人员</w:t>
      </w:r>
      <w:r>
        <w:rPr>
          <w:rFonts w:hint="eastAsia" w:ascii="宋体" w:hAnsi="宋体" w:eastAsia="宋体" w:cs="宋体"/>
          <w:color w:val="auto"/>
          <w:kern w:val="2"/>
          <w:sz w:val="21"/>
          <w:szCs w:val="21"/>
          <w:u w:val="single" w:color="auto"/>
          <w:lang w:val="en-US" w:eastAsia="zh-CN" w:bidi="ar-SA"/>
        </w:rPr>
        <w:t xml:space="preserve">     </w:t>
      </w:r>
      <w:r>
        <w:rPr>
          <w:rFonts w:hint="eastAsia" w:ascii="宋体" w:hAnsi="宋体" w:eastAsia="宋体" w:cs="宋体"/>
          <w:color w:val="auto"/>
          <w:kern w:val="2"/>
          <w:sz w:val="21"/>
          <w:szCs w:val="21"/>
          <w:u w:val="none" w:color="000000"/>
          <w:lang w:val="en-US" w:eastAsia="zh-CN" w:bidi="ar-SA"/>
        </w:rPr>
        <w:t xml:space="preserve">人，营业收 入为 </w:t>
      </w:r>
      <w:r>
        <w:rPr>
          <w:rFonts w:hint="eastAsia" w:ascii="宋体" w:hAnsi="宋体" w:eastAsia="宋体" w:cs="宋体"/>
          <w:color w:val="auto"/>
          <w:kern w:val="2"/>
          <w:sz w:val="21"/>
          <w:szCs w:val="21"/>
          <w:u w:val="single" w:color="auto"/>
          <w:lang w:val="en-US" w:eastAsia="zh-CN" w:bidi="ar-SA"/>
        </w:rPr>
        <w:t xml:space="preserve">  </w:t>
      </w:r>
      <w:r>
        <w:rPr>
          <w:rFonts w:hint="eastAsia" w:ascii="宋体" w:hAnsi="宋体" w:eastAsia="宋体" w:cs="宋体"/>
          <w:color w:val="auto"/>
          <w:kern w:val="2"/>
          <w:sz w:val="21"/>
          <w:szCs w:val="21"/>
          <w:u w:val="none" w:color="000000"/>
          <w:lang w:val="en-US" w:eastAsia="zh-CN" w:bidi="ar-SA"/>
        </w:rPr>
        <w:t xml:space="preserve">万元，资产总额为 </w:t>
      </w:r>
      <w:r>
        <w:rPr>
          <w:rFonts w:hint="eastAsia" w:ascii="宋体" w:hAnsi="宋体" w:eastAsia="宋体" w:cs="宋体"/>
          <w:color w:val="auto"/>
          <w:kern w:val="2"/>
          <w:sz w:val="21"/>
          <w:szCs w:val="21"/>
          <w:u w:val="single" w:color="auto"/>
          <w:lang w:val="en-US" w:eastAsia="zh-CN" w:bidi="ar-SA"/>
        </w:rPr>
        <w:t xml:space="preserve">  </w:t>
      </w:r>
      <w:r>
        <w:rPr>
          <w:rFonts w:hint="eastAsia" w:ascii="宋体" w:hAnsi="宋体" w:eastAsia="宋体" w:cs="宋体"/>
          <w:color w:val="auto"/>
          <w:kern w:val="2"/>
          <w:sz w:val="21"/>
          <w:szCs w:val="21"/>
          <w:u w:val="none" w:color="000000"/>
          <w:lang w:val="en-US" w:eastAsia="zh-CN" w:bidi="ar-SA"/>
        </w:rPr>
        <w:t>万元，属于</w:t>
      </w:r>
      <w:r>
        <w:rPr>
          <w:rFonts w:hint="eastAsia" w:ascii="宋体" w:hAnsi="宋体" w:cs="宋体"/>
          <w:color w:val="auto"/>
          <w:kern w:val="2"/>
          <w:sz w:val="21"/>
          <w:szCs w:val="21"/>
          <w:u w:val="single" w:color="auto"/>
          <w:lang w:val="en-US" w:eastAsia="zh-CN" w:bidi="ar-SA"/>
        </w:rPr>
        <w:t xml:space="preserve">     </w:t>
      </w:r>
      <w:r>
        <w:rPr>
          <w:rFonts w:hint="eastAsia" w:ascii="宋体" w:hAnsi="宋体" w:eastAsia="宋体" w:cs="宋体"/>
          <w:color w:val="auto"/>
          <w:kern w:val="2"/>
          <w:sz w:val="21"/>
          <w:szCs w:val="21"/>
          <w:u w:val="single" w:color="auto"/>
          <w:lang w:val="en-US" w:eastAsia="zh-CN" w:bidi="ar-SA"/>
        </w:rPr>
        <w:t>（中型企业、小 型企业、微型企业）</w:t>
      </w:r>
      <w:r>
        <w:rPr>
          <w:rFonts w:hint="eastAsia" w:ascii="宋体" w:hAnsi="宋体" w:eastAsia="宋体" w:cs="宋体"/>
          <w:color w:val="auto"/>
          <w:kern w:val="2"/>
          <w:sz w:val="21"/>
          <w:szCs w:val="21"/>
          <w:u w:val="none" w:color="000000"/>
          <w:lang w:val="en-US" w:eastAsia="zh-CN" w:bidi="ar-SA"/>
        </w:rPr>
        <w:t xml:space="preserve">； </w:t>
      </w:r>
    </w:p>
    <w:p w14:paraId="49830504">
      <w:pPr>
        <w:widowControl/>
        <w:kinsoku/>
        <w:topLinePunct w:val="0"/>
        <w:bidi w:val="0"/>
        <w:spacing w:before="100" w:beforeAutospacing="1" w:after="100" w:afterAutospacing="1" w:line="380" w:lineRule="exact"/>
        <w:ind w:firstLine="420"/>
        <w:jc w:val="left"/>
        <w:rPr>
          <w:rFonts w:hint="eastAsia" w:ascii="宋体" w:hAnsi="宋体" w:eastAsia="宋体" w:cs="宋体"/>
          <w:color w:val="auto"/>
          <w:kern w:val="2"/>
          <w:sz w:val="21"/>
          <w:szCs w:val="21"/>
          <w:u w:val="none" w:color="000000"/>
          <w:lang w:val="en-US" w:eastAsia="zh-CN" w:bidi="ar-SA"/>
        </w:rPr>
      </w:pPr>
      <w:r>
        <w:rPr>
          <w:rFonts w:hint="eastAsia" w:ascii="宋体" w:hAnsi="宋体" w:eastAsia="宋体" w:cs="宋体"/>
          <w:color w:val="auto"/>
          <w:kern w:val="2"/>
          <w:sz w:val="21"/>
          <w:szCs w:val="21"/>
          <w:u w:val="none" w:color="000000"/>
          <w:lang w:val="en-US" w:eastAsia="zh-CN" w:bidi="ar-SA"/>
        </w:rPr>
        <w:t xml:space="preserve">2. </w:t>
      </w:r>
      <w:r>
        <w:rPr>
          <w:rFonts w:hint="eastAsia" w:ascii="宋体" w:hAnsi="宋体" w:eastAsia="宋体" w:cs="宋体"/>
          <w:color w:val="auto"/>
          <w:kern w:val="2"/>
          <w:sz w:val="21"/>
          <w:szCs w:val="21"/>
          <w:u w:val="single" w:color="auto"/>
          <w:lang w:val="en-US" w:eastAsia="zh-CN" w:bidi="ar-SA"/>
        </w:rPr>
        <w:t>（标的名称）</w:t>
      </w:r>
      <w:r>
        <w:rPr>
          <w:rFonts w:hint="eastAsia" w:ascii="宋体" w:hAnsi="宋体" w:eastAsia="宋体" w:cs="宋体"/>
          <w:color w:val="auto"/>
          <w:kern w:val="2"/>
          <w:sz w:val="21"/>
          <w:szCs w:val="21"/>
          <w:u w:val="none" w:color="000000"/>
          <w:lang w:val="en-US" w:eastAsia="zh-CN" w:bidi="ar-SA"/>
        </w:rPr>
        <w:t xml:space="preserve"> ，属于（采购文件中明确的所属行业）行业；</w:t>
      </w:r>
      <w:r>
        <w:rPr>
          <w:rFonts w:hint="eastAsia" w:ascii="宋体" w:hAnsi="宋体" w:cs="宋体"/>
          <w:color w:val="auto"/>
          <w:kern w:val="2"/>
          <w:sz w:val="21"/>
          <w:szCs w:val="21"/>
          <w:u w:val="none" w:color="000000"/>
          <w:lang w:val="en-US" w:eastAsia="zh-CN" w:bidi="ar-SA"/>
        </w:rPr>
        <w:t>承建（承接）企业</w:t>
      </w:r>
      <w:r>
        <w:rPr>
          <w:rFonts w:hint="eastAsia" w:ascii="宋体" w:hAnsi="宋体" w:eastAsia="宋体" w:cs="宋体"/>
          <w:color w:val="auto"/>
          <w:kern w:val="2"/>
          <w:sz w:val="21"/>
          <w:szCs w:val="21"/>
          <w:u w:val="none" w:color="000000"/>
          <w:lang w:val="en-US" w:eastAsia="zh-CN" w:bidi="ar-SA"/>
        </w:rPr>
        <w:t>为</w:t>
      </w:r>
      <w:r>
        <w:rPr>
          <w:rFonts w:hint="eastAsia" w:ascii="宋体" w:hAnsi="宋体" w:eastAsia="宋体" w:cs="宋体"/>
          <w:color w:val="auto"/>
          <w:kern w:val="2"/>
          <w:sz w:val="21"/>
          <w:szCs w:val="21"/>
          <w:u w:val="single" w:color="auto"/>
          <w:lang w:val="en-US" w:eastAsia="zh-CN" w:bidi="ar-SA"/>
        </w:rPr>
        <w:t>（企业名称）</w:t>
      </w:r>
      <w:r>
        <w:rPr>
          <w:rFonts w:hint="eastAsia" w:ascii="宋体" w:hAnsi="宋体" w:eastAsia="宋体" w:cs="宋体"/>
          <w:color w:val="auto"/>
          <w:kern w:val="2"/>
          <w:sz w:val="21"/>
          <w:szCs w:val="21"/>
          <w:u w:val="none" w:color="000000"/>
          <w:lang w:val="en-US" w:eastAsia="zh-CN" w:bidi="ar-SA"/>
        </w:rPr>
        <w:t>，从业人员</w:t>
      </w:r>
      <w:r>
        <w:rPr>
          <w:rFonts w:hint="eastAsia" w:ascii="宋体" w:hAnsi="宋体" w:eastAsia="宋体" w:cs="宋体"/>
          <w:color w:val="auto"/>
          <w:kern w:val="2"/>
          <w:sz w:val="21"/>
          <w:szCs w:val="21"/>
          <w:u w:val="single" w:color="auto"/>
          <w:lang w:val="en-US" w:eastAsia="zh-CN" w:bidi="ar-SA"/>
        </w:rPr>
        <w:t xml:space="preserve">     </w:t>
      </w:r>
      <w:r>
        <w:rPr>
          <w:rFonts w:hint="eastAsia" w:ascii="宋体" w:hAnsi="宋体" w:eastAsia="宋体" w:cs="宋体"/>
          <w:color w:val="auto"/>
          <w:kern w:val="2"/>
          <w:sz w:val="21"/>
          <w:szCs w:val="21"/>
          <w:u w:val="none" w:color="000000"/>
          <w:lang w:val="en-US" w:eastAsia="zh-CN" w:bidi="ar-SA"/>
        </w:rPr>
        <w:t>人，营业收入为</w:t>
      </w:r>
      <w:r>
        <w:rPr>
          <w:rFonts w:hint="eastAsia" w:ascii="宋体" w:hAnsi="宋体" w:eastAsia="宋体" w:cs="宋体"/>
          <w:color w:val="auto"/>
          <w:kern w:val="2"/>
          <w:sz w:val="21"/>
          <w:szCs w:val="21"/>
          <w:u w:val="single" w:color="auto"/>
          <w:lang w:val="en-US" w:eastAsia="zh-CN" w:bidi="ar-SA"/>
        </w:rPr>
        <w:t xml:space="preserve">    </w:t>
      </w:r>
      <w:r>
        <w:rPr>
          <w:rFonts w:hint="eastAsia" w:ascii="宋体" w:hAnsi="宋体" w:eastAsia="宋体" w:cs="宋体"/>
          <w:color w:val="auto"/>
          <w:kern w:val="2"/>
          <w:sz w:val="21"/>
          <w:szCs w:val="21"/>
          <w:u w:val="none" w:color="000000"/>
          <w:lang w:val="en-US" w:eastAsia="zh-CN" w:bidi="ar-SA"/>
        </w:rPr>
        <w:t xml:space="preserve">万元，资产总额为员 </w:t>
      </w:r>
      <w:r>
        <w:rPr>
          <w:rFonts w:hint="eastAsia" w:ascii="宋体" w:hAnsi="宋体" w:eastAsia="宋体" w:cs="宋体"/>
          <w:color w:val="auto"/>
          <w:kern w:val="2"/>
          <w:sz w:val="21"/>
          <w:szCs w:val="21"/>
          <w:u w:val="single" w:color="auto"/>
          <w:lang w:val="en-US" w:eastAsia="zh-CN" w:bidi="ar-SA"/>
        </w:rPr>
        <w:t xml:space="preserve">    </w:t>
      </w:r>
      <w:r>
        <w:rPr>
          <w:rFonts w:hint="eastAsia" w:ascii="宋体" w:hAnsi="宋体" w:eastAsia="宋体" w:cs="宋体"/>
          <w:color w:val="auto"/>
          <w:kern w:val="2"/>
          <w:sz w:val="21"/>
          <w:szCs w:val="21"/>
          <w:u w:val="none" w:color="000000"/>
          <w:lang w:val="en-US" w:eastAsia="zh-CN" w:bidi="ar-SA"/>
        </w:rPr>
        <w:t>万元，属于</w:t>
      </w:r>
      <w:r>
        <w:rPr>
          <w:rFonts w:hint="eastAsia" w:ascii="宋体" w:hAnsi="宋体" w:cs="宋体"/>
          <w:color w:val="auto"/>
          <w:kern w:val="2"/>
          <w:sz w:val="21"/>
          <w:szCs w:val="21"/>
          <w:u w:val="single" w:color="auto"/>
          <w:lang w:val="en-US" w:eastAsia="zh-CN" w:bidi="ar-SA"/>
        </w:rPr>
        <w:t xml:space="preserve">     </w:t>
      </w:r>
      <w:r>
        <w:rPr>
          <w:rFonts w:hint="eastAsia" w:ascii="宋体" w:hAnsi="宋体" w:eastAsia="宋体" w:cs="宋体"/>
          <w:color w:val="auto"/>
          <w:kern w:val="2"/>
          <w:sz w:val="21"/>
          <w:szCs w:val="21"/>
          <w:u w:val="single" w:color="auto"/>
          <w:lang w:val="en-US" w:eastAsia="zh-CN" w:bidi="ar-SA"/>
        </w:rPr>
        <w:t>（中型企业、小 型企业、微型企业）</w:t>
      </w:r>
      <w:r>
        <w:rPr>
          <w:rFonts w:hint="eastAsia" w:ascii="宋体" w:hAnsi="宋体" w:eastAsia="宋体" w:cs="宋体"/>
          <w:color w:val="auto"/>
          <w:kern w:val="2"/>
          <w:sz w:val="21"/>
          <w:szCs w:val="21"/>
          <w:u w:val="none" w:color="000000"/>
          <w:lang w:val="en-US" w:eastAsia="zh-CN" w:bidi="ar-SA"/>
        </w:rPr>
        <w:t>；</w:t>
      </w:r>
    </w:p>
    <w:p w14:paraId="60C9B7CB">
      <w:pPr>
        <w:keepNext w:val="0"/>
        <w:keepLines w:val="0"/>
        <w:pageBreakBefore w:val="0"/>
        <w:widowControl w:val="0"/>
        <w:kinsoku/>
        <w:wordWrap/>
        <w:overflowPunct/>
        <w:topLinePunct w:val="0"/>
        <w:autoSpaceDE/>
        <w:autoSpaceDN/>
        <w:bidi w:val="0"/>
        <w:adjustRightInd/>
        <w:snapToGrid/>
        <w:spacing w:line="520" w:lineRule="exact"/>
        <w:ind w:left="688"/>
        <w:textAlignment w:val="auto"/>
        <w:rPr>
          <w:rFonts w:ascii="仿宋" w:hAnsi="仿宋" w:eastAsia="仿宋" w:cs="仿宋"/>
          <w:sz w:val="28"/>
          <w:szCs w:val="28"/>
        </w:rPr>
      </w:pPr>
      <w:r>
        <w:rPr>
          <w:rFonts w:ascii="仿宋" w:hAnsi="仿宋" w:eastAsia="仿宋" w:cs="仿宋"/>
          <w:spacing w:val="5"/>
          <w:position w:val="4"/>
          <w:sz w:val="28"/>
          <w:szCs w:val="28"/>
        </w:rPr>
        <w:t>…</w:t>
      </w:r>
      <w:r>
        <w:rPr>
          <w:rFonts w:ascii="仿宋" w:hAnsi="仿宋" w:eastAsia="仿宋" w:cs="仿宋"/>
          <w:spacing w:val="4"/>
          <w:position w:val="4"/>
          <w:sz w:val="28"/>
          <w:szCs w:val="28"/>
        </w:rPr>
        <w:t>…</w:t>
      </w:r>
    </w:p>
    <w:p w14:paraId="47D0D17A">
      <w:pPr>
        <w:widowControl/>
        <w:kinsoku/>
        <w:topLinePunct w:val="0"/>
        <w:bidi w:val="0"/>
        <w:spacing w:before="100" w:beforeAutospacing="1" w:after="100" w:afterAutospacing="1" w:line="380" w:lineRule="exact"/>
        <w:ind w:firstLine="420"/>
        <w:jc w:val="left"/>
        <w:rPr>
          <w:rFonts w:hint="eastAsia" w:ascii="宋体" w:hAnsi="宋体" w:eastAsia="宋体" w:cs="宋体"/>
          <w:color w:val="auto"/>
          <w:kern w:val="2"/>
          <w:sz w:val="21"/>
          <w:szCs w:val="21"/>
          <w:u w:val="none" w:color="000000"/>
          <w:lang w:val="en-US" w:eastAsia="zh-CN" w:bidi="ar-SA"/>
        </w:rPr>
      </w:pPr>
      <w:r>
        <w:rPr>
          <w:rFonts w:hint="eastAsia" w:ascii="宋体" w:hAnsi="宋体" w:eastAsia="宋体" w:cs="宋体"/>
          <w:color w:val="auto"/>
          <w:kern w:val="2"/>
          <w:sz w:val="21"/>
          <w:szCs w:val="21"/>
          <w:u w:val="none" w:color="000000"/>
          <w:lang w:val="en-US" w:eastAsia="zh-CN" w:bidi="ar-SA"/>
        </w:rPr>
        <w:t>以上企业，不属于大企业的分支机构，不存在控股股东为大企业的情形，也不存在与大企业的负责人为同一人的情形。</w:t>
      </w:r>
    </w:p>
    <w:p w14:paraId="09CB2695">
      <w:pPr>
        <w:widowControl/>
        <w:kinsoku/>
        <w:topLinePunct w:val="0"/>
        <w:bidi w:val="0"/>
        <w:spacing w:before="100" w:beforeAutospacing="1" w:after="100" w:afterAutospacing="1" w:line="380" w:lineRule="exact"/>
        <w:ind w:firstLine="420"/>
        <w:jc w:val="left"/>
        <w:rPr>
          <w:rFonts w:hint="eastAsia" w:ascii="宋体" w:hAnsi="宋体" w:eastAsia="宋体" w:cs="宋体"/>
          <w:color w:val="auto"/>
          <w:kern w:val="2"/>
          <w:sz w:val="21"/>
          <w:szCs w:val="21"/>
          <w:u w:val="none" w:color="000000"/>
          <w:lang w:val="en-US" w:eastAsia="zh-CN" w:bidi="ar-SA"/>
        </w:rPr>
      </w:pPr>
      <w:r>
        <w:rPr>
          <w:rFonts w:hint="eastAsia" w:ascii="宋体" w:hAnsi="宋体" w:eastAsia="宋体" w:cs="宋体"/>
          <w:b/>
          <w:bCs/>
          <w:color w:val="auto"/>
          <w:kern w:val="2"/>
          <w:sz w:val="21"/>
          <w:szCs w:val="21"/>
          <w:u w:val="none" w:color="000000"/>
          <w:lang w:val="en-US" w:eastAsia="zh-CN" w:bidi="ar-SA"/>
        </w:rPr>
        <w:t>本企业对上述声明内容的真实性负责。如有虚假，将依法承担相应责任。</w:t>
      </w:r>
      <w:r>
        <w:rPr>
          <w:rFonts w:hint="eastAsia" w:ascii="宋体" w:hAnsi="宋体" w:eastAsia="宋体" w:cs="宋体"/>
          <w:color w:val="auto"/>
          <w:kern w:val="2"/>
          <w:sz w:val="21"/>
          <w:szCs w:val="21"/>
          <w:u w:val="none" w:color="000000"/>
          <w:lang w:val="en-US" w:eastAsia="zh-CN" w:bidi="ar-SA"/>
        </w:rPr>
        <w:t xml:space="preserve"> </w:t>
      </w:r>
    </w:p>
    <w:p w14:paraId="13C36EEE">
      <w:pPr>
        <w:widowControl/>
        <w:kinsoku/>
        <w:topLinePunct w:val="0"/>
        <w:bidi w:val="0"/>
        <w:spacing w:before="100" w:beforeAutospacing="1" w:after="100" w:afterAutospacing="1" w:line="380" w:lineRule="exact"/>
        <w:ind w:firstLine="420"/>
        <w:jc w:val="left"/>
        <w:rPr>
          <w:rFonts w:hint="eastAsia" w:ascii="宋体" w:hAnsi="宋体" w:eastAsia="宋体" w:cs="宋体"/>
          <w:color w:val="auto"/>
          <w:kern w:val="2"/>
          <w:sz w:val="21"/>
          <w:szCs w:val="21"/>
          <w:u w:val="none" w:color="000000"/>
          <w:lang w:val="en-US" w:eastAsia="zh-CN" w:bidi="ar-SA"/>
        </w:rPr>
      </w:pPr>
      <w:r>
        <w:rPr>
          <w:rFonts w:hint="eastAsia" w:ascii="宋体" w:hAnsi="宋体" w:eastAsia="宋体" w:cs="宋体"/>
          <w:color w:val="auto"/>
          <w:kern w:val="2"/>
          <w:sz w:val="21"/>
          <w:szCs w:val="21"/>
          <w:u w:val="none" w:color="000000"/>
          <w:lang w:val="en-US" w:eastAsia="zh-CN" w:bidi="ar-SA"/>
        </w:rPr>
        <w:t xml:space="preserve">企业名称（盖章）：      </w:t>
      </w:r>
    </w:p>
    <w:p w14:paraId="16794CBC">
      <w:pPr>
        <w:widowControl/>
        <w:kinsoku/>
        <w:topLinePunct w:val="0"/>
        <w:bidi w:val="0"/>
        <w:spacing w:before="100" w:beforeAutospacing="1" w:after="100" w:afterAutospacing="1" w:line="380" w:lineRule="exact"/>
        <w:ind w:firstLine="420"/>
        <w:jc w:val="left"/>
        <w:rPr>
          <w:rFonts w:hint="eastAsia" w:ascii="宋体" w:hAnsi="宋体" w:eastAsia="宋体" w:cs="宋体"/>
          <w:kern w:val="0"/>
          <w:sz w:val="24"/>
          <w:u w:val="single"/>
        </w:rPr>
      </w:pPr>
      <w:r>
        <w:rPr>
          <w:rFonts w:hint="eastAsia" w:ascii="宋体" w:hAnsi="宋体" w:eastAsia="宋体" w:cs="宋体"/>
          <w:color w:val="auto"/>
          <w:kern w:val="2"/>
          <w:sz w:val="21"/>
          <w:szCs w:val="21"/>
          <w:u w:val="none" w:color="000000"/>
          <w:lang w:val="en-US" w:eastAsia="zh-CN" w:bidi="ar-SA"/>
        </w:rPr>
        <w:t xml:space="preserve">日 期：    </w:t>
      </w:r>
      <w:r>
        <w:rPr>
          <w:rFonts w:hint="eastAsia" w:ascii="宋体" w:hAnsi="宋体" w:eastAsia="宋体" w:cs="宋体"/>
          <w:kern w:val="0"/>
          <w:sz w:val="24"/>
          <w:u w:val="single"/>
          <w:lang w:val="en-US" w:eastAsia="zh-CN"/>
        </w:rPr>
        <w:t xml:space="preserve"> </w:t>
      </w:r>
    </w:p>
    <w:p w14:paraId="7C8E547F">
      <w:pPr>
        <w:widowControl/>
        <w:kinsoku/>
        <w:topLinePunct w:val="0"/>
        <w:bidi w:val="0"/>
        <w:spacing w:before="100" w:beforeAutospacing="1" w:after="100" w:afterAutospacing="1" w:line="380" w:lineRule="exact"/>
        <w:ind w:firstLine="3159" w:firstLineChars="1300"/>
        <w:jc w:val="left"/>
        <w:rPr>
          <w:rFonts w:hint="eastAsia" w:ascii="宋体" w:hAnsi="宋体" w:eastAsia="宋体" w:cs="宋体"/>
          <w:kern w:val="0"/>
          <w:sz w:val="24"/>
        </w:rPr>
      </w:pPr>
      <w:r>
        <w:rPr>
          <w:rFonts w:hint="eastAsia" w:ascii="宋体" w:hAnsi="宋体" w:eastAsia="宋体" w:cs="宋体"/>
          <w:kern w:val="0"/>
          <w:sz w:val="24"/>
        </w:rPr>
        <w:t xml:space="preserve">        </w:t>
      </w:r>
    </w:p>
    <w:p w14:paraId="710DDB8F">
      <w:pPr>
        <w:pStyle w:val="49"/>
        <w:kinsoku/>
        <w:topLinePunct w:val="0"/>
        <w:bidi w:val="0"/>
        <w:spacing w:line="380" w:lineRule="exact"/>
        <w:rPr>
          <w:rFonts w:hint="eastAsia" w:ascii="宋体" w:hAnsi="宋体" w:eastAsia="宋体" w:cs="宋体"/>
          <w:kern w:val="0"/>
          <w:sz w:val="24"/>
        </w:rPr>
      </w:pPr>
    </w:p>
    <w:p w14:paraId="258076F1">
      <w:pPr>
        <w:keepNext w:val="0"/>
        <w:keepLines w:val="0"/>
        <w:widowControl/>
        <w:suppressLineNumbers w:val="0"/>
        <w:jc w:val="left"/>
      </w:pPr>
      <w:r>
        <w:rPr>
          <w:rFonts w:hint="eastAsia" w:ascii="宋体" w:hAnsi="宋体" w:eastAsia="宋体" w:cs="宋体"/>
          <w:b/>
          <w:bCs/>
          <w:color w:val="000000"/>
          <w:kern w:val="0"/>
          <w:sz w:val="18"/>
          <w:szCs w:val="18"/>
          <w:lang w:val="en-US" w:eastAsia="zh-CN" w:bidi="ar"/>
        </w:rPr>
        <w:t xml:space="preserve">备注：1、从业人员、营业收入、资产总额填报上一年度数据，无上一年度数据的新成立企业可不填报。 </w:t>
      </w:r>
    </w:p>
    <w:p w14:paraId="16301018">
      <w:pPr>
        <w:keepNext w:val="0"/>
        <w:keepLines w:val="0"/>
        <w:widowControl/>
        <w:suppressLineNumbers w:val="0"/>
        <w:jc w:val="left"/>
      </w:pPr>
      <w:r>
        <w:rPr>
          <w:rFonts w:hint="eastAsia" w:ascii="宋体" w:hAnsi="宋体" w:eastAsia="宋体" w:cs="宋体"/>
          <w:b/>
          <w:bCs/>
          <w:color w:val="000000"/>
          <w:kern w:val="0"/>
          <w:sz w:val="18"/>
          <w:szCs w:val="18"/>
          <w:lang w:val="en-US" w:eastAsia="zh-CN" w:bidi="ar"/>
        </w:rPr>
        <w:t xml:space="preserve">2、投标人为中小企业时需提供本声明函，并完整填写从业人员、营业收入、资产总额等内容，否 </w:t>
      </w:r>
    </w:p>
    <w:p w14:paraId="2538CEC9">
      <w:pPr>
        <w:keepNext w:val="0"/>
        <w:keepLines w:val="0"/>
        <w:widowControl/>
        <w:suppressLineNumbers w:val="0"/>
        <w:jc w:val="left"/>
      </w:pPr>
      <w:r>
        <w:rPr>
          <w:rFonts w:hint="eastAsia" w:ascii="宋体" w:hAnsi="宋体" w:eastAsia="宋体" w:cs="宋体"/>
          <w:b/>
          <w:bCs/>
          <w:color w:val="000000"/>
          <w:kern w:val="0"/>
          <w:sz w:val="18"/>
          <w:szCs w:val="18"/>
          <w:lang w:val="en-US" w:eastAsia="zh-CN" w:bidi="ar"/>
        </w:rPr>
        <w:t>则评审时不能享受相应的价格扣除。</w:t>
      </w:r>
    </w:p>
    <w:p w14:paraId="637852ED">
      <w:pPr>
        <w:pStyle w:val="49"/>
        <w:kinsoku/>
        <w:topLinePunct w:val="0"/>
        <w:bidi w:val="0"/>
        <w:spacing w:line="380" w:lineRule="exact"/>
        <w:rPr>
          <w:rFonts w:hint="eastAsia" w:ascii="宋体" w:hAnsi="宋体" w:eastAsia="宋体" w:cs="宋体"/>
          <w:kern w:val="0"/>
          <w:sz w:val="24"/>
        </w:rPr>
      </w:pPr>
    </w:p>
    <w:p w14:paraId="313894B2">
      <w:pPr>
        <w:widowControl/>
        <w:kinsoku/>
        <w:topLinePunct w:val="0"/>
        <w:bidi w:val="0"/>
        <w:spacing w:before="100" w:beforeAutospacing="1" w:after="100" w:afterAutospacing="1" w:line="380" w:lineRule="exact"/>
        <w:ind w:firstLine="420"/>
        <w:jc w:val="left"/>
        <w:rPr>
          <w:rFonts w:hint="eastAsia" w:ascii="宋体" w:hAnsi="宋体" w:eastAsia="宋体" w:cs="宋体"/>
          <w:kern w:val="0"/>
          <w:sz w:val="24"/>
        </w:rPr>
      </w:pPr>
    </w:p>
    <w:p w14:paraId="50F8C194">
      <w:pPr>
        <w:kinsoku/>
        <w:topLinePunct w:val="0"/>
        <w:bidi w:val="0"/>
        <w:spacing w:line="380" w:lineRule="exact"/>
        <w:rPr>
          <w:rFonts w:hint="eastAsia" w:ascii="宋体" w:hAnsi="宋体" w:eastAsia="宋体" w:cs="宋体"/>
        </w:rPr>
      </w:pPr>
      <w:bookmarkStart w:id="142" w:name="_Toc10877"/>
      <w:bookmarkStart w:id="143" w:name="_Toc10977"/>
      <w:bookmarkStart w:id="144" w:name="_Toc515647824"/>
      <w:bookmarkStart w:id="145" w:name="_Toc11803"/>
    </w:p>
    <w:p w14:paraId="3637DD2D">
      <w:pPr>
        <w:pStyle w:val="10"/>
        <w:rPr>
          <w:rFonts w:hint="eastAsia" w:ascii="宋体" w:hAnsi="宋体" w:eastAsia="宋体" w:cs="宋体"/>
        </w:rPr>
      </w:pPr>
    </w:p>
    <w:p w14:paraId="5CC571AF">
      <w:pPr>
        <w:pStyle w:val="10"/>
        <w:rPr>
          <w:rFonts w:hint="eastAsia"/>
        </w:rPr>
      </w:pPr>
    </w:p>
    <w:bookmarkEnd w:id="142"/>
    <w:bookmarkEnd w:id="143"/>
    <w:bookmarkEnd w:id="144"/>
    <w:bookmarkEnd w:id="145"/>
    <w:p w14:paraId="6669DF09">
      <w:pPr>
        <w:pStyle w:val="4"/>
        <w:numPr>
          <w:ilvl w:val="0"/>
          <w:numId w:val="0"/>
        </w:numPr>
        <w:kinsoku/>
        <w:topLinePunct w:val="0"/>
        <w:bidi w:val="0"/>
        <w:spacing w:line="380" w:lineRule="exact"/>
        <w:jc w:val="center"/>
        <w:rPr>
          <w:rFonts w:hint="eastAsia" w:ascii="宋体" w:hAnsi="宋体" w:eastAsia="宋体" w:cs="宋体"/>
          <w:b/>
          <w:bCs/>
        </w:rPr>
      </w:pPr>
      <w:bookmarkStart w:id="146" w:name="_Toc8010"/>
      <w:bookmarkStart w:id="147" w:name="_Toc515647825"/>
      <w:bookmarkStart w:id="148" w:name="_Toc19284"/>
      <w:bookmarkStart w:id="149" w:name="_Toc23068"/>
      <w:bookmarkStart w:id="150" w:name="OLE_LINK13"/>
      <w:bookmarkStart w:id="151" w:name="OLE_LINK14"/>
      <w:r>
        <w:rPr>
          <w:rFonts w:hint="eastAsia" w:ascii="宋体" w:hAnsi="宋体" w:eastAsia="宋体" w:cs="宋体"/>
          <w:b/>
          <w:bCs/>
        </w:rPr>
        <w:t xml:space="preserve">  </w:t>
      </w:r>
      <w:r>
        <w:rPr>
          <w:rFonts w:hint="eastAsia" w:ascii="宋体" w:hAnsi="宋体" w:eastAsia="宋体" w:cs="宋体"/>
          <w:b/>
          <w:bCs/>
          <w:lang w:val="en-US" w:eastAsia="zh-CN"/>
        </w:rPr>
        <w:t>9、</w:t>
      </w:r>
      <w:r>
        <w:rPr>
          <w:rFonts w:hint="eastAsia" w:ascii="宋体" w:hAnsi="宋体" w:eastAsia="宋体" w:cs="宋体"/>
          <w:b/>
          <w:bCs/>
        </w:rPr>
        <w:t>残疾人福利性单位声明函</w:t>
      </w:r>
      <w:bookmarkEnd w:id="146"/>
      <w:bookmarkEnd w:id="147"/>
      <w:bookmarkEnd w:id="148"/>
      <w:bookmarkEnd w:id="149"/>
    </w:p>
    <w:bookmarkEnd w:id="150"/>
    <w:bookmarkEnd w:id="151"/>
    <w:p w14:paraId="74F76FEA">
      <w:pPr>
        <w:kinsoku/>
        <w:topLinePunct w:val="0"/>
        <w:bidi w:val="0"/>
        <w:spacing w:line="380" w:lineRule="exact"/>
        <w:ind w:left="1087" w:leftChars="257" w:hanging="540"/>
        <w:jc w:val="center"/>
        <w:rPr>
          <w:rFonts w:hint="eastAsia" w:ascii="宋体" w:hAnsi="宋体" w:eastAsia="宋体" w:cs="宋体"/>
          <w:kern w:val="0"/>
          <w:sz w:val="24"/>
          <w:szCs w:val="20"/>
        </w:rPr>
      </w:pPr>
    </w:p>
    <w:p w14:paraId="3B009809">
      <w:pPr>
        <w:widowControl/>
        <w:kinsoku/>
        <w:topLinePunct w:val="0"/>
        <w:bidi w:val="0"/>
        <w:spacing w:before="100" w:beforeAutospacing="1" w:after="100" w:afterAutospacing="1" w:line="380" w:lineRule="exact"/>
        <w:ind w:firstLine="420"/>
        <w:jc w:val="left"/>
        <w:rPr>
          <w:rFonts w:hint="eastAsia" w:ascii="宋体" w:hAnsi="宋体" w:eastAsia="宋体" w:cs="宋体"/>
          <w:color w:val="auto"/>
          <w:kern w:val="2"/>
          <w:sz w:val="21"/>
          <w:szCs w:val="21"/>
          <w:u w:val="none" w:color="000000"/>
          <w:lang w:val="en-US" w:eastAsia="zh-CN" w:bidi="ar-SA"/>
        </w:rPr>
      </w:pPr>
      <w:r>
        <w:rPr>
          <w:rFonts w:hint="eastAsia" w:ascii="宋体" w:hAnsi="宋体" w:eastAsia="宋体" w:cs="宋体"/>
          <w:color w:val="auto"/>
          <w:kern w:val="2"/>
          <w:sz w:val="21"/>
          <w:szCs w:val="21"/>
          <w:u w:val="none" w:color="000000"/>
          <w:lang w:val="en-US" w:eastAsia="zh-CN" w:bidi="ar-SA"/>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或者提供其他残疾人福利性单位制造的货物（不包括使用非残疾人福利性单位注册商标的货物）。</w:t>
      </w:r>
    </w:p>
    <w:p w14:paraId="67EE255B">
      <w:pPr>
        <w:widowControl/>
        <w:kinsoku/>
        <w:topLinePunct w:val="0"/>
        <w:bidi w:val="0"/>
        <w:spacing w:before="100" w:beforeAutospacing="1" w:after="100" w:afterAutospacing="1" w:line="380" w:lineRule="exact"/>
        <w:ind w:firstLine="420"/>
        <w:jc w:val="left"/>
        <w:rPr>
          <w:rFonts w:hint="eastAsia" w:ascii="宋体" w:hAnsi="宋体" w:eastAsia="宋体" w:cs="宋体"/>
          <w:color w:val="auto"/>
          <w:kern w:val="2"/>
          <w:sz w:val="21"/>
          <w:szCs w:val="21"/>
          <w:u w:val="none" w:color="000000"/>
          <w:lang w:val="en-US" w:eastAsia="zh-CN" w:bidi="ar-SA"/>
        </w:rPr>
      </w:pPr>
      <w:r>
        <w:rPr>
          <w:rFonts w:hint="eastAsia" w:ascii="宋体" w:hAnsi="宋体" w:eastAsia="宋体" w:cs="宋体"/>
          <w:color w:val="auto"/>
          <w:kern w:val="2"/>
          <w:sz w:val="21"/>
          <w:szCs w:val="21"/>
          <w:u w:val="none" w:color="000000"/>
          <w:lang w:val="en-US" w:eastAsia="zh-CN" w:bidi="ar-SA"/>
        </w:rPr>
        <w:t>本单位对上述声明的真实性负责。如有虚假，将依法承担相应责任。</w:t>
      </w:r>
    </w:p>
    <w:p w14:paraId="1988EF57">
      <w:pPr>
        <w:widowControl/>
        <w:kinsoku/>
        <w:topLinePunct w:val="0"/>
        <w:bidi w:val="0"/>
        <w:spacing w:before="100" w:beforeAutospacing="1" w:after="100" w:afterAutospacing="1" w:line="380" w:lineRule="exact"/>
        <w:ind w:firstLine="420"/>
        <w:jc w:val="left"/>
        <w:rPr>
          <w:rFonts w:hint="eastAsia" w:ascii="宋体" w:hAnsi="宋体" w:eastAsia="宋体" w:cs="宋体"/>
          <w:color w:val="auto"/>
          <w:kern w:val="2"/>
          <w:sz w:val="21"/>
          <w:szCs w:val="21"/>
          <w:u w:val="none" w:color="000000"/>
          <w:lang w:val="en-US" w:eastAsia="zh-CN" w:bidi="ar-SA"/>
        </w:rPr>
      </w:pPr>
      <w:r>
        <w:rPr>
          <w:rFonts w:hint="eastAsia" w:ascii="宋体" w:hAnsi="宋体" w:eastAsia="宋体" w:cs="宋体"/>
          <w:color w:val="auto"/>
          <w:kern w:val="2"/>
          <w:sz w:val="21"/>
          <w:szCs w:val="21"/>
          <w:u w:val="none" w:color="000000"/>
          <w:lang w:val="en-US" w:eastAsia="zh-CN" w:bidi="ar-SA"/>
        </w:rPr>
        <w:t xml:space="preserve">        残疾人福利性单位名称（盖单位章）：______________</w:t>
      </w:r>
    </w:p>
    <w:p w14:paraId="6FDA8C1F">
      <w:pPr>
        <w:widowControl/>
        <w:kinsoku/>
        <w:topLinePunct w:val="0"/>
        <w:bidi w:val="0"/>
        <w:spacing w:before="100" w:beforeAutospacing="1" w:after="100" w:afterAutospacing="1" w:line="380" w:lineRule="exact"/>
        <w:ind w:firstLine="420"/>
        <w:jc w:val="left"/>
        <w:rPr>
          <w:rFonts w:hint="eastAsia" w:ascii="宋体" w:hAnsi="宋体" w:eastAsia="宋体" w:cs="宋体"/>
          <w:kern w:val="0"/>
          <w:sz w:val="24"/>
          <w:szCs w:val="20"/>
        </w:rPr>
      </w:pPr>
      <w:r>
        <w:rPr>
          <w:rFonts w:hint="eastAsia" w:ascii="宋体" w:hAnsi="宋体" w:eastAsia="宋体" w:cs="宋体"/>
          <w:color w:val="auto"/>
          <w:kern w:val="2"/>
          <w:sz w:val="21"/>
          <w:szCs w:val="21"/>
          <w:u w:val="none" w:color="000000"/>
          <w:lang w:val="en-US" w:eastAsia="zh-CN" w:bidi="ar-SA"/>
        </w:rPr>
        <w:t xml:space="preserve">         日  期：____________________</w:t>
      </w:r>
      <w:r>
        <w:rPr>
          <w:rFonts w:hint="eastAsia" w:ascii="宋体" w:hAnsi="宋体" w:eastAsia="宋体" w:cs="宋体"/>
          <w:kern w:val="0"/>
          <w:sz w:val="24"/>
          <w:szCs w:val="20"/>
        </w:rPr>
        <w:t>_________________</w:t>
      </w:r>
    </w:p>
    <w:p w14:paraId="03E993CF">
      <w:pPr>
        <w:kinsoku/>
        <w:topLinePunct w:val="0"/>
        <w:bidi w:val="0"/>
        <w:spacing w:line="380" w:lineRule="exact"/>
        <w:ind w:left="1087" w:leftChars="257" w:hanging="540"/>
        <w:jc w:val="center"/>
        <w:rPr>
          <w:rFonts w:hint="eastAsia" w:ascii="宋体" w:hAnsi="宋体" w:eastAsia="宋体" w:cs="宋体"/>
          <w:b/>
          <w:kern w:val="0"/>
          <w:sz w:val="24"/>
          <w:szCs w:val="20"/>
        </w:rPr>
      </w:pPr>
    </w:p>
    <w:p w14:paraId="7942257C">
      <w:pPr>
        <w:kinsoku/>
        <w:topLinePunct w:val="0"/>
        <w:bidi w:val="0"/>
        <w:spacing w:line="380" w:lineRule="exact"/>
        <w:ind w:left="1087" w:leftChars="257" w:hanging="540"/>
        <w:jc w:val="center"/>
        <w:rPr>
          <w:rFonts w:hint="eastAsia" w:ascii="宋体" w:hAnsi="宋体" w:eastAsia="宋体" w:cs="宋体"/>
          <w:b/>
          <w:kern w:val="0"/>
          <w:sz w:val="24"/>
          <w:szCs w:val="20"/>
        </w:rPr>
      </w:pPr>
    </w:p>
    <w:p w14:paraId="5FA4F1A2">
      <w:pPr>
        <w:pStyle w:val="4"/>
        <w:numPr>
          <w:ilvl w:val="0"/>
          <w:numId w:val="0"/>
        </w:numPr>
        <w:kinsoku/>
        <w:topLinePunct w:val="0"/>
        <w:bidi w:val="0"/>
        <w:spacing w:line="380" w:lineRule="exact"/>
        <w:ind w:left="547" w:leftChars="257"/>
        <w:rPr>
          <w:rFonts w:hint="eastAsia" w:ascii="宋体" w:hAnsi="宋体" w:eastAsia="宋体" w:cs="宋体"/>
        </w:rPr>
      </w:pPr>
    </w:p>
    <w:p w14:paraId="2EFCA827">
      <w:pPr>
        <w:pStyle w:val="4"/>
        <w:numPr>
          <w:ilvl w:val="0"/>
          <w:numId w:val="0"/>
        </w:numPr>
        <w:kinsoku/>
        <w:topLinePunct w:val="0"/>
        <w:bidi w:val="0"/>
        <w:spacing w:line="380" w:lineRule="exact"/>
        <w:ind w:left="547" w:leftChars="257"/>
        <w:jc w:val="center"/>
        <w:rPr>
          <w:rFonts w:hint="eastAsia" w:ascii="宋体" w:hAnsi="宋体" w:eastAsia="宋体" w:cs="宋体"/>
        </w:rPr>
      </w:pPr>
    </w:p>
    <w:p w14:paraId="116BF94A">
      <w:pPr>
        <w:pStyle w:val="4"/>
        <w:numPr>
          <w:ilvl w:val="0"/>
          <w:numId w:val="0"/>
        </w:numPr>
        <w:kinsoku/>
        <w:topLinePunct w:val="0"/>
        <w:bidi w:val="0"/>
        <w:spacing w:line="380" w:lineRule="exact"/>
        <w:ind w:left="547" w:leftChars="257"/>
        <w:jc w:val="center"/>
        <w:rPr>
          <w:rFonts w:hint="eastAsia" w:ascii="宋体" w:hAnsi="宋体" w:eastAsia="宋体" w:cs="宋体"/>
        </w:rPr>
      </w:pPr>
    </w:p>
    <w:p w14:paraId="26E66BC1">
      <w:pPr>
        <w:pStyle w:val="49"/>
        <w:kinsoku/>
        <w:topLinePunct w:val="0"/>
        <w:bidi w:val="0"/>
        <w:spacing w:line="380" w:lineRule="exact"/>
        <w:ind w:left="0" w:leftChars="0" w:firstLine="0" w:firstLineChars="0"/>
        <w:rPr>
          <w:rFonts w:hint="eastAsia" w:ascii="宋体" w:hAnsi="宋体" w:eastAsia="宋体" w:cs="宋体"/>
        </w:rPr>
      </w:pPr>
    </w:p>
    <w:p w14:paraId="3D4CEF12">
      <w:pPr>
        <w:pStyle w:val="49"/>
        <w:kinsoku/>
        <w:topLinePunct w:val="0"/>
        <w:bidi w:val="0"/>
        <w:spacing w:line="380" w:lineRule="exact"/>
        <w:ind w:left="0" w:leftChars="0" w:firstLine="0" w:firstLineChars="0"/>
        <w:rPr>
          <w:rFonts w:hint="eastAsia" w:ascii="宋体" w:hAnsi="宋体" w:eastAsia="宋体" w:cs="宋体"/>
        </w:rPr>
      </w:pPr>
    </w:p>
    <w:p w14:paraId="431033F9">
      <w:pPr>
        <w:pStyle w:val="49"/>
        <w:kinsoku/>
        <w:topLinePunct w:val="0"/>
        <w:bidi w:val="0"/>
        <w:spacing w:line="380" w:lineRule="exact"/>
        <w:ind w:left="0" w:leftChars="0" w:firstLine="0" w:firstLineChars="0"/>
        <w:rPr>
          <w:rFonts w:hint="eastAsia" w:ascii="宋体" w:hAnsi="宋体" w:eastAsia="宋体" w:cs="宋体"/>
        </w:rPr>
      </w:pPr>
    </w:p>
    <w:p w14:paraId="441E0198">
      <w:pPr>
        <w:pStyle w:val="49"/>
        <w:kinsoku/>
        <w:topLinePunct w:val="0"/>
        <w:bidi w:val="0"/>
        <w:spacing w:line="380" w:lineRule="exact"/>
        <w:ind w:left="0" w:leftChars="0" w:firstLine="0" w:firstLineChars="0"/>
        <w:rPr>
          <w:rFonts w:hint="eastAsia" w:ascii="宋体" w:hAnsi="宋体" w:eastAsia="宋体" w:cs="宋体"/>
        </w:rPr>
      </w:pPr>
    </w:p>
    <w:p w14:paraId="7E463C56">
      <w:pPr>
        <w:pStyle w:val="49"/>
        <w:kinsoku/>
        <w:topLinePunct w:val="0"/>
        <w:bidi w:val="0"/>
        <w:spacing w:line="380" w:lineRule="exact"/>
        <w:ind w:left="0" w:leftChars="0" w:firstLine="0" w:firstLineChars="0"/>
        <w:rPr>
          <w:rFonts w:hint="eastAsia" w:ascii="宋体" w:hAnsi="宋体" w:eastAsia="宋体" w:cs="宋体"/>
        </w:rPr>
      </w:pPr>
    </w:p>
    <w:p w14:paraId="767968DC">
      <w:pPr>
        <w:pStyle w:val="49"/>
        <w:kinsoku/>
        <w:topLinePunct w:val="0"/>
        <w:bidi w:val="0"/>
        <w:spacing w:line="380" w:lineRule="exact"/>
        <w:ind w:left="0" w:leftChars="0" w:firstLine="0" w:firstLineChars="0"/>
        <w:rPr>
          <w:rFonts w:hint="eastAsia" w:ascii="宋体" w:hAnsi="宋体" w:eastAsia="宋体" w:cs="宋体"/>
        </w:rPr>
      </w:pPr>
    </w:p>
    <w:p w14:paraId="21B8BE24">
      <w:pPr>
        <w:pStyle w:val="49"/>
        <w:kinsoku/>
        <w:topLinePunct w:val="0"/>
        <w:bidi w:val="0"/>
        <w:spacing w:line="380" w:lineRule="exact"/>
        <w:ind w:left="0" w:leftChars="0" w:firstLine="0" w:firstLineChars="0"/>
        <w:rPr>
          <w:rFonts w:hint="eastAsia" w:ascii="宋体" w:hAnsi="宋体" w:eastAsia="宋体" w:cs="宋体"/>
        </w:rPr>
      </w:pPr>
    </w:p>
    <w:p w14:paraId="40CBC1F2">
      <w:pPr>
        <w:pStyle w:val="49"/>
        <w:kinsoku/>
        <w:topLinePunct w:val="0"/>
        <w:bidi w:val="0"/>
        <w:spacing w:line="380" w:lineRule="exact"/>
        <w:ind w:left="0" w:leftChars="0" w:firstLine="0" w:firstLineChars="0"/>
        <w:rPr>
          <w:rFonts w:hint="eastAsia" w:ascii="宋体" w:hAnsi="宋体" w:eastAsia="宋体" w:cs="宋体"/>
        </w:rPr>
      </w:pPr>
    </w:p>
    <w:p w14:paraId="44FF1FB7">
      <w:pPr>
        <w:pStyle w:val="49"/>
        <w:kinsoku/>
        <w:topLinePunct w:val="0"/>
        <w:bidi w:val="0"/>
        <w:spacing w:line="380" w:lineRule="exact"/>
        <w:ind w:left="0" w:leftChars="0" w:firstLine="0" w:firstLineChars="0"/>
        <w:rPr>
          <w:rFonts w:hint="eastAsia" w:ascii="宋体" w:hAnsi="宋体" w:eastAsia="宋体" w:cs="宋体"/>
        </w:rPr>
      </w:pPr>
    </w:p>
    <w:p w14:paraId="70CF8D13">
      <w:pPr>
        <w:pStyle w:val="49"/>
        <w:kinsoku/>
        <w:topLinePunct w:val="0"/>
        <w:bidi w:val="0"/>
        <w:spacing w:line="380" w:lineRule="exact"/>
        <w:ind w:left="0" w:leftChars="0" w:firstLine="0" w:firstLineChars="0"/>
        <w:rPr>
          <w:rFonts w:hint="eastAsia" w:ascii="宋体" w:hAnsi="宋体" w:eastAsia="宋体" w:cs="宋体"/>
        </w:rPr>
      </w:pPr>
    </w:p>
    <w:p w14:paraId="5E71ED02">
      <w:pPr>
        <w:pStyle w:val="49"/>
        <w:kinsoku/>
        <w:topLinePunct w:val="0"/>
        <w:bidi w:val="0"/>
        <w:spacing w:line="380" w:lineRule="exact"/>
        <w:ind w:left="0" w:leftChars="0" w:firstLine="0" w:firstLineChars="0"/>
        <w:rPr>
          <w:rFonts w:hint="eastAsia" w:ascii="宋体" w:hAnsi="宋体" w:eastAsia="宋体" w:cs="宋体"/>
        </w:rPr>
      </w:pPr>
    </w:p>
    <w:p w14:paraId="5DC12093">
      <w:pPr>
        <w:pStyle w:val="49"/>
        <w:kinsoku/>
        <w:topLinePunct w:val="0"/>
        <w:bidi w:val="0"/>
        <w:spacing w:line="380" w:lineRule="exact"/>
        <w:ind w:left="0" w:leftChars="0" w:firstLine="0" w:firstLineChars="0"/>
        <w:rPr>
          <w:rFonts w:hint="eastAsia" w:ascii="宋体" w:hAnsi="宋体" w:eastAsia="宋体" w:cs="宋体"/>
        </w:rPr>
      </w:pPr>
    </w:p>
    <w:p w14:paraId="291B91B3">
      <w:pPr>
        <w:pStyle w:val="49"/>
        <w:kinsoku/>
        <w:topLinePunct w:val="0"/>
        <w:bidi w:val="0"/>
        <w:spacing w:line="380" w:lineRule="exact"/>
        <w:rPr>
          <w:rFonts w:hint="eastAsia" w:ascii="宋体" w:hAnsi="宋体" w:eastAsia="宋体" w:cs="宋体"/>
        </w:rPr>
      </w:pPr>
    </w:p>
    <w:p w14:paraId="7F5E89DD">
      <w:pPr>
        <w:pStyle w:val="49"/>
        <w:shd w:val="clear" w:color="auto" w:fill="auto"/>
        <w:rPr>
          <w:rFonts w:hint="eastAsia" w:ascii="宋体" w:hAnsi="宋体" w:eastAsia="宋体" w:cs="宋体"/>
          <w:color w:val="auto"/>
          <w:sz w:val="24"/>
          <w:highlight w:val="none"/>
        </w:rPr>
      </w:pPr>
      <w:bookmarkStart w:id="152" w:name="_Toc6386"/>
    </w:p>
    <w:p w14:paraId="100D24F2">
      <w:pPr>
        <w:pStyle w:val="49"/>
        <w:shd w:val="clear" w:color="auto" w:fill="auto"/>
        <w:rPr>
          <w:rFonts w:hint="eastAsia" w:ascii="宋体" w:hAnsi="宋体" w:eastAsia="宋体" w:cs="宋体"/>
          <w:color w:val="auto"/>
          <w:sz w:val="24"/>
          <w:highlight w:val="none"/>
        </w:rPr>
      </w:pPr>
    </w:p>
    <w:p w14:paraId="5E8DE669">
      <w:pPr>
        <w:pStyle w:val="49"/>
        <w:shd w:val="clear" w:color="auto" w:fill="auto"/>
        <w:rPr>
          <w:rFonts w:hint="eastAsia" w:ascii="宋体" w:hAnsi="宋体" w:eastAsia="宋体" w:cs="宋体"/>
          <w:color w:val="auto"/>
          <w:sz w:val="24"/>
          <w:highlight w:val="none"/>
        </w:rPr>
      </w:pPr>
    </w:p>
    <w:p w14:paraId="765D2E35">
      <w:pPr>
        <w:pStyle w:val="49"/>
        <w:shd w:val="clear" w:color="auto" w:fill="auto"/>
        <w:rPr>
          <w:rFonts w:hint="eastAsia" w:ascii="宋体" w:hAnsi="宋体" w:eastAsia="宋体" w:cs="宋体"/>
          <w:color w:val="auto"/>
          <w:sz w:val="24"/>
          <w:highlight w:val="none"/>
        </w:rPr>
      </w:pPr>
    </w:p>
    <w:p w14:paraId="747F23B7">
      <w:pPr>
        <w:pStyle w:val="4"/>
        <w:numPr>
          <w:ilvl w:val="0"/>
          <w:numId w:val="0"/>
        </w:numPr>
        <w:shd w:val="clear" w:color="auto" w:fill="auto"/>
        <w:spacing w:before="0" w:line="240" w:lineRule="atLeast"/>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val="en-US" w:eastAsia="zh-CN"/>
        </w:rPr>
        <w:t>10</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rPr>
        <w:t>投标人关联单位的说明</w:t>
      </w:r>
      <w:bookmarkEnd w:id="139"/>
      <w:bookmarkEnd w:id="140"/>
      <w:bookmarkEnd w:id="141"/>
      <w:bookmarkEnd w:id="152"/>
    </w:p>
    <w:p w14:paraId="0DEF82E2">
      <w:pPr>
        <w:pStyle w:val="7"/>
        <w:shd w:val="clear" w:color="auto" w:fill="auto"/>
        <w:jc w:val="center"/>
        <w:rPr>
          <w:rFonts w:hint="eastAsia" w:ascii="宋体" w:hAnsi="宋体" w:eastAsia="宋体" w:cs="宋体"/>
          <w:color w:val="auto"/>
          <w:highlight w:val="none"/>
        </w:rPr>
      </w:pPr>
    </w:p>
    <w:p w14:paraId="37B711CB">
      <w:pPr>
        <w:pStyle w:val="7"/>
        <w:shd w:val="clear" w:color="auto" w:fill="auto"/>
        <w:ind w:firstLine="426" w:firstLineChars="200"/>
        <w:rPr>
          <w:rFonts w:hint="eastAsia" w:ascii="宋体" w:hAnsi="宋体" w:eastAsia="宋体" w:cs="宋体"/>
          <w:color w:val="auto"/>
          <w:sz w:val="21"/>
          <w:szCs w:val="16"/>
          <w:highlight w:val="none"/>
        </w:rPr>
      </w:pPr>
      <w:r>
        <w:rPr>
          <w:rFonts w:hint="eastAsia" w:ascii="宋体" w:hAnsi="宋体" w:eastAsia="宋体" w:cs="宋体"/>
          <w:color w:val="auto"/>
          <w:sz w:val="21"/>
          <w:szCs w:val="16"/>
          <w:highlight w:val="none"/>
        </w:rPr>
        <w:t>说明：投标人应当如实披露与本单位存在下列关联关系的单位名称：</w:t>
      </w:r>
    </w:p>
    <w:p w14:paraId="645008B5">
      <w:pPr>
        <w:pStyle w:val="7"/>
        <w:shd w:val="clear" w:color="auto" w:fill="auto"/>
        <w:ind w:firstLine="426" w:firstLineChars="200"/>
        <w:rPr>
          <w:rFonts w:hint="eastAsia" w:ascii="宋体" w:hAnsi="宋体" w:eastAsia="宋体" w:cs="宋体"/>
          <w:color w:val="auto"/>
          <w:sz w:val="21"/>
          <w:szCs w:val="16"/>
          <w:highlight w:val="none"/>
          <w:lang w:eastAsia="zh-CN"/>
        </w:rPr>
      </w:pPr>
      <w:r>
        <w:rPr>
          <w:rFonts w:hint="eastAsia" w:ascii="宋体" w:hAnsi="宋体" w:eastAsia="宋体" w:cs="宋体"/>
          <w:color w:val="auto"/>
          <w:sz w:val="21"/>
          <w:szCs w:val="16"/>
          <w:highlight w:val="none"/>
        </w:rPr>
        <w:t>（1）与投标人单位负责人为同一人的其他单位；</w:t>
      </w:r>
    </w:p>
    <w:p w14:paraId="5E50416E">
      <w:pPr>
        <w:pStyle w:val="7"/>
        <w:shd w:val="clear" w:color="auto" w:fill="auto"/>
        <w:ind w:firstLine="426" w:firstLineChars="200"/>
        <w:rPr>
          <w:rFonts w:hint="eastAsia" w:ascii="宋体" w:hAnsi="宋体" w:eastAsia="宋体" w:cs="宋体"/>
          <w:color w:val="auto"/>
          <w:sz w:val="21"/>
          <w:szCs w:val="16"/>
          <w:highlight w:val="none"/>
        </w:rPr>
      </w:pPr>
      <w:r>
        <w:rPr>
          <w:rFonts w:hint="eastAsia" w:ascii="宋体" w:hAnsi="宋体" w:eastAsia="宋体" w:cs="宋体"/>
          <w:color w:val="auto"/>
          <w:sz w:val="21"/>
          <w:szCs w:val="16"/>
          <w:highlight w:val="none"/>
        </w:rPr>
        <w:t>（2）与投标人存在直接控股、管理关系的其他单位。</w:t>
      </w:r>
    </w:p>
    <w:p w14:paraId="0947296E">
      <w:pPr>
        <w:pStyle w:val="7"/>
        <w:shd w:val="clear" w:color="auto" w:fill="auto"/>
        <w:ind w:firstLine="0"/>
        <w:rPr>
          <w:rFonts w:hint="eastAsia" w:ascii="宋体" w:hAnsi="宋体" w:eastAsia="宋体" w:cs="宋体"/>
          <w:color w:val="auto"/>
          <w:highlight w:val="none"/>
        </w:rPr>
      </w:pPr>
      <w:bookmarkStart w:id="153" w:name="_Toc17333"/>
      <w:bookmarkStart w:id="154" w:name="_Toc7414"/>
      <w:bookmarkStart w:id="155" w:name="_Toc515647828"/>
    </w:p>
    <w:p w14:paraId="73067420">
      <w:pPr>
        <w:pStyle w:val="49"/>
        <w:shd w:val="clear" w:color="auto" w:fill="auto"/>
        <w:ind w:left="0" w:leftChars="0" w:firstLine="0" w:firstLineChars="0"/>
        <w:rPr>
          <w:rFonts w:hint="eastAsia" w:ascii="宋体" w:hAnsi="宋体" w:eastAsia="宋体" w:cs="宋体"/>
          <w:color w:val="auto"/>
          <w:highlight w:val="none"/>
        </w:rPr>
      </w:pPr>
    </w:p>
    <w:p w14:paraId="3D996619">
      <w:pPr>
        <w:pStyle w:val="49"/>
        <w:shd w:val="clear" w:color="auto" w:fill="auto"/>
        <w:ind w:left="0" w:leftChars="0" w:firstLine="0" w:firstLineChars="0"/>
        <w:rPr>
          <w:rFonts w:hint="eastAsia" w:ascii="宋体" w:hAnsi="宋体" w:eastAsia="宋体" w:cs="宋体"/>
          <w:color w:val="auto"/>
          <w:highlight w:val="none"/>
        </w:rPr>
      </w:pPr>
    </w:p>
    <w:bookmarkEnd w:id="153"/>
    <w:bookmarkEnd w:id="154"/>
    <w:bookmarkEnd w:id="155"/>
    <w:p w14:paraId="6B4E69E4">
      <w:pPr>
        <w:pStyle w:val="4"/>
        <w:numPr>
          <w:ilvl w:val="1"/>
          <w:numId w:val="0"/>
        </w:numPr>
        <w:shd w:val="clear" w:color="auto" w:fill="auto"/>
        <w:spacing w:before="0" w:line="240" w:lineRule="atLeast"/>
        <w:jc w:val="both"/>
        <w:rPr>
          <w:rFonts w:hint="eastAsia" w:ascii="宋体" w:hAnsi="宋体" w:eastAsia="宋体" w:cs="宋体"/>
          <w:b/>
          <w:bCs/>
          <w:color w:val="auto"/>
          <w:sz w:val="24"/>
          <w:highlight w:val="none"/>
          <w:lang w:val="en-US" w:eastAsia="zh-CN"/>
        </w:rPr>
      </w:pPr>
    </w:p>
    <w:p w14:paraId="6F89AAFB">
      <w:pPr>
        <w:pStyle w:val="4"/>
        <w:numPr>
          <w:ilvl w:val="1"/>
          <w:numId w:val="0"/>
        </w:numPr>
        <w:shd w:val="clear" w:color="auto" w:fill="auto"/>
        <w:spacing w:before="0" w:line="240" w:lineRule="atLeast"/>
        <w:jc w:val="center"/>
        <w:rPr>
          <w:rFonts w:hint="eastAsia" w:ascii="宋体" w:hAnsi="宋体" w:eastAsia="宋体" w:cs="宋体"/>
          <w:b/>
          <w:bCs/>
          <w:color w:val="auto"/>
          <w:sz w:val="24"/>
          <w:highlight w:val="none"/>
          <w:lang w:val="en-US" w:eastAsia="zh-CN"/>
        </w:rPr>
      </w:pPr>
    </w:p>
    <w:p w14:paraId="15148486">
      <w:pPr>
        <w:pStyle w:val="4"/>
        <w:numPr>
          <w:ilvl w:val="1"/>
          <w:numId w:val="0"/>
        </w:numPr>
        <w:shd w:val="clear" w:color="auto" w:fill="auto"/>
        <w:spacing w:before="0" w:line="240" w:lineRule="atLeast"/>
        <w:jc w:val="center"/>
        <w:rPr>
          <w:rFonts w:hint="eastAsia" w:ascii="宋体" w:hAnsi="宋体" w:eastAsia="宋体" w:cs="宋体"/>
          <w:b/>
          <w:bCs/>
          <w:color w:val="auto"/>
          <w:sz w:val="24"/>
          <w:highlight w:val="none"/>
          <w:lang w:eastAsia="zh-CN"/>
        </w:rPr>
      </w:pPr>
      <w:r>
        <w:rPr>
          <w:rFonts w:hint="eastAsia" w:ascii="宋体" w:hAnsi="宋体" w:eastAsia="宋体" w:cs="宋体"/>
          <w:b/>
          <w:bCs/>
          <w:color w:val="auto"/>
          <w:sz w:val="24"/>
          <w:highlight w:val="none"/>
          <w:lang w:val="en-US" w:eastAsia="zh-CN"/>
        </w:rPr>
        <w:t>11、</w:t>
      </w:r>
      <w:r>
        <w:rPr>
          <w:rFonts w:hint="eastAsia" w:ascii="宋体" w:hAnsi="宋体" w:eastAsia="宋体" w:cs="宋体"/>
          <w:b/>
          <w:bCs/>
          <w:color w:val="auto"/>
          <w:sz w:val="24"/>
          <w:highlight w:val="none"/>
          <w:lang w:eastAsia="zh-CN"/>
        </w:rPr>
        <w:t>评分标准和细则中技术部分证明材料（格式自拟）</w:t>
      </w:r>
    </w:p>
    <w:p w14:paraId="16990D38">
      <w:pPr>
        <w:pStyle w:val="4"/>
        <w:numPr>
          <w:ilvl w:val="1"/>
          <w:numId w:val="0"/>
        </w:numPr>
        <w:shd w:val="clear" w:color="auto" w:fill="auto"/>
        <w:spacing w:before="0" w:line="240" w:lineRule="atLeast"/>
        <w:ind w:leftChars="257"/>
        <w:jc w:val="center"/>
        <w:rPr>
          <w:rFonts w:hint="eastAsia" w:ascii="宋体" w:hAnsi="宋体" w:eastAsia="宋体" w:cs="宋体"/>
          <w:color w:val="auto"/>
          <w:sz w:val="24"/>
          <w:highlight w:val="none"/>
          <w:lang w:val="en-US" w:eastAsia="zh-CN"/>
        </w:rPr>
      </w:pPr>
    </w:p>
    <w:p w14:paraId="72DB0820">
      <w:pPr>
        <w:pStyle w:val="4"/>
        <w:numPr>
          <w:ilvl w:val="1"/>
          <w:numId w:val="0"/>
        </w:numPr>
        <w:shd w:val="clear" w:color="auto" w:fill="auto"/>
        <w:spacing w:before="0" w:line="240" w:lineRule="atLeast"/>
        <w:ind w:leftChars="257"/>
        <w:jc w:val="center"/>
        <w:rPr>
          <w:rFonts w:hint="eastAsia" w:ascii="宋体" w:hAnsi="宋体" w:eastAsia="宋体" w:cs="宋体"/>
          <w:color w:val="auto"/>
          <w:sz w:val="24"/>
          <w:highlight w:val="none"/>
          <w:lang w:val="en-US" w:eastAsia="zh-CN"/>
        </w:rPr>
      </w:pPr>
    </w:p>
    <w:p w14:paraId="20BA9460">
      <w:pPr>
        <w:pStyle w:val="14"/>
        <w:shd w:val="clear" w:color="auto" w:fill="auto"/>
        <w:tabs>
          <w:tab w:val="left" w:pos="5580"/>
        </w:tabs>
        <w:spacing w:line="360" w:lineRule="auto"/>
        <w:ind w:left="1087" w:leftChars="257" w:hanging="540"/>
        <w:rPr>
          <w:rFonts w:hint="eastAsia" w:ascii="宋体" w:hAnsi="宋体" w:eastAsia="宋体" w:cs="宋体"/>
          <w:color w:val="auto"/>
          <w:sz w:val="21"/>
          <w:szCs w:val="16"/>
          <w:highlight w:val="none"/>
          <w:lang w:eastAsia="zh-CN"/>
        </w:rPr>
      </w:pPr>
      <w:r>
        <w:rPr>
          <w:rFonts w:hint="eastAsia" w:ascii="宋体" w:hAnsi="宋体" w:eastAsia="宋体" w:cs="宋体"/>
          <w:color w:val="auto"/>
          <w:sz w:val="21"/>
          <w:szCs w:val="16"/>
          <w:highlight w:val="none"/>
        </w:rPr>
        <w:t>说明：1.应提供</w:t>
      </w:r>
      <w:r>
        <w:rPr>
          <w:rFonts w:hint="eastAsia" w:ascii="宋体" w:hAnsi="宋体" w:eastAsia="宋体" w:cs="宋体"/>
          <w:color w:val="auto"/>
          <w:sz w:val="21"/>
          <w:szCs w:val="16"/>
          <w:highlight w:val="none"/>
          <w:u w:val="single" w:color="auto"/>
          <w:lang w:eastAsia="zh-CN"/>
        </w:rPr>
        <w:t>评分标准和细则中技术部分</w:t>
      </w:r>
      <w:r>
        <w:rPr>
          <w:rFonts w:hint="eastAsia" w:ascii="宋体" w:hAnsi="宋体" w:eastAsia="宋体" w:cs="宋体"/>
          <w:color w:val="auto"/>
          <w:sz w:val="21"/>
          <w:szCs w:val="16"/>
          <w:highlight w:val="none"/>
        </w:rPr>
        <w:t>要求的其他资格证明文件</w:t>
      </w:r>
      <w:r>
        <w:rPr>
          <w:rFonts w:hint="eastAsia" w:hAnsi="宋体" w:eastAsia="宋体" w:cs="宋体"/>
          <w:color w:val="auto"/>
          <w:sz w:val="21"/>
          <w:szCs w:val="16"/>
          <w:highlight w:val="none"/>
          <w:lang w:eastAsia="zh-CN"/>
        </w:rPr>
        <w:t>。</w:t>
      </w:r>
    </w:p>
    <w:p w14:paraId="2274EFA8">
      <w:pPr>
        <w:pStyle w:val="14"/>
        <w:shd w:val="clear" w:color="auto" w:fill="auto"/>
        <w:tabs>
          <w:tab w:val="left" w:pos="5580"/>
        </w:tabs>
        <w:spacing w:line="360" w:lineRule="auto"/>
        <w:ind w:firstLine="1065" w:firstLineChars="500"/>
        <w:rPr>
          <w:rFonts w:hint="eastAsia" w:ascii="宋体" w:hAnsi="宋体" w:eastAsia="宋体" w:cs="宋体"/>
          <w:color w:val="auto"/>
          <w:sz w:val="21"/>
          <w:szCs w:val="16"/>
          <w:highlight w:val="none"/>
        </w:rPr>
      </w:pPr>
      <w:r>
        <w:rPr>
          <w:rFonts w:hint="eastAsia" w:ascii="宋体" w:hAnsi="宋体" w:eastAsia="宋体" w:cs="宋体"/>
          <w:color w:val="auto"/>
          <w:sz w:val="21"/>
          <w:szCs w:val="16"/>
          <w:highlight w:val="none"/>
        </w:rPr>
        <w:t>2.复印件上应加盖本单位章（自然人投标的无需盖章，需要签字）。</w:t>
      </w:r>
    </w:p>
    <w:p w14:paraId="1CCBA9C2">
      <w:pPr>
        <w:pStyle w:val="14"/>
        <w:shd w:val="clear" w:color="auto" w:fill="auto"/>
        <w:tabs>
          <w:tab w:val="left" w:pos="5580"/>
        </w:tabs>
        <w:spacing w:line="240" w:lineRule="atLeast"/>
        <w:ind w:left="1270" w:leftChars="344" w:hanging="538"/>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14:paraId="54983121">
      <w:pPr>
        <w:pStyle w:val="49"/>
        <w:shd w:val="clear" w:color="auto" w:fill="auto"/>
        <w:ind w:left="0" w:leftChars="0" w:firstLine="0" w:firstLineChars="0"/>
        <w:rPr>
          <w:rFonts w:hint="eastAsia"/>
          <w:color w:val="auto"/>
          <w:highlight w:val="none"/>
          <w:lang w:val="en-US" w:eastAsia="zh-CN"/>
        </w:rPr>
      </w:pPr>
    </w:p>
    <w:p w14:paraId="3452779D">
      <w:pPr>
        <w:pStyle w:val="4"/>
        <w:numPr>
          <w:ilvl w:val="1"/>
          <w:numId w:val="0"/>
        </w:numPr>
        <w:shd w:val="clear" w:color="auto" w:fill="auto"/>
        <w:spacing w:before="0" w:line="240" w:lineRule="atLeast"/>
        <w:ind w:leftChars="257"/>
        <w:jc w:val="center"/>
        <w:rPr>
          <w:rFonts w:hint="eastAsia" w:ascii="宋体" w:hAnsi="宋体" w:eastAsia="宋体" w:cs="宋体"/>
          <w:color w:val="auto"/>
          <w:sz w:val="24"/>
          <w:highlight w:val="none"/>
          <w:lang w:val="en-US" w:eastAsia="zh-CN"/>
        </w:rPr>
      </w:pPr>
    </w:p>
    <w:p w14:paraId="44890405">
      <w:pPr>
        <w:pStyle w:val="4"/>
        <w:numPr>
          <w:ilvl w:val="1"/>
          <w:numId w:val="0"/>
        </w:numPr>
        <w:shd w:val="clear" w:color="auto" w:fill="auto"/>
        <w:spacing w:before="0" w:line="240" w:lineRule="atLeast"/>
        <w:jc w:val="center"/>
        <w:rPr>
          <w:rFonts w:hint="eastAsia" w:ascii="宋体" w:hAnsi="宋体" w:eastAsia="宋体" w:cs="宋体"/>
          <w:b/>
          <w:bCs/>
          <w:color w:val="auto"/>
          <w:sz w:val="24"/>
          <w:highlight w:val="none"/>
          <w:lang w:eastAsia="zh-CN"/>
        </w:rPr>
      </w:pPr>
      <w:r>
        <w:rPr>
          <w:rFonts w:hint="eastAsia" w:ascii="宋体" w:hAnsi="宋体" w:eastAsia="宋体" w:cs="宋体"/>
          <w:b/>
          <w:bCs/>
          <w:color w:val="auto"/>
          <w:sz w:val="24"/>
          <w:highlight w:val="none"/>
          <w:lang w:val="en-US" w:eastAsia="zh-CN"/>
        </w:rPr>
        <w:t>12、</w:t>
      </w:r>
      <w:r>
        <w:rPr>
          <w:rFonts w:hint="eastAsia" w:ascii="宋体" w:hAnsi="宋体" w:eastAsia="宋体" w:cs="宋体"/>
          <w:b/>
          <w:bCs/>
          <w:color w:val="auto"/>
          <w:sz w:val="24"/>
          <w:highlight w:val="none"/>
          <w:lang w:eastAsia="zh-CN"/>
        </w:rPr>
        <w:t>评分标准和细则中商务部分证明材料（格式自拟）</w:t>
      </w:r>
    </w:p>
    <w:p w14:paraId="01028D48">
      <w:pPr>
        <w:pStyle w:val="14"/>
        <w:shd w:val="clear" w:color="auto" w:fill="auto"/>
        <w:tabs>
          <w:tab w:val="left" w:pos="5580"/>
        </w:tabs>
        <w:spacing w:line="240" w:lineRule="atLeast"/>
        <w:ind w:left="1087" w:leftChars="257" w:hanging="540"/>
        <w:rPr>
          <w:rFonts w:hint="eastAsia" w:ascii="宋体" w:hAnsi="宋体" w:eastAsia="宋体" w:cs="宋体"/>
          <w:color w:val="auto"/>
          <w:sz w:val="24"/>
          <w:highlight w:val="none"/>
        </w:rPr>
      </w:pPr>
    </w:p>
    <w:p w14:paraId="5F1F1FF2">
      <w:pPr>
        <w:pStyle w:val="14"/>
        <w:shd w:val="clear" w:color="auto" w:fill="auto"/>
        <w:tabs>
          <w:tab w:val="left" w:pos="5580"/>
        </w:tabs>
        <w:spacing w:line="240" w:lineRule="atLeast"/>
        <w:ind w:left="1087" w:leftChars="257" w:hanging="540"/>
        <w:rPr>
          <w:rFonts w:hint="eastAsia" w:ascii="宋体" w:hAnsi="宋体" w:eastAsia="宋体" w:cs="宋体"/>
          <w:color w:val="auto"/>
          <w:sz w:val="24"/>
          <w:highlight w:val="none"/>
        </w:rPr>
      </w:pPr>
    </w:p>
    <w:p w14:paraId="5674B51D">
      <w:pPr>
        <w:pStyle w:val="14"/>
        <w:shd w:val="clear" w:color="auto" w:fill="auto"/>
        <w:tabs>
          <w:tab w:val="left" w:pos="5580"/>
        </w:tabs>
        <w:spacing w:line="360" w:lineRule="auto"/>
        <w:ind w:left="1087" w:leftChars="257" w:hanging="540"/>
        <w:rPr>
          <w:rFonts w:hint="eastAsia" w:ascii="宋体" w:hAnsi="宋体" w:eastAsia="宋体" w:cs="宋体"/>
          <w:color w:val="auto"/>
          <w:sz w:val="21"/>
          <w:szCs w:val="16"/>
          <w:highlight w:val="none"/>
        </w:rPr>
      </w:pPr>
      <w:r>
        <w:rPr>
          <w:rFonts w:hint="eastAsia" w:ascii="宋体" w:hAnsi="宋体" w:eastAsia="宋体" w:cs="宋体"/>
          <w:color w:val="auto"/>
          <w:sz w:val="21"/>
          <w:szCs w:val="16"/>
          <w:highlight w:val="none"/>
        </w:rPr>
        <w:t>说明</w:t>
      </w:r>
      <w:r>
        <w:rPr>
          <w:rFonts w:hint="eastAsia" w:ascii="宋体" w:hAnsi="宋体" w:eastAsia="宋体" w:cs="宋体"/>
          <w:color w:val="auto"/>
          <w:sz w:val="21"/>
          <w:szCs w:val="16"/>
          <w:highlight w:val="none"/>
          <w:lang w:val="en-US" w:eastAsia="zh-CN"/>
        </w:rPr>
        <w:t>.</w:t>
      </w:r>
      <w:r>
        <w:rPr>
          <w:rFonts w:hint="eastAsia" w:ascii="宋体" w:hAnsi="宋体" w:eastAsia="宋体" w:cs="宋体"/>
          <w:color w:val="auto"/>
          <w:sz w:val="21"/>
          <w:szCs w:val="16"/>
          <w:highlight w:val="none"/>
        </w:rPr>
        <w:t>1.应提供</w:t>
      </w:r>
      <w:r>
        <w:rPr>
          <w:rFonts w:hint="eastAsia" w:ascii="宋体" w:hAnsi="宋体" w:eastAsia="宋体" w:cs="宋体"/>
          <w:color w:val="auto"/>
          <w:sz w:val="21"/>
          <w:szCs w:val="16"/>
          <w:highlight w:val="none"/>
          <w:lang w:eastAsia="zh-CN"/>
        </w:rPr>
        <w:t>评分标准和细则中商务部分</w:t>
      </w:r>
      <w:r>
        <w:rPr>
          <w:rFonts w:hint="eastAsia" w:ascii="宋体" w:hAnsi="宋体" w:eastAsia="宋体" w:cs="宋体"/>
          <w:color w:val="auto"/>
          <w:sz w:val="21"/>
          <w:szCs w:val="16"/>
          <w:highlight w:val="none"/>
        </w:rPr>
        <w:t>要求的其他资格证明文件。</w:t>
      </w:r>
    </w:p>
    <w:p w14:paraId="7B0016D0">
      <w:pPr>
        <w:pStyle w:val="14"/>
        <w:shd w:val="clear" w:color="auto" w:fill="auto"/>
        <w:tabs>
          <w:tab w:val="left" w:pos="5580"/>
        </w:tabs>
        <w:spacing w:line="360" w:lineRule="auto"/>
        <w:ind w:left="1153" w:leftChars="485" w:hanging="120" w:hangingChars="57"/>
        <w:rPr>
          <w:rFonts w:hint="eastAsia" w:ascii="宋体" w:hAnsi="宋体" w:eastAsia="宋体" w:cs="宋体"/>
          <w:color w:val="auto"/>
          <w:sz w:val="21"/>
          <w:szCs w:val="16"/>
          <w:highlight w:val="none"/>
        </w:rPr>
      </w:pPr>
      <w:r>
        <w:rPr>
          <w:rFonts w:hint="eastAsia" w:ascii="宋体" w:hAnsi="宋体" w:eastAsia="宋体" w:cs="宋体"/>
          <w:color w:val="auto"/>
          <w:sz w:val="21"/>
          <w:szCs w:val="16"/>
          <w:highlight w:val="none"/>
        </w:rPr>
        <w:t>2.复印件上应加盖本单位章（自然人投标的无需盖章，需要签字）。</w:t>
      </w:r>
    </w:p>
    <w:p w14:paraId="56C48BD4">
      <w:pPr>
        <w:pStyle w:val="14"/>
        <w:shd w:val="clear" w:color="auto" w:fill="auto"/>
        <w:tabs>
          <w:tab w:val="left" w:pos="5580"/>
        </w:tabs>
        <w:spacing w:line="360" w:lineRule="auto"/>
        <w:ind w:left="1087" w:leftChars="257" w:hanging="540"/>
        <w:rPr>
          <w:rFonts w:hint="eastAsia" w:ascii="宋体" w:hAnsi="宋体" w:eastAsia="宋体" w:cs="宋体"/>
          <w:color w:val="auto"/>
          <w:sz w:val="21"/>
          <w:szCs w:val="16"/>
          <w:highlight w:val="none"/>
        </w:rPr>
      </w:pPr>
      <w:r>
        <w:rPr>
          <w:rFonts w:hint="eastAsia" w:ascii="宋体" w:hAnsi="宋体" w:eastAsia="宋体" w:cs="宋体"/>
          <w:color w:val="auto"/>
          <w:sz w:val="21"/>
          <w:szCs w:val="16"/>
          <w:highlight w:val="none"/>
        </w:rPr>
        <w:t xml:space="preserve"> </w:t>
      </w:r>
      <w:r>
        <w:rPr>
          <w:rFonts w:hint="eastAsia" w:ascii="宋体" w:hAnsi="宋体" w:eastAsia="宋体" w:cs="宋体"/>
          <w:color w:val="auto"/>
          <w:sz w:val="21"/>
          <w:szCs w:val="16"/>
          <w:highlight w:val="none"/>
          <w:lang w:val="en-US" w:eastAsia="zh-CN"/>
        </w:rPr>
        <w:t xml:space="preserve">   </w:t>
      </w:r>
      <w:r>
        <w:rPr>
          <w:rFonts w:hint="eastAsia" w:ascii="宋体" w:hAnsi="宋体" w:eastAsia="宋体" w:cs="宋体"/>
          <w:color w:val="auto"/>
          <w:sz w:val="21"/>
          <w:szCs w:val="16"/>
          <w:highlight w:val="none"/>
        </w:rPr>
        <w:t>3. （本项目不接受联合体）如果是联合体投标，联合体各方需提供的满足</w:t>
      </w:r>
      <w:r>
        <w:rPr>
          <w:rFonts w:hint="eastAsia" w:hAnsi="宋体" w:cs="宋体"/>
          <w:color w:val="auto"/>
          <w:sz w:val="21"/>
          <w:szCs w:val="16"/>
          <w:highlight w:val="none"/>
          <w:lang w:val="en-US" w:eastAsia="zh-CN"/>
        </w:rPr>
        <w:t>招标</w:t>
      </w:r>
      <w:r>
        <w:rPr>
          <w:rFonts w:hint="eastAsia" w:ascii="宋体" w:hAnsi="宋体" w:eastAsia="宋体" w:cs="宋体"/>
          <w:color w:val="auto"/>
          <w:sz w:val="21"/>
          <w:szCs w:val="16"/>
          <w:highlight w:val="none"/>
          <w:lang w:eastAsia="zh-CN"/>
        </w:rPr>
        <w:t>文件</w:t>
      </w:r>
      <w:r>
        <w:rPr>
          <w:rFonts w:hint="eastAsia" w:ascii="宋体" w:hAnsi="宋体" w:eastAsia="宋体" w:cs="宋体"/>
          <w:color w:val="auto"/>
          <w:sz w:val="21"/>
          <w:szCs w:val="16"/>
          <w:highlight w:val="none"/>
        </w:rPr>
        <w:t>要求的其他资格证明文件。</w:t>
      </w:r>
    </w:p>
    <w:p w14:paraId="7149D589">
      <w:pPr>
        <w:pStyle w:val="4"/>
        <w:numPr>
          <w:ilvl w:val="1"/>
          <w:numId w:val="0"/>
        </w:numPr>
        <w:shd w:val="clear" w:color="auto" w:fill="auto"/>
        <w:spacing w:before="0" w:line="240" w:lineRule="atLeast"/>
        <w:ind w:leftChars="257"/>
        <w:jc w:val="center"/>
        <w:rPr>
          <w:rFonts w:hint="eastAsia" w:ascii="宋体" w:hAnsi="宋体" w:eastAsia="宋体" w:cs="宋体"/>
          <w:color w:val="auto"/>
          <w:sz w:val="24"/>
          <w:highlight w:val="none"/>
          <w:lang w:val="en-US" w:eastAsia="zh-CN"/>
        </w:rPr>
      </w:pPr>
    </w:p>
    <w:p w14:paraId="5EE09D82">
      <w:pPr>
        <w:pStyle w:val="49"/>
        <w:shd w:val="clear" w:color="auto" w:fill="auto"/>
        <w:rPr>
          <w:rFonts w:hint="eastAsia" w:ascii="宋体" w:hAnsi="宋体" w:eastAsia="宋体" w:cs="宋体"/>
          <w:color w:val="auto"/>
          <w:sz w:val="24"/>
          <w:highlight w:val="none"/>
          <w:lang w:val="en-US" w:eastAsia="zh-CN"/>
        </w:rPr>
      </w:pPr>
    </w:p>
    <w:p w14:paraId="233788A5">
      <w:pPr>
        <w:pStyle w:val="4"/>
        <w:numPr>
          <w:ilvl w:val="1"/>
          <w:numId w:val="0"/>
        </w:numPr>
        <w:shd w:val="clear" w:color="auto" w:fill="auto"/>
        <w:spacing w:before="0" w:line="240" w:lineRule="atLeast"/>
        <w:ind w:leftChars="257"/>
        <w:jc w:val="center"/>
        <w:rPr>
          <w:rFonts w:hint="eastAsia" w:ascii="宋体" w:hAnsi="宋体" w:eastAsia="宋体" w:cs="宋体"/>
          <w:color w:val="auto"/>
          <w:sz w:val="24"/>
          <w:highlight w:val="none"/>
          <w:lang w:val="en-US" w:eastAsia="zh-CN"/>
        </w:rPr>
      </w:pPr>
    </w:p>
    <w:p w14:paraId="5C71258B">
      <w:pPr>
        <w:pStyle w:val="4"/>
        <w:numPr>
          <w:ilvl w:val="1"/>
          <w:numId w:val="0"/>
        </w:numPr>
        <w:shd w:val="clear" w:color="auto" w:fill="auto"/>
        <w:spacing w:before="0" w:line="240" w:lineRule="atLeast"/>
        <w:jc w:val="left"/>
        <w:rPr>
          <w:rFonts w:hint="eastAsia" w:ascii="宋体" w:hAnsi="宋体" w:eastAsia="宋体" w:cs="宋体"/>
          <w:color w:val="auto"/>
          <w:sz w:val="24"/>
          <w:highlight w:val="none"/>
          <w:lang w:val="en-US" w:eastAsia="zh-CN"/>
        </w:rPr>
      </w:pPr>
    </w:p>
    <w:p w14:paraId="1DDCC1F9">
      <w:pPr>
        <w:pStyle w:val="4"/>
        <w:numPr>
          <w:ilvl w:val="1"/>
          <w:numId w:val="0"/>
        </w:numPr>
        <w:shd w:val="clear" w:color="auto" w:fill="auto"/>
        <w:spacing w:before="0" w:line="240" w:lineRule="atLeast"/>
        <w:jc w:val="center"/>
        <w:rPr>
          <w:rFonts w:hint="eastAsia" w:ascii="宋体" w:hAnsi="宋体" w:eastAsia="宋体" w:cs="宋体"/>
          <w:b/>
          <w:bCs/>
          <w:color w:val="auto"/>
          <w:sz w:val="24"/>
          <w:highlight w:val="none"/>
          <w:lang w:eastAsia="zh-CN"/>
        </w:rPr>
      </w:pPr>
      <w:r>
        <w:rPr>
          <w:rFonts w:hint="eastAsia" w:ascii="宋体" w:hAnsi="宋体" w:eastAsia="宋体" w:cs="宋体"/>
          <w:b/>
          <w:bCs/>
          <w:color w:val="auto"/>
          <w:sz w:val="24"/>
          <w:highlight w:val="none"/>
          <w:lang w:val="en-US" w:eastAsia="zh-CN"/>
        </w:rPr>
        <w:t>13、</w:t>
      </w:r>
      <w:r>
        <w:rPr>
          <w:rFonts w:hint="eastAsia" w:ascii="宋体" w:hAnsi="宋体" w:eastAsia="宋体" w:cs="宋体"/>
          <w:b/>
          <w:bCs/>
          <w:color w:val="auto"/>
          <w:sz w:val="24"/>
          <w:highlight w:val="none"/>
          <w:lang w:eastAsia="zh-CN"/>
        </w:rPr>
        <w:t>投标人认为有必要提供的其他证明材料（格式自拟）</w:t>
      </w:r>
    </w:p>
    <w:p w14:paraId="2D245FEC">
      <w:pPr>
        <w:shd w:val="clear" w:color="auto" w:fill="auto"/>
        <w:rPr>
          <w:rFonts w:hint="eastAsia" w:ascii="宋体" w:hAnsi="宋体" w:eastAsia="宋体" w:cs="宋体"/>
          <w:color w:val="auto"/>
          <w:highlight w:val="none"/>
        </w:rPr>
      </w:pPr>
    </w:p>
    <w:p w14:paraId="44892EC3">
      <w:pPr>
        <w:pStyle w:val="14"/>
        <w:shd w:val="clear" w:color="auto" w:fill="auto"/>
        <w:tabs>
          <w:tab w:val="left" w:pos="5580"/>
        </w:tabs>
        <w:spacing w:line="240" w:lineRule="atLeast"/>
        <w:ind w:firstLine="486"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说明：1.复印件上应加盖本单位章（自然人投标的无需盖章，需要签字）。</w:t>
      </w:r>
    </w:p>
    <w:p w14:paraId="59F74A85">
      <w:pPr>
        <w:pStyle w:val="14"/>
        <w:shd w:val="clear" w:color="auto" w:fill="auto"/>
        <w:tabs>
          <w:tab w:val="left" w:pos="5580"/>
        </w:tabs>
        <w:spacing w:line="240" w:lineRule="atLeast"/>
        <w:ind w:left="1214" w:leftChars="570" w:firstLine="0" w:firstLineChars="0"/>
        <w:rPr>
          <w:rFonts w:hint="eastAsia"/>
          <w:color w:val="auto"/>
          <w:highlight w:val="none"/>
        </w:rPr>
      </w:pPr>
      <w:r>
        <w:rPr>
          <w:rFonts w:hint="eastAsia" w:ascii="宋体" w:hAnsi="宋体" w:eastAsia="宋体" w:cs="宋体"/>
          <w:b w:val="0"/>
          <w:bCs w:val="0"/>
          <w:color w:val="auto"/>
          <w:kern w:val="2"/>
          <w:sz w:val="24"/>
          <w:szCs w:val="20"/>
          <w:highlight w:val="none"/>
          <w:u w:val="none" w:color="000000"/>
          <w:lang w:val="en-US" w:eastAsia="zh-CN" w:bidi="ar-SA"/>
        </w:rPr>
        <w:t>2.（本项目不接受联合体）如果是联合体投标，联合体各方需提供的满足</w:t>
      </w:r>
      <w:r>
        <w:rPr>
          <w:rFonts w:hint="eastAsia" w:hAnsi="宋体" w:cs="宋体"/>
          <w:b w:val="0"/>
          <w:bCs w:val="0"/>
          <w:color w:val="auto"/>
          <w:kern w:val="2"/>
          <w:sz w:val="24"/>
          <w:szCs w:val="20"/>
          <w:highlight w:val="none"/>
          <w:u w:val="none" w:color="000000"/>
          <w:lang w:val="en-US" w:eastAsia="zh-CN" w:bidi="ar-SA"/>
        </w:rPr>
        <w:t>招标</w:t>
      </w:r>
      <w:r>
        <w:rPr>
          <w:rFonts w:hint="eastAsia" w:hAnsi="宋体" w:eastAsia="宋体" w:cs="宋体"/>
          <w:b w:val="0"/>
          <w:bCs w:val="0"/>
          <w:color w:val="auto"/>
          <w:kern w:val="2"/>
          <w:sz w:val="24"/>
          <w:szCs w:val="20"/>
          <w:highlight w:val="none"/>
          <w:u w:val="none" w:color="000000"/>
          <w:lang w:val="en-US" w:eastAsia="zh-CN" w:bidi="ar-SA"/>
        </w:rPr>
        <w:t>文件</w:t>
      </w:r>
      <w:r>
        <w:rPr>
          <w:rFonts w:hint="eastAsia" w:ascii="宋体" w:hAnsi="宋体" w:eastAsia="宋体" w:cs="宋体"/>
          <w:b w:val="0"/>
          <w:bCs w:val="0"/>
          <w:color w:val="auto"/>
          <w:kern w:val="2"/>
          <w:sz w:val="24"/>
          <w:szCs w:val="20"/>
          <w:highlight w:val="none"/>
          <w:u w:val="none" w:color="000000"/>
          <w:lang w:val="en-US" w:eastAsia="zh-CN" w:bidi="ar-SA"/>
        </w:rPr>
        <w:t>要求的其他资格证明文件。</w:t>
      </w:r>
    </w:p>
    <w:p w14:paraId="4B85A05E">
      <w:pPr>
        <w:pStyle w:val="14"/>
        <w:shd w:val="clear" w:color="auto" w:fill="auto"/>
        <w:tabs>
          <w:tab w:val="left" w:pos="5580"/>
        </w:tabs>
        <w:spacing w:line="240" w:lineRule="atLeast"/>
        <w:ind w:left="1942" w:leftChars="912" w:firstLine="0" w:firstLineChars="0"/>
        <w:rPr>
          <w:rFonts w:hint="eastAsia"/>
          <w:color w:val="auto"/>
          <w:highlight w:val="none"/>
        </w:rPr>
      </w:pPr>
    </w:p>
    <w:p w14:paraId="35A7063C">
      <w:pPr>
        <w:pStyle w:val="15"/>
        <w:rPr>
          <w:rFonts w:hint="eastAsia"/>
          <w:color w:val="auto"/>
          <w:highlight w:val="none"/>
        </w:rPr>
      </w:pPr>
    </w:p>
    <w:p w14:paraId="10E3257C">
      <w:pPr>
        <w:rPr>
          <w:rFonts w:hint="eastAsia"/>
          <w:color w:val="auto"/>
          <w:highlight w:val="none"/>
        </w:rPr>
      </w:pPr>
    </w:p>
    <w:p w14:paraId="5E6B06FB">
      <w:pPr>
        <w:pStyle w:val="10"/>
        <w:rPr>
          <w:rFonts w:hint="eastAsia"/>
          <w:color w:val="auto"/>
          <w:highlight w:val="none"/>
        </w:rPr>
      </w:pPr>
    </w:p>
    <w:tbl>
      <w:tblPr>
        <w:tblStyle w:val="28"/>
        <w:tblW w:w="10938"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
      <w:tblGrid>
        <w:gridCol w:w="1925"/>
        <w:gridCol w:w="606"/>
        <w:gridCol w:w="835"/>
        <w:gridCol w:w="843"/>
        <w:gridCol w:w="766"/>
        <w:gridCol w:w="936"/>
        <w:gridCol w:w="740"/>
        <w:gridCol w:w="785"/>
        <w:gridCol w:w="785"/>
        <w:gridCol w:w="704"/>
        <w:gridCol w:w="798"/>
        <w:gridCol w:w="714"/>
        <w:gridCol w:w="501"/>
      </w:tblGrid>
      <w:tr w14:paraId="5E4005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29" w:hRule="atLeast"/>
          <w:jc w:val="center"/>
        </w:trPr>
        <w:tc>
          <w:tcPr>
            <w:tcW w:w="1925" w:type="dxa"/>
            <w:vMerge w:val="restart"/>
            <w:tcBorders>
              <w:top w:val="single" w:color="000000" w:sz="12" w:space="0"/>
              <w:left w:val="single" w:color="000000" w:sz="12" w:space="0"/>
              <w:bottom w:val="single" w:color="000000" w:sz="4" w:space="0"/>
              <w:right w:val="single" w:color="000000" w:sz="4" w:space="0"/>
            </w:tcBorders>
            <w:noWrap w:val="0"/>
            <w:vAlign w:val="center"/>
          </w:tcPr>
          <w:p w14:paraId="7DFF8CC1">
            <w:pPr>
              <w:keepNext w:val="0"/>
              <w:keepLines w:val="0"/>
              <w:widowControl/>
              <w:suppressLineNumbers w:val="0"/>
              <w:jc w:val="center"/>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行业</w:t>
            </w:r>
          </w:p>
        </w:tc>
        <w:tc>
          <w:tcPr>
            <w:tcW w:w="2284" w:type="dxa"/>
            <w:gridSpan w:val="3"/>
            <w:tcBorders>
              <w:top w:val="single" w:color="000000" w:sz="12" w:space="0"/>
              <w:left w:val="single" w:color="000000" w:sz="4" w:space="0"/>
              <w:bottom w:val="single" w:color="000000" w:sz="4" w:space="0"/>
              <w:right w:val="single" w:color="000000" w:sz="4" w:space="0"/>
            </w:tcBorders>
            <w:noWrap w:val="0"/>
            <w:vAlign w:val="center"/>
          </w:tcPr>
          <w:p w14:paraId="257488F4">
            <w:pPr>
              <w:keepNext w:val="0"/>
              <w:keepLines w:val="0"/>
              <w:widowControl/>
              <w:suppressLineNumbers w:val="0"/>
              <w:jc w:val="center"/>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中小微型企业（</w:t>
            </w:r>
            <w:r>
              <w:rPr>
                <w:rFonts w:hint="eastAsia" w:ascii="仿宋" w:hAnsi="仿宋" w:eastAsia="仿宋" w:cs="仿宋"/>
                <w:b/>
                <w:i w:val="0"/>
                <w:color w:val="auto"/>
                <w:kern w:val="0"/>
                <w:sz w:val="11"/>
                <w:szCs w:val="11"/>
                <w:u w:val="none"/>
                <w:lang w:val="en-US" w:eastAsia="zh-CN" w:bidi="ar"/>
              </w:rPr>
              <w:t>或</w:t>
            </w:r>
            <w:r>
              <w:rPr>
                <w:rStyle w:val="68"/>
                <w:color w:val="auto"/>
                <w:sz w:val="11"/>
                <w:szCs w:val="11"/>
                <w:lang w:val="en-US" w:eastAsia="zh-CN" w:bidi="ar"/>
              </w:rPr>
              <w:t>）</w:t>
            </w:r>
          </w:p>
        </w:tc>
        <w:tc>
          <w:tcPr>
            <w:tcW w:w="2442" w:type="dxa"/>
            <w:gridSpan w:val="3"/>
            <w:tcBorders>
              <w:top w:val="single" w:color="000000" w:sz="12" w:space="0"/>
              <w:left w:val="single" w:color="000000" w:sz="4" w:space="0"/>
              <w:bottom w:val="single" w:color="000000" w:sz="4" w:space="0"/>
              <w:right w:val="single" w:color="000000" w:sz="4" w:space="0"/>
            </w:tcBorders>
            <w:noWrap w:val="0"/>
            <w:vAlign w:val="center"/>
          </w:tcPr>
          <w:p w14:paraId="51215218">
            <w:pPr>
              <w:keepNext w:val="0"/>
              <w:keepLines w:val="0"/>
              <w:widowControl/>
              <w:suppressLineNumbers w:val="0"/>
              <w:jc w:val="center"/>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中型企业（</w:t>
            </w:r>
            <w:r>
              <w:rPr>
                <w:rFonts w:hint="eastAsia" w:ascii="仿宋" w:hAnsi="仿宋" w:eastAsia="仿宋" w:cs="仿宋"/>
                <w:b/>
                <w:i w:val="0"/>
                <w:color w:val="auto"/>
                <w:kern w:val="0"/>
                <w:sz w:val="11"/>
                <w:szCs w:val="11"/>
                <w:u w:val="none"/>
                <w:lang w:val="en-US" w:eastAsia="zh-CN" w:bidi="ar"/>
              </w:rPr>
              <w:t>且</w:t>
            </w:r>
            <w:r>
              <w:rPr>
                <w:rStyle w:val="68"/>
                <w:color w:val="auto"/>
                <w:sz w:val="11"/>
                <w:szCs w:val="11"/>
                <w:lang w:val="en-US" w:eastAsia="zh-CN" w:bidi="ar"/>
              </w:rPr>
              <w:t>）</w:t>
            </w:r>
          </w:p>
        </w:tc>
        <w:tc>
          <w:tcPr>
            <w:tcW w:w="2274" w:type="dxa"/>
            <w:gridSpan w:val="3"/>
            <w:tcBorders>
              <w:top w:val="single" w:color="000000" w:sz="12" w:space="0"/>
              <w:left w:val="single" w:color="000000" w:sz="4" w:space="0"/>
              <w:bottom w:val="single" w:color="000000" w:sz="4" w:space="0"/>
              <w:right w:val="single" w:color="000000" w:sz="4" w:space="0"/>
            </w:tcBorders>
            <w:noWrap w:val="0"/>
            <w:vAlign w:val="center"/>
          </w:tcPr>
          <w:p w14:paraId="56D835D0">
            <w:pPr>
              <w:keepNext w:val="0"/>
              <w:keepLines w:val="0"/>
              <w:widowControl/>
              <w:suppressLineNumbers w:val="0"/>
              <w:jc w:val="center"/>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小型企业（</w:t>
            </w:r>
            <w:r>
              <w:rPr>
                <w:rFonts w:hint="eastAsia" w:ascii="仿宋" w:hAnsi="仿宋" w:eastAsia="仿宋" w:cs="仿宋"/>
                <w:b/>
                <w:i w:val="0"/>
                <w:color w:val="auto"/>
                <w:kern w:val="0"/>
                <w:sz w:val="11"/>
                <w:szCs w:val="11"/>
                <w:u w:val="none"/>
                <w:lang w:val="en-US" w:eastAsia="zh-CN" w:bidi="ar"/>
              </w:rPr>
              <w:t>且</w:t>
            </w:r>
            <w:r>
              <w:rPr>
                <w:rStyle w:val="68"/>
                <w:color w:val="auto"/>
                <w:sz w:val="11"/>
                <w:szCs w:val="11"/>
                <w:lang w:val="en-US" w:eastAsia="zh-CN" w:bidi="ar"/>
              </w:rPr>
              <w:t>）</w:t>
            </w:r>
          </w:p>
        </w:tc>
        <w:tc>
          <w:tcPr>
            <w:tcW w:w="2013" w:type="dxa"/>
            <w:gridSpan w:val="3"/>
            <w:tcBorders>
              <w:top w:val="single" w:color="000000" w:sz="12" w:space="0"/>
              <w:left w:val="single" w:color="000000" w:sz="4" w:space="0"/>
              <w:bottom w:val="single" w:color="000000" w:sz="4" w:space="0"/>
              <w:right w:val="single" w:color="000000" w:sz="12" w:space="0"/>
            </w:tcBorders>
            <w:noWrap w:val="0"/>
            <w:vAlign w:val="center"/>
          </w:tcPr>
          <w:p w14:paraId="62F2FED3">
            <w:pPr>
              <w:keepNext w:val="0"/>
              <w:keepLines w:val="0"/>
              <w:widowControl/>
              <w:suppressLineNumbers w:val="0"/>
              <w:ind w:right="-100" w:rightChars="-47"/>
              <w:jc w:val="center"/>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微型企业（</w:t>
            </w:r>
            <w:r>
              <w:rPr>
                <w:rFonts w:hint="eastAsia" w:ascii="仿宋" w:hAnsi="仿宋" w:eastAsia="仿宋" w:cs="仿宋"/>
                <w:b/>
                <w:i w:val="0"/>
                <w:color w:val="auto"/>
                <w:kern w:val="0"/>
                <w:sz w:val="11"/>
                <w:szCs w:val="11"/>
                <w:u w:val="none"/>
                <w:lang w:val="en-US" w:eastAsia="zh-CN" w:bidi="ar"/>
              </w:rPr>
              <w:t>或</w:t>
            </w:r>
            <w:r>
              <w:rPr>
                <w:rStyle w:val="68"/>
                <w:color w:val="auto"/>
                <w:sz w:val="11"/>
                <w:szCs w:val="11"/>
                <w:lang w:val="en-US" w:eastAsia="zh-CN" w:bidi="ar"/>
              </w:rPr>
              <w:t>）</w:t>
            </w:r>
          </w:p>
        </w:tc>
      </w:tr>
      <w:tr w14:paraId="27F909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29" w:hRule="atLeast"/>
          <w:jc w:val="center"/>
        </w:trPr>
        <w:tc>
          <w:tcPr>
            <w:tcW w:w="1925" w:type="dxa"/>
            <w:vMerge w:val="continue"/>
            <w:tcBorders>
              <w:top w:val="single" w:color="000000" w:sz="12" w:space="0"/>
              <w:left w:val="single" w:color="000000" w:sz="12" w:space="0"/>
              <w:bottom w:val="single" w:color="000000" w:sz="4" w:space="0"/>
              <w:right w:val="single" w:color="000000" w:sz="4" w:space="0"/>
            </w:tcBorders>
            <w:noWrap w:val="0"/>
            <w:vAlign w:val="center"/>
          </w:tcPr>
          <w:p w14:paraId="1A676DAD">
            <w:pPr>
              <w:jc w:val="center"/>
              <w:rPr>
                <w:rFonts w:hint="eastAsia" w:ascii="仿宋" w:hAnsi="仿宋" w:eastAsia="仿宋" w:cs="仿宋"/>
                <w:i w:val="0"/>
                <w:color w:val="000000"/>
                <w:sz w:val="11"/>
                <w:szCs w:val="11"/>
                <w:u w:val="none"/>
              </w:rPr>
            </w:pPr>
          </w:p>
        </w:tc>
        <w:tc>
          <w:tcPr>
            <w:tcW w:w="606" w:type="dxa"/>
            <w:tcBorders>
              <w:top w:val="single" w:color="000000" w:sz="4" w:space="0"/>
              <w:left w:val="single" w:color="000000" w:sz="4" w:space="0"/>
              <w:bottom w:val="single" w:color="000000" w:sz="4" w:space="0"/>
              <w:right w:val="single" w:color="000000" w:sz="4" w:space="0"/>
            </w:tcBorders>
            <w:noWrap w:val="0"/>
            <w:vAlign w:val="center"/>
          </w:tcPr>
          <w:p w14:paraId="033EC154">
            <w:pPr>
              <w:keepNext w:val="0"/>
              <w:keepLines w:val="0"/>
              <w:widowControl/>
              <w:suppressLineNumbers w:val="0"/>
              <w:jc w:val="center"/>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从业人员</w:t>
            </w:r>
          </w:p>
        </w:tc>
        <w:tc>
          <w:tcPr>
            <w:tcW w:w="835" w:type="dxa"/>
            <w:tcBorders>
              <w:top w:val="single" w:color="000000" w:sz="4" w:space="0"/>
              <w:left w:val="single" w:color="000000" w:sz="4" w:space="0"/>
              <w:bottom w:val="single" w:color="000000" w:sz="4" w:space="0"/>
              <w:right w:val="single" w:color="000000" w:sz="4" w:space="0"/>
            </w:tcBorders>
            <w:noWrap w:val="0"/>
            <w:vAlign w:val="center"/>
          </w:tcPr>
          <w:p w14:paraId="6BC60534">
            <w:pPr>
              <w:keepNext w:val="0"/>
              <w:keepLines w:val="0"/>
              <w:widowControl/>
              <w:suppressLineNumbers w:val="0"/>
              <w:jc w:val="center"/>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营业收入</w:t>
            </w:r>
          </w:p>
        </w:tc>
        <w:tc>
          <w:tcPr>
            <w:tcW w:w="843" w:type="dxa"/>
            <w:tcBorders>
              <w:top w:val="single" w:color="000000" w:sz="4" w:space="0"/>
              <w:left w:val="single" w:color="000000" w:sz="4" w:space="0"/>
              <w:bottom w:val="single" w:color="000000" w:sz="4" w:space="0"/>
              <w:right w:val="single" w:color="000000" w:sz="4" w:space="0"/>
            </w:tcBorders>
            <w:noWrap w:val="0"/>
            <w:vAlign w:val="center"/>
          </w:tcPr>
          <w:p w14:paraId="4770D3D7">
            <w:pPr>
              <w:keepNext w:val="0"/>
              <w:keepLines w:val="0"/>
              <w:widowControl/>
              <w:suppressLineNumbers w:val="0"/>
              <w:jc w:val="center"/>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资产总额</w:t>
            </w:r>
          </w:p>
        </w:tc>
        <w:tc>
          <w:tcPr>
            <w:tcW w:w="766" w:type="dxa"/>
            <w:tcBorders>
              <w:top w:val="single" w:color="000000" w:sz="4" w:space="0"/>
              <w:left w:val="single" w:color="000000" w:sz="4" w:space="0"/>
              <w:bottom w:val="single" w:color="000000" w:sz="4" w:space="0"/>
              <w:right w:val="single" w:color="000000" w:sz="4" w:space="0"/>
            </w:tcBorders>
            <w:noWrap w:val="0"/>
            <w:vAlign w:val="center"/>
          </w:tcPr>
          <w:p w14:paraId="183E688D">
            <w:pPr>
              <w:keepNext w:val="0"/>
              <w:keepLines w:val="0"/>
              <w:widowControl/>
              <w:suppressLineNumbers w:val="0"/>
              <w:jc w:val="center"/>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从业人员</w:t>
            </w:r>
          </w:p>
        </w:tc>
        <w:tc>
          <w:tcPr>
            <w:tcW w:w="936" w:type="dxa"/>
            <w:tcBorders>
              <w:top w:val="single" w:color="000000" w:sz="4" w:space="0"/>
              <w:left w:val="single" w:color="000000" w:sz="4" w:space="0"/>
              <w:bottom w:val="single" w:color="000000" w:sz="4" w:space="0"/>
              <w:right w:val="single" w:color="000000" w:sz="4" w:space="0"/>
            </w:tcBorders>
            <w:noWrap w:val="0"/>
            <w:vAlign w:val="center"/>
          </w:tcPr>
          <w:p w14:paraId="45171F62">
            <w:pPr>
              <w:keepNext w:val="0"/>
              <w:keepLines w:val="0"/>
              <w:widowControl/>
              <w:suppressLineNumbers w:val="0"/>
              <w:jc w:val="center"/>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营业收入</w:t>
            </w:r>
          </w:p>
        </w:tc>
        <w:tc>
          <w:tcPr>
            <w:tcW w:w="740" w:type="dxa"/>
            <w:tcBorders>
              <w:top w:val="single" w:color="000000" w:sz="4" w:space="0"/>
              <w:left w:val="single" w:color="000000" w:sz="4" w:space="0"/>
              <w:bottom w:val="single" w:color="000000" w:sz="4" w:space="0"/>
              <w:right w:val="single" w:color="000000" w:sz="4" w:space="0"/>
            </w:tcBorders>
            <w:noWrap w:val="0"/>
            <w:vAlign w:val="center"/>
          </w:tcPr>
          <w:p w14:paraId="7332D7CB">
            <w:pPr>
              <w:keepNext w:val="0"/>
              <w:keepLines w:val="0"/>
              <w:widowControl/>
              <w:suppressLineNumbers w:val="0"/>
              <w:jc w:val="center"/>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资产总额</w:t>
            </w:r>
          </w:p>
        </w:tc>
        <w:tc>
          <w:tcPr>
            <w:tcW w:w="785" w:type="dxa"/>
            <w:tcBorders>
              <w:top w:val="single" w:color="000000" w:sz="4" w:space="0"/>
              <w:left w:val="single" w:color="000000" w:sz="4" w:space="0"/>
              <w:bottom w:val="single" w:color="000000" w:sz="4" w:space="0"/>
              <w:right w:val="single" w:color="000000" w:sz="4" w:space="0"/>
            </w:tcBorders>
            <w:noWrap w:val="0"/>
            <w:vAlign w:val="center"/>
          </w:tcPr>
          <w:p w14:paraId="275F0689">
            <w:pPr>
              <w:keepNext w:val="0"/>
              <w:keepLines w:val="0"/>
              <w:widowControl/>
              <w:suppressLineNumbers w:val="0"/>
              <w:jc w:val="center"/>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从业人员</w:t>
            </w:r>
          </w:p>
        </w:tc>
        <w:tc>
          <w:tcPr>
            <w:tcW w:w="785" w:type="dxa"/>
            <w:tcBorders>
              <w:top w:val="single" w:color="000000" w:sz="4" w:space="0"/>
              <w:left w:val="single" w:color="000000" w:sz="4" w:space="0"/>
              <w:bottom w:val="single" w:color="000000" w:sz="4" w:space="0"/>
              <w:right w:val="single" w:color="000000" w:sz="4" w:space="0"/>
            </w:tcBorders>
            <w:noWrap w:val="0"/>
            <w:vAlign w:val="center"/>
          </w:tcPr>
          <w:p w14:paraId="14665561">
            <w:pPr>
              <w:keepNext w:val="0"/>
              <w:keepLines w:val="0"/>
              <w:widowControl/>
              <w:suppressLineNumbers w:val="0"/>
              <w:jc w:val="center"/>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营业收入</w:t>
            </w:r>
          </w:p>
        </w:tc>
        <w:tc>
          <w:tcPr>
            <w:tcW w:w="704" w:type="dxa"/>
            <w:tcBorders>
              <w:top w:val="single" w:color="000000" w:sz="4" w:space="0"/>
              <w:left w:val="single" w:color="000000" w:sz="4" w:space="0"/>
              <w:bottom w:val="single" w:color="000000" w:sz="4" w:space="0"/>
              <w:right w:val="single" w:color="000000" w:sz="4" w:space="0"/>
            </w:tcBorders>
            <w:noWrap w:val="0"/>
            <w:vAlign w:val="center"/>
          </w:tcPr>
          <w:p w14:paraId="2F1C36B4">
            <w:pPr>
              <w:keepNext w:val="0"/>
              <w:keepLines w:val="0"/>
              <w:widowControl/>
              <w:suppressLineNumbers w:val="0"/>
              <w:jc w:val="center"/>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资产总额</w:t>
            </w:r>
          </w:p>
        </w:tc>
        <w:tc>
          <w:tcPr>
            <w:tcW w:w="798" w:type="dxa"/>
            <w:tcBorders>
              <w:top w:val="single" w:color="000000" w:sz="4" w:space="0"/>
              <w:left w:val="single" w:color="000000" w:sz="4" w:space="0"/>
              <w:bottom w:val="single" w:color="000000" w:sz="4" w:space="0"/>
              <w:right w:val="single" w:color="000000" w:sz="4" w:space="0"/>
            </w:tcBorders>
            <w:noWrap w:val="0"/>
            <w:vAlign w:val="center"/>
          </w:tcPr>
          <w:p w14:paraId="5696AFA9">
            <w:pPr>
              <w:keepNext w:val="0"/>
              <w:keepLines w:val="0"/>
              <w:widowControl/>
              <w:suppressLineNumbers w:val="0"/>
              <w:jc w:val="center"/>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从业人员</w:t>
            </w:r>
          </w:p>
        </w:tc>
        <w:tc>
          <w:tcPr>
            <w:tcW w:w="714" w:type="dxa"/>
            <w:tcBorders>
              <w:top w:val="single" w:color="000000" w:sz="4" w:space="0"/>
              <w:left w:val="single" w:color="000000" w:sz="4" w:space="0"/>
              <w:bottom w:val="single" w:color="000000" w:sz="4" w:space="0"/>
              <w:right w:val="single" w:color="000000" w:sz="4" w:space="0"/>
            </w:tcBorders>
            <w:noWrap w:val="0"/>
            <w:vAlign w:val="center"/>
          </w:tcPr>
          <w:p w14:paraId="6CE89693">
            <w:pPr>
              <w:keepNext w:val="0"/>
              <w:keepLines w:val="0"/>
              <w:widowControl/>
              <w:suppressLineNumbers w:val="0"/>
              <w:jc w:val="center"/>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营业收入</w:t>
            </w:r>
          </w:p>
        </w:tc>
        <w:tc>
          <w:tcPr>
            <w:tcW w:w="501" w:type="dxa"/>
            <w:tcBorders>
              <w:top w:val="single" w:color="000000" w:sz="4" w:space="0"/>
              <w:left w:val="single" w:color="000000" w:sz="4" w:space="0"/>
              <w:bottom w:val="single" w:color="000000" w:sz="4" w:space="0"/>
              <w:right w:val="single" w:color="000000" w:sz="12" w:space="0"/>
            </w:tcBorders>
            <w:noWrap w:val="0"/>
            <w:vAlign w:val="center"/>
          </w:tcPr>
          <w:p w14:paraId="7A1F0E85">
            <w:pPr>
              <w:keepNext w:val="0"/>
              <w:keepLines w:val="0"/>
              <w:widowControl/>
              <w:suppressLineNumbers w:val="0"/>
              <w:jc w:val="center"/>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资产总额</w:t>
            </w:r>
          </w:p>
        </w:tc>
      </w:tr>
      <w:tr w14:paraId="00F494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68" w:hRule="atLeast"/>
          <w:jc w:val="center"/>
        </w:trPr>
        <w:tc>
          <w:tcPr>
            <w:tcW w:w="1925" w:type="dxa"/>
            <w:tcBorders>
              <w:top w:val="single" w:color="000000" w:sz="4" w:space="0"/>
              <w:left w:val="single" w:color="000000" w:sz="12" w:space="0"/>
              <w:bottom w:val="single" w:color="000000" w:sz="4" w:space="0"/>
              <w:right w:val="single" w:color="000000" w:sz="4" w:space="0"/>
            </w:tcBorders>
            <w:noWrap w:val="0"/>
            <w:vAlign w:val="center"/>
          </w:tcPr>
          <w:p w14:paraId="5EBC1875">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农、林、牧、渔业</w:t>
            </w:r>
          </w:p>
        </w:tc>
        <w:tc>
          <w:tcPr>
            <w:tcW w:w="606" w:type="dxa"/>
            <w:tcBorders>
              <w:top w:val="single" w:color="000000" w:sz="4" w:space="0"/>
              <w:left w:val="single" w:color="000000" w:sz="4" w:space="0"/>
              <w:bottom w:val="single" w:color="000000" w:sz="4" w:space="0"/>
              <w:right w:val="single" w:color="000000" w:sz="4" w:space="0"/>
            </w:tcBorders>
            <w:noWrap w:val="0"/>
            <w:vAlign w:val="center"/>
          </w:tcPr>
          <w:p w14:paraId="56C11B06">
            <w:pPr>
              <w:rPr>
                <w:rFonts w:hint="eastAsia" w:ascii="仿宋" w:hAnsi="仿宋" w:eastAsia="仿宋" w:cs="仿宋"/>
                <w:i w:val="0"/>
                <w:color w:val="000000"/>
                <w:sz w:val="11"/>
                <w:szCs w:val="11"/>
                <w:u w:val="none"/>
              </w:rPr>
            </w:pPr>
          </w:p>
        </w:tc>
        <w:tc>
          <w:tcPr>
            <w:tcW w:w="835" w:type="dxa"/>
            <w:tcBorders>
              <w:top w:val="single" w:color="000000" w:sz="4" w:space="0"/>
              <w:left w:val="single" w:color="000000" w:sz="4" w:space="0"/>
              <w:bottom w:val="single" w:color="000000" w:sz="4" w:space="0"/>
              <w:right w:val="single" w:color="000000" w:sz="4" w:space="0"/>
            </w:tcBorders>
            <w:noWrap w:val="0"/>
            <w:vAlign w:val="center"/>
          </w:tcPr>
          <w:p w14:paraId="4404F872">
            <w:pPr>
              <w:keepNext w:val="0"/>
              <w:keepLines w:val="0"/>
              <w:widowControl/>
              <w:suppressLineNumbers w:val="0"/>
              <w:jc w:val="left"/>
              <w:textAlignment w:val="center"/>
              <w:rPr>
                <w:rFonts w:hint="eastAsia" w:ascii="仿宋" w:hAnsi="仿宋" w:eastAsia="仿宋" w:cs="仿宋"/>
                <w:i w:val="0"/>
                <w:color w:val="000000"/>
                <w:kern w:val="0"/>
                <w:sz w:val="11"/>
                <w:szCs w:val="11"/>
                <w:u w:val="none"/>
                <w:lang w:val="en-US" w:eastAsia="zh-CN" w:bidi="ar"/>
              </w:rPr>
            </w:pPr>
            <w:r>
              <w:rPr>
                <w:rFonts w:hint="eastAsia" w:ascii="仿宋" w:hAnsi="仿宋" w:eastAsia="仿宋" w:cs="仿宋"/>
                <w:i w:val="0"/>
                <w:color w:val="000000"/>
                <w:kern w:val="0"/>
                <w:sz w:val="11"/>
                <w:szCs w:val="11"/>
                <w:u w:val="none"/>
                <w:lang w:val="en-US" w:eastAsia="zh-CN" w:bidi="ar"/>
              </w:rPr>
              <w:t>20000万元</w:t>
            </w:r>
          </w:p>
          <w:p w14:paraId="3790C996">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以下</w:t>
            </w:r>
          </w:p>
        </w:tc>
        <w:tc>
          <w:tcPr>
            <w:tcW w:w="843" w:type="dxa"/>
            <w:tcBorders>
              <w:top w:val="single" w:color="000000" w:sz="4" w:space="0"/>
              <w:left w:val="single" w:color="000000" w:sz="4" w:space="0"/>
              <w:bottom w:val="single" w:color="000000" w:sz="4" w:space="0"/>
              <w:right w:val="single" w:color="000000" w:sz="4" w:space="0"/>
            </w:tcBorders>
            <w:noWrap w:val="0"/>
            <w:vAlign w:val="center"/>
          </w:tcPr>
          <w:p w14:paraId="7D003066">
            <w:pPr>
              <w:rPr>
                <w:rFonts w:hint="eastAsia" w:ascii="仿宋" w:hAnsi="仿宋" w:eastAsia="仿宋" w:cs="仿宋"/>
                <w:i w:val="0"/>
                <w:color w:val="000000"/>
                <w:sz w:val="11"/>
                <w:szCs w:val="11"/>
                <w:u w:val="none"/>
              </w:rPr>
            </w:pPr>
          </w:p>
        </w:tc>
        <w:tc>
          <w:tcPr>
            <w:tcW w:w="766" w:type="dxa"/>
            <w:tcBorders>
              <w:top w:val="single" w:color="000000" w:sz="4" w:space="0"/>
              <w:left w:val="single" w:color="000000" w:sz="4" w:space="0"/>
              <w:bottom w:val="single" w:color="000000" w:sz="4" w:space="0"/>
              <w:right w:val="single" w:color="000000" w:sz="4" w:space="0"/>
            </w:tcBorders>
            <w:noWrap w:val="0"/>
            <w:vAlign w:val="center"/>
          </w:tcPr>
          <w:p w14:paraId="478B79CB">
            <w:pPr>
              <w:rPr>
                <w:rFonts w:hint="eastAsia" w:ascii="仿宋" w:hAnsi="仿宋" w:eastAsia="仿宋" w:cs="仿宋"/>
                <w:i w:val="0"/>
                <w:color w:val="000000"/>
                <w:sz w:val="11"/>
                <w:szCs w:val="11"/>
                <w:u w:val="none"/>
              </w:rPr>
            </w:pPr>
          </w:p>
        </w:tc>
        <w:tc>
          <w:tcPr>
            <w:tcW w:w="936" w:type="dxa"/>
            <w:tcBorders>
              <w:top w:val="single" w:color="000000" w:sz="4" w:space="0"/>
              <w:left w:val="single" w:color="000000" w:sz="4" w:space="0"/>
              <w:bottom w:val="single" w:color="000000" w:sz="4" w:space="0"/>
              <w:right w:val="single" w:color="000000" w:sz="4" w:space="0"/>
            </w:tcBorders>
            <w:noWrap w:val="0"/>
            <w:vAlign w:val="center"/>
          </w:tcPr>
          <w:p w14:paraId="3B2EE558">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500万元及以上</w:t>
            </w:r>
          </w:p>
        </w:tc>
        <w:tc>
          <w:tcPr>
            <w:tcW w:w="740" w:type="dxa"/>
            <w:tcBorders>
              <w:top w:val="single" w:color="000000" w:sz="4" w:space="0"/>
              <w:left w:val="single" w:color="000000" w:sz="4" w:space="0"/>
              <w:bottom w:val="single" w:color="000000" w:sz="4" w:space="0"/>
              <w:right w:val="single" w:color="000000" w:sz="4" w:space="0"/>
            </w:tcBorders>
            <w:noWrap w:val="0"/>
            <w:vAlign w:val="center"/>
          </w:tcPr>
          <w:p w14:paraId="332FB59A">
            <w:pPr>
              <w:rPr>
                <w:rFonts w:hint="eastAsia" w:ascii="仿宋" w:hAnsi="仿宋" w:eastAsia="仿宋" w:cs="仿宋"/>
                <w:i w:val="0"/>
                <w:color w:val="000000"/>
                <w:sz w:val="11"/>
                <w:szCs w:val="11"/>
                <w:u w:val="none"/>
              </w:rPr>
            </w:pPr>
          </w:p>
        </w:tc>
        <w:tc>
          <w:tcPr>
            <w:tcW w:w="785" w:type="dxa"/>
            <w:tcBorders>
              <w:top w:val="single" w:color="000000" w:sz="4" w:space="0"/>
              <w:left w:val="single" w:color="000000" w:sz="4" w:space="0"/>
              <w:bottom w:val="single" w:color="000000" w:sz="4" w:space="0"/>
              <w:right w:val="single" w:color="000000" w:sz="4" w:space="0"/>
            </w:tcBorders>
            <w:noWrap w:val="0"/>
            <w:vAlign w:val="center"/>
          </w:tcPr>
          <w:p w14:paraId="0E3EFC72">
            <w:pPr>
              <w:rPr>
                <w:rFonts w:hint="eastAsia" w:ascii="仿宋" w:hAnsi="仿宋" w:eastAsia="仿宋" w:cs="仿宋"/>
                <w:i w:val="0"/>
                <w:color w:val="000000"/>
                <w:sz w:val="11"/>
                <w:szCs w:val="11"/>
                <w:u w:val="none"/>
              </w:rPr>
            </w:pPr>
          </w:p>
        </w:tc>
        <w:tc>
          <w:tcPr>
            <w:tcW w:w="785" w:type="dxa"/>
            <w:tcBorders>
              <w:top w:val="single" w:color="000000" w:sz="4" w:space="0"/>
              <w:left w:val="single" w:color="000000" w:sz="4" w:space="0"/>
              <w:bottom w:val="single" w:color="000000" w:sz="4" w:space="0"/>
              <w:right w:val="single" w:color="000000" w:sz="4" w:space="0"/>
            </w:tcBorders>
            <w:noWrap w:val="0"/>
            <w:vAlign w:val="center"/>
          </w:tcPr>
          <w:p w14:paraId="685D61EE">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50万元及以上</w:t>
            </w:r>
          </w:p>
        </w:tc>
        <w:tc>
          <w:tcPr>
            <w:tcW w:w="704" w:type="dxa"/>
            <w:tcBorders>
              <w:top w:val="single" w:color="000000" w:sz="4" w:space="0"/>
              <w:left w:val="single" w:color="000000" w:sz="4" w:space="0"/>
              <w:bottom w:val="single" w:color="000000" w:sz="4" w:space="0"/>
              <w:right w:val="single" w:color="000000" w:sz="4" w:space="0"/>
            </w:tcBorders>
            <w:noWrap w:val="0"/>
            <w:vAlign w:val="center"/>
          </w:tcPr>
          <w:p w14:paraId="11C002BB">
            <w:pPr>
              <w:rPr>
                <w:rFonts w:hint="eastAsia" w:ascii="仿宋" w:hAnsi="仿宋" w:eastAsia="仿宋" w:cs="仿宋"/>
                <w:i w:val="0"/>
                <w:color w:val="000000"/>
                <w:sz w:val="11"/>
                <w:szCs w:val="11"/>
                <w:u w:val="none"/>
              </w:rPr>
            </w:pPr>
          </w:p>
        </w:tc>
        <w:tc>
          <w:tcPr>
            <w:tcW w:w="798" w:type="dxa"/>
            <w:tcBorders>
              <w:top w:val="single" w:color="000000" w:sz="4" w:space="0"/>
              <w:left w:val="single" w:color="000000" w:sz="4" w:space="0"/>
              <w:bottom w:val="single" w:color="000000" w:sz="4" w:space="0"/>
              <w:right w:val="single" w:color="000000" w:sz="4" w:space="0"/>
            </w:tcBorders>
            <w:noWrap w:val="0"/>
            <w:vAlign w:val="center"/>
          </w:tcPr>
          <w:p w14:paraId="22CEC969">
            <w:pPr>
              <w:rPr>
                <w:rFonts w:hint="eastAsia" w:ascii="仿宋" w:hAnsi="仿宋" w:eastAsia="仿宋" w:cs="仿宋"/>
                <w:i w:val="0"/>
                <w:color w:val="000000"/>
                <w:sz w:val="11"/>
                <w:szCs w:val="11"/>
                <w:u w:val="none"/>
              </w:rPr>
            </w:pPr>
          </w:p>
        </w:tc>
        <w:tc>
          <w:tcPr>
            <w:tcW w:w="714" w:type="dxa"/>
            <w:tcBorders>
              <w:top w:val="single" w:color="000000" w:sz="4" w:space="0"/>
              <w:left w:val="single" w:color="000000" w:sz="4" w:space="0"/>
              <w:bottom w:val="single" w:color="000000" w:sz="4" w:space="0"/>
              <w:right w:val="single" w:color="000000" w:sz="4" w:space="0"/>
            </w:tcBorders>
            <w:noWrap w:val="0"/>
            <w:vAlign w:val="center"/>
          </w:tcPr>
          <w:p w14:paraId="16474661">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50万元以下</w:t>
            </w:r>
          </w:p>
        </w:tc>
        <w:tc>
          <w:tcPr>
            <w:tcW w:w="501" w:type="dxa"/>
            <w:tcBorders>
              <w:top w:val="single" w:color="000000" w:sz="4" w:space="0"/>
              <w:left w:val="single" w:color="000000" w:sz="4" w:space="0"/>
              <w:bottom w:val="single" w:color="000000" w:sz="4" w:space="0"/>
              <w:right w:val="single" w:color="000000" w:sz="12" w:space="0"/>
            </w:tcBorders>
            <w:noWrap w:val="0"/>
            <w:vAlign w:val="center"/>
          </w:tcPr>
          <w:p w14:paraId="79D3F0FA">
            <w:pPr>
              <w:rPr>
                <w:rFonts w:hint="eastAsia" w:ascii="仿宋" w:hAnsi="仿宋" w:eastAsia="仿宋" w:cs="仿宋"/>
                <w:i w:val="0"/>
                <w:color w:val="000000"/>
                <w:sz w:val="11"/>
                <w:szCs w:val="11"/>
                <w:u w:val="none"/>
              </w:rPr>
            </w:pPr>
          </w:p>
        </w:tc>
      </w:tr>
      <w:tr w14:paraId="27A8B7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68" w:hRule="atLeast"/>
          <w:jc w:val="center"/>
        </w:trPr>
        <w:tc>
          <w:tcPr>
            <w:tcW w:w="1925" w:type="dxa"/>
            <w:tcBorders>
              <w:top w:val="single" w:color="000000" w:sz="4" w:space="0"/>
              <w:left w:val="single" w:color="000000" w:sz="12" w:space="0"/>
              <w:bottom w:val="single" w:color="000000" w:sz="4" w:space="0"/>
              <w:right w:val="single" w:color="000000" w:sz="4" w:space="0"/>
            </w:tcBorders>
            <w:noWrap w:val="0"/>
            <w:vAlign w:val="center"/>
          </w:tcPr>
          <w:p w14:paraId="21964251">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工业（包括采矿业，制造业，电力、热力、燃气及水生产和供应业）</w:t>
            </w:r>
          </w:p>
        </w:tc>
        <w:tc>
          <w:tcPr>
            <w:tcW w:w="606" w:type="dxa"/>
            <w:tcBorders>
              <w:top w:val="single" w:color="000000" w:sz="4" w:space="0"/>
              <w:left w:val="single" w:color="000000" w:sz="4" w:space="0"/>
              <w:bottom w:val="single" w:color="000000" w:sz="4" w:space="0"/>
              <w:right w:val="single" w:color="000000" w:sz="4" w:space="0"/>
            </w:tcBorders>
            <w:noWrap w:val="0"/>
            <w:vAlign w:val="center"/>
          </w:tcPr>
          <w:p w14:paraId="66163BB1">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1000人以下</w:t>
            </w:r>
          </w:p>
        </w:tc>
        <w:tc>
          <w:tcPr>
            <w:tcW w:w="835" w:type="dxa"/>
            <w:tcBorders>
              <w:top w:val="single" w:color="000000" w:sz="4" w:space="0"/>
              <w:left w:val="single" w:color="000000" w:sz="4" w:space="0"/>
              <w:bottom w:val="single" w:color="000000" w:sz="4" w:space="0"/>
              <w:right w:val="single" w:color="000000" w:sz="4" w:space="0"/>
            </w:tcBorders>
            <w:noWrap w:val="0"/>
            <w:vAlign w:val="center"/>
          </w:tcPr>
          <w:p w14:paraId="38D1454E">
            <w:pPr>
              <w:keepNext w:val="0"/>
              <w:keepLines w:val="0"/>
              <w:widowControl/>
              <w:suppressLineNumbers w:val="0"/>
              <w:jc w:val="left"/>
              <w:textAlignment w:val="center"/>
              <w:rPr>
                <w:rFonts w:hint="eastAsia" w:ascii="仿宋" w:hAnsi="仿宋" w:eastAsia="仿宋" w:cs="仿宋"/>
                <w:i w:val="0"/>
                <w:color w:val="000000"/>
                <w:kern w:val="0"/>
                <w:sz w:val="11"/>
                <w:szCs w:val="11"/>
                <w:u w:val="none"/>
                <w:lang w:val="en-US" w:eastAsia="zh-CN" w:bidi="ar"/>
              </w:rPr>
            </w:pPr>
            <w:r>
              <w:rPr>
                <w:rFonts w:hint="eastAsia" w:ascii="仿宋" w:hAnsi="仿宋" w:eastAsia="仿宋" w:cs="仿宋"/>
                <w:i w:val="0"/>
                <w:color w:val="000000"/>
                <w:kern w:val="0"/>
                <w:sz w:val="11"/>
                <w:szCs w:val="11"/>
                <w:u w:val="none"/>
                <w:lang w:val="en-US" w:eastAsia="zh-CN" w:bidi="ar"/>
              </w:rPr>
              <w:t>40000万元</w:t>
            </w:r>
          </w:p>
          <w:p w14:paraId="1D455E78">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以下</w:t>
            </w:r>
          </w:p>
        </w:tc>
        <w:tc>
          <w:tcPr>
            <w:tcW w:w="843" w:type="dxa"/>
            <w:tcBorders>
              <w:top w:val="single" w:color="000000" w:sz="4" w:space="0"/>
              <w:left w:val="single" w:color="000000" w:sz="4" w:space="0"/>
              <w:bottom w:val="single" w:color="000000" w:sz="4" w:space="0"/>
              <w:right w:val="single" w:color="000000" w:sz="4" w:space="0"/>
            </w:tcBorders>
            <w:noWrap w:val="0"/>
            <w:vAlign w:val="center"/>
          </w:tcPr>
          <w:p w14:paraId="4A58FB5E">
            <w:pPr>
              <w:rPr>
                <w:rFonts w:hint="eastAsia" w:ascii="仿宋" w:hAnsi="仿宋" w:eastAsia="仿宋" w:cs="仿宋"/>
                <w:i w:val="0"/>
                <w:color w:val="000000"/>
                <w:sz w:val="11"/>
                <w:szCs w:val="11"/>
                <w:u w:val="none"/>
              </w:rPr>
            </w:pPr>
          </w:p>
        </w:tc>
        <w:tc>
          <w:tcPr>
            <w:tcW w:w="766" w:type="dxa"/>
            <w:tcBorders>
              <w:top w:val="single" w:color="000000" w:sz="4" w:space="0"/>
              <w:left w:val="single" w:color="000000" w:sz="4" w:space="0"/>
              <w:bottom w:val="single" w:color="000000" w:sz="4" w:space="0"/>
              <w:right w:val="single" w:color="000000" w:sz="4" w:space="0"/>
            </w:tcBorders>
            <w:noWrap w:val="0"/>
            <w:vAlign w:val="center"/>
          </w:tcPr>
          <w:p w14:paraId="047BD36A">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300人及以上</w:t>
            </w:r>
          </w:p>
        </w:tc>
        <w:tc>
          <w:tcPr>
            <w:tcW w:w="936" w:type="dxa"/>
            <w:tcBorders>
              <w:top w:val="single" w:color="000000" w:sz="4" w:space="0"/>
              <w:left w:val="single" w:color="000000" w:sz="4" w:space="0"/>
              <w:bottom w:val="single" w:color="000000" w:sz="4" w:space="0"/>
              <w:right w:val="single" w:color="000000" w:sz="4" w:space="0"/>
            </w:tcBorders>
            <w:noWrap w:val="0"/>
            <w:vAlign w:val="center"/>
          </w:tcPr>
          <w:p w14:paraId="0DFC02CB">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2000万元及以上</w:t>
            </w:r>
          </w:p>
        </w:tc>
        <w:tc>
          <w:tcPr>
            <w:tcW w:w="740" w:type="dxa"/>
            <w:tcBorders>
              <w:top w:val="single" w:color="000000" w:sz="4" w:space="0"/>
              <w:left w:val="single" w:color="000000" w:sz="4" w:space="0"/>
              <w:bottom w:val="single" w:color="000000" w:sz="4" w:space="0"/>
              <w:right w:val="single" w:color="000000" w:sz="4" w:space="0"/>
            </w:tcBorders>
            <w:noWrap w:val="0"/>
            <w:vAlign w:val="center"/>
          </w:tcPr>
          <w:p w14:paraId="20AC3914">
            <w:pPr>
              <w:rPr>
                <w:rFonts w:hint="eastAsia" w:ascii="仿宋" w:hAnsi="仿宋" w:eastAsia="仿宋" w:cs="仿宋"/>
                <w:i w:val="0"/>
                <w:color w:val="000000"/>
                <w:sz w:val="11"/>
                <w:szCs w:val="11"/>
                <w:u w:val="none"/>
              </w:rPr>
            </w:pPr>
          </w:p>
        </w:tc>
        <w:tc>
          <w:tcPr>
            <w:tcW w:w="785" w:type="dxa"/>
            <w:tcBorders>
              <w:top w:val="single" w:color="000000" w:sz="4" w:space="0"/>
              <w:left w:val="single" w:color="000000" w:sz="4" w:space="0"/>
              <w:bottom w:val="single" w:color="000000" w:sz="4" w:space="0"/>
              <w:right w:val="single" w:color="000000" w:sz="4" w:space="0"/>
            </w:tcBorders>
            <w:noWrap w:val="0"/>
            <w:vAlign w:val="center"/>
          </w:tcPr>
          <w:p w14:paraId="67A883F8">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20人及以上</w:t>
            </w:r>
          </w:p>
        </w:tc>
        <w:tc>
          <w:tcPr>
            <w:tcW w:w="785" w:type="dxa"/>
            <w:tcBorders>
              <w:top w:val="single" w:color="000000" w:sz="4" w:space="0"/>
              <w:left w:val="single" w:color="000000" w:sz="4" w:space="0"/>
              <w:bottom w:val="single" w:color="000000" w:sz="4" w:space="0"/>
              <w:right w:val="single" w:color="000000" w:sz="4" w:space="0"/>
            </w:tcBorders>
            <w:noWrap w:val="0"/>
            <w:vAlign w:val="center"/>
          </w:tcPr>
          <w:p w14:paraId="42F68B51">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300万元及以上</w:t>
            </w:r>
          </w:p>
        </w:tc>
        <w:tc>
          <w:tcPr>
            <w:tcW w:w="704" w:type="dxa"/>
            <w:tcBorders>
              <w:top w:val="single" w:color="000000" w:sz="4" w:space="0"/>
              <w:left w:val="single" w:color="000000" w:sz="4" w:space="0"/>
              <w:bottom w:val="single" w:color="000000" w:sz="4" w:space="0"/>
              <w:right w:val="single" w:color="000000" w:sz="4" w:space="0"/>
            </w:tcBorders>
            <w:noWrap w:val="0"/>
            <w:vAlign w:val="center"/>
          </w:tcPr>
          <w:p w14:paraId="6E62DBF9">
            <w:pPr>
              <w:rPr>
                <w:rFonts w:hint="eastAsia" w:ascii="仿宋" w:hAnsi="仿宋" w:eastAsia="仿宋" w:cs="仿宋"/>
                <w:i w:val="0"/>
                <w:color w:val="000000"/>
                <w:sz w:val="11"/>
                <w:szCs w:val="11"/>
                <w:u w:val="none"/>
              </w:rPr>
            </w:pPr>
          </w:p>
        </w:tc>
        <w:tc>
          <w:tcPr>
            <w:tcW w:w="798" w:type="dxa"/>
            <w:tcBorders>
              <w:top w:val="single" w:color="000000" w:sz="4" w:space="0"/>
              <w:left w:val="single" w:color="000000" w:sz="4" w:space="0"/>
              <w:bottom w:val="single" w:color="000000" w:sz="4" w:space="0"/>
              <w:right w:val="single" w:color="000000" w:sz="4" w:space="0"/>
            </w:tcBorders>
            <w:noWrap w:val="0"/>
            <w:vAlign w:val="center"/>
          </w:tcPr>
          <w:p w14:paraId="187734BB">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20人以下</w:t>
            </w:r>
          </w:p>
        </w:tc>
        <w:tc>
          <w:tcPr>
            <w:tcW w:w="714" w:type="dxa"/>
            <w:tcBorders>
              <w:top w:val="single" w:color="000000" w:sz="4" w:space="0"/>
              <w:left w:val="single" w:color="000000" w:sz="4" w:space="0"/>
              <w:bottom w:val="single" w:color="000000" w:sz="4" w:space="0"/>
              <w:right w:val="single" w:color="000000" w:sz="4" w:space="0"/>
            </w:tcBorders>
            <w:noWrap w:val="0"/>
            <w:vAlign w:val="center"/>
          </w:tcPr>
          <w:p w14:paraId="635D549F">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300万元以下</w:t>
            </w:r>
          </w:p>
        </w:tc>
        <w:tc>
          <w:tcPr>
            <w:tcW w:w="501" w:type="dxa"/>
            <w:tcBorders>
              <w:top w:val="single" w:color="000000" w:sz="4" w:space="0"/>
              <w:left w:val="single" w:color="000000" w:sz="4" w:space="0"/>
              <w:bottom w:val="single" w:color="000000" w:sz="4" w:space="0"/>
              <w:right w:val="single" w:color="000000" w:sz="12" w:space="0"/>
            </w:tcBorders>
            <w:noWrap w:val="0"/>
            <w:vAlign w:val="center"/>
          </w:tcPr>
          <w:p w14:paraId="7634CC39">
            <w:pPr>
              <w:rPr>
                <w:rFonts w:hint="eastAsia" w:ascii="仿宋" w:hAnsi="仿宋" w:eastAsia="仿宋" w:cs="仿宋"/>
                <w:i w:val="0"/>
                <w:color w:val="000000"/>
                <w:sz w:val="11"/>
                <w:szCs w:val="11"/>
                <w:u w:val="none"/>
              </w:rPr>
            </w:pPr>
          </w:p>
        </w:tc>
      </w:tr>
      <w:tr w14:paraId="486B10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68" w:hRule="atLeast"/>
          <w:jc w:val="center"/>
        </w:trPr>
        <w:tc>
          <w:tcPr>
            <w:tcW w:w="1925" w:type="dxa"/>
            <w:tcBorders>
              <w:top w:val="single" w:color="000000" w:sz="4" w:space="0"/>
              <w:left w:val="single" w:color="000000" w:sz="12" w:space="0"/>
              <w:bottom w:val="single" w:color="000000" w:sz="4" w:space="0"/>
              <w:right w:val="single" w:color="000000" w:sz="4" w:space="0"/>
            </w:tcBorders>
            <w:noWrap w:val="0"/>
            <w:vAlign w:val="center"/>
          </w:tcPr>
          <w:p w14:paraId="660B7768">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建筑业</w:t>
            </w:r>
          </w:p>
        </w:tc>
        <w:tc>
          <w:tcPr>
            <w:tcW w:w="606" w:type="dxa"/>
            <w:tcBorders>
              <w:top w:val="single" w:color="000000" w:sz="4" w:space="0"/>
              <w:left w:val="single" w:color="000000" w:sz="4" w:space="0"/>
              <w:bottom w:val="single" w:color="000000" w:sz="4" w:space="0"/>
              <w:right w:val="single" w:color="000000" w:sz="4" w:space="0"/>
            </w:tcBorders>
            <w:noWrap w:val="0"/>
            <w:vAlign w:val="center"/>
          </w:tcPr>
          <w:p w14:paraId="3E62C50F">
            <w:pPr>
              <w:rPr>
                <w:rFonts w:hint="eastAsia" w:ascii="仿宋" w:hAnsi="仿宋" w:eastAsia="仿宋" w:cs="仿宋"/>
                <w:i w:val="0"/>
                <w:color w:val="000000"/>
                <w:sz w:val="11"/>
                <w:szCs w:val="11"/>
                <w:u w:val="none"/>
              </w:rPr>
            </w:pPr>
          </w:p>
        </w:tc>
        <w:tc>
          <w:tcPr>
            <w:tcW w:w="835" w:type="dxa"/>
            <w:tcBorders>
              <w:top w:val="single" w:color="000000" w:sz="4" w:space="0"/>
              <w:left w:val="single" w:color="000000" w:sz="4" w:space="0"/>
              <w:bottom w:val="single" w:color="000000" w:sz="4" w:space="0"/>
              <w:right w:val="single" w:color="000000" w:sz="4" w:space="0"/>
            </w:tcBorders>
            <w:noWrap w:val="0"/>
            <w:vAlign w:val="center"/>
          </w:tcPr>
          <w:p w14:paraId="601621F4">
            <w:pPr>
              <w:keepNext w:val="0"/>
              <w:keepLines w:val="0"/>
              <w:widowControl/>
              <w:suppressLineNumbers w:val="0"/>
              <w:jc w:val="left"/>
              <w:textAlignment w:val="center"/>
              <w:rPr>
                <w:rFonts w:hint="eastAsia" w:ascii="仿宋" w:hAnsi="仿宋" w:eastAsia="仿宋" w:cs="仿宋"/>
                <w:i w:val="0"/>
                <w:color w:val="000000"/>
                <w:kern w:val="0"/>
                <w:sz w:val="11"/>
                <w:szCs w:val="11"/>
                <w:u w:val="none"/>
                <w:lang w:val="en-US" w:eastAsia="zh-CN" w:bidi="ar"/>
              </w:rPr>
            </w:pPr>
            <w:r>
              <w:rPr>
                <w:rFonts w:hint="eastAsia" w:ascii="仿宋" w:hAnsi="仿宋" w:eastAsia="仿宋" w:cs="仿宋"/>
                <w:i w:val="0"/>
                <w:color w:val="000000"/>
                <w:kern w:val="0"/>
                <w:sz w:val="11"/>
                <w:szCs w:val="11"/>
                <w:u w:val="none"/>
                <w:lang w:val="en-US" w:eastAsia="zh-CN" w:bidi="ar"/>
              </w:rPr>
              <w:t>80000万元</w:t>
            </w:r>
          </w:p>
          <w:p w14:paraId="074F604B">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以下</w:t>
            </w:r>
          </w:p>
        </w:tc>
        <w:tc>
          <w:tcPr>
            <w:tcW w:w="843" w:type="dxa"/>
            <w:tcBorders>
              <w:top w:val="single" w:color="000000" w:sz="4" w:space="0"/>
              <w:left w:val="single" w:color="000000" w:sz="4" w:space="0"/>
              <w:bottom w:val="single" w:color="000000" w:sz="4" w:space="0"/>
              <w:right w:val="single" w:color="000000" w:sz="4" w:space="0"/>
            </w:tcBorders>
            <w:noWrap w:val="0"/>
            <w:vAlign w:val="center"/>
          </w:tcPr>
          <w:p w14:paraId="4F65AC61">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80000万元以下</w:t>
            </w:r>
          </w:p>
        </w:tc>
        <w:tc>
          <w:tcPr>
            <w:tcW w:w="766" w:type="dxa"/>
            <w:tcBorders>
              <w:top w:val="single" w:color="000000" w:sz="4" w:space="0"/>
              <w:left w:val="single" w:color="000000" w:sz="4" w:space="0"/>
              <w:bottom w:val="single" w:color="000000" w:sz="4" w:space="0"/>
              <w:right w:val="single" w:color="000000" w:sz="4" w:space="0"/>
            </w:tcBorders>
            <w:noWrap w:val="0"/>
            <w:vAlign w:val="center"/>
          </w:tcPr>
          <w:p w14:paraId="6A9C802F">
            <w:pPr>
              <w:rPr>
                <w:rFonts w:hint="eastAsia" w:ascii="仿宋" w:hAnsi="仿宋" w:eastAsia="仿宋" w:cs="仿宋"/>
                <w:i w:val="0"/>
                <w:color w:val="000000"/>
                <w:sz w:val="11"/>
                <w:szCs w:val="11"/>
                <w:u w:val="none"/>
              </w:rPr>
            </w:pPr>
          </w:p>
        </w:tc>
        <w:tc>
          <w:tcPr>
            <w:tcW w:w="936" w:type="dxa"/>
            <w:tcBorders>
              <w:top w:val="single" w:color="000000" w:sz="4" w:space="0"/>
              <w:left w:val="single" w:color="000000" w:sz="4" w:space="0"/>
              <w:bottom w:val="single" w:color="000000" w:sz="4" w:space="0"/>
              <w:right w:val="single" w:color="000000" w:sz="4" w:space="0"/>
            </w:tcBorders>
            <w:noWrap w:val="0"/>
            <w:vAlign w:val="center"/>
          </w:tcPr>
          <w:p w14:paraId="494AA87C">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6000万元及以上</w:t>
            </w:r>
          </w:p>
        </w:tc>
        <w:tc>
          <w:tcPr>
            <w:tcW w:w="740" w:type="dxa"/>
            <w:tcBorders>
              <w:top w:val="single" w:color="000000" w:sz="4" w:space="0"/>
              <w:left w:val="single" w:color="000000" w:sz="4" w:space="0"/>
              <w:bottom w:val="single" w:color="000000" w:sz="4" w:space="0"/>
              <w:right w:val="single" w:color="000000" w:sz="4" w:space="0"/>
            </w:tcBorders>
            <w:noWrap w:val="0"/>
            <w:vAlign w:val="center"/>
          </w:tcPr>
          <w:p w14:paraId="2C6908B8">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5000万元及以上</w:t>
            </w:r>
          </w:p>
        </w:tc>
        <w:tc>
          <w:tcPr>
            <w:tcW w:w="785" w:type="dxa"/>
            <w:tcBorders>
              <w:top w:val="single" w:color="000000" w:sz="4" w:space="0"/>
              <w:left w:val="single" w:color="000000" w:sz="4" w:space="0"/>
              <w:bottom w:val="single" w:color="000000" w:sz="4" w:space="0"/>
              <w:right w:val="single" w:color="000000" w:sz="4" w:space="0"/>
            </w:tcBorders>
            <w:noWrap w:val="0"/>
            <w:vAlign w:val="center"/>
          </w:tcPr>
          <w:p w14:paraId="5F958086">
            <w:pPr>
              <w:rPr>
                <w:rFonts w:hint="eastAsia" w:ascii="仿宋" w:hAnsi="仿宋" w:eastAsia="仿宋" w:cs="仿宋"/>
                <w:i w:val="0"/>
                <w:color w:val="000000"/>
                <w:sz w:val="11"/>
                <w:szCs w:val="11"/>
                <w:u w:val="none"/>
              </w:rPr>
            </w:pPr>
          </w:p>
        </w:tc>
        <w:tc>
          <w:tcPr>
            <w:tcW w:w="785" w:type="dxa"/>
            <w:tcBorders>
              <w:top w:val="single" w:color="000000" w:sz="4" w:space="0"/>
              <w:left w:val="single" w:color="000000" w:sz="4" w:space="0"/>
              <w:bottom w:val="single" w:color="000000" w:sz="4" w:space="0"/>
              <w:right w:val="single" w:color="000000" w:sz="4" w:space="0"/>
            </w:tcBorders>
            <w:noWrap w:val="0"/>
            <w:vAlign w:val="center"/>
          </w:tcPr>
          <w:p w14:paraId="6E6EDCF3">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300万元及以上</w:t>
            </w:r>
          </w:p>
        </w:tc>
        <w:tc>
          <w:tcPr>
            <w:tcW w:w="704" w:type="dxa"/>
            <w:tcBorders>
              <w:top w:val="single" w:color="000000" w:sz="4" w:space="0"/>
              <w:left w:val="single" w:color="000000" w:sz="4" w:space="0"/>
              <w:bottom w:val="single" w:color="000000" w:sz="4" w:space="0"/>
              <w:right w:val="single" w:color="000000" w:sz="4" w:space="0"/>
            </w:tcBorders>
            <w:noWrap w:val="0"/>
            <w:vAlign w:val="center"/>
          </w:tcPr>
          <w:p w14:paraId="38EE1A30">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300万元及以上</w:t>
            </w:r>
          </w:p>
        </w:tc>
        <w:tc>
          <w:tcPr>
            <w:tcW w:w="798" w:type="dxa"/>
            <w:tcBorders>
              <w:top w:val="single" w:color="000000" w:sz="4" w:space="0"/>
              <w:left w:val="single" w:color="000000" w:sz="4" w:space="0"/>
              <w:bottom w:val="single" w:color="000000" w:sz="4" w:space="0"/>
              <w:right w:val="single" w:color="000000" w:sz="4" w:space="0"/>
            </w:tcBorders>
            <w:noWrap w:val="0"/>
            <w:vAlign w:val="center"/>
          </w:tcPr>
          <w:p w14:paraId="4020924F">
            <w:pPr>
              <w:rPr>
                <w:rFonts w:hint="eastAsia" w:ascii="仿宋" w:hAnsi="仿宋" w:eastAsia="仿宋" w:cs="仿宋"/>
                <w:i w:val="0"/>
                <w:color w:val="000000"/>
                <w:sz w:val="11"/>
                <w:szCs w:val="11"/>
                <w:u w:val="none"/>
              </w:rPr>
            </w:pPr>
          </w:p>
        </w:tc>
        <w:tc>
          <w:tcPr>
            <w:tcW w:w="714" w:type="dxa"/>
            <w:tcBorders>
              <w:top w:val="single" w:color="000000" w:sz="4" w:space="0"/>
              <w:left w:val="single" w:color="000000" w:sz="4" w:space="0"/>
              <w:bottom w:val="single" w:color="000000" w:sz="4" w:space="0"/>
              <w:right w:val="single" w:color="000000" w:sz="4" w:space="0"/>
            </w:tcBorders>
            <w:noWrap w:val="0"/>
            <w:vAlign w:val="center"/>
          </w:tcPr>
          <w:p w14:paraId="7EE8E42E">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300万元以下</w:t>
            </w:r>
          </w:p>
        </w:tc>
        <w:tc>
          <w:tcPr>
            <w:tcW w:w="501" w:type="dxa"/>
            <w:tcBorders>
              <w:top w:val="single" w:color="000000" w:sz="4" w:space="0"/>
              <w:left w:val="single" w:color="000000" w:sz="4" w:space="0"/>
              <w:bottom w:val="single" w:color="000000" w:sz="4" w:space="0"/>
              <w:right w:val="single" w:color="000000" w:sz="12" w:space="0"/>
            </w:tcBorders>
            <w:noWrap w:val="0"/>
            <w:vAlign w:val="center"/>
          </w:tcPr>
          <w:p w14:paraId="193A55BE">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300万元以下</w:t>
            </w:r>
          </w:p>
        </w:tc>
      </w:tr>
      <w:tr w14:paraId="75BEC2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68" w:hRule="atLeast"/>
          <w:jc w:val="center"/>
        </w:trPr>
        <w:tc>
          <w:tcPr>
            <w:tcW w:w="1925" w:type="dxa"/>
            <w:tcBorders>
              <w:top w:val="single" w:color="000000" w:sz="4" w:space="0"/>
              <w:left w:val="single" w:color="000000" w:sz="12" w:space="0"/>
              <w:bottom w:val="single" w:color="000000" w:sz="4" w:space="0"/>
              <w:right w:val="single" w:color="000000" w:sz="4" w:space="0"/>
            </w:tcBorders>
            <w:noWrap w:val="0"/>
            <w:vAlign w:val="center"/>
          </w:tcPr>
          <w:p w14:paraId="23563C04">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批发业</w:t>
            </w:r>
          </w:p>
        </w:tc>
        <w:tc>
          <w:tcPr>
            <w:tcW w:w="606" w:type="dxa"/>
            <w:tcBorders>
              <w:top w:val="single" w:color="000000" w:sz="4" w:space="0"/>
              <w:left w:val="single" w:color="000000" w:sz="4" w:space="0"/>
              <w:bottom w:val="single" w:color="000000" w:sz="4" w:space="0"/>
              <w:right w:val="single" w:color="000000" w:sz="4" w:space="0"/>
            </w:tcBorders>
            <w:noWrap w:val="0"/>
            <w:vAlign w:val="center"/>
          </w:tcPr>
          <w:p w14:paraId="05D3C283">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200人以下</w:t>
            </w:r>
          </w:p>
        </w:tc>
        <w:tc>
          <w:tcPr>
            <w:tcW w:w="835" w:type="dxa"/>
            <w:tcBorders>
              <w:top w:val="single" w:color="000000" w:sz="4" w:space="0"/>
              <w:left w:val="single" w:color="000000" w:sz="4" w:space="0"/>
              <w:bottom w:val="single" w:color="000000" w:sz="4" w:space="0"/>
              <w:right w:val="single" w:color="000000" w:sz="4" w:space="0"/>
            </w:tcBorders>
            <w:noWrap w:val="0"/>
            <w:vAlign w:val="center"/>
          </w:tcPr>
          <w:p w14:paraId="54C0927F">
            <w:pPr>
              <w:keepNext w:val="0"/>
              <w:keepLines w:val="0"/>
              <w:widowControl/>
              <w:suppressLineNumbers w:val="0"/>
              <w:jc w:val="left"/>
              <w:textAlignment w:val="center"/>
              <w:rPr>
                <w:rFonts w:hint="eastAsia" w:ascii="仿宋" w:hAnsi="仿宋" w:eastAsia="仿宋" w:cs="仿宋"/>
                <w:i w:val="0"/>
                <w:color w:val="000000"/>
                <w:kern w:val="0"/>
                <w:sz w:val="11"/>
                <w:szCs w:val="11"/>
                <w:u w:val="none"/>
                <w:lang w:val="en-US" w:eastAsia="zh-CN" w:bidi="ar"/>
              </w:rPr>
            </w:pPr>
            <w:r>
              <w:rPr>
                <w:rFonts w:hint="eastAsia" w:ascii="仿宋" w:hAnsi="仿宋" w:eastAsia="仿宋" w:cs="仿宋"/>
                <w:i w:val="0"/>
                <w:color w:val="000000"/>
                <w:kern w:val="0"/>
                <w:sz w:val="11"/>
                <w:szCs w:val="11"/>
                <w:u w:val="none"/>
                <w:lang w:val="en-US" w:eastAsia="zh-CN" w:bidi="ar"/>
              </w:rPr>
              <w:t>40000万元</w:t>
            </w:r>
          </w:p>
          <w:p w14:paraId="40C276D8">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以下</w:t>
            </w:r>
          </w:p>
        </w:tc>
        <w:tc>
          <w:tcPr>
            <w:tcW w:w="843" w:type="dxa"/>
            <w:tcBorders>
              <w:top w:val="single" w:color="000000" w:sz="4" w:space="0"/>
              <w:left w:val="single" w:color="000000" w:sz="4" w:space="0"/>
              <w:bottom w:val="single" w:color="000000" w:sz="4" w:space="0"/>
              <w:right w:val="single" w:color="000000" w:sz="4" w:space="0"/>
            </w:tcBorders>
            <w:noWrap w:val="0"/>
            <w:vAlign w:val="center"/>
          </w:tcPr>
          <w:p w14:paraId="401B70ED">
            <w:pPr>
              <w:rPr>
                <w:rFonts w:hint="eastAsia" w:ascii="仿宋" w:hAnsi="仿宋" w:eastAsia="仿宋" w:cs="仿宋"/>
                <w:i w:val="0"/>
                <w:color w:val="000000"/>
                <w:sz w:val="11"/>
                <w:szCs w:val="11"/>
                <w:u w:val="none"/>
              </w:rPr>
            </w:pPr>
          </w:p>
        </w:tc>
        <w:tc>
          <w:tcPr>
            <w:tcW w:w="766" w:type="dxa"/>
            <w:tcBorders>
              <w:top w:val="single" w:color="000000" w:sz="4" w:space="0"/>
              <w:left w:val="single" w:color="000000" w:sz="4" w:space="0"/>
              <w:bottom w:val="single" w:color="000000" w:sz="4" w:space="0"/>
              <w:right w:val="single" w:color="000000" w:sz="4" w:space="0"/>
            </w:tcBorders>
            <w:noWrap w:val="0"/>
            <w:vAlign w:val="center"/>
          </w:tcPr>
          <w:p w14:paraId="655B90D3">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20人及以上</w:t>
            </w:r>
          </w:p>
        </w:tc>
        <w:tc>
          <w:tcPr>
            <w:tcW w:w="936" w:type="dxa"/>
            <w:tcBorders>
              <w:top w:val="single" w:color="000000" w:sz="4" w:space="0"/>
              <w:left w:val="single" w:color="000000" w:sz="4" w:space="0"/>
              <w:bottom w:val="single" w:color="000000" w:sz="4" w:space="0"/>
              <w:right w:val="single" w:color="000000" w:sz="4" w:space="0"/>
            </w:tcBorders>
            <w:noWrap w:val="0"/>
            <w:vAlign w:val="center"/>
          </w:tcPr>
          <w:p w14:paraId="05073B06">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5000万元及以上</w:t>
            </w:r>
          </w:p>
        </w:tc>
        <w:tc>
          <w:tcPr>
            <w:tcW w:w="740" w:type="dxa"/>
            <w:tcBorders>
              <w:top w:val="single" w:color="000000" w:sz="4" w:space="0"/>
              <w:left w:val="single" w:color="000000" w:sz="4" w:space="0"/>
              <w:bottom w:val="single" w:color="000000" w:sz="4" w:space="0"/>
              <w:right w:val="single" w:color="000000" w:sz="4" w:space="0"/>
            </w:tcBorders>
            <w:noWrap w:val="0"/>
            <w:vAlign w:val="center"/>
          </w:tcPr>
          <w:p w14:paraId="64C5D666">
            <w:pPr>
              <w:rPr>
                <w:rFonts w:hint="eastAsia" w:ascii="仿宋" w:hAnsi="仿宋" w:eastAsia="仿宋" w:cs="仿宋"/>
                <w:i w:val="0"/>
                <w:color w:val="000000"/>
                <w:sz w:val="11"/>
                <w:szCs w:val="11"/>
                <w:u w:val="none"/>
              </w:rPr>
            </w:pPr>
          </w:p>
        </w:tc>
        <w:tc>
          <w:tcPr>
            <w:tcW w:w="785" w:type="dxa"/>
            <w:tcBorders>
              <w:top w:val="single" w:color="000000" w:sz="4" w:space="0"/>
              <w:left w:val="single" w:color="000000" w:sz="4" w:space="0"/>
              <w:bottom w:val="single" w:color="000000" w:sz="4" w:space="0"/>
              <w:right w:val="single" w:color="000000" w:sz="4" w:space="0"/>
            </w:tcBorders>
            <w:noWrap w:val="0"/>
            <w:vAlign w:val="center"/>
          </w:tcPr>
          <w:p w14:paraId="10A01E08">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5人及以上</w:t>
            </w:r>
          </w:p>
        </w:tc>
        <w:tc>
          <w:tcPr>
            <w:tcW w:w="785" w:type="dxa"/>
            <w:tcBorders>
              <w:top w:val="single" w:color="000000" w:sz="4" w:space="0"/>
              <w:left w:val="single" w:color="000000" w:sz="4" w:space="0"/>
              <w:bottom w:val="single" w:color="000000" w:sz="4" w:space="0"/>
              <w:right w:val="single" w:color="000000" w:sz="4" w:space="0"/>
            </w:tcBorders>
            <w:noWrap w:val="0"/>
            <w:vAlign w:val="center"/>
          </w:tcPr>
          <w:p w14:paraId="69162CF5">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1000万元及以上</w:t>
            </w:r>
          </w:p>
        </w:tc>
        <w:tc>
          <w:tcPr>
            <w:tcW w:w="704" w:type="dxa"/>
            <w:tcBorders>
              <w:top w:val="single" w:color="000000" w:sz="4" w:space="0"/>
              <w:left w:val="single" w:color="000000" w:sz="4" w:space="0"/>
              <w:bottom w:val="single" w:color="000000" w:sz="4" w:space="0"/>
              <w:right w:val="single" w:color="000000" w:sz="4" w:space="0"/>
            </w:tcBorders>
            <w:noWrap w:val="0"/>
            <w:vAlign w:val="center"/>
          </w:tcPr>
          <w:p w14:paraId="2B4D91AF">
            <w:pPr>
              <w:rPr>
                <w:rFonts w:hint="eastAsia" w:ascii="仿宋" w:hAnsi="仿宋" w:eastAsia="仿宋" w:cs="仿宋"/>
                <w:i w:val="0"/>
                <w:color w:val="000000"/>
                <w:sz w:val="11"/>
                <w:szCs w:val="11"/>
                <w:u w:val="none"/>
              </w:rPr>
            </w:pPr>
          </w:p>
        </w:tc>
        <w:tc>
          <w:tcPr>
            <w:tcW w:w="798" w:type="dxa"/>
            <w:tcBorders>
              <w:top w:val="single" w:color="000000" w:sz="4" w:space="0"/>
              <w:left w:val="single" w:color="000000" w:sz="4" w:space="0"/>
              <w:bottom w:val="single" w:color="000000" w:sz="4" w:space="0"/>
              <w:right w:val="single" w:color="000000" w:sz="4" w:space="0"/>
            </w:tcBorders>
            <w:noWrap w:val="0"/>
            <w:vAlign w:val="center"/>
          </w:tcPr>
          <w:p w14:paraId="3EA70B31">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5人以下</w:t>
            </w:r>
          </w:p>
        </w:tc>
        <w:tc>
          <w:tcPr>
            <w:tcW w:w="714" w:type="dxa"/>
            <w:tcBorders>
              <w:top w:val="single" w:color="000000" w:sz="4" w:space="0"/>
              <w:left w:val="single" w:color="000000" w:sz="4" w:space="0"/>
              <w:bottom w:val="single" w:color="000000" w:sz="4" w:space="0"/>
              <w:right w:val="single" w:color="000000" w:sz="4" w:space="0"/>
            </w:tcBorders>
            <w:noWrap w:val="0"/>
            <w:vAlign w:val="center"/>
          </w:tcPr>
          <w:p w14:paraId="667828DB">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1000万元以下</w:t>
            </w:r>
          </w:p>
        </w:tc>
        <w:tc>
          <w:tcPr>
            <w:tcW w:w="501" w:type="dxa"/>
            <w:tcBorders>
              <w:top w:val="single" w:color="000000" w:sz="4" w:space="0"/>
              <w:left w:val="single" w:color="000000" w:sz="4" w:space="0"/>
              <w:bottom w:val="single" w:color="000000" w:sz="4" w:space="0"/>
              <w:right w:val="single" w:color="000000" w:sz="12" w:space="0"/>
            </w:tcBorders>
            <w:noWrap w:val="0"/>
            <w:vAlign w:val="center"/>
          </w:tcPr>
          <w:p w14:paraId="4CF03A47">
            <w:pPr>
              <w:rPr>
                <w:rFonts w:hint="eastAsia" w:ascii="仿宋" w:hAnsi="仿宋" w:eastAsia="仿宋" w:cs="仿宋"/>
                <w:i w:val="0"/>
                <w:color w:val="000000"/>
                <w:sz w:val="11"/>
                <w:szCs w:val="11"/>
                <w:u w:val="none"/>
              </w:rPr>
            </w:pPr>
          </w:p>
        </w:tc>
      </w:tr>
      <w:tr w14:paraId="61374A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68" w:hRule="atLeast"/>
          <w:jc w:val="center"/>
        </w:trPr>
        <w:tc>
          <w:tcPr>
            <w:tcW w:w="1925" w:type="dxa"/>
            <w:tcBorders>
              <w:top w:val="single" w:color="000000" w:sz="4" w:space="0"/>
              <w:left w:val="single" w:color="000000" w:sz="12" w:space="0"/>
              <w:bottom w:val="single" w:color="000000" w:sz="4" w:space="0"/>
              <w:right w:val="single" w:color="000000" w:sz="4" w:space="0"/>
            </w:tcBorders>
            <w:noWrap w:val="0"/>
            <w:vAlign w:val="center"/>
          </w:tcPr>
          <w:p w14:paraId="05C666F1">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零售业</w:t>
            </w:r>
          </w:p>
        </w:tc>
        <w:tc>
          <w:tcPr>
            <w:tcW w:w="606" w:type="dxa"/>
            <w:tcBorders>
              <w:top w:val="single" w:color="000000" w:sz="4" w:space="0"/>
              <w:left w:val="single" w:color="000000" w:sz="4" w:space="0"/>
              <w:bottom w:val="single" w:color="000000" w:sz="4" w:space="0"/>
              <w:right w:val="single" w:color="000000" w:sz="4" w:space="0"/>
            </w:tcBorders>
            <w:noWrap w:val="0"/>
            <w:vAlign w:val="center"/>
          </w:tcPr>
          <w:p w14:paraId="1E820801">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300人以下</w:t>
            </w:r>
          </w:p>
        </w:tc>
        <w:tc>
          <w:tcPr>
            <w:tcW w:w="835" w:type="dxa"/>
            <w:tcBorders>
              <w:top w:val="single" w:color="000000" w:sz="4" w:space="0"/>
              <w:left w:val="single" w:color="000000" w:sz="4" w:space="0"/>
              <w:bottom w:val="single" w:color="000000" w:sz="4" w:space="0"/>
              <w:right w:val="single" w:color="000000" w:sz="4" w:space="0"/>
            </w:tcBorders>
            <w:noWrap w:val="0"/>
            <w:vAlign w:val="center"/>
          </w:tcPr>
          <w:p w14:paraId="40AA822F">
            <w:pPr>
              <w:keepNext w:val="0"/>
              <w:keepLines w:val="0"/>
              <w:widowControl/>
              <w:suppressLineNumbers w:val="0"/>
              <w:jc w:val="left"/>
              <w:textAlignment w:val="center"/>
              <w:rPr>
                <w:rFonts w:hint="eastAsia" w:ascii="仿宋" w:hAnsi="仿宋" w:eastAsia="仿宋" w:cs="仿宋"/>
                <w:i w:val="0"/>
                <w:color w:val="000000"/>
                <w:kern w:val="0"/>
                <w:sz w:val="11"/>
                <w:szCs w:val="11"/>
                <w:u w:val="none"/>
                <w:lang w:val="en-US" w:eastAsia="zh-CN" w:bidi="ar"/>
              </w:rPr>
            </w:pPr>
            <w:r>
              <w:rPr>
                <w:rFonts w:hint="eastAsia" w:ascii="仿宋" w:hAnsi="仿宋" w:eastAsia="仿宋" w:cs="仿宋"/>
                <w:i w:val="0"/>
                <w:color w:val="000000"/>
                <w:kern w:val="0"/>
                <w:sz w:val="11"/>
                <w:szCs w:val="11"/>
                <w:u w:val="none"/>
                <w:lang w:val="en-US" w:eastAsia="zh-CN" w:bidi="ar"/>
              </w:rPr>
              <w:t>20000万元</w:t>
            </w:r>
          </w:p>
          <w:p w14:paraId="018295B4">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以下</w:t>
            </w:r>
          </w:p>
        </w:tc>
        <w:tc>
          <w:tcPr>
            <w:tcW w:w="843" w:type="dxa"/>
            <w:tcBorders>
              <w:top w:val="single" w:color="000000" w:sz="4" w:space="0"/>
              <w:left w:val="single" w:color="000000" w:sz="4" w:space="0"/>
              <w:bottom w:val="single" w:color="000000" w:sz="4" w:space="0"/>
              <w:right w:val="single" w:color="000000" w:sz="4" w:space="0"/>
            </w:tcBorders>
            <w:noWrap w:val="0"/>
            <w:vAlign w:val="center"/>
          </w:tcPr>
          <w:p w14:paraId="78FC39C4">
            <w:pPr>
              <w:rPr>
                <w:rFonts w:hint="eastAsia" w:ascii="仿宋" w:hAnsi="仿宋" w:eastAsia="仿宋" w:cs="仿宋"/>
                <w:i w:val="0"/>
                <w:color w:val="000000"/>
                <w:sz w:val="11"/>
                <w:szCs w:val="11"/>
                <w:u w:val="none"/>
              </w:rPr>
            </w:pPr>
          </w:p>
        </w:tc>
        <w:tc>
          <w:tcPr>
            <w:tcW w:w="766" w:type="dxa"/>
            <w:tcBorders>
              <w:top w:val="single" w:color="000000" w:sz="4" w:space="0"/>
              <w:left w:val="single" w:color="000000" w:sz="4" w:space="0"/>
              <w:bottom w:val="single" w:color="000000" w:sz="4" w:space="0"/>
              <w:right w:val="single" w:color="000000" w:sz="4" w:space="0"/>
            </w:tcBorders>
            <w:noWrap w:val="0"/>
            <w:vAlign w:val="center"/>
          </w:tcPr>
          <w:p w14:paraId="0CE5031A">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50人及以上</w:t>
            </w:r>
          </w:p>
        </w:tc>
        <w:tc>
          <w:tcPr>
            <w:tcW w:w="936" w:type="dxa"/>
            <w:tcBorders>
              <w:top w:val="single" w:color="000000" w:sz="4" w:space="0"/>
              <w:left w:val="single" w:color="000000" w:sz="4" w:space="0"/>
              <w:bottom w:val="single" w:color="000000" w:sz="4" w:space="0"/>
              <w:right w:val="single" w:color="000000" w:sz="4" w:space="0"/>
            </w:tcBorders>
            <w:noWrap w:val="0"/>
            <w:vAlign w:val="center"/>
          </w:tcPr>
          <w:p w14:paraId="7D80C80D">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500万元及以上</w:t>
            </w:r>
          </w:p>
        </w:tc>
        <w:tc>
          <w:tcPr>
            <w:tcW w:w="740" w:type="dxa"/>
            <w:tcBorders>
              <w:top w:val="single" w:color="000000" w:sz="4" w:space="0"/>
              <w:left w:val="single" w:color="000000" w:sz="4" w:space="0"/>
              <w:bottom w:val="single" w:color="000000" w:sz="4" w:space="0"/>
              <w:right w:val="single" w:color="000000" w:sz="4" w:space="0"/>
            </w:tcBorders>
            <w:noWrap w:val="0"/>
            <w:vAlign w:val="center"/>
          </w:tcPr>
          <w:p w14:paraId="14094A9F">
            <w:pPr>
              <w:rPr>
                <w:rFonts w:hint="eastAsia" w:ascii="仿宋" w:hAnsi="仿宋" w:eastAsia="仿宋" w:cs="仿宋"/>
                <w:i w:val="0"/>
                <w:color w:val="000000"/>
                <w:sz w:val="11"/>
                <w:szCs w:val="11"/>
                <w:u w:val="none"/>
              </w:rPr>
            </w:pPr>
          </w:p>
        </w:tc>
        <w:tc>
          <w:tcPr>
            <w:tcW w:w="785" w:type="dxa"/>
            <w:tcBorders>
              <w:top w:val="single" w:color="000000" w:sz="4" w:space="0"/>
              <w:left w:val="single" w:color="000000" w:sz="4" w:space="0"/>
              <w:bottom w:val="single" w:color="000000" w:sz="4" w:space="0"/>
              <w:right w:val="single" w:color="000000" w:sz="4" w:space="0"/>
            </w:tcBorders>
            <w:noWrap w:val="0"/>
            <w:vAlign w:val="center"/>
          </w:tcPr>
          <w:p w14:paraId="42D8818B">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10人及以上</w:t>
            </w:r>
          </w:p>
        </w:tc>
        <w:tc>
          <w:tcPr>
            <w:tcW w:w="785" w:type="dxa"/>
            <w:tcBorders>
              <w:top w:val="single" w:color="000000" w:sz="4" w:space="0"/>
              <w:left w:val="single" w:color="000000" w:sz="4" w:space="0"/>
              <w:bottom w:val="single" w:color="000000" w:sz="4" w:space="0"/>
              <w:right w:val="single" w:color="000000" w:sz="4" w:space="0"/>
            </w:tcBorders>
            <w:noWrap w:val="0"/>
            <w:vAlign w:val="center"/>
          </w:tcPr>
          <w:p w14:paraId="51B44CE9">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100万元及以上</w:t>
            </w:r>
          </w:p>
        </w:tc>
        <w:tc>
          <w:tcPr>
            <w:tcW w:w="704" w:type="dxa"/>
            <w:tcBorders>
              <w:top w:val="single" w:color="000000" w:sz="4" w:space="0"/>
              <w:left w:val="single" w:color="000000" w:sz="4" w:space="0"/>
              <w:bottom w:val="single" w:color="000000" w:sz="4" w:space="0"/>
              <w:right w:val="single" w:color="000000" w:sz="4" w:space="0"/>
            </w:tcBorders>
            <w:noWrap w:val="0"/>
            <w:vAlign w:val="center"/>
          </w:tcPr>
          <w:p w14:paraId="099CE800">
            <w:pPr>
              <w:rPr>
                <w:rFonts w:hint="eastAsia" w:ascii="仿宋" w:hAnsi="仿宋" w:eastAsia="仿宋" w:cs="仿宋"/>
                <w:i w:val="0"/>
                <w:color w:val="000000"/>
                <w:sz w:val="11"/>
                <w:szCs w:val="11"/>
                <w:u w:val="none"/>
              </w:rPr>
            </w:pPr>
          </w:p>
        </w:tc>
        <w:tc>
          <w:tcPr>
            <w:tcW w:w="798" w:type="dxa"/>
            <w:tcBorders>
              <w:top w:val="single" w:color="000000" w:sz="4" w:space="0"/>
              <w:left w:val="single" w:color="000000" w:sz="4" w:space="0"/>
              <w:bottom w:val="single" w:color="000000" w:sz="4" w:space="0"/>
              <w:right w:val="single" w:color="000000" w:sz="4" w:space="0"/>
            </w:tcBorders>
            <w:noWrap w:val="0"/>
            <w:vAlign w:val="center"/>
          </w:tcPr>
          <w:p w14:paraId="2028B6A6">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10人以下</w:t>
            </w:r>
          </w:p>
        </w:tc>
        <w:tc>
          <w:tcPr>
            <w:tcW w:w="714" w:type="dxa"/>
            <w:tcBorders>
              <w:top w:val="single" w:color="000000" w:sz="4" w:space="0"/>
              <w:left w:val="single" w:color="000000" w:sz="4" w:space="0"/>
              <w:bottom w:val="single" w:color="000000" w:sz="4" w:space="0"/>
              <w:right w:val="single" w:color="000000" w:sz="4" w:space="0"/>
            </w:tcBorders>
            <w:noWrap w:val="0"/>
            <w:vAlign w:val="center"/>
          </w:tcPr>
          <w:p w14:paraId="0022556D">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100万元以下</w:t>
            </w:r>
          </w:p>
        </w:tc>
        <w:tc>
          <w:tcPr>
            <w:tcW w:w="501" w:type="dxa"/>
            <w:tcBorders>
              <w:top w:val="single" w:color="000000" w:sz="4" w:space="0"/>
              <w:left w:val="single" w:color="000000" w:sz="4" w:space="0"/>
              <w:bottom w:val="single" w:color="000000" w:sz="4" w:space="0"/>
              <w:right w:val="single" w:color="000000" w:sz="12" w:space="0"/>
            </w:tcBorders>
            <w:noWrap w:val="0"/>
            <w:vAlign w:val="center"/>
          </w:tcPr>
          <w:p w14:paraId="3FA1E7D5">
            <w:pPr>
              <w:rPr>
                <w:rFonts w:hint="eastAsia" w:ascii="仿宋" w:hAnsi="仿宋" w:eastAsia="仿宋" w:cs="仿宋"/>
                <w:i w:val="0"/>
                <w:color w:val="000000"/>
                <w:sz w:val="11"/>
                <w:szCs w:val="11"/>
                <w:u w:val="none"/>
              </w:rPr>
            </w:pPr>
          </w:p>
        </w:tc>
      </w:tr>
      <w:tr w14:paraId="11D28A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68" w:hRule="atLeast"/>
          <w:jc w:val="center"/>
        </w:trPr>
        <w:tc>
          <w:tcPr>
            <w:tcW w:w="1925" w:type="dxa"/>
            <w:tcBorders>
              <w:top w:val="single" w:color="000000" w:sz="4" w:space="0"/>
              <w:left w:val="single" w:color="000000" w:sz="12" w:space="0"/>
              <w:bottom w:val="single" w:color="000000" w:sz="4" w:space="0"/>
              <w:right w:val="single" w:color="000000" w:sz="4" w:space="0"/>
            </w:tcBorders>
            <w:noWrap w:val="0"/>
            <w:vAlign w:val="center"/>
          </w:tcPr>
          <w:p w14:paraId="3570126D">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交通运输业（不含铁路运输业）</w:t>
            </w:r>
          </w:p>
        </w:tc>
        <w:tc>
          <w:tcPr>
            <w:tcW w:w="606" w:type="dxa"/>
            <w:tcBorders>
              <w:top w:val="single" w:color="000000" w:sz="4" w:space="0"/>
              <w:left w:val="single" w:color="000000" w:sz="4" w:space="0"/>
              <w:bottom w:val="single" w:color="000000" w:sz="4" w:space="0"/>
              <w:right w:val="single" w:color="000000" w:sz="4" w:space="0"/>
            </w:tcBorders>
            <w:noWrap w:val="0"/>
            <w:vAlign w:val="center"/>
          </w:tcPr>
          <w:p w14:paraId="6A94AA28">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1000人以下</w:t>
            </w:r>
          </w:p>
        </w:tc>
        <w:tc>
          <w:tcPr>
            <w:tcW w:w="835" w:type="dxa"/>
            <w:tcBorders>
              <w:top w:val="single" w:color="000000" w:sz="4" w:space="0"/>
              <w:left w:val="single" w:color="000000" w:sz="4" w:space="0"/>
              <w:bottom w:val="single" w:color="000000" w:sz="4" w:space="0"/>
              <w:right w:val="single" w:color="000000" w:sz="4" w:space="0"/>
            </w:tcBorders>
            <w:noWrap w:val="0"/>
            <w:vAlign w:val="center"/>
          </w:tcPr>
          <w:p w14:paraId="0ADD45E3">
            <w:pPr>
              <w:keepNext w:val="0"/>
              <w:keepLines w:val="0"/>
              <w:widowControl/>
              <w:suppressLineNumbers w:val="0"/>
              <w:jc w:val="left"/>
              <w:textAlignment w:val="center"/>
              <w:rPr>
                <w:rFonts w:hint="eastAsia" w:ascii="仿宋" w:hAnsi="仿宋" w:eastAsia="仿宋" w:cs="仿宋"/>
                <w:i w:val="0"/>
                <w:color w:val="000000"/>
                <w:kern w:val="0"/>
                <w:sz w:val="11"/>
                <w:szCs w:val="11"/>
                <w:u w:val="none"/>
                <w:lang w:val="en-US" w:eastAsia="zh-CN" w:bidi="ar"/>
              </w:rPr>
            </w:pPr>
            <w:r>
              <w:rPr>
                <w:rFonts w:hint="eastAsia" w:ascii="仿宋" w:hAnsi="仿宋" w:eastAsia="仿宋" w:cs="仿宋"/>
                <w:i w:val="0"/>
                <w:color w:val="000000"/>
                <w:kern w:val="0"/>
                <w:sz w:val="11"/>
                <w:szCs w:val="11"/>
                <w:u w:val="none"/>
                <w:lang w:val="en-US" w:eastAsia="zh-CN" w:bidi="ar"/>
              </w:rPr>
              <w:t>30000万元</w:t>
            </w:r>
          </w:p>
          <w:p w14:paraId="3595D8DB">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以下</w:t>
            </w:r>
          </w:p>
        </w:tc>
        <w:tc>
          <w:tcPr>
            <w:tcW w:w="843" w:type="dxa"/>
            <w:tcBorders>
              <w:top w:val="single" w:color="000000" w:sz="4" w:space="0"/>
              <w:left w:val="single" w:color="000000" w:sz="4" w:space="0"/>
              <w:bottom w:val="single" w:color="000000" w:sz="4" w:space="0"/>
              <w:right w:val="single" w:color="000000" w:sz="4" w:space="0"/>
            </w:tcBorders>
            <w:noWrap w:val="0"/>
            <w:vAlign w:val="center"/>
          </w:tcPr>
          <w:p w14:paraId="1DE4859A">
            <w:pPr>
              <w:rPr>
                <w:rFonts w:hint="eastAsia" w:ascii="仿宋" w:hAnsi="仿宋" w:eastAsia="仿宋" w:cs="仿宋"/>
                <w:i w:val="0"/>
                <w:color w:val="000000"/>
                <w:sz w:val="11"/>
                <w:szCs w:val="11"/>
                <w:u w:val="none"/>
              </w:rPr>
            </w:pPr>
          </w:p>
        </w:tc>
        <w:tc>
          <w:tcPr>
            <w:tcW w:w="766" w:type="dxa"/>
            <w:tcBorders>
              <w:top w:val="single" w:color="000000" w:sz="4" w:space="0"/>
              <w:left w:val="single" w:color="000000" w:sz="4" w:space="0"/>
              <w:bottom w:val="single" w:color="000000" w:sz="4" w:space="0"/>
              <w:right w:val="single" w:color="000000" w:sz="4" w:space="0"/>
            </w:tcBorders>
            <w:noWrap w:val="0"/>
            <w:vAlign w:val="center"/>
          </w:tcPr>
          <w:p w14:paraId="454A35C4">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300人及以上</w:t>
            </w:r>
          </w:p>
        </w:tc>
        <w:tc>
          <w:tcPr>
            <w:tcW w:w="936" w:type="dxa"/>
            <w:tcBorders>
              <w:top w:val="single" w:color="000000" w:sz="4" w:space="0"/>
              <w:left w:val="single" w:color="000000" w:sz="4" w:space="0"/>
              <w:bottom w:val="single" w:color="000000" w:sz="4" w:space="0"/>
              <w:right w:val="single" w:color="000000" w:sz="4" w:space="0"/>
            </w:tcBorders>
            <w:noWrap w:val="0"/>
            <w:vAlign w:val="center"/>
          </w:tcPr>
          <w:p w14:paraId="5DE17D73">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3000万元及以上</w:t>
            </w:r>
          </w:p>
        </w:tc>
        <w:tc>
          <w:tcPr>
            <w:tcW w:w="740" w:type="dxa"/>
            <w:tcBorders>
              <w:top w:val="single" w:color="000000" w:sz="4" w:space="0"/>
              <w:left w:val="single" w:color="000000" w:sz="4" w:space="0"/>
              <w:bottom w:val="single" w:color="000000" w:sz="4" w:space="0"/>
              <w:right w:val="single" w:color="000000" w:sz="4" w:space="0"/>
            </w:tcBorders>
            <w:noWrap w:val="0"/>
            <w:vAlign w:val="center"/>
          </w:tcPr>
          <w:p w14:paraId="76FF8CD0">
            <w:pPr>
              <w:rPr>
                <w:rFonts w:hint="eastAsia" w:ascii="仿宋" w:hAnsi="仿宋" w:eastAsia="仿宋" w:cs="仿宋"/>
                <w:i w:val="0"/>
                <w:color w:val="000000"/>
                <w:sz w:val="11"/>
                <w:szCs w:val="11"/>
                <w:u w:val="none"/>
              </w:rPr>
            </w:pPr>
          </w:p>
        </w:tc>
        <w:tc>
          <w:tcPr>
            <w:tcW w:w="785" w:type="dxa"/>
            <w:tcBorders>
              <w:top w:val="single" w:color="000000" w:sz="4" w:space="0"/>
              <w:left w:val="single" w:color="000000" w:sz="4" w:space="0"/>
              <w:bottom w:val="single" w:color="000000" w:sz="4" w:space="0"/>
              <w:right w:val="single" w:color="000000" w:sz="4" w:space="0"/>
            </w:tcBorders>
            <w:noWrap w:val="0"/>
            <w:vAlign w:val="center"/>
          </w:tcPr>
          <w:p w14:paraId="47F37369">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20人及以上</w:t>
            </w:r>
          </w:p>
        </w:tc>
        <w:tc>
          <w:tcPr>
            <w:tcW w:w="785" w:type="dxa"/>
            <w:tcBorders>
              <w:top w:val="single" w:color="000000" w:sz="4" w:space="0"/>
              <w:left w:val="single" w:color="000000" w:sz="4" w:space="0"/>
              <w:bottom w:val="single" w:color="000000" w:sz="4" w:space="0"/>
              <w:right w:val="single" w:color="000000" w:sz="4" w:space="0"/>
            </w:tcBorders>
            <w:noWrap w:val="0"/>
            <w:vAlign w:val="center"/>
          </w:tcPr>
          <w:p w14:paraId="0FB69ED1">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200万元及以上</w:t>
            </w:r>
          </w:p>
        </w:tc>
        <w:tc>
          <w:tcPr>
            <w:tcW w:w="704" w:type="dxa"/>
            <w:tcBorders>
              <w:top w:val="single" w:color="000000" w:sz="4" w:space="0"/>
              <w:left w:val="single" w:color="000000" w:sz="4" w:space="0"/>
              <w:bottom w:val="single" w:color="000000" w:sz="4" w:space="0"/>
              <w:right w:val="single" w:color="000000" w:sz="4" w:space="0"/>
            </w:tcBorders>
            <w:noWrap w:val="0"/>
            <w:vAlign w:val="center"/>
          </w:tcPr>
          <w:p w14:paraId="430B0A2B">
            <w:pPr>
              <w:rPr>
                <w:rFonts w:hint="eastAsia" w:ascii="仿宋" w:hAnsi="仿宋" w:eastAsia="仿宋" w:cs="仿宋"/>
                <w:i w:val="0"/>
                <w:color w:val="000000"/>
                <w:sz w:val="11"/>
                <w:szCs w:val="11"/>
                <w:u w:val="none"/>
              </w:rPr>
            </w:pPr>
          </w:p>
        </w:tc>
        <w:tc>
          <w:tcPr>
            <w:tcW w:w="798" w:type="dxa"/>
            <w:tcBorders>
              <w:top w:val="single" w:color="000000" w:sz="4" w:space="0"/>
              <w:left w:val="single" w:color="000000" w:sz="4" w:space="0"/>
              <w:bottom w:val="single" w:color="000000" w:sz="4" w:space="0"/>
              <w:right w:val="single" w:color="000000" w:sz="4" w:space="0"/>
            </w:tcBorders>
            <w:noWrap w:val="0"/>
            <w:vAlign w:val="center"/>
          </w:tcPr>
          <w:p w14:paraId="156EC28B">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20人以下</w:t>
            </w:r>
          </w:p>
        </w:tc>
        <w:tc>
          <w:tcPr>
            <w:tcW w:w="714" w:type="dxa"/>
            <w:tcBorders>
              <w:top w:val="single" w:color="000000" w:sz="4" w:space="0"/>
              <w:left w:val="single" w:color="000000" w:sz="4" w:space="0"/>
              <w:bottom w:val="single" w:color="000000" w:sz="4" w:space="0"/>
              <w:right w:val="single" w:color="000000" w:sz="4" w:space="0"/>
            </w:tcBorders>
            <w:noWrap w:val="0"/>
            <w:vAlign w:val="center"/>
          </w:tcPr>
          <w:p w14:paraId="40B50F21">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200万元以下</w:t>
            </w:r>
          </w:p>
        </w:tc>
        <w:tc>
          <w:tcPr>
            <w:tcW w:w="501" w:type="dxa"/>
            <w:tcBorders>
              <w:top w:val="single" w:color="000000" w:sz="4" w:space="0"/>
              <w:left w:val="single" w:color="000000" w:sz="4" w:space="0"/>
              <w:bottom w:val="single" w:color="000000" w:sz="4" w:space="0"/>
              <w:right w:val="single" w:color="000000" w:sz="12" w:space="0"/>
            </w:tcBorders>
            <w:noWrap w:val="0"/>
            <w:vAlign w:val="center"/>
          </w:tcPr>
          <w:p w14:paraId="70360823">
            <w:pPr>
              <w:rPr>
                <w:rFonts w:hint="eastAsia" w:ascii="仿宋" w:hAnsi="仿宋" w:eastAsia="仿宋" w:cs="仿宋"/>
                <w:i w:val="0"/>
                <w:color w:val="000000"/>
                <w:sz w:val="11"/>
                <w:szCs w:val="11"/>
                <w:u w:val="none"/>
              </w:rPr>
            </w:pPr>
          </w:p>
        </w:tc>
      </w:tr>
      <w:tr w14:paraId="7A5B7C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07" w:hRule="atLeast"/>
          <w:jc w:val="center"/>
        </w:trPr>
        <w:tc>
          <w:tcPr>
            <w:tcW w:w="1925" w:type="dxa"/>
            <w:tcBorders>
              <w:top w:val="single" w:color="000000" w:sz="4" w:space="0"/>
              <w:left w:val="single" w:color="000000" w:sz="12" w:space="0"/>
              <w:bottom w:val="single" w:color="000000" w:sz="4" w:space="0"/>
              <w:right w:val="single" w:color="000000" w:sz="4" w:space="0"/>
            </w:tcBorders>
            <w:noWrap w:val="0"/>
            <w:vAlign w:val="center"/>
          </w:tcPr>
          <w:p w14:paraId="3092901B">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仓储业</w:t>
            </w:r>
          </w:p>
        </w:tc>
        <w:tc>
          <w:tcPr>
            <w:tcW w:w="606" w:type="dxa"/>
            <w:tcBorders>
              <w:top w:val="single" w:color="000000" w:sz="4" w:space="0"/>
              <w:left w:val="single" w:color="000000" w:sz="4" w:space="0"/>
              <w:bottom w:val="single" w:color="000000" w:sz="4" w:space="0"/>
              <w:right w:val="single" w:color="000000" w:sz="4" w:space="0"/>
            </w:tcBorders>
            <w:noWrap w:val="0"/>
            <w:vAlign w:val="center"/>
          </w:tcPr>
          <w:p w14:paraId="3CA9C8E3">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200人以下</w:t>
            </w:r>
          </w:p>
        </w:tc>
        <w:tc>
          <w:tcPr>
            <w:tcW w:w="835" w:type="dxa"/>
            <w:tcBorders>
              <w:top w:val="single" w:color="000000" w:sz="4" w:space="0"/>
              <w:left w:val="single" w:color="000000" w:sz="4" w:space="0"/>
              <w:bottom w:val="single" w:color="000000" w:sz="4" w:space="0"/>
              <w:right w:val="single" w:color="000000" w:sz="4" w:space="0"/>
            </w:tcBorders>
            <w:noWrap w:val="0"/>
            <w:vAlign w:val="center"/>
          </w:tcPr>
          <w:p w14:paraId="6D7E3A35">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30000万元以下</w:t>
            </w:r>
          </w:p>
        </w:tc>
        <w:tc>
          <w:tcPr>
            <w:tcW w:w="843" w:type="dxa"/>
            <w:tcBorders>
              <w:top w:val="single" w:color="000000" w:sz="4" w:space="0"/>
              <w:left w:val="single" w:color="000000" w:sz="4" w:space="0"/>
              <w:bottom w:val="single" w:color="000000" w:sz="4" w:space="0"/>
              <w:right w:val="single" w:color="000000" w:sz="4" w:space="0"/>
            </w:tcBorders>
            <w:noWrap w:val="0"/>
            <w:vAlign w:val="center"/>
          </w:tcPr>
          <w:p w14:paraId="703D193E">
            <w:pPr>
              <w:rPr>
                <w:rFonts w:hint="eastAsia" w:ascii="仿宋" w:hAnsi="仿宋" w:eastAsia="仿宋" w:cs="仿宋"/>
                <w:i w:val="0"/>
                <w:color w:val="000000"/>
                <w:sz w:val="11"/>
                <w:szCs w:val="11"/>
                <w:u w:val="none"/>
              </w:rPr>
            </w:pPr>
          </w:p>
        </w:tc>
        <w:tc>
          <w:tcPr>
            <w:tcW w:w="766" w:type="dxa"/>
            <w:tcBorders>
              <w:top w:val="single" w:color="000000" w:sz="4" w:space="0"/>
              <w:left w:val="single" w:color="000000" w:sz="4" w:space="0"/>
              <w:bottom w:val="single" w:color="000000" w:sz="4" w:space="0"/>
              <w:right w:val="single" w:color="000000" w:sz="4" w:space="0"/>
            </w:tcBorders>
            <w:noWrap w:val="0"/>
            <w:vAlign w:val="center"/>
          </w:tcPr>
          <w:p w14:paraId="3E61A1E8">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100人及以上</w:t>
            </w:r>
          </w:p>
        </w:tc>
        <w:tc>
          <w:tcPr>
            <w:tcW w:w="936" w:type="dxa"/>
            <w:tcBorders>
              <w:top w:val="single" w:color="000000" w:sz="4" w:space="0"/>
              <w:left w:val="single" w:color="000000" w:sz="4" w:space="0"/>
              <w:bottom w:val="single" w:color="000000" w:sz="4" w:space="0"/>
              <w:right w:val="single" w:color="000000" w:sz="4" w:space="0"/>
            </w:tcBorders>
            <w:noWrap w:val="0"/>
            <w:vAlign w:val="center"/>
          </w:tcPr>
          <w:p w14:paraId="6C64D91C">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1000万元及以上</w:t>
            </w:r>
          </w:p>
        </w:tc>
        <w:tc>
          <w:tcPr>
            <w:tcW w:w="740" w:type="dxa"/>
            <w:tcBorders>
              <w:top w:val="single" w:color="000000" w:sz="4" w:space="0"/>
              <w:left w:val="single" w:color="000000" w:sz="4" w:space="0"/>
              <w:bottom w:val="single" w:color="000000" w:sz="4" w:space="0"/>
              <w:right w:val="single" w:color="000000" w:sz="4" w:space="0"/>
            </w:tcBorders>
            <w:noWrap w:val="0"/>
            <w:vAlign w:val="center"/>
          </w:tcPr>
          <w:p w14:paraId="20ADD638">
            <w:pPr>
              <w:rPr>
                <w:rFonts w:hint="eastAsia" w:ascii="仿宋" w:hAnsi="仿宋" w:eastAsia="仿宋" w:cs="仿宋"/>
                <w:i w:val="0"/>
                <w:color w:val="000000"/>
                <w:sz w:val="11"/>
                <w:szCs w:val="11"/>
                <w:u w:val="none"/>
              </w:rPr>
            </w:pPr>
          </w:p>
        </w:tc>
        <w:tc>
          <w:tcPr>
            <w:tcW w:w="785" w:type="dxa"/>
            <w:tcBorders>
              <w:top w:val="single" w:color="000000" w:sz="4" w:space="0"/>
              <w:left w:val="single" w:color="000000" w:sz="4" w:space="0"/>
              <w:bottom w:val="single" w:color="000000" w:sz="4" w:space="0"/>
              <w:right w:val="single" w:color="000000" w:sz="4" w:space="0"/>
            </w:tcBorders>
            <w:noWrap w:val="0"/>
            <w:vAlign w:val="center"/>
          </w:tcPr>
          <w:p w14:paraId="7CA9ABDD">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20人及以上</w:t>
            </w:r>
          </w:p>
        </w:tc>
        <w:tc>
          <w:tcPr>
            <w:tcW w:w="785" w:type="dxa"/>
            <w:tcBorders>
              <w:top w:val="single" w:color="000000" w:sz="4" w:space="0"/>
              <w:left w:val="single" w:color="000000" w:sz="4" w:space="0"/>
              <w:bottom w:val="single" w:color="000000" w:sz="4" w:space="0"/>
              <w:right w:val="single" w:color="000000" w:sz="4" w:space="0"/>
            </w:tcBorders>
            <w:noWrap w:val="0"/>
            <w:vAlign w:val="center"/>
          </w:tcPr>
          <w:p w14:paraId="6390EE17">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100万元及以上</w:t>
            </w:r>
          </w:p>
        </w:tc>
        <w:tc>
          <w:tcPr>
            <w:tcW w:w="704" w:type="dxa"/>
            <w:tcBorders>
              <w:top w:val="single" w:color="000000" w:sz="4" w:space="0"/>
              <w:left w:val="single" w:color="000000" w:sz="4" w:space="0"/>
              <w:bottom w:val="single" w:color="000000" w:sz="4" w:space="0"/>
              <w:right w:val="single" w:color="000000" w:sz="4" w:space="0"/>
            </w:tcBorders>
            <w:noWrap w:val="0"/>
            <w:vAlign w:val="center"/>
          </w:tcPr>
          <w:p w14:paraId="79753C50">
            <w:pPr>
              <w:rPr>
                <w:rFonts w:hint="eastAsia" w:ascii="仿宋" w:hAnsi="仿宋" w:eastAsia="仿宋" w:cs="仿宋"/>
                <w:i w:val="0"/>
                <w:color w:val="000000"/>
                <w:sz w:val="11"/>
                <w:szCs w:val="11"/>
                <w:u w:val="none"/>
              </w:rPr>
            </w:pPr>
          </w:p>
        </w:tc>
        <w:tc>
          <w:tcPr>
            <w:tcW w:w="798" w:type="dxa"/>
            <w:tcBorders>
              <w:top w:val="single" w:color="000000" w:sz="4" w:space="0"/>
              <w:left w:val="single" w:color="000000" w:sz="4" w:space="0"/>
              <w:bottom w:val="single" w:color="000000" w:sz="4" w:space="0"/>
              <w:right w:val="single" w:color="000000" w:sz="4" w:space="0"/>
            </w:tcBorders>
            <w:noWrap w:val="0"/>
            <w:vAlign w:val="center"/>
          </w:tcPr>
          <w:p w14:paraId="28B66194">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20人以下</w:t>
            </w:r>
          </w:p>
        </w:tc>
        <w:tc>
          <w:tcPr>
            <w:tcW w:w="714" w:type="dxa"/>
            <w:tcBorders>
              <w:top w:val="single" w:color="000000" w:sz="4" w:space="0"/>
              <w:left w:val="single" w:color="000000" w:sz="4" w:space="0"/>
              <w:bottom w:val="single" w:color="000000" w:sz="4" w:space="0"/>
              <w:right w:val="single" w:color="000000" w:sz="4" w:space="0"/>
            </w:tcBorders>
            <w:noWrap w:val="0"/>
            <w:vAlign w:val="center"/>
          </w:tcPr>
          <w:p w14:paraId="0844F020">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100万元以下</w:t>
            </w:r>
          </w:p>
        </w:tc>
        <w:tc>
          <w:tcPr>
            <w:tcW w:w="501" w:type="dxa"/>
            <w:tcBorders>
              <w:top w:val="single" w:color="000000" w:sz="4" w:space="0"/>
              <w:left w:val="single" w:color="000000" w:sz="4" w:space="0"/>
              <w:bottom w:val="single" w:color="000000" w:sz="4" w:space="0"/>
              <w:right w:val="single" w:color="000000" w:sz="12" w:space="0"/>
            </w:tcBorders>
            <w:noWrap w:val="0"/>
            <w:vAlign w:val="center"/>
          </w:tcPr>
          <w:p w14:paraId="74E6841E">
            <w:pPr>
              <w:rPr>
                <w:rFonts w:hint="eastAsia" w:ascii="仿宋" w:hAnsi="仿宋" w:eastAsia="仿宋" w:cs="仿宋"/>
                <w:i w:val="0"/>
                <w:color w:val="000000"/>
                <w:sz w:val="11"/>
                <w:szCs w:val="11"/>
                <w:u w:val="none"/>
              </w:rPr>
            </w:pPr>
          </w:p>
        </w:tc>
      </w:tr>
      <w:tr w14:paraId="3A0396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07" w:hRule="atLeast"/>
          <w:jc w:val="center"/>
        </w:trPr>
        <w:tc>
          <w:tcPr>
            <w:tcW w:w="1925" w:type="dxa"/>
            <w:tcBorders>
              <w:top w:val="single" w:color="000000" w:sz="4" w:space="0"/>
              <w:left w:val="single" w:color="000000" w:sz="12" w:space="0"/>
              <w:bottom w:val="single" w:color="000000" w:sz="4" w:space="0"/>
              <w:right w:val="single" w:color="000000" w:sz="4" w:space="0"/>
            </w:tcBorders>
            <w:noWrap w:val="0"/>
            <w:vAlign w:val="center"/>
          </w:tcPr>
          <w:p w14:paraId="3B35FCD6">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邮政业</w:t>
            </w:r>
          </w:p>
        </w:tc>
        <w:tc>
          <w:tcPr>
            <w:tcW w:w="606" w:type="dxa"/>
            <w:tcBorders>
              <w:top w:val="single" w:color="000000" w:sz="4" w:space="0"/>
              <w:left w:val="single" w:color="000000" w:sz="4" w:space="0"/>
              <w:bottom w:val="single" w:color="000000" w:sz="4" w:space="0"/>
              <w:right w:val="single" w:color="000000" w:sz="4" w:space="0"/>
            </w:tcBorders>
            <w:noWrap w:val="0"/>
            <w:vAlign w:val="center"/>
          </w:tcPr>
          <w:p w14:paraId="67C6E160">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1000人以下</w:t>
            </w:r>
          </w:p>
        </w:tc>
        <w:tc>
          <w:tcPr>
            <w:tcW w:w="835" w:type="dxa"/>
            <w:tcBorders>
              <w:top w:val="single" w:color="000000" w:sz="4" w:space="0"/>
              <w:left w:val="single" w:color="000000" w:sz="4" w:space="0"/>
              <w:bottom w:val="single" w:color="000000" w:sz="4" w:space="0"/>
              <w:right w:val="single" w:color="000000" w:sz="4" w:space="0"/>
            </w:tcBorders>
            <w:noWrap w:val="0"/>
            <w:vAlign w:val="center"/>
          </w:tcPr>
          <w:p w14:paraId="35E7D94C">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30000万元以下</w:t>
            </w:r>
          </w:p>
        </w:tc>
        <w:tc>
          <w:tcPr>
            <w:tcW w:w="843" w:type="dxa"/>
            <w:tcBorders>
              <w:top w:val="single" w:color="000000" w:sz="4" w:space="0"/>
              <w:left w:val="single" w:color="000000" w:sz="4" w:space="0"/>
              <w:bottom w:val="single" w:color="000000" w:sz="4" w:space="0"/>
              <w:right w:val="single" w:color="000000" w:sz="4" w:space="0"/>
            </w:tcBorders>
            <w:noWrap w:val="0"/>
            <w:vAlign w:val="center"/>
          </w:tcPr>
          <w:p w14:paraId="1752400D">
            <w:pPr>
              <w:rPr>
                <w:rFonts w:hint="eastAsia" w:ascii="仿宋" w:hAnsi="仿宋" w:eastAsia="仿宋" w:cs="仿宋"/>
                <w:i w:val="0"/>
                <w:color w:val="000000"/>
                <w:sz w:val="11"/>
                <w:szCs w:val="11"/>
                <w:u w:val="none"/>
              </w:rPr>
            </w:pPr>
          </w:p>
        </w:tc>
        <w:tc>
          <w:tcPr>
            <w:tcW w:w="766" w:type="dxa"/>
            <w:tcBorders>
              <w:top w:val="single" w:color="000000" w:sz="4" w:space="0"/>
              <w:left w:val="single" w:color="000000" w:sz="4" w:space="0"/>
              <w:bottom w:val="single" w:color="000000" w:sz="4" w:space="0"/>
              <w:right w:val="single" w:color="000000" w:sz="4" w:space="0"/>
            </w:tcBorders>
            <w:noWrap w:val="0"/>
            <w:vAlign w:val="center"/>
          </w:tcPr>
          <w:p w14:paraId="08743EF3">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300人及以上</w:t>
            </w:r>
          </w:p>
        </w:tc>
        <w:tc>
          <w:tcPr>
            <w:tcW w:w="936" w:type="dxa"/>
            <w:tcBorders>
              <w:top w:val="single" w:color="000000" w:sz="4" w:space="0"/>
              <w:left w:val="single" w:color="000000" w:sz="4" w:space="0"/>
              <w:bottom w:val="single" w:color="000000" w:sz="4" w:space="0"/>
              <w:right w:val="single" w:color="000000" w:sz="4" w:space="0"/>
            </w:tcBorders>
            <w:noWrap w:val="0"/>
            <w:vAlign w:val="center"/>
          </w:tcPr>
          <w:p w14:paraId="2AF88FAA">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2000万元及以上</w:t>
            </w:r>
          </w:p>
        </w:tc>
        <w:tc>
          <w:tcPr>
            <w:tcW w:w="740" w:type="dxa"/>
            <w:tcBorders>
              <w:top w:val="single" w:color="000000" w:sz="4" w:space="0"/>
              <w:left w:val="single" w:color="000000" w:sz="4" w:space="0"/>
              <w:bottom w:val="single" w:color="000000" w:sz="4" w:space="0"/>
              <w:right w:val="single" w:color="000000" w:sz="4" w:space="0"/>
            </w:tcBorders>
            <w:noWrap w:val="0"/>
            <w:vAlign w:val="center"/>
          </w:tcPr>
          <w:p w14:paraId="14977FE5">
            <w:pPr>
              <w:rPr>
                <w:rFonts w:hint="eastAsia" w:ascii="仿宋" w:hAnsi="仿宋" w:eastAsia="仿宋" w:cs="仿宋"/>
                <w:i w:val="0"/>
                <w:color w:val="000000"/>
                <w:sz w:val="11"/>
                <w:szCs w:val="11"/>
                <w:u w:val="none"/>
              </w:rPr>
            </w:pPr>
          </w:p>
        </w:tc>
        <w:tc>
          <w:tcPr>
            <w:tcW w:w="785" w:type="dxa"/>
            <w:tcBorders>
              <w:top w:val="single" w:color="000000" w:sz="4" w:space="0"/>
              <w:left w:val="single" w:color="000000" w:sz="4" w:space="0"/>
              <w:bottom w:val="single" w:color="000000" w:sz="4" w:space="0"/>
              <w:right w:val="single" w:color="000000" w:sz="4" w:space="0"/>
            </w:tcBorders>
            <w:noWrap w:val="0"/>
            <w:vAlign w:val="center"/>
          </w:tcPr>
          <w:p w14:paraId="66675023">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20人及以上</w:t>
            </w:r>
          </w:p>
        </w:tc>
        <w:tc>
          <w:tcPr>
            <w:tcW w:w="785" w:type="dxa"/>
            <w:tcBorders>
              <w:top w:val="single" w:color="000000" w:sz="4" w:space="0"/>
              <w:left w:val="single" w:color="000000" w:sz="4" w:space="0"/>
              <w:bottom w:val="single" w:color="000000" w:sz="4" w:space="0"/>
              <w:right w:val="single" w:color="000000" w:sz="4" w:space="0"/>
            </w:tcBorders>
            <w:noWrap w:val="0"/>
            <w:vAlign w:val="center"/>
          </w:tcPr>
          <w:p w14:paraId="14407CEE">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100万元及以上</w:t>
            </w:r>
          </w:p>
        </w:tc>
        <w:tc>
          <w:tcPr>
            <w:tcW w:w="704" w:type="dxa"/>
            <w:tcBorders>
              <w:top w:val="single" w:color="000000" w:sz="4" w:space="0"/>
              <w:left w:val="single" w:color="000000" w:sz="4" w:space="0"/>
              <w:bottom w:val="single" w:color="000000" w:sz="4" w:space="0"/>
              <w:right w:val="single" w:color="000000" w:sz="4" w:space="0"/>
            </w:tcBorders>
            <w:noWrap w:val="0"/>
            <w:vAlign w:val="center"/>
          </w:tcPr>
          <w:p w14:paraId="2B3B9BCD">
            <w:pPr>
              <w:rPr>
                <w:rFonts w:hint="eastAsia" w:ascii="仿宋" w:hAnsi="仿宋" w:eastAsia="仿宋" w:cs="仿宋"/>
                <w:i w:val="0"/>
                <w:color w:val="000000"/>
                <w:sz w:val="11"/>
                <w:szCs w:val="11"/>
                <w:u w:val="none"/>
              </w:rPr>
            </w:pPr>
          </w:p>
        </w:tc>
        <w:tc>
          <w:tcPr>
            <w:tcW w:w="798" w:type="dxa"/>
            <w:tcBorders>
              <w:top w:val="single" w:color="000000" w:sz="4" w:space="0"/>
              <w:left w:val="single" w:color="000000" w:sz="4" w:space="0"/>
              <w:bottom w:val="single" w:color="000000" w:sz="4" w:space="0"/>
              <w:right w:val="single" w:color="000000" w:sz="4" w:space="0"/>
            </w:tcBorders>
            <w:noWrap w:val="0"/>
            <w:vAlign w:val="center"/>
          </w:tcPr>
          <w:p w14:paraId="5B923E9C">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20人以下</w:t>
            </w:r>
          </w:p>
        </w:tc>
        <w:tc>
          <w:tcPr>
            <w:tcW w:w="714" w:type="dxa"/>
            <w:tcBorders>
              <w:top w:val="single" w:color="000000" w:sz="4" w:space="0"/>
              <w:left w:val="single" w:color="000000" w:sz="4" w:space="0"/>
              <w:bottom w:val="single" w:color="000000" w:sz="4" w:space="0"/>
              <w:right w:val="single" w:color="000000" w:sz="4" w:space="0"/>
            </w:tcBorders>
            <w:noWrap w:val="0"/>
            <w:vAlign w:val="center"/>
          </w:tcPr>
          <w:p w14:paraId="1DA34053">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100万元以下</w:t>
            </w:r>
          </w:p>
        </w:tc>
        <w:tc>
          <w:tcPr>
            <w:tcW w:w="501" w:type="dxa"/>
            <w:tcBorders>
              <w:top w:val="single" w:color="000000" w:sz="4" w:space="0"/>
              <w:left w:val="single" w:color="000000" w:sz="4" w:space="0"/>
              <w:bottom w:val="single" w:color="000000" w:sz="4" w:space="0"/>
              <w:right w:val="single" w:color="000000" w:sz="12" w:space="0"/>
            </w:tcBorders>
            <w:noWrap w:val="0"/>
            <w:vAlign w:val="center"/>
          </w:tcPr>
          <w:p w14:paraId="299A2E32">
            <w:pPr>
              <w:rPr>
                <w:rFonts w:hint="eastAsia" w:ascii="仿宋" w:hAnsi="仿宋" w:eastAsia="仿宋" w:cs="仿宋"/>
                <w:i w:val="0"/>
                <w:color w:val="000000"/>
                <w:sz w:val="11"/>
                <w:szCs w:val="11"/>
                <w:u w:val="none"/>
              </w:rPr>
            </w:pPr>
          </w:p>
        </w:tc>
      </w:tr>
      <w:tr w14:paraId="608A24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07" w:hRule="atLeast"/>
          <w:jc w:val="center"/>
        </w:trPr>
        <w:tc>
          <w:tcPr>
            <w:tcW w:w="1925" w:type="dxa"/>
            <w:tcBorders>
              <w:top w:val="single" w:color="000000" w:sz="4" w:space="0"/>
              <w:left w:val="single" w:color="000000" w:sz="12" w:space="0"/>
              <w:bottom w:val="single" w:color="000000" w:sz="4" w:space="0"/>
              <w:right w:val="single" w:color="000000" w:sz="4" w:space="0"/>
            </w:tcBorders>
            <w:noWrap w:val="0"/>
            <w:vAlign w:val="center"/>
          </w:tcPr>
          <w:p w14:paraId="53902712">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住宿业</w:t>
            </w:r>
          </w:p>
        </w:tc>
        <w:tc>
          <w:tcPr>
            <w:tcW w:w="606" w:type="dxa"/>
            <w:tcBorders>
              <w:top w:val="single" w:color="000000" w:sz="4" w:space="0"/>
              <w:left w:val="single" w:color="000000" w:sz="4" w:space="0"/>
              <w:bottom w:val="single" w:color="000000" w:sz="4" w:space="0"/>
              <w:right w:val="single" w:color="000000" w:sz="4" w:space="0"/>
            </w:tcBorders>
            <w:noWrap w:val="0"/>
            <w:vAlign w:val="center"/>
          </w:tcPr>
          <w:p w14:paraId="0D1C7D85">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300人以下</w:t>
            </w:r>
          </w:p>
        </w:tc>
        <w:tc>
          <w:tcPr>
            <w:tcW w:w="835" w:type="dxa"/>
            <w:tcBorders>
              <w:top w:val="single" w:color="000000" w:sz="4" w:space="0"/>
              <w:left w:val="single" w:color="000000" w:sz="4" w:space="0"/>
              <w:bottom w:val="single" w:color="000000" w:sz="4" w:space="0"/>
              <w:right w:val="single" w:color="000000" w:sz="4" w:space="0"/>
            </w:tcBorders>
            <w:noWrap w:val="0"/>
            <w:vAlign w:val="center"/>
          </w:tcPr>
          <w:p w14:paraId="1E9E21AC">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10000万元以下</w:t>
            </w:r>
          </w:p>
        </w:tc>
        <w:tc>
          <w:tcPr>
            <w:tcW w:w="843" w:type="dxa"/>
            <w:tcBorders>
              <w:top w:val="single" w:color="000000" w:sz="4" w:space="0"/>
              <w:left w:val="single" w:color="000000" w:sz="4" w:space="0"/>
              <w:bottom w:val="single" w:color="000000" w:sz="4" w:space="0"/>
              <w:right w:val="single" w:color="000000" w:sz="4" w:space="0"/>
            </w:tcBorders>
            <w:noWrap w:val="0"/>
            <w:vAlign w:val="center"/>
          </w:tcPr>
          <w:p w14:paraId="7BA6992D">
            <w:pPr>
              <w:rPr>
                <w:rFonts w:hint="eastAsia" w:ascii="仿宋" w:hAnsi="仿宋" w:eastAsia="仿宋" w:cs="仿宋"/>
                <w:i w:val="0"/>
                <w:color w:val="000000"/>
                <w:sz w:val="11"/>
                <w:szCs w:val="11"/>
                <w:u w:val="none"/>
              </w:rPr>
            </w:pPr>
          </w:p>
        </w:tc>
        <w:tc>
          <w:tcPr>
            <w:tcW w:w="766" w:type="dxa"/>
            <w:tcBorders>
              <w:top w:val="single" w:color="000000" w:sz="4" w:space="0"/>
              <w:left w:val="single" w:color="000000" w:sz="4" w:space="0"/>
              <w:bottom w:val="single" w:color="000000" w:sz="4" w:space="0"/>
              <w:right w:val="single" w:color="000000" w:sz="4" w:space="0"/>
            </w:tcBorders>
            <w:noWrap w:val="0"/>
            <w:vAlign w:val="center"/>
          </w:tcPr>
          <w:p w14:paraId="37F06C19">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100人及以上</w:t>
            </w:r>
          </w:p>
        </w:tc>
        <w:tc>
          <w:tcPr>
            <w:tcW w:w="936" w:type="dxa"/>
            <w:tcBorders>
              <w:top w:val="single" w:color="000000" w:sz="4" w:space="0"/>
              <w:left w:val="single" w:color="000000" w:sz="4" w:space="0"/>
              <w:bottom w:val="single" w:color="000000" w:sz="4" w:space="0"/>
              <w:right w:val="single" w:color="000000" w:sz="4" w:space="0"/>
            </w:tcBorders>
            <w:noWrap w:val="0"/>
            <w:vAlign w:val="center"/>
          </w:tcPr>
          <w:p w14:paraId="06A6F972">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2000万元及以上</w:t>
            </w:r>
          </w:p>
        </w:tc>
        <w:tc>
          <w:tcPr>
            <w:tcW w:w="740" w:type="dxa"/>
            <w:tcBorders>
              <w:top w:val="single" w:color="000000" w:sz="4" w:space="0"/>
              <w:left w:val="single" w:color="000000" w:sz="4" w:space="0"/>
              <w:bottom w:val="single" w:color="000000" w:sz="4" w:space="0"/>
              <w:right w:val="single" w:color="000000" w:sz="4" w:space="0"/>
            </w:tcBorders>
            <w:noWrap w:val="0"/>
            <w:vAlign w:val="center"/>
          </w:tcPr>
          <w:p w14:paraId="527C54E1">
            <w:pPr>
              <w:rPr>
                <w:rFonts w:hint="eastAsia" w:ascii="仿宋" w:hAnsi="仿宋" w:eastAsia="仿宋" w:cs="仿宋"/>
                <w:i w:val="0"/>
                <w:color w:val="000000"/>
                <w:sz w:val="11"/>
                <w:szCs w:val="11"/>
                <w:u w:val="none"/>
              </w:rPr>
            </w:pPr>
          </w:p>
        </w:tc>
        <w:tc>
          <w:tcPr>
            <w:tcW w:w="785" w:type="dxa"/>
            <w:tcBorders>
              <w:top w:val="single" w:color="000000" w:sz="4" w:space="0"/>
              <w:left w:val="single" w:color="000000" w:sz="4" w:space="0"/>
              <w:bottom w:val="single" w:color="000000" w:sz="4" w:space="0"/>
              <w:right w:val="single" w:color="000000" w:sz="4" w:space="0"/>
            </w:tcBorders>
            <w:noWrap w:val="0"/>
            <w:vAlign w:val="center"/>
          </w:tcPr>
          <w:p w14:paraId="2B0703D5">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10人及以上</w:t>
            </w:r>
          </w:p>
        </w:tc>
        <w:tc>
          <w:tcPr>
            <w:tcW w:w="785" w:type="dxa"/>
            <w:tcBorders>
              <w:top w:val="single" w:color="000000" w:sz="4" w:space="0"/>
              <w:left w:val="single" w:color="000000" w:sz="4" w:space="0"/>
              <w:bottom w:val="single" w:color="000000" w:sz="4" w:space="0"/>
              <w:right w:val="single" w:color="000000" w:sz="4" w:space="0"/>
            </w:tcBorders>
            <w:noWrap w:val="0"/>
            <w:vAlign w:val="center"/>
          </w:tcPr>
          <w:p w14:paraId="35A06090">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100万元及以上</w:t>
            </w:r>
          </w:p>
        </w:tc>
        <w:tc>
          <w:tcPr>
            <w:tcW w:w="704" w:type="dxa"/>
            <w:tcBorders>
              <w:top w:val="single" w:color="000000" w:sz="4" w:space="0"/>
              <w:left w:val="single" w:color="000000" w:sz="4" w:space="0"/>
              <w:bottom w:val="single" w:color="000000" w:sz="4" w:space="0"/>
              <w:right w:val="single" w:color="000000" w:sz="4" w:space="0"/>
            </w:tcBorders>
            <w:noWrap w:val="0"/>
            <w:vAlign w:val="center"/>
          </w:tcPr>
          <w:p w14:paraId="0FD5E5AC">
            <w:pPr>
              <w:rPr>
                <w:rFonts w:hint="eastAsia" w:ascii="仿宋" w:hAnsi="仿宋" w:eastAsia="仿宋" w:cs="仿宋"/>
                <w:i w:val="0"/>
                <w:color w:val="000000"/>
                <w:sz w:val="11"/>
                <w:szCs w:val="11"/>
                <w:u w:val="none"/>
              </w:rPr>
            </w:pPr>
          </w:p>
        </w:tc>
        <w:tc>
          <w:tcPr>
            <w:tcW w:w="798" w:type="dxa"/>
            <w:tcBorders>
              <w:top w:val="single" w:color="000000" w:sz="4" w:space="0"/>
              <w:left w:val="single" w:color="000000" w:sz="4" w:space="0"/>
              <w:bottom w:val="single" w:color="000000" w:sz="4" w:space="0"/>
              <w:right w:val="single" w:color="000000" w:sz="4" w:space="0"/>
            </w:tcBorders>
            <w:noWrap w:val="0"/>
            <w:vAlign w:val="center"/>
          </w:tcPr>
          <w:p w14:paraId="40B4DD53">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10人以下</w:t>
            </w:r>
          </w:p>
        </w:tc>
        <w:tc>
          <w:tcPr>
            <w:tcW w:w="714" w:type="dxa"/>
            <w:tcBorders>
              <w:top w:val="single" w:color="000000" w:sz="4" w:space="0"/>
              <w:left w:val="single" w:color="000000" w:sz="4" w:space="0"/>
              <w:bottom w:val="single" w:color="000000" w:sz="4" w:space="0"/>
              <w:right w:val="single" w:color="000000" w:sz="4" w:space="0"/>
            </w:tcBorders>
            <w:noWrap w:val="0"/>
            <w:vAlign w:val="center"/>
          </w:tcPr>
          <w:p w14:paraId="0575631A">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100万元以下</w:t>
            </w:r>
          </w:p>
        </w:tc>
        <w:tc>
          <w:tcPr>
            <w:tcW w:w="501" w:type="dxa"/>
            <w:tcBorders>
              <w:top w:val="single" w:color="000000" w:sz="4" w:space="0"/>
              <w:left w:val="single" w:color="000000" w:sz="4" w:space="0"/>
              <w:bottom w:val="single" w:color="000000" w:sz="4" w:space="0"/>
              <w:right w:val="single" w:color="000000" w:sz="12" w:space="0"/>
            </w:tcBorders>
            <w:noWrap w:val="0"/>
            <w:vAlign w:val="center"/>
          </w:tcPr>
          <w:p w14:paraId="53BA775A">
            <w:pPr>
              <w:rPr>
                <w:rFonts w:hint="eastAsia" w:ascii="仿宋" w:hAnsi="仿宋" w:eastAsia="仿宋" w:cs="仿宋"/>
                <w:i w:val="0"/>
                <w:color w:val="000000"/>
                <w:sz w:val="11"/>
                <w:szCs w:val="11"/>
                <w:u w:val="none"/>
              </w:rPr>
            </w:pPr>
          </w:p>
        </w:tc>
      </w:tr>
      <w:tr w14:paraId="252102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07" w:hRule="atLeast"/>
          <w:jc w:val="center"/>
        </w:trPr>
        <w:tc>
          <w:tcPr>
            <w:tcW w:w="1925" w:type="dxa"/>
            <w:tcBorders>
              <w:top w:val="single" w:color="000000" w:sz="4" w:space="0"/>
              <w:left w:val="single" w:color="000000" w:sz="12" w:space="0"/>
              <w:bottom w:val="single" w:color="000000" w:sz="4" w:space="0"/>
              <w:right w:val="single" w:color="000000" w:sz="4" w:space="0"/>
            </w:tcBorders>
            <w:noWrap w:val="0"/>
            <w:vAlign w:val="center"/>
          </w:tcPr>
          <w:p w14:paraId="4FFB8F02">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餐饮业</w:t>
            </w:r>
          </w:p>
        </w:tc>
        <w:tc>
          <w:tcPr>
            <w:tcW w:w="606" w:type="dxa"/>
            <w:tcBorders>
              <w:top w:val="single" w:color="000000" w:sz="4" w:space="0"/>
              <w:left w:val="single" w:color="000000" w:sz="4" w:space="0"/>
              <w:bottom w:val="single" w:color="000000" w:sz="4" w:space="0"/>
              <w:right w:val="single" w:color="000000" w:sz="4" w:space="0"/>
            </w:tcBorders>
            <w:noWrap w:val="0"/>
            <w:vAlign w:val="center"/>
          </w:tcPr>
          <w:p w14:paraId="7CD320DB">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300人以下</w:t>
            </w:r>
          </w:p>
        </w:tc>
        <w:tc>
          <w:tcPr>
            <w:tcW w:w="835" w:type="dxa"/>
            <w:tcBorders>
              <w:top w:val="single" w:color="000000" w:sz="4" w:space="0"/>
              <w:left w:val="single" w:color="000000" w:sz="4" w:space="0"/>
              <w:bottom w:val="single" w:color="000000" w:sz="4" w:space="0"/>
              <w:right w:val="single" w:color="000000" w:sz="4" w:space="0"/>
            </w:tcBorders>
            <w:noWrap w:val="0"/>
            <w:vAlign w:val="center"/>
          </w:tcPr>
          <w:p w14:paraId="6CE947FD">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10000万元以下</w:t>
            </w:r>
          </w:p>
        </w:tc>
        <w:tc>
          <w:tcPr>
            <w:tcW w:w="843" w:type="dxa"/>
            <w:tcBorders>
              <w:top w:val="single" w:color="000000" w:sz="4" w:space="0"/>
              <w:left w:val="single" w:color="000000" w:sz="4" w:space="0"/>
              <w:bottom w:val="single" w:color="000000" w:sz="4" w:space="0"/>
              <w:right w:val="single" w:color="000000" w:sz="4" w:space="0"/>
            </w:tcBorders>
            <w:noWrap w:val="0"/>
            <w:vAlign w:val="center"/>
          </w:tcPr>
          <w:p w14:paraId="5BB89B9C">
            <w:pPr>
              <w:rPr>
                <w:rFonts w:hint="eastAsia" w:ascii="仿宋" w:hAnsi="仿宋" w:eastAsia="仿宋" w:cs="仿宋"/>
                <w:i w:val="0"/>
                <w:color w:val="000000"/>
                <w:sz w:val="11"/>
                <w:szCs w:val="11"/>
                <w:u w:val="none"/>
              </w:rPr>
            </w:pPr>
          </w:p>
        </w:tc>
        <w:tc>
          <w:tcPr>
            <w:tcW w:w="766" w:type="dxa"/>
            <w:tcBorders>
              <w:top w:val="single" w:color="000000" w:sz="4" w:space="0"/>
              <w:left w:val="single" w:color="000000" w:sz="4" w:space="0"/>
              <w:bottom w:val="single" w:color="000000" w:sz="4" w:space="0"/>
              <w:right w:val="single" w:color="000000" w:sz="4" w:space="0"/>
            </w:tcBorders>
            <w:noWrap w:val="0"/>
            <w:vAlign w:val="center"/>
          </w:tcPr>
          <w:p w14:paraId="30EAD194">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100人及以上</w:t>
            </w:r>
          </w:p>
        </w:tc>
        <w:tc>
          <w:tcPr>
            <w:tcW w:w="936" w:type="dxa"/>
            <w:tcBorders>
              <w:top w:val="single" w:color="000000" w:sz="4" w:space="0"/>
              <w:left w:val="single" w:color="000000" w:sz="4" w:space="0"/>
              <w:bottom w:val="single" w:color="000000" w:sz="4" w:space="0"/>
              <w:right w:val="single" w:color="000000" w:sz="4" w:space="0"/>
            </w:tcBorders>
            <w:noWrap w:val="0"/>
            <w:vAlign w:val="center"/>
          </w:tcPr>
          <w:p w14:paraId="2D972605">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2000万元及以上</w:t>
            </w:r>
          </w:p>
        </w:tc>
        <w:tc>
          <w:tcPr>
            <w:tcW w:w="740" w:type="dxa"/>
            <w:tcBorders>
              <w:top w:val="single" w:color="000000" w:sz="4" w:space="0"/>
              <w:left w:val="single" w:color="000000" w:sz="4" w:space="0"/>
              <w:bottom w:val="single" w:color="000000" w:sz="4" w:space="0"/>
              <w:right w:val="single" w:color="000000" w:sz="4" w:space="0"/>
            </w:tcBorders>
            <w:noWrap w:val="0"/>
            <w:vAlign w:val="center"/>
          </w:tcPr>
          <w:p w14:paraId="13769368">
            <w:pPr>
              <w:rPr>
                <w:rFonts w:hint="eastAsia" w:ascii="仿宋" w:hAnsi="仿宋" w:eastAsia="仿宋" w:cs="仿宋"/>
                <w:i w:val="0"/>
                <w:color w:val="000000"/>
                <w:sz w:val="11"/>
                <w:szCs w:val="11"/>
                <w:u w:val="none"/>
              </w:rPr>
            </w:pPr>
          </w:p>
        </w:tc>
        <w:tc>
          <w:tcPr>
            <w:tcW w:w="785" w:type="dxa"/>
            <w:tcBorders>
              <w:top w:val="single" w:color="000000" w:sz="4" w:space="0"/>
              <w:left w:val="single" w:color="000000" w:sz="4" w:space="0"/>
              <w:bottom w:val="single" w:color="000000" w:sz="4" w:space="0"/>
              <w:right w:val="single" w:color="000000" w:sz="4" w:space="0"/>
            </w:tcBorders>
            <w:noWrap w:val="0"/>
            <w:vAlign w:val="center"/>
          </w:tcPr>
          <w:p w14:paraId="0B11DA8B">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10人及以上</w:t>
            </w:r>
          </w:p>
        </w:tc>
        <w:tc>
          <w:tcPr>
            <w:tcW w:w="785" w:type="dxa"/>
            <w:tcBorders>
              <w:top w:val="single" w:color="000000" w:sz="4" w:space="0"/>
              <w:left w:val="single" w:color="000000" w:sz="4" w:space="0"/>
              <w:bottom w:val="single" w:color="000000" w:sz="4" w:space="0"/>
              <w:right w:val="single" w:color="000000" w:sz="4" w:space="0"/>
            </w:tcBorders>
            <w:noWrap w:val="0"/>
            <w:vAlign w:val="center"/>
          </w:tcPr>
          <w:p w14:paraId="07927874">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100万元及以上</w:t>
            </w:r>
          </w:p>
        </w:tc>
        <w:tc>
          <w:tcPr>
            <w:tcW w:w="704" w:type="dxa"/>
            <w:tcBorders>
              <w:top w:val="single" w:color="000000" w:sz="4" w:space="0"/>
              <w:left w:val="single" w:color="000000" w:sz="4" w:space="0"/>
              <w:bottom w:val="single" w:color="000000" w:sz="4" w:space="0"/>
              <w:right w:val="single" w:color="000000" w:sz="4" w:space="0"/>
            </w:tcBorders>
            <w:noWrap w:val="0"/>
            <w:vAlign w:val="center"/>
          </w:tcPr>
          <w:p w14:paraId="60DFEE57">
            <w:pPr>
              <w:rPr>
                <w:rFonts w:hint="eastAsia" w:ascii="仿宋" w:hAnsi="仿宋" w:eastAsia="仿宋" w:cs="仿宋"/>
                <w:i w:val="0"/>
                <w:color w:val="000000"/>
                <w:sz w:val="11"/>
                <w:szCs w:val="11"/>
                <w:u w:val="none"/>
              </w:rPr>
            </w:pPr>
          </w:p>
        </w:tc>
        <w:tc>
          <w:tcPr>
            <w:tcW w:w="798" w:type="dxa"/>
            <w:tcBorders>
              <w:top w:val="single" w:color="000000" w:sz="4" w:space="0"/>
              <w:left w:val="single" w:color="000000" w:sz="4" w:space="0"/>
              <w:bottom w:val="single" w:color="000000" w:sz="4" w:space="0"/>
              <w:right w:val="single" w:color="000000" w:sz="4" w:space="0"/>
            </w:tcBorders>
            <w:noWrap w:val="0"/>
            <w:vAlign w:val="center"/>
          </w:tcPr>
          <w:p w14:paraId="5D799FC9">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10人以下</w:t>
            </w:r>
          </w:p>
        </w:tc>
        <w:tc>
          <w:tcPr>
            <w:tcW w:w="714" w:type="dxa"/>
            <w:tcBorders>
              <w:top w:val="single" w:color="000000" w:sz="4" w:space="0"/>
              <w:left w:val="single" w:color="000000" w:sz="4" w:space="0"/>
              <w:bottom w:val="single" w:color="000000" w:sz="4" w:space="0"/>
              <w:right w:val="single" w:color="000000" w:sz="4" w:space="0"/>
            </w:tcBorders>
            <w:noWrap w:val="0"/>
            <w:vAlign w:val="center"/>
          </w:tcPr>
          <w:p w14:paraId="608D3C27">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100万元以下</w:t>
            </w:r>
          </w:p>
        </w:tc>
        <w:tc>
          <w:tcPr>
            <w:tcW w:w="501" w:type="dxa"/>
            <w:tcBorders>
              <w:top w:val="single" w:color="000000" w:sz="4" w:space="0"/>
              <w:left w:val="single" w:color="000000" w:sz="4" w:space="0"/>
              <w:bottom w:val="single" w:color="000000" w:sz="4" w:space="0"/>
              <w:right w:val="single" w:color="000000" w:sz="12" w:space="0"/>
            </w:tcBorders>
            <w:noWrap w:val="0"/>
            <w:vAlign w:val="center"/>
          </w:tcPr>
          <w:p w14:paraId="5BE30E25">
            <w:pPr>
              <w:rPr>
                <w:rFonts w:hint="eastAsia" w:ascii="仿宋" w:hAnsi="仿宋" w:eastAsia="仿宋" w:cs="仿宋"/>
                <w:i w:val="0"/>
                <w:color w:val="000000"/>
                <w:sz w:val="11"/>
                <w:szCs w:val="11"/>
                <w:u w:val="none"/>
              </w:rPr>
            </w:pPr>
          </w:p>
        </w:tc>
      </w:tr>
      <w:tr w14:paraId="718D24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68" w:hRule="atLeast"/>
          <w:jc w:val="center"/>
        </w:trPr>
        <w:tc>
          <w:tcPr>
            <w:tcW w:w="1925" w:type="dxa"/>
            <w:tcBorders>
              <w:top w:val="single" w:color="000000" w:sz="4" w:space="0"/>
              <w:left w:val="single" w:color="000000" w:sz="12" w:space="0"/>
              <w:bottom w:val="single" w:color="000000" w:sz="4" w:space="0"/>
              <w:right w:val="single" w:color="000000" w:sz="4" w:space="0"/>
            </w:tcBorders>
            <w:noWrap w:val="0"/>
            <w:vAlign w:val="center"/>
          </w:tcPr>
          <w:p w14:paraId="7A8ECB59">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信息传输业（包括电信、互联网和相关服务）</w:t>
            </w:r>
          </w:p>
        </w:tc>
        <w:tc>
          <w:tcPr>
            <w:tcW w:w="606" w:type="dxa"/>
            <w:tcBorders>
              <w:top w:val="single" w:color="000000" w:sz="4" w:space="0"/>
              <w:left w:val="single" w:color="000000" w:sz="4" w:space="0"/>
              <w:bottom w:val="single" w:color="000000" w:sz="4" w:space="0"/>
              <w:right w:val="single" w:color="000000" w:sz="4" w:space="0"/>
            </w:tcBorders>
            <w:noWrap w:val="0"/>
            <w:vAlign w:val="center"/>
          </w:tcPr>
          <w:p w14:paraId="1B842C63">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2000人以下</w:t>
            </w:r>
          </w:p>
        </w:tc>
        <w:tc>
          <w:tcPr>
            <w:tcW w:w="835" w:type="dxa"/>
            <w:tcBorders>
              <w:top w:val="single" w:color="000000" w:sz="4" w:space="0"/>
              <w:left w:val="single" w:color="000000" w:sz="4" w:space="0"/>
              <w:bottom w:val="single" w:color="000000" w:sz="4" w:space="0"/>
              <w:right w:val="single" w:color="000000" w:sz="4" w:space="0"/>
            </w:tcBorders>
            <w:noWrap w:val="0"/>
            <w:vAlign w:val="center"/>
          </w:tcPr>
          <w:p w14:paraId="64B6E249">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100000万元以下</w:t>
            </w:r>
          </w:p>
        </w:tc>
        <w:tc>
          <w:tcPr>
            <w:tcW w:w="843" w:type="dxa"/>
            <w:tcBorders>
              <w:top w:val="single" w:color="000000" w:sz="4" w:space="0"/>
              <w:left w:val="single" w:color="000000" w:sz="4" w:space="0"/>
              <w:bottom w:val="single" w:color="000000" w:sz="4" w:space="0"/>
              <w:right w:val="single" w:color="000000" w:sz="4" w:space="0"/>
            </w:tcBorders>
            <w:noWrap w:val="0"/>
            <w:vAlign w:val="center"/>
          </w:tcPr>
          <w:p w14:paraId="3BD231C7">
            <w:pPr>
              <w:rPr>
                <w:rFonts w:hint="eastAsia" w:ascii="仿宋" w:hAnsi="仿宋" w:eastAsia="仿宋" w:cs="仿宋"/>
                <w:i w:val="0"/>
                <w:color w:val="000000"/>
                <w:sz w:val="11"/>
                <w:szCs w:val="11"/>
                <w:u w:val="none"/>
              </w:rPr>
            </w:pPr>
          </w:p>
        </w:tc>
        <w:tc>
          <w:tcPr>
            <w:tcW w:w="766" w:type="dxa"/>
            <w:tcBorders>
              <w:top w:val="single" w:color="000000" w:sz="4" w:space="0"/>
              <w:left w:val="single" w:color="000000" w:sz="4" w:space="0"/>
              <w:bottom w:val="single" w:color="000000" w:sz="4" w:space="0"/>
              <w:right w:val="single" w:color="000000" w:sz="4" w:space="0"/>
            </w:tcBorders>
            <w:noWrap w:val="0"/>
            <w:vAlign w:val="center"/>
          </w:tcPr>
          <w:p w14:paraId="389EF88E">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100人及以上</w:t>
            </w:r>
          </w:p>
        </w:tc>
        <w:tc>
          <w:tcPr>
            <w:tcW w:w="936" w:type="dxa"/>
            <w:tcBorders>
              <w:top w:val="single" w:color="000000" w:sz="4" w:space="0"/>
              <w:left w:val="single" w:color="000000" w:sz="4" w:space="0"/>
              <w:bottom w:val="single" w:color="000000" w:sz="4" w:space="0"/>
              <w:right w:val="single" w:color="000000" w:sz="4" w:space="0"/>
            </w:tcBorders>
            <w:noWrap w:val="0"/>
            <w:vAlign w:val="center"/>
          </w:tcPr>
          <w:p w14:paraId="59A7EC9C">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1000万元及以上</w:t>
            </w:r>
          </w:p>
        </w:tc>
        <w:tc>
          <w:tcPr>
            <w:tcW w:w="740" w:type="dxa"/>
            <w:tcBorders>
              <w:top w:val="single" w:color="000000" w:sz="4" w:space="0"/>
              <w:left w:val="single" w:color="000000" w:sz="4" w:space="0"/>
              <w:bottom w:val="single" w:color="000000" w:sz="4" w:space="0"/>
              <w:right w:val="single" w:color="000000" w:sz="4" w:space="0"/>
            </w:tcBorders>
            <w:noWrap w:val="0"/>
            <w:vAlign w:val="center"/>
          </w:tcPr>
          <w:p w14:paraId="0FD987D8">
            <w:pPr>
              <w:rPr>
                <w:rFonts w:hint="eastAsia" w:ascii="仿宋" w:hAnsi="仿宋" w:eastAsia="仿宋" w:cs="仿宋"/>
                <w:i w:val="0"/>
                <w:color w:val="000000"/>
                <w:sz w:val="11"/>
                <w:szCs w:val="11"/>
                <w:u w:val="none"/>
              </w:rPr>
            </w:pPr>
          </w:p>
        </w:tc>
        <w:tc>
          <w:tcPr>
            <w:tcW w:w="785" w:type="dxa"/>
            <w:tcBorders>
              <w:top w:val="single" w:color="000000" w:sz="4" w:space="0"/>
              <w:left w:val="single" w:color="000000" w:sz="4" w:space="0"/>
              <w:bottom w:val="single" w:color="000000" w:sz="4" w:space="0"/>
              <w:right w:val="single" w:color="000000" w:sz="4" w:space="0"/>
            </w:tcBorders>
            <w:noWrap w:val="0"/>
            <w:vAlign w:val="center"/>
          </w:tcPr>
          <w:p w14:paraId="5C207313">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10人及以上</w:t>
            </w:r>
          </w:p>
        </w:tc>
        <w:tc>
          <w:tcPr>
            <w:tcW w:w="785" w:type="dxa"/>
            <w:tcBorders>
              <w:top w:val="single" w:color="000000" w:sz="4" w:space="0"/>
              <w:left w:val="single" w:color="000000" w:sz="4" w:space="0"/>
              <w:bottom w:val="single" w:color="000000" w:sz="4" w:space="0"/>
              <w:right w:val="single" w:color="000000" w:sz="4" w:space="0"/>
            </w:tcBorders>
            <w:noWrap w:val="0"/>
            <w:vAlign w:val="center"/>
          </w:tcPr>
          <w:p w14:paraId="164CB81F">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100万元及以上</w:t>
            </w:r>
          </w:p>
        </w:tc>
        <w:tc>
          <w:tcPr>
            <w:tcW w:w="704" w:type="dxa"/>
            <w:tcBorders>
              <w:top w:val="single" w:color="000000" w:sz="4" w:space="0"/>
              <w:left w:val="single" w:color="000000" w:sz="4" w:space="0"/>
              <w:bottom w:val="single" w:color="000000" w:sz="4" w:space="0"/>
              <w:right w:val="single" w:color="000000" w:sz="4" w:space="0"/>
            </w:tcBorders>
            <w:noWrap w:val="0"/>
            <w:vAlign w:val="center"/>
          </w:tcPr>
          <w:p w14:paraId="3F4C1DBF">
            <w:pPr>
              <w:rPr>
                <w:rFonts w:hint="eastAsia" w:ascii="仿宋" w:hAnsi="仿宋" w:eastAsia="仿宋" w:cs="仿宋"/>
                <w:i w:val="0"/>
                <w:color w:val="000000"/>
                <w:sz w:val="11"/>
                <w:szCs w:val="11"/>
                <w:u w:val="none"/>
              </w:rPr>
            </w:pPr>
          </w:p>
        </w:tc>
        <w:tc>
          <w:tcPr>
            <w:tcW w:w="798" w:type="dxa"/>
            <w:tcBorders>
              <w:top w:val="single" w:color="000000" w:sz="4" w:space="0"/>
              <w:left w:val="single" w:color="000000" w:sz="4" w:space="0"/>
              <w:bottom w:val="single" w:color="000000" w:sz="4" w:space="0"/>
              <w:right w:val="single" w:color="000000" w:sz="4" w:space="0"/>
            </w:tcBorders>
            <w:noWrap w:val="0"/>
            <w:vAlign w:val="center"/>
          </w:tcPr>
          <w:p w14:paraId="5267D6D8">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10人以下</w:t>
            </w:r>
          </w:p>
        </w:tc>
        <w:tc>
          <w:tcPr>
            <w:tcW w:w="714" w:type="dxa"/>
            <w:tcBorders>
              <w:top w:val="single" w:color="000000" w:sz="4" w:space="0"/>
              <w:left w:val="single" w:color="000000" w:sz="4" w:space="0"/>
              <w:bottom w:val="single" w:color="000000" w:sz="4" w:space="0"/>
              <w:right w:val="single" w:color="000000" w:sz="4" w:space="0"/>
            </w:tcBorders>
            <w:noWrap w:val="0"/>
            <w:vAlign w:val="center"/>
          </w:tcPr>
          <w:p w14:paraId="4E49400D">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100万元以下</w:t>
            </w:r>
          </w:p>
        </w:tc>
        <w:tc>
          <w:tcPr>
            <w:tcW w:w="501" w:type="dxa"/>
            <w:tcBorders>
              <w:top w:val="single" w:color="000000" w:sz="4" w:space="0"/>
              <w:left w:val="single" w:color="000000" w:sz="4" w:space="0"/>
              <w:bottom w:val="single" w:color="000000" w:sz="4" w:space="0"/>
              <w:right w:val="single" w:color="000000" w:sz="12" w:space="0"/>
            </w:tcBorders>
            <w:noWrap w:val="0"/>
            <w:vAlign w:val="center"/>
          </w:tcPr>
          <w:p w14:paraId="0590F9AE">
            <w:pPr>
              <w:rPr>
                <w:rFonts w:hint="eastAsia" w:ascii="仿宋" w:hAnsi="仿宋" w:eastAsia="仿宋" w:cs="仿宋"/>
                <w:i w:val="0"/>
                <w:color w:val="000000"/>
                <w:sz w:val="11"/>
                <w:szCs w:val="11"/>
                <w:u w:val="none"/>
              </w:rPr>
            </w:pPr>
          </w:p>
        </w:tc>
      </w:tr>
      <w:tr w14:paraId="4AA9B1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07" w:hRule="atLeast"/>
          <w:jc w:val="center"/>
        </w:trPr>
        <w:tc>
          <w:tcPr>
            <w:tcW w:w="1925" w:type="dxa"/>
            <w:tcBorders>
              <w:top w:val="single" w:color="000000" w:sz="4" w:space="0"/>
              <w:left w:val="single" w:color="000000" w:sz="12" w:space="0"/>
              <w:bottom w:val="single" w:color="000000" w:sz="4" w:space="0"/>
              <w:right w:val="single" w:color="000000" w:sz="4" w:space="0"/>
            </w:tcBorders>
            <w:noWrap w:val="0"/>
            <w:vAlign w:val="center"/>
          </w:tcPr>
          <w:p w14:paraId="3DFA576E">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软件和信息技术服务业</w:t>
            </w:r>
          </w:p>
        </w:tc>
        <w:tc>
          <w:tcPr>
            <w:tcW w:w="606" w:type="dxa"/>
            <w:tcBorders>
              <w:top w:val="single" w:color="000000" w:sz="4" w:space="0"/>
              <w:left w:val="single" w:color="000000" w:sz="4" w:space="0"/>
              <w:bottom w:val="single" w:color="000000" w:sz="4" w:space="0"/>
              <w:right w:val="single" w:color="000000" w:sz="4" w:space="0"/>
            </w:tcBorders>
            <w:noWrap w:val="0"/>
            <w:vAlign w:val="center"/>
          </w:tcPr>
          <w:p w14:paraId="6138751F">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300人以下</w:t>
            </w:r>
          </w:p>
        </w:tc>
        <w:tc>
          <w:tcPr>
            <w:tcW w:w="835" w:type="dxa"/>
            <w:tcBorders>
              <w:top w:val="single" w:color="000000" w:sz="4" w:space="0"/>
              <w:left w:val="single" w:color="000000" w:sz="4" w:space="0"/>
              <w:bottom w:val="single" w:color="000000" w:sz="4" w:space="0"/>
              <w:right w:val="single" w:color="000000" w:sz="4" w:space="0"/>
            </w:tcBorders>
            <w:noWrap w:val="0"/>
            <w:vAlign w:val="center"/>
          </w:tcPr>
          <w:p w14:paraId="64E3AFDC">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10000万元以下</w:t>
            </w:r>
          </w:p>
        </w:tc>
        <w:tc>
          <w:tcPr>
            <w:tcW w:w="843" w:type="dxa"/>
            <w:tcBorders>
              <w:top w:val="single" w:color="000000" w:sz="4" w:space="0"/>
              <w:left w:val="single" w:color="000000" w:sz="4" w:space="0"/>
              <w:bottom w:val="single" w:color="000000" w:sz="4" w:space="0"/>
              <w:right w:val="single" w:color="000000" w:sz="4" w:space="0"/>
            </w:tcBorders>
            <w:noWrap w:val="0"/>
            <w:vAlign w:val="center"/>
          </w:tcPr>
          <w:p w14:paraId="69DF1DCB">
            <w:pPr>
              <w:rPr>
                <w:rFonts w:hint="eastAsia" w:ascii="仿宋" w:hAnsi="仿宋" w:eastAsia="仿宋" w:cs="仿宋"/>
                <w:i w:val="0"/>
                <w:color w:val="000000"/>
                <w:sz w:val="11"/>
                <w:szCs w:val="11"/>
                <w:u w:val="none"/>
              </w:rPr>
            </w:pPr>
          </w:p>
        </w:tc>
        <w:tc>
          <w:tcPr>
            <w:tcW w:w="766" w:type="dxa"/>
            <w:tcBorders>
              <w:top w:val="single" w:color="000000" w:sz="4" w:space="0"/>
              <w:left w:val="single" w:color="000000" w:sz="4" w:space="0"/>
              <w:bottom w:val="single" w:color="000000" w:sz="4" w:space="0"/>
              <w:right w:val="single" w:color="000000" w:sz="4" w:space="0"/>
            </w:tcBorders>
            <w:noWrap w:val="0"/>
            <w:vAlign w:val="center"/>
          </w:tcPr>
          <w:p w14:paraId="7E15371D">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100人及以上</w:t>
            </w:r>
          </w:p>
        </w:tc>
        <w:tc>
          <w:tcPr>
            <w:tcW w:w="936" w:type="dxa"/>
            <w:tcBorders>
              <w:top w:val="single" w:color="000000" w:sz="4" w:space="0"/>
              <w:left w:val="single" w:color="000000" w:sz="4" w:space="0"/>
              <w:bottom w:val="single" w:color="000000" w:sz="4" w:space="0"/>
              <w:right w:val="single" w:color="000000" w:sz="4" w:space="0"/>
            </w:tcBorders>
            <w:noWrap w:val="0"/>
            <w:vAlign w:val="center"/>
          </w:tcPr>
          <w:p w14:paraId="027A3EF9">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1000万元及以上</w:t>
            </w:r>
          </w:p>
        </w:tc>
        <w:tc>
          <w:tcPr>
            <w:tcW w:w="740" w:type="dxa"/>
            <w:tcBorders>
              <w:top w:val="single" w:color="000000" w:sz="4" w:space="0"/>
              <w:left w:val="single" w:color="000000" w:sz="4" w:space="0"/>
              <w:bottom w:val="single" w:color="000000" w:sz="4" w:space="0"/>
              <w:right w:val="single" w:color="000000" w:sz="4" w:space="0"/>
            </w:tcBorders>
            <w:noWrap w:val="0"/>
            <w:vAlign w:val="center"/>
          </w:tcPr>
          <w:p w14:paraId="776FE343">
            <w:pPr>
              <w:rPr>
                <w:rFonts w:hint="eastAsia" w:ascii="仿宋" w:hAnsi="仿宋" w:eastAsia="仿宋" w:cs="仿宋"/>
                <w:i w:val="0"/>
                <w:color w:val="000000"/>
                <w:sz w:val="11"/>
                <w:szCs w:val="11"/>
                <w:u w:val="none"/>
              </w:rPr>
            </w:pPr>
          </w:p>
        </w:tc>
        <w:tc>
          <w:tcPr>
            <w:tcW w:w="785" w:type="dxa"/>
            <w:tcBorders>
              <w:top w:val="single" w:color="000000" w:sz="4" w:space="0"/>
              <w:left w:val="single" w:color="000000" w:sz="4" w:space="0"/>
              <w:bottom w:val="single" w:color="000000" w:sz="4" w:space="0"/>
              <w:right w:val="single" w:color="000000" w:sz="4" w:space="0"/>
            </w:tcBorders>
            <w:noWrap w:val="0"/>
            <w:vAlign w:val="center"/>
          </w:tcPr>
          <w:p w14:paraId="56265F7B">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10人及以上</w:t>
            </w:r>
          </w:p>
        </w:tc>
        <w:tc>
          <w:tcPr>
            <w:tcW w:w="785" w:type="dxa"/>
            <w:tcBorders>
              <w:top w:val="single" w:color="000000" w:sz="4" w:space="0"/>
              <w:left w:val="single" w:color="000000" w:sz="4" w:space="0"/>
              <w:bottom w:val="single" w:color="000000" w:sz="4" w:space="0"/>
              <w:right w:val="single" w:color="000000" w:sz="4" w:space="0"/>
            </w:tcBorders>
            <w:noWrap w:val="0"/>
            <w:vAlign w:val="center"/>
          </w:tcPr>
          <w:p w14:paraId="6E6EF47B">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50万元及以上</w:t>
            </w:r>
          </w:p>
        </w:tc>
        <w:tc>
          <w:tcPr>
            <w:tcW w:w="704" w:type="dxa"/>
            <w:tcBorders>
              <w:top w:val="single" w:color="000000" w:sz="4" w:space="0"/>
              <w:left w:val="single" w:color="000000" w:sz="4" w:space="0"/>
              <w:bottom w:val="single" w:color="000000" w:sz="4" w:space="0"/>
              <w:right w:val="single" w:color="000000" w:sz="4" w:space="0"/>
            </w:tcBorders>
            <w:noWrap w:val="0"/>
            <w:vAlign w:val="center"/>
          </w:tcPr>
          <w:p w14:paraId="6B1891F5">
            <w:pPr>
              <w:rPr>
                <w:rFonts w:hint="eastAsia" w:ascii="仿宋" w:hAnsi="仿宋" w:eastAsia="仿宋" w:cs="仿宋"/>
                <w:i w:val="0"/>
                <w:color w:val="000000"/>
                <w:sz w:val="11"/>
                <w:szCs w:val="11"/>
                <w:u w:val="none"/>
              </w:rPr>
            </w:pPr>
          </w:p>
        </w:tc>
        <w:tc>
          <w:tcPr>
            <w:tcW w:w="798" w:type="dxa"/>
            <w:tcBorders>
              <w:top w:val="single" w:color="000000" w:sz="4" w:space="0"/>
              <w:left w:val="single" w:color="000000" w:sz="4" w:space="0"/>
              <w:bottom w:val="single" w:color="000000" w:sz="4" w:space="0"/>
              <w:right w:val="single" w:color="000000" w:sz="4" w:space="0"/>
            </w:tcBorders>
            <w:noWrap w:val="0"/>
            <w:vAlign w:val="center"/>
          </w:tcPr>
          <w:p w14:paraId="1CD1B4FB">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10人以下</w:t>
            </w:r>
          </w:p>
        </w:tc>
        <w:tc>
          <w:tcPr>
            <w:tcW w:w="714" w:type="dxa"/>
            <w:tcBorders>
              <w:top w:val="single" w:color="000000" w:sz="4" w:space="0"/>
              <w:left w:val="single" w:color="000000" w:sz="4" w:space="0"/>
              <w:bottom w:val="single" w:color="000000" w:sz="4" w:space="0"/>
              <w:right w:val="single" w:color="000000" w:sz="4" w:space="0"/>
            </w:tcBorders>
            <w:noWrap w:val="0"/>
            <w:vAlign w:val="center"/>
          </w:tcPr>
          <w:p w14:paraId="3D15F838">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50万元以下</w:t>
            </w:r>
          </w:p>
        </w:tc>
        <w:tc>
          <w:tcPr>
            <w:tcW w:w="501" w:type="dxa"/>
            <w:tcBorders>
              <w:top w:val="single" w:color="000000" w:sz="4" w:space="0"/>
              <w:left w:val="single" w:color="000000" w:sz="4" w:space="0"/>
              <w:bottom w:val="single" w:color="000000" w:sz="4" w:space="0"/>
              <w:right w:val="single" w:color="000000" w:sz="12" w:space="0"/>
            </w:tcBorders>
            <w:noWrap w:val="0"/>
            <w:vAlign w:val="center"/>
          </w:tcPr>
          <w:p w14:paraId="44F166D9">
            <w:pPr>
              <w:rPr>
                <w:rFonts w:hint="eastAsia" w:ascii="仿宋" w:hAnsi="仿宋" w:eastAsia="仿宋" w:cs="仿宋"/>
                <w:i w:val="0"/>
                <w:color w:val="000000"/>
                <w:sz w:val="11"/>
                <w:szCs w:val="11"/>
                <w:u w:val="none"/>
              </w:rPr>
            </w:pPr>
          </w:p>
        </w:tc>
      </w:tr>
      <w:tr w14:paraId="371201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68" w:hRule="atLeast"/>
          <w:jc w:val="center"/>
        </w:trPr>
        <w:tc>
          <w:tcPr>
            <w:tcW w:w="1925" w:type="dxa"/>
            <w:tcBorders>
              <w:top w:val="single" w:color="000000" w:sz="4" w:space="0"/>
              <w:left w:val="single" w:color="000000" w:sz="12" w:space="0"/>
              <w:bottom w:val="single" w:color="000000" w:sz="4" w:space="0"/>
              <w:right w:val="single" w:color="000000" w:sz="4" w:space="0"/>
            </w:tcBorders>
            <w:noWrap w:val="0"/>
            <w:vAlign w:val="center"/>
          </w:tcPr>
          <w:p w14:paraId="3977B731">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房地产开发经营</w:t>
            </w:r>
          </w:p>
        </w:tc>
        <w:tc>
          <w:tcPr>
            <w:tcW w:w="606" w:type="dxa"/>
            <w:tcBorders>
              <w:top w:val="single" w:color="000000" w:sz="4" w:space="0"/>
              <w:left w:val="single" w:color="000000" w:sz="4" w:space="0"/>
              <w:bottom w:val="single" w:color="000000" w:sz="4" w:space="0"/>
              <w:right w:val="single" w:color="000000" w:sz="4" w:space="0"/>
            </w:tcBorders>
            <w:noWrap w:val="0"/>
            <w:vAlign w:val="center"/>
          </w:tcPr>
          <w:p w14:paraId="74A0371D">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200000万元以下</w:t>
            </w:r>
          </w:p>
        </w:tc>
        <w:tc>
          <w:tcPr>
            <w:tcW w:w="835" w:type="dxa"/>
            <w:tcBorders>
              <w:top w:val="single" w:color="000000" w:sz="4" w:space="0"/>
              <w:left w:val="single" w:color="000000" w:sz="4" w:space="0"/>
              <w:bottom w:val="single" w:color="000000" w:sz="4" w:space="0"/>
              <w:right w:val="single" w:color="000000" w:sz="4" w:space="0"/>
            </w:tcBorders>
            <w:noWrap w:val="0"/>
            <w:vAlign w:val="center"/>
          </w:tcPr>
          <w:p w14:paraId="256DA557">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10000万元以下</w:t>
            </w:r>
          </w:p>
        </w:tc>
        <w:tc>
          <w:tcPr>
            <w:tcW w:w="843" w:type="dxa"/>
            <w:tcBorders>
              <w:top w:val="single" w:color="000000" w:sz="4" w:space="0"/>
              <w:left w:val="single" w:color="000000" w:sz="4" w:space="0"/>
              <w:bottom w:val="single" w:color="000000" w:sz="4" w:space="0"/>
              <w:right w:val="single" w:color="000000" w:sz="4" w:space="0"/>
            </w:tcBorders>
            <w:noWrap w:val="0"/>
            <w:vAlign w:val="center"/>
          </w:tcPr>
          <w:p w14:paraId="41EC9E8E">
            <w:pPr>
              <w:rPr>
                <w:rFonts w:hint="eastAsia" w:ascii="仿宋" w:hAnsi="仿宋" w:eastAsia="仿宋" w:cs="仿宋"/>
                <w:i w:val="0"/>
                <w:color w:val="000000"/>
                <w:sz w:val="11"/>
                <w:szCs w:val="11"/>
                <w:u w:val="none"/>
              </w:rPr>
            </w:pPr>
          </w:p>
        </w:tc>
        <w:tc>
          <w:tcPr>
            <w:tcW w:w="766" w:type="dxa"/>
            <w:tcBorders>
              <w:top w:val="single" w:color="000000" w:sz="4" w:space="0"/>
              <w:left w:val="single" w:color="000000" w:sz="4" w:space="0"/>
              <w:bottom w:val="single" w:color="000000" w:sz="4" w:space="0"/>
              <w:right w:val="single" w:color="000000" w:sz="4" w:space="0"/>
            </w:tcBorders>
            <w:noWrap w:val="0"/>
            <w:vAlign w:val="center"/>
          </w:tcPr>
          <w:p w14:paraId="43DB06D2">
            <w:pPr>
              <w:rPr>
                <w:rFonts w:hint="eastAsia" w:ascii="仿宋" w:hAnsi="仿宋" w:eastAsia="仿宋" w:cs="仿宋"/>
                <w:i w:val="0"/>
                <w:color w:val="000000"/>
                <w:sz w:val="11"/>
                <w:szCs w:val="11"/>
                <w:u w:val="none"/>
              </w:rPr>
            </w:pPr>
          </w:p>
        </w:tc>
        <w:tc>
          <w:tcPr>
            <w:tcW w:w="936" w:type="dxa"/>
            <w:tcBorders>
              <w:top w:val="single" w:color="000000" w:sz="4" w:space="0"/>
              <w:left w:val="single" w:color="000000" w:sz="4" w:space="0"/>
              <w:bottom w:val="single" w:color="000000" w:sz="4" w:space="0"/>
              <w:right w:val="single" w:color="000000" w:sz="4" w:space="0"/>
            </w:tcBorders>
            <w:noWrap w:val="0"/>
            <w:vAlign w:val="center"/>
          </w:tcPr>
          <w:p w14:paraId="23C7BA29">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1000万元及以上</w:t>
            </w:r>
          </w:p>
        </w:tc>
        <w:tc>
          <w:tcPr>
            <w:tcW w:w="740" w:type="dxa"/>
            <w:tcBorders>
              <w:top w:val="single" w:color="000000" w:sz="4" w:space="0"/>
              <w:left w:val="single" w:color="000000" w:sz="4" w:space="0"/>
              <w:bottom w:val="single" w:color="000000" w:sz="4" w:space="0"/>
              <w:right w:val="single" w:color="000000" w:sz="4" w:space="0"/>
            </w:tcBorders>
            <w:noWrap w:val="0"/>
            <w:vAlign w:val="center"/>
          </w:tcPr>
          <w:p w14:paraId="09A7B360">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5000万元及以上</w:t>
            </w:r>
          </w:p>
        </w:tc>
        <w:tc>
          <w:tcPr>
            <w:tcW w:w="785" w:type="dxa"/>
            <w:tcBorders>
              <w:top w:val="single" w:color="000000" w:sz="4" w:space="0"/>
              <w:left w:val="single" w:color="000000" w:sz="4" w:space="0"/>
              <w:bottom w:val="single" w:color="000000" w:sz="4" w:space="0"/>
              <w:right w:val="single" w:color="000000" w:sz="4" w:space="0"/>
            </w:tcBorders>
            <w:noWrap w:val="0"/>
            <w:vAlign w:val="center"/>
          </w:tcPr>
          <w:p w14:paraId="091F7036">
            <w:pPr>
              <w:rPr>
                <w:rFonts w:hint="eastAsia" w:ascii="仿宋" w:hAnsi="仿宋" w:eastAsia="仿宋" w:cs="仿宋"/>
                <w:i w:val="0"/>
                <w:color w:val="000000"/>
                <w:sz w:val="11"/>
                <w:szCs w:val="11"/>
                <w:u w:val="none"/>
              </w:rPr>
            </w:pPr>
          </w:p>
        </w:tc>
        <w:tc>
          <w:tcPr>
            <w:tcW w:w="785" w:type="dxa"/>
            <w:tcBorders>
              <w:top w:val="single" w:color="000000" w:sz="4" w:space="0"/>
              <w:left w:val="single" w:color="000000" w:sz="4" w:space="0"/>
              <w:bottom w:val="single" w:color="000000" w:sz="4" w:space="0"/>
              <w:right w:val="single" w:color="000000" w:sz="4" w:space="0"/>
            </w:tcBorders>
            <w:noWrap w:val="0"/>
            <w:vAlign w:val="center"/>
          </w:tcPr>
          <w:p w14:paraId="46886ED3">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100万元及以上</w:t>
            </w:r>
          </w:p>
        </w:tc>
        <w:tc>
          <w:tcPr>
            <w:tcW w:w="704" w:type="dxa"/>
            <w:tcBorders>
              <w:top w:val="single" w:color="000000" w:sz="4" w:space="0"/>
              <w:left w:val="single" w:color="000000" w:sz="4" w:space="0"/>
              <w:bottom w:val="single" w:color="000000" w:sz="4" w:space="0"/>
              <w:right w:val="single" w:color="000000" w:sz="4" w:space="0"/>
            </w:tcBorders>
            <w:noWrap w:val="0"/>
            <w:vAlign w:val="center"/>
          </w:tcPr>
          <w:p w14:paraId="479F0B71">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2000万元及以上</w:t>
            </w:r>
          </w:p>
        </w:tc>
        <w:tc>
          <w:tcPr>
            <w:tcW w:w="798" w:type="dxa"/>
            <w:tcBorders>
              <w:top w:val="single" w:color="000000" w:sz="4" w:space="0"/>
              <w:left w:val="single" w:color="000000" w:sz="4" w:space="0"/>
              <w:bottom w:val="single" w:color="000000" w:sz="4" w:space="0"/>
              <w:right w:val="single" w:color="000000" w:sz="4" w:space="0"/>
            </w:tcBorders>
            <w:noWrap w:val="0"/>
            <w:vAlign w:val="center"/>
          </w:tcPr>
          <w:p w14:paraId="61D9766A">
            <w:pPr>
              <w:rPr>
                <w:rFonts w:hint="eastAsia" w:ascii="仿宋" w:hAnsi="仿宋" w:eastAsia="仿宋" w:cs="仿宋"/>
                <w:i w:val="0"/>
                <w:color w:val="000000"/>
                <w:sz w:val="11"/>
                <w:szCs w:val="11"/>
                <w:u w:val="none"/>
              </w:rPr>
            </w:pPr>
          </w:p>
        </w:tc>
        <w:tc>
          <w:tcPr>
            <w:tcW w:w="714" w:type="dxa"/>
            <w:tcBorders>
              <w:top w:val="single" w:color="000000" w:sz="4" w:space="0"/>
              <w:left w:val="single" w:color="000000" w:sz="4" w:space="0"/>
              <w:bottom w:val="single" w:color="000000" w:sz="4" w:space="0"/>
              <w:right w:val="single" w:color="000000" w:sz="4" w:space="0"/>
            </w:tcBorders>
            <w:noWrap w:val="0"/>
            <w:vAlign w:val="center"/>
          </w:tcPr>
          <w:p w14:paraId="081EF985">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100万元以下</w:t>
            </w:r>
          </w:p>
        </w:tc>
        <w:tc>
          <w:tcPr>
            <w:tcW w:w="501" w:type="dxa"/>
            <w:tcBorders>
              <w:top w:val="single" w:color="000000" w:sz="4" w:space="0"/>
              <w:left w:val="single" w:color="000000" w:sz="4" w:space="0"/>
              <w:bottom w:val="single" w:color="000000" w:sz="4" w:space="0"/>
              <w:right w:val="single" w:color="000000" w:sz="12" w:space="0"/>
            </w:tcBorders>
            <w:noWrap w:val="0"/>
            <w:vAlign w:val="center"/>
          </w:tcPr>
          <w:p w14:paraId="23C6BE67">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2000万元以下</w:t>
            </w:r>
          </w:p>
        </w:tc>
      </w:tr>
      <w:tr w14:paraId="707A51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07" w:hRule="atLeast"/>
          <w:jc w:val="center"/>
        </w:trPr>
        <w:tc>
          <w:tcPr>
            <w:tcW w:w="1925" w:type="dxa"/>
            <w:tcBorders>
              <w:top w:val="single" w:color="000000" w:sz="4" w:space="0"/>
              <w:left w:val="single" w:color="000000" w:sz="12" w:space="0"/>
              <w:bottom w:val="single" w:color="000000" w:sz="4" w:space="0"/>
              <w:right w:val="single" w:color="000000" w:sz="4" w:space="0"/>
            </w:tcBorders>
            <w:noWrap w:val="0"/>
            <w:vAlign w:val="center"/>
          </w:tcPr>
          <w:p w14:paraId="59C01F84">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物业管理</w:t>
            </w:r>
          </w:p>
        </w:tc>
        <w:tc>
          <w:tcPr>
            <w:tcW w:w="606" w:type="dxa"/>
            <w:tcBorders>
              <w:top w:val="single" w:color="000000" w:sz="4" w:space="0"/>
              <w:left w:val="single" w:color="000000" w:sz="4" w:space="0"/>
              <w:bottom w:val="single" w:color="000000" w:sz="4" w:space="0"/>
              <w:right w:val="single" w:color="000000" w:sz="4" w:space="0"/>
            </w:tcBorders>
            <w:noWrap w:val="0"/>
            <w:vAlign w:val="center"/>
          </w:tcPr>
          <w:p w14:paraId="2EA6ADBC">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1000人以下</w:t>
            </w:r>
          </w:p>
        </w:tc>
        <w:tc>
          <w:tcPr>
            <w:tcW w:w="835" w:type="dxa"/>
            <w:tcBorders>
              <w:top w:val="single" w:color="000000" w:sz="4" w:space="0"/>
              <w:left w:val="single" w:color="000000" w:sz="4" w:space="0"/>
              <w:bottom w:val="single" w:color="000000" w:sz="4" w:space="0"/>
              <w:right w:val="single" w:color="000000" w:sz="4" w:space="0"/>
            </w:tcBorders>
            <w:noWrap w:val="0"/>
            <w:vAlign w:val="center"/>
          </w:tcPr>
          <w:p w14:paraId="3DE39004">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5000万元以下</w:t>
            </w:r>
          </w:p>
        </w:tc>
        <w:tc>
          <w:tcPr>
            <w:tcW w:w="843" w:type="dxa"/>
            <w:tcBorders>
              <w:top w:val="single" w:color="000000" w:sz="4" w:space="0"/>
              <w:left w:val="single" w:color="000000" w:sz="4" w:space="0"/>
              <w:bottom w:val="single" w:color="000000" w:sz="4" w:space="0"/>
              <w:right w:val="single" w:color="000000" w:sz="4" w:space="0"/>
            </w:tcBorders>
            <w:noWrap w:val="0"/>
            <w:vAlign w:val="center"/>
          </w:tcPr>
          <w:p w14:paraId="332A867F">
            <w:pPr>
              <w:rPr>
                <w:rFonts w:hint="eastAsia" w:ascii="仿宋" w:hAnsi="仿宋" w:eastAsia="仿宋" w:cs="仿宋"/>
                <w:i w:val="0"/>
                <w:color w:val="000000"/>
                <w:sz w:val="11"/>
                <w:szCs w:val="11"/>
                <w:u w:val="none"/>
              </w:rPr>
            </w:pPr>
          </w:p>
        </w:tc>
        <w:tc>
          <w:tcPr>
            <w:tcW w:w="766" w:type="dxa"/>
            <w:tcBorders>
              <w:top w:val="single" w:color="000000" w:sz="4" w:space="0"/>
              <w:left w:val="single" w:color="000000" w:sz="4" w:space="0"/>
              <w:bottom w:val="single" w:color="000000" w:sz="4" w:space="0"/>
              <w:right w:val="single" w:color="000000" w:sz="4" w:space="0"/>
            </w:tcBorders>
            <w:noWrap w:val="0"/>
            <w:vAlign w:val="center"/>
          </w:tcPr>
          <w:p w14:paraId="6AEBB08A">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300人及以上</w:t>
            </w:r>
          </w:p>
        </w:tc>
        <w:tc>
          <w:tcPr>
            <w:tcW w:w="936" w:type="dxa"/>
            <w:tcBorders>
              <w:top w:val="single" w:color="000000" w:sz="4" w:space="0"/>
              <w:left w:val="single" w:color="000000" w:sz="4" w:space="0"/>
              <w:bottom w:val="single" w:color="000000" w:sz="4" w:space="0"/>
              <w:right w:val="single" w:color="000000" w:sz="4" w:space="0"/>
            </w:tcBorders>
            <w:noWrap w:val="0"/>
            <w:vAlign w:val="center"/>
          </w:tcPr>
          <w:p w14:paraId="73759CDD">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1000万元及以上</w:t>
            </w:r>
          </w:p>
        </w:tc>
        <w:tc>
          <w:tcPr>
            <w:tcW w:w="740" w:type="dxa"/>
            <w:tcBorders>
              <w:top w:val="single" w:color="000000" w:sz="4" w:space="0"/>
              <w:left w:val="single" w:color="000000" w:sz="4" w:space="0"/>
              <w:bottom w:val="single" w:color="000000" w:sz="4" w:space="0"/>
              <w:right w:val="single" w:color="000000" w:sz="4" w:space="0"/>
            </w:tcBorders>
            <w:noWrap w:val="0"/>
            <w:vAlign w:val="center"/>
          </w:tcPr>
          <w:p w14:paraId="13C6912F">
            <w:pPr>
              <w:rPr>
                <w:rFonts w:hint="eastAsia" w:ascii="仿宋" w:hAnsi="仿宋" w:eastAsia="仿宋" w:cs="仿宋"/>
                <w:i w:val="0"/>
                <w:color w:val="000000"/>
                <w:sz w:val="11"/>
                <w:szCs w:val="11"/>
                <w:u w:val="none"/>
              </w:rPr>
            </w:pPr>
          </w:p>
        </w:tc>
        <w:tc>
          <w:tcPr>
            <w:tcW w:w="785" w:type="dxa"/>
            <w:tcBorders>
              <w:top w:val="single" w:color="000000" w:sz="4" w:space="0"/>
              <w:left w:val="single" w:color="000000" w:sz="4" w:space="0"/>
              <w:bottom w:val="single" w:color="000000" w:sz="4" w:space="0"/>
              <w:right w:val="single" w:color="000000" w:sz="4" w:space="0"/>
            </w:tcBorders>
            <w:noWrap w:val="0"/>
            <w:vAlign w:val="center"/>
          </w:tcPr>
          <w:p w14:paraId="1AD940F3">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100人及以上</w:t>
            </w:r>
          </w:p>
        </w:tc>
        <w:tc>
          <w:tcPr>
            <w:tcW w:w="785" w:type="dxa"/>
            <w:tcBorders>
              <w:top w:val="single" w:color="000000" w:sz="4" w:space="0"/>
              <w:left w:val="single" w:color="000000" w:sz="4" w:space="0"/>
              <w:bottom w:val="single" w:color="000000" w:sz="4" w:space="0"/>
              <w:right w:val="single" w:color="000000" w:sz="4" w:space="0"/>
            </w:tcBorders>
            <w:noWrap w:val="0"/>
            <w:vAlign w:val="center"/>
          </w:tcPr>
          <w:p w14:paraId="6DE01C49">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500万元及以上</w:t>
            </w:r>
          </w:p>
        </w:tc>
        <w:tc>
          <w:tcPr>
            <w:tcW w:w="704" w:type="dxa"/>
            <w:tcBorders>
              <w:top w:val="single" w:color="000000" w:sz="4" w:space="0"/>
              <w:left w:val="single" w:color="000000" w:sz="4" w:space="0"/>
              <w:bottom w:val="single" w:color="000000" w:sz="4" w:space="0"/>
              <w:right w:val="single" w:color="000000" w:sz="4" w:space="0"/>
            </w:tcBorders>
            <w:noWrap w:val="0"/>
            <w:vAlign w:val="center"/>
          </w:tcPr>
          <w:p w14:paraId="51E531A0">
            <w:pPr>
              <w:rPr>
                <w:rFonts w:hint="eastAsia" w:ascii="仿宋" w:hAnsi="仿宋" w:eastAsia="仿宋" w:cs="仿宋"/>
                <w:i w:val="0"/>
                <w:color w:val="000000"/>
                <w:sz w:val="11"/>
                <w:szCs w:val="11"/>
                <w:u w:val="none"/>
              </w:rPr>
            </w:pPr>
          </w:p>
        </w:tc>
        <w:tc>
          <w:tcPr>
            <w:tcW w:w="798" w:type="dxa"/>
            <w:tcBorders>
              <w:top w:val="single" w:color="000000" w:sz="4" w:space="0"/>
              <w:left w:val="single" w:color="000000" w:sz="4" w:space="0"/>
              <w:bottom w:val="single" w:color="000000" w:sz="4" w:space="0"/>
              <w:right w:val="single" w:color="000000" w:sz="4" w:space="0"/>
            </w:tcBorders>
            <w:noWrap w:val="0"/>
            <w:vAlign w:val="center"/>
          </w:tcPr>
          <w:p w14:paraId="475B50AF">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100人以下</w:t>
            </w:r>
          </w:p>
        </w:tc>
        <w:tc>
          <w:tcPr>
            <w:tcW w:w="714" w:type="dxa"/>
            <w:tcBorders>
              <w:top w:val="single" w:color="000000" w:sz="4" w:space="0"/>
              <w:left w:val="single" w:color="000000" w:sz="4" w:space="0"/>
              <w:bottom w:val="single" w:color="000000" w:sz="4" w:space="0"/>
              <w:right w:val="single" w:color="000000" w:sz="4" w:space="0"/>
            </w:tcBorders>
            <w:noWrap w:val="0"/>
            <w:vAlign w:val="center"/>
          </w:tcPr>
          <w:p w14:paraId="068CF3D2">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500万元以下</w:t>
            </w:r>
          </w:p>
        </w:tc>
        <w:tc>
          <w:tcPr>
            <w:tcW w:w="501" w:type="dxa"/>
            <w:tcBorders>
              <w:top w:val="single" w:color="000000" w:sz="4" w:space="0"/>
              <w:left w:val="single" w:color="000000" w:sz="4" w:space="0"/>
              <w:bottom w:val="single" w:color="000000" w:sz="4" w:space="0"/>
              <w:right w:val="single" w:color="000000" w:sz="12" w:space="0"/>
            </w:tcBorders>
            <w:noWrap w:val="0"/>
            <w:vAlign w:val="center"/>
          </w:tcPr>
          <w:p w14:paraId="2F13507A">
            <w:pPr>
              <w:rPr>
                <w:rFonts w:hint="eastAsia" w:ascii="仿宋" w:hAnsi="仿宋" w:eastAsia="仿宋" w:cs="仿宋"/>
                <w:i w:val="0"/>
                <w:color w:val="000000"/>
                <w:sz w:val="11"/>
                <w:szCs w:val="11"/>
                <w:u w:val="none"/>
              </w:rPr>
            </w:pPr>
          </w:p>
        </w:tc>
      </w:tr>
      <w:tr w14:paraId="47E1F6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68" w:hRule="atLeast"/>
          <w:jc w:val="center"/>
        </w:trPr>
        <w:tc>
          <w:tcPr>
            <w:tcW w:w="1925" w:type="dxa"/>
            <w:tcBorders>
              <w:top w:val="single" w:color="000000" w:sz="4" w:space="0"/>
              <w:left w:val="single" w:color="000000" w:sz="12" w:space="0"/>
              <w:bottom w:val="single" w:color="000000" w:sz="4" w:space="0"/>
              <w:right w:val="single" w:color="000000" w:sz="4" w:space="0"/>
            </w:tcBorders>
            <w:noWrap w:val="0"/>
            <w:vAlign w:val="center"/>
          </w:tcPr>
          <w:p w14:paraId="2E782C7A">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租赁和商务服务业</w:t>
            </w:r>
          </w:p>
        </w:tc>
        <w:tc>
          <w:tcPr>
            <w:tcW w:w="606" w:type="dxa"/>
            <w:tcBorders>
              <w:top w:val="single" w:color="000000" w:sz="4" w:space="0"/>
              <w:left w:val="single" w:color="000000" w:sz="4" w:space="0"/>
              <w:bottom w:val="single" w:color="000000" w:sz="4" w:space="0"/>
              <w:right w:val="single" w:color="000000" w:sz="4" w:space="0"/>
            </w:tcBorders>
            <w:noWrap w:val="0"/>
            <w:vAlign w:val="center"/>
          </w:tcPr>
          <w:p w14:paraId="16D29D4F">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300人以下</w:t>
            </w:r>
          </w:p>
        </w:tc>
        <w:tc>
          <w:tcPr>
            <w:tcW w:w="835" w:type="dxa"/>
            <w:tcBorders>
              <w:top w:val="single" w:color="000000" w:sz="4" w:space="0"/>
              <w:left w:val="single" w:color="000000" w:sz="4" w:space="0"/>
              <w:bottom w:val="single" w:color="000000" w:sz="4" w:space="0"/>
              <w:right w:val="single" w:color="000000" w:sz="4" w:space="0"/>
            </w:tcBorders>
            <w:noWrap w:val="0"/>
            <w:vAlign w:val="center"/>
          </w:tcPr>
          <w:p w14:paraId="0926BC24">
            <w:pPr>
              <w:rPr>
                <w:rFonts w:hint="eastAsia" w:ascii="仿宋" w:hAnsi="仿宋" w:eastAsia="仿宋" w:cs="仿宋"/>
                <w:i w:val="0"/>
                <w:color w:val="000000"/>
                <w:sz w:val="11"/>
                <w:szCs w:val="11"/>
                <w:u w:val="none"/>
              </w:rPr>
            </w:pPr>
          </w:p>
        </w:tc>
        <w:tc>
          <w:tcPr>
            <w:tcW w:w="843" w:type="dxa"/>
            <w:tcBorders>
              <w:top w:val="single" w:color="000000" w:sz="4" w:space="0"/>
              <w:left w:val="single" w:color="000000" w:sz="4" w:space="0"/>
              <w:bottom w:val="single" w:color="000000" w:sz="4" w:space="0"/>
              <w:right w:val="single" w:color="000000" w:sz="4" w:space="0"/>
            </w:tcBorders>
            <w:noWrap w:val="0"/>
            <w:vAlign w:val="center"/>
          </w:tcPr>
          <w:p w14:paraId="6B922310">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120000万元以下</w:t>
            </w:r>
          </w:p>
        </w:tc>
        <w:tc>
          <w:tcPr>
            <w:tcW w:w="766" w:type="dxa"/>
            <w:tcBorders>
              <w:top w:val="single" w:color="000000" w:sz="4" w:space="0"/>
              <w:left w:val="single" w:color="000000" w:sz="4" w:space="0"/>
              <w:bottom w:val="single" w:color="000000" w:sz="4" w:space="0"/>
              <w:right w:val="single" w:color="000000" w:sz="4" w:space="0"/>
            </w:tcBorders>
            <w:noWrap w:val="0"/>
            <w:vAlign w:val="center"/>
          </w:tcPr>
          <w:p w14:paraId="2C4C5651">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100人及以上</w:t>
            </w:r>
          </w:p>
        </w:tc>
        <w:tc>
          <w:tcPr>
            <w:tcW w:w="936" w:type="dxa"/>
            <w:tcBorders>
              <w:top w:val="single" w:color="000000" w:sz="4" w:space="0"/>
              <w:left w:val="single" w:color="000000" w:sz="4" w:space="0"/>
              <w:bottom w:val="single" w:color="000000" w:sz="4" w:space="0"/>
              <w:right w:val="single" w:color="000000" w:sz="4" w:space="0"/>
            </w:tcBorders>
            <w:noWrap w:val="0"/>
            <w:vAlign w:val="center"/>
          </w:tcPr>
          <w:p w14:paraId="41E2DF6F">
            <w:pPr>
              <w:rPr>
                <w:rFonts w:hint="eastAsia" w:ascii="仿宋" w:hAnsi="仿宋" w:eastAsia="仿宋" w:cs="仿宋"/>
                <w:i w:val="0"/>
                <w:color w:val="000000"/>
                <w:sz w:val="11"/>
                <w:szCs w:val="11"/>
                <w:u w:val="none"/>
              </w:rPr>
            </w:pPr>
          </w:p>
        </w:tc>
        <w:tc>
          <w:tcPr>
            <w:tcW w:w="740" w:type="dxa"/>
            <w:tcBorders>
              <w:top w:val="single" w:color="000000" w:sz="4" w:space="0"/>
              <w:left w:val="single" w:color="000000" w:sz="4" w:space="0"/>
              <w:bottom w:val="single" w:color="000000" w:sz="4" w:space="0"/>
              <w:right w:val="single" w:color="000000" w:sz="4" w:space="0"/>
            </w:tcBorders>
            <w:noWrap w:val="0"/>
            <w:vAlign w:val="center"/>
          </w:tcPr>
          <w:p w14:paraId="7BC5BCCF">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8000万元及以上</w:t>
            </w:r>
          </w:p>
        </w:tc>
        <w:tc>
          <w:tcPr>
            <w:tcW w:w="785" w:type="dxa"/>
            <w:tcBorders>
              <w:top w:val="single" w:color="000000" w:sz="4" w:space="0"/>
              <w:left w:val="single" w:color="000000" w:sz="4" w:space="0"/>
              <w:bottom w:val="single" w:color="000000" w:sz="4" w:space="0"/>
              <w:right w:val="single" w:color="000000" w:sz="4" w:space="0"/>
            </w:tcBorders>
            <w:noWrap w:val="0"/>
            <w:vAlign w:val="center"/>
          </w:tcPr>
          <w:p w14:paraId="50207494">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10人及以上</w:t>
            </w:r>
          </w:p>
        </w:tc>
        <w:tc>
          <w:tcPr>
            <w:tcW w:w="785" w:type="dxa"/>
            <w:tcBorders>
              <w:top w:val="single" w:color="000000" w:sz="4" w:space="0"/>
              <w:left w:val="single" w:color="000000" w:sz="4" w:space="0"/>
              <w:bottom w:val="single" w:color="000000" w:sz="4" w:space="0"/>
              <w:right w:val="single" w:color="000000" w:sz="4" w:space="0"/>
            </w:tcBorders>
            <w:noWrap w:val="0"/>
            <w:vAlign w:val="center"/>
          </w:tcPr>
          <w:p w14:paraId="43608009">
            <w:pPr>
              <w:rPr>
                <w:rFonts w:hint="eastAsia" w:ascii="仿宋" w:hAnsi="仿宋" w:eastAsia="仿宋" w:cs="仿宋"/>
                <w:i w:val="0"/>
                <w:color w:val="000000"/>
                <w:sz w:val="11"/>
                <w:szCs w:val="11"/>
                <w:u w:val="none"/>
              </w:rPr>
            </w:pPr>
          </w:p>
        </w:tc>
        <w:tc>
          <w:tcPr>
            <w:tcW w:w="704" w:type="dxa"/>
            <w:tcBorders>
              <w:top w:val="single" w:color="000000" w:sz="4" w:space="0"/>
              <w:left w:val="single" w:color="000000" w:sz="4" w:space="0"/>
              <w:bottom w:val="single" w:color="000000" w:sz="4" w:space="0"/>
              <w:right w:val="single" w:color="000000" w:sz="4" w:space="0"/>
            </w:tcBorders>
            <w:noWrap w:val="0"/>
            <w:vAlign w:val="center"/>
          </w:tcPr>
          <w:p w14:paraId="7F9B84E0">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100万元及以上</w:t>
            </w:r>
          </w:p>
        </w:tc>
        <w:tc>
          <w:tcPr>
            <w:tcW w:w="798" w:type="dxa"/>
            <w:tcBorders>
              <w:top w:val="single" w:color="000000" w:sz="4" w:space="0"/>
              <w:left w:val="single" w:color="000000" w:sz="4" w:space="0"/>
              <w:bottom w:val="single" w:color="000000" w:sz="4" w:space="0"/>
              <w:right w:val="single" w:color="000000" w:sz="4" w:space="0"/>
            </w:tcBorders>
            <w:noWrap w:val="0"/>
            <w:vAlign w:val="center"/>
          </w:tcPr>
          <w:p w14:paraId="54416940">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10人以下</w:t>
            </w:r>
          </w:p>
        </w:tc>
        <w:tc>
          <w:tcPr>
            <w:tcW w:w="714" w:type="dxa"/>
            <w:tcBorders>
              <w:top w:val="single" w:color="000000" w:sz="4" w:space="0"/>
              <w:left w:val="single" w:color="000000" w:sz="4" w:space="0"/>
              <w:bottom w:val="single" w:color="000000" w:sz="4" w:space="0"/>
              <w:right w:val="single" w:color="000000" w:sz="4" w:space="0"/>
            </w:tcBorders>
            <w:noWrap w:val="0"/>
            <w:vAlign w:val="center"/>
          </w:tcPr>
          <w:p w14:paraId="186189C9">
            <w:pPr>
              <w:rPr>
                <w:rFonts w:hint="eastAsia" w:ascii="仿宋" w:hAnsi="仿宋" w:eastAsia="仿宋" w:cs="仿宋"/>
                <w:i w:val="0"/>
                <w:color w:val="000000"/>
                <w:sz w:val="11"/>
                <w:szCs w:val="11"/>
                <w:u w:val="none"/>
              </w:rPr>
            </w:pPr>
          </w:p>
        </w:tc>
        <w:tc>
          <w:tcPr>
            <w:tcW w:w="501" w:type="dxa"/>
            <w:tcBorders>
              <w:top w:val="single" w:color="000000" w:sz="4" w:space="0"/>
              <w:left w:val="single" w:color="000000" w:sz="4" w:space="0"/>
              <w:bottom w:val="single" w:color="000000" w:sz="4" w:space="0"/>
              <w:right w:val="single" w:color="000000" w:sz="12" w:space="0"/>
            </w:tcBorders>
            <w:noWrap w:val="0"/>
            <w:vAlign w:val="center"/>
          </w:tcPr>
          <w:p w14:paraId="5515E6C5">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100万元以下</w:t>
            </w:r>
          </w:p>
        </w:tc>
      </w:tr>
      <w:tr w14:paraId="2D4F19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525" w:hRule="atLeast"/>
          <w:jc w:val="center"/>
        </w:trPr>
        <w:tc>
          <w:tcPr>
            <w:tcW w:w="1925" w:type="dxa"/>
            <w:tcBorders>
              <w:top w:val="single" w:color="000000" w:sz="4" w:space="0"/>
              <w:left w:val="single" w:color="000000" w:sz="12" w:space="0"/>
              <w:bottom w:val="single" w:color="000000" w:sz="12" w:space="0"/>
              <w:right w:val="single" w:color="000000" w:sz="4" w:space="0"/>
            </w:tcBorders>
            <w:noWrap w:val="0"/>
            <w:vAlign w:val="center"/>
          </w:tcPr>
          <w:p w14:paraId="6CA8973C">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其他未列明行业（包括科学研究和技术服务业，水利、环境和公共设施管理业，居民服务、修理和其他服务业，社会工作，文化、体育和娱乐业等）</w:t>
            </w:r>
          </w:p>
        </w:tc>
        <w:tc>
          <w:tcPr>
            <w:tcW w:w="606" w:type="dxa"/>
            <w:tcBorders>
              <w:top w:val="single" w:color="000000" w:sz="4" w:space="0"/>
              <w:left w:val="single" w:color="000000" w:sz="4" w:space="0"/>
              <w:bottom w:val="single" w:color="000000" w:sz="12" w:space="0"/>
              <w:right w:val="single" w:color="000000" w:sz="4" w:space="0"/>
            </w:tcBorders>
            <w:noWrap w:val="0"/>
            <w:vAlign w:val="center"/>
          </w:tcPr>
          <w:p w14:paraId="2F10F3FE">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300人以下</w:t>
            </w:r>
          </w:p>
        </w:tc>
        <w:tc>
          <w:tcPr>
            <w:tcW w:w="835" w:type="dxa"/>
            <w:tcBorders>
              <w:top w:val="single" w:color="000000" w:sz="4" w:space="0"/>
              <w:left w:val="single" w:color="000000" w:sz="4" w:space="0"/>
              <w:bottom w:val="single" w:color="000000" w:sz="12" w:space="0"/>
              <w:right w:val="single" w:color="000000" w:sz="4" w:space="0"/>
            </w:tcBorders>
            <w:noWrap w:val="0"/>
            <w:vAlign w:val="center"/>
          </w:tcPr>
          <w:p w14:paraId="75189C73">
            <w:pPr>
              <w:rPr>
                <w:rFonts w:hint="eastAsia" w:ascii="仿宋" w:hAnsi="仿宋" w:eastAsia="仿宋" w:cs="仿宋"/>
                <w:i w:val="0"/>
                <w:color w:val="000000"/>
                <w:sz w:val="11"/>
                <w:szCs w:val="11"/>
                <w:u w:val="none"/>
              </w:rPr>
            </w:pPr>
          </w:p>
        </w:tc>
        <w:tc>
          <w:tcPr>
            <w:tcW w:w="843" w:type="dxa"/>
            <w:tcBorders>
              <w:top w:val="single" w:color="000000" w:sz="4" w:space="0"/>
              <w:left w:val="single" w:color="000000" w:sz="4" w:space="0"/>
              <w:bottom w:val="single" w:color="000000" w:sz="12" w:space="0"/>
              <w:right w:val="single" w:color="000000" w:sz="4" w:space="0"/>
            </w:tcBorders>
            <w:noWrap w:val="0"/>
            <w:vAlign w:val="center"/>
          </w:tcPr>
          <w:p w14:paraId="7F18C2F4">
            <w:pPr>
              <w:rPr>
                <w:rFonts w:hint="eastAsia" w:ascii="仿宋" w:hAnsi="仿宋" w:eastAsia="仿宋" w:cs="仿宋"/>
                <w:i w:val="0"/>
                <w:color w:val="000000"/>
                <w:sz w:val="11"/>
                <w:szCs w:val="11"/>
                <w:u w:val="none"/>
              </w:rPr>
            </w:pPr>
          </w:p>
        </w:tc>
        <w:tc>
          <w:tcPr>
            <w:tcW w:w="766" w:type="dxa"/>
            <w:tcBorders>
              <w:top w:val="single" w:color="000000" w:sz="4" w:space="0"/>
              <w:left w:val="single" w:color="000000" w:sz="4" w:space="0"/>
              <w:bottom w:val="single" w:color="000000" w:sz="12" w:space="0"/>
              <w:right w:val="single" w:color="000000" w:sz="4" w:space="0"/>
            </w:tcBorders>
            <w:noWrap w:val="0"/>
            <w:vAlign w:val="center"/>
          </w:tcPr>
          <w:p w14:paraId="3C3F85BC">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100人及以上</w:t>
            </w:r>
          </w:p>
        </w:tc>
        <w:tc>
          <w:tcPr>
            <w:tcW w:w="936" w:type="dxa"/>
            <w:tcBorders>
              <w:top w:val="single" w:color="000000" w:sz="4" w:space="0"/>
              <w:left w:val="single" w:color="000000" w:sz="4" w:space="0"/>
              <w:bottom w:val="single" w:color="000000" w:sz="12" w:space="0"/>
              <w:right w:val="single" w:color="000000" w:sz="4" w:space="0"/>
            </w:tcBorders>
            <w:noWrap w:val="0"/>
            <w:vAlign w:val="center"/>
          </w:tcPr>
          <w:p w14:paraId="027A7EFC">
            <w:pPr>
              <w:rPr>
                <w:rFonts w:hint="eastAsia" w:ascii="仿宋" w:hAnsi="仿宋" w:eastAsia="仿宋" w:cs="仿宋"/>
                <w:i w:val="0"/>
                <w:color w:val="000000"/>
                <w:sz w:val="11"/>
                <w:szCs w:val="11"/>
                <w:u w:val="none"/>
              </w:rPr>
            </w:pPr>
          </w:p>
        </w:tc>
        <w:tc>
          <w:tcPr>
            <w:tcW w:w="740" w:type="dxa"/>
            <w:tcBorders>
              <w:top w:val="single" w:color="000000" w:sz="4" w:space="0"/>
              <w:left w:val="single" w:color="000000" w:sz="4" w:space="0"/>
              <w:bottom w:val="single" w:color="000000" w:sz="12" w:space="0"/>
              <w:right w:val="single" w:color="000000" w:sz="4" w:space="0"/>
            </w:tcBorders>
            <w:noWrap w:val="0"/>
            <w:vAlign w:val="center"/>
          </w:tcPr>
          <w:p w14:paraId="7241DC49">
            <w:pPr>
              <w:rPr>
                <w:rFonts w:hint="eastAsia" w:ascii="仿宋" w:hAnsi="仿宋" w:eastAsia="仿宋" w:cs="仿宋"/>
                <w:i w:val="0"/>
                <w:color w:val="000000"/>
                <w:sz w:val="11"/>
                <w:szCs w:val="11"/>
                <w:u w:val="none"/>
              </w:rPr>
            </w:pPr>
          </w:p>
        </w:tc>
        <w:tc>
          <w:tcPr>
            <w:tcW w:w="785" w:type="dxa"/>
            <w:tcBorders>
              <w:top w:val="single" w:color="000000" w:sz="4" w:space="0"/>
              <w:left w:val="single" w:color="000000" w:sz="4" w:space="0"/>
              <w:bottom w:val="single" w:color="000000" w:sz="12" w:space="0"/>
              <w:right w:val="single" w:color="000000" w:sz="4" w:space="0"/>
            </w:tcBorders>
            <w:noWrap w:val="0"/>
            <w:vAlign w:val="center"/>
          </w:tcPr>
          <w:p w14:paraId="4A34DCB5">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10人及以上</w:t>
            </w:r>
          </w:p>
        </w:tc>
        <w:tc>
          <w:tcPr>
            <w:tcW w:w="785" w:type="dxa"/>
            <w:tcBorders>
              <w:top w:val="single" w:color="000000" w:sz="4" w:space="0"/>
              <w:left w:val="single" w:color="000000" w:sz="4" w:space="0"/>
              <w:bottom w:val="single" w:color="000000" w:sz="12" w:space="0"/>
              <w:right w:val="single" w:color="000000" w:sz="4" w:space="0"/>
            </w:tcBorders>
            <w:noWrap w:val="0"/>
            <w:vAlign w:val="center"/>
          </w:tcPr>
          <w:p w14:paraId="41AE2D21">
            <w:pPr>
              <w:rPr>
                <w:rFonts w:hint="eastAsia" w:ascii="仿宋" w:hAnsi="仿宋" w:eastAsia="仿宋" w:cs="仿宋"/>
                <w:i w:val="0"/>
                <w:color w:val="000000"/>
                <w:sz w:val="11"/>
                <w:szCs w:val="11"/>
                <w:u w:val="none"/>
              </w:rPr>
            </w:pPr>
          </w:p>
        </w:tc>
        <w:tc>
          <w:tcPr>
            <w:tcW w:w="704" w:type="dxa"/>
            <w:tcBorders>
              <w:top w:val="single" w:color="000000" w:sz="4" w:space="0"/>
              <w:left w:val="single" w:color="000000" w:sz="4" w:space="0"/>
              <w:bottom w:val="single" w:color="000000" w:sz="12" w:space="0"/>
              <w:right w:val="single" w:color="000000" w:sz="4" w:space="0"/>
            </w:tcBorders>
            <w:noWrap w:val="0"/>
            <w:vAlign w:val="center"/>
          </w:tcPr>
          <w:p w14:paraId="03C277F3">
            <w:pPr>
              <w:rPr>
                <w:rFonts w:hint="eastAsia" w:ascii="仿宋" w:hAnsi="仿宋" w:eastAsia="仿宋" w:cs="仿宋"/>
                <w:i w:val="0"/>
                <w:color w:val="000000"/>
                <w:sz w:val="11"/>
                <w:szCs w:val="11"/>
                <w:u w:val="none"/>
              </w:rPr>
            </w:pPr>
          </w:p>
        </w:tc>
        <w:tc>
          <w:tcPr>
            <w:tcW w:w="798" w:type="dxa"/>
            <w:tcBorders>
              <w:top w:val="single" w:color="000000" w:sz="4" w:space="0"/>
              <w:left w:val="single" w:color="000000" w:sz="4" w:space="0"/>
              <w:bottom w:val="single" w:color="000000" w:sz="12" w:space="0"/>
              <w:right w:val="single" w:color="000000" w:sz="4" w:space="0"/>
            </w:tcBorders>
            <w:noWrap w:val="0"/>
            <w:vAlign w:val="center"/>
          </w:tcPr>
          <w:p w14:paraId="3564A010">
            <w:pPr>
              <w:keepNext w:val="0"/>
              <w:keepLines w:val="0"/>
              <w:widowControl/>
              <w:suppressLineNumbers w:val="0"/>
              <w:jc w:val="left"/>
              <w:textAlignment w:val="center"/>
              <w:rPr>
                <w:rFonts w:hint="eastAsia" w:ascii="仿宋" w:hAnsi="仿宋" w:eastAsia="仿宋" w:cs="仿宋"/>
                <w:i w:val="0"/>
                <w:color w:val="000000"/>
                <w:sz w:val="11"/>
                <w:szCs w:val="11"/>
                <w:u w:val="none"/>
              </w:rPr>
            </w:pPr>
            <w:r>
              <w:rPr>
                <w:rFonts w:hint="eastAsia" w:ascii="仿宋" w:hAnsi="仿宋" w:eastAsia="仿宋" w:cs="仿宋"/>
                <w:i w:val="0"/>
                <w:color w:val="000000"/>
                <w:kern w:val="0"/>
                <w:sz w:val="11"/>
                <w:szCs w:val="11"/>
                <w:u w:val="none"/>
                <w:lang w:val="en-US" w:eastAsia="zh-CN" w:bidi="ar"/>
              </w:rPr>
              <w:t>10人以下</w:t>
            </w:r>
          </w:p>
        </w:tc>
        <w:tc>
          <w:tcPr>
            <w:tcW w:w="714" w:type="dxa"/>
            <w:tcBorders>
              <w:top w:val="single" w:color="000000" w:sz="4" w:space="0"/>
              <w:left w:val="single" w:color="000000" w:sz="4" w:space="0"/>
              <w:bottom w:val="single" w:color="000000" w:sz="12" w:space="0"/>
              <w:right w:val="single" w:color="000000" w:sz="4" w:space="0"/>
            </w:tcBorders>
            <w:noWrap w:val="0"/>
            <w:vAlign w:val="center"/>
          </w:tcPr>
          <w:p w14:paraId="79568DB3">
            <w:pPr>
              <w:rPr>
                <w:rFonts w:hint="eastAsia" w:ascii="仿宋" w:hAnsi="仿宋" w:eastAsia="仿宋" w:cs="仿宋"/>
                <w:i w:val="0"/>
                <w:color w:val="000000"/>
                <w:sz w:val="11"/>
                <w:szCs w:val="11"/>
                <w:u w:val="none"/>
              </w:rPr>
            </w:pPr>
          </w:p>
        </w:tc>
        <w:tc>
          <w:tcPr>
            <w:tcW w:w="501" w:type="dxa"/>
            <w:tcBorders>
              <w:top w:val="single" w:color="000000" w:sz="4" w:space="0"/>
              <w:left w:val="single" w:color="000000" w:sz="4" w:space="0"/>
              <w:bottom w:val="single" w:color="000000" w:sz="12" w:space="0"/>
              <w:right w:val="single" w:color="000000" w:sz="12" w:space="0"/>
            </w:tcBorders>
            <w:noWrap w:val="0"/>
            <w:vAlign w:val="center"/>
          </w:tcPr>
          <w:p w14:paraId="372EB192">
            <w:pPr>
              <w:rPr>
                <w:rFonts w:hint="eastAsia" w:ascii="仿宋" w:hAnsi="仿宋" w:eastAsia="仿宋" w:cs="仿宋"/>
                <w:i w:val="0"/>
                <w:color w:val="000000"/>
                <w:sz w:val="11"/>
                <w:szCs w:val="11"/>
                <w:u w:val="none"/>
              </w:rPr>
            </w:pPr>
          </w:p>
        </w:tc>
      </w:tr>
    </w:tbl>
    <w:p w14:paraId="7D04A821">
      <w:pPr>
        <w:pStyle w:val="14"/>
        <w:rPr>
          <w:rFonts w:hint="eastAsia"/>
        </w:rPr>
      </w:pPr>
    </w:p>
    <w:p w14:paraId="310016DD">
      <w:pPr>
        <w:pStyle w:val="15"/>
        <w:rPr>
          <w:rFonts w:hint="eastAsia"/>
        </w:rPr>
      </w:pPr>
    </w:p>
    <w:p w14:paraId="7CB35030">
      <w:pPr>
        <w:rPr>
          <w:rFonts w:hint="eastAsia" w:eastAsia="宋体"/>
          <w:lang w:eastAsia="zh-CN"/>
        </w:rPr>
      </w:pPr>
      <w:r>
        <w:rPr>
          <w:rFonts w:hint="eastAsia" w:eastAsia="宋体"/>
          <w:lang w:eastAsia="zh-CN"/>
        </w:rPr>
        <w:drawing>
          <wp:inline distT="0" distB="0" distL="114300" distR="114300">
            <wp:extent cx="5276215" cy="6016625"/>
            <wp:effectExtent l="0" t="0" r="635" b="3175"/>
            <wp:docPr id="1" name="图片 1" descr="f676df5ad6e0e07e3d404e46a220b1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f676df5ad6e0e07e3d404e46a220b1a"/>
                    <pic:cNvPicPr>
                      <a:picLocks noChangeAspect="1"/>
                    </pic:cNvPicPr>
                  </pic:nvPicPr>
                  <pic:blipFill>
                    <a:blip r:embed="rId8"/>
                    <a:stretch>
                      <a:fillRect/>
                    </a:stretch>
                  </pic:blipFill>
                  <pic:spPr>
                    <a:xfrm>
                      <a:off x="0" y="0"/>
                      <a:ext cx="5276215" cy="6016625"/>
                    </a:xfrm>
                    <a:prstGeom prst="rect">
                      <a:avLst/>
                    </a:prstGeom>
                  </pic:spPr>
                </pic:pic>
              </a:graphicData>
            </a:graphic>
          </wp:inline>
        </w:drawing>
      </w:r>
    </w:p>
    <w:sectPr>
      <w:headerReference r:id="rId4" w:type="default"/>
      <w:footerReference r:id="rId5" w:type="default"/>
      <w:pgSz w:w="11905" w:h="16838"/>
      <w:pgMar w:top="1440" w:right="1797" w:bottom="1440" w:left="1797" w:header="850" w:footer="992" w:gutter="0"/>
      <w:pgNumType w:fmt="decimal"/>
      <w:cols w:space="720" w:num="1"/>
      <w:rtlGutter w:val="0"/>
      <w:docGrid w:type="linesAndChars" w:linePitch="325" w:charSpace="63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0"/>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_x000B__x000C_">
    <w:altName w:val="Courier New"/>
    <w:panose1 w:val="00000000000000000000"/>
    <w:charset w:val="00"/>
    <w:family w:val="roman"/>
    <w:pitch w:val="default"/>
    <w:sig w:usb0="00000000" w:usb1="00000000" w:usb2="00000000" w:usb3="00000000" w:csb0="00040001" w:csb1="00000000"/>
  </w:font>
  <w:font w:name="Helvetica">
    <w:altName w:val="Arial"/>
    <w:panose1 w:val="020B0604020202020204"/>
    <w:charset w:val="00"/>
    <w:family w:val="swiss"/>
    <w:pitch w:val="default"/>
    <w:sig w:usb0="00000000" w:usb1="00000000" w:usb2="00000000" w:usb3="00000000" w:csb0="00040001" w:csb1="00000000"/>
  </w:font>
  <w:font w:name="ヒラギノ角ゴ Pro W3">
    <w:altName w:val="MS Mincho"/>
    <w:panose1 w:val="00000000000000000000"/>
    <w:charset w:val="80"/>
    <w:family w:val="auto"/>
    <w:pitch w:val="default"/>
    <w:sig w:usb0="00000000" w:usb1="00000000" w:usb2="00000012" w:usb3="00000000" w:csb0="0002000D" w:csb1="00000000"/>
  </w:font>
  <w:font w:name="MS Mincho">
    <w:panose1 w:val="02020609040205080304"/>
    <w:charset w:val="80"/>
    <w:family w:val="auto"/>
    <w:pitch w:val="default"/>
    <w:sig w:usb0="E00002FF" w:usb1="6AC7FDFB" w:usb2="00000012" w:usb3="00000000" w:csb0="4002009F" w:csb1="DFD70000"/>
  </w:font>
  <w:font w:name="长城仿宋">
    <w:altName w:val="宋体"/>
    <w:panose1 w:val="02010609000101010101"/>
    <w:charset w:val="86"/>
    <w:family w:val="modern"/>
    <w:pitch w:val="default"/>
    <w:sig w:usb0="00000000" w:usb1="00000000" w:usb2="00000010" w:usb3="00000000" w:csb0="00040000" w:csb1="00000000"/>
  </w:font>
  <w:font w:name="华文仿宋">
    <w:panose1 w:val="02010600040101010101"/>
    <w:charset w:val="86"/>
    <w:family w:val="swiss"/>
    <w:pitch w:val="default"/>
    <w:sig w:usb0="00000287" w:usb1="080F0000" w:usb2="00000000" w:usb3="00000000" w:csb0="0004009F" w:csb1="DFD70000"/>
  </w:font>
  <w:font w:name="Tms Rmn">
    <w:altName w:val="Segoe Print"/>
    <w:panose1 w:val="02020603040505020304"/>
    <w:charset w:val="00"/>
    <w:family w:val="roman"/>
    <w:pitch w:val="default"/>
    <w:sig w:usb0="00000000" w:usb1="00000000" w:usb2="00000000" w:usb3="00000000" w:csb0="00000001" w:csb1="00000000"/>
  </w:font>
  <w:font w:name="楷体">
    <w:panose1 w:val="02010609060101010101"/>
    <w:charset w:val="86"/>
    <w:family w:val="modern"/>
    <w:pitch w:val="default"/>
    <w:sig w:usb0="800002BF" w:usb1="38CF7CFA" w:usb2="00000016" w:usb3="00000000" w:csb0="00040001" w:csb1="00000000"/>
  </w:font>
  <w:font w:name="新宋体">
    <w:panose1 w:val="02010609030101010101"/>
    <w:charset w:val="86"/>
    <w:family w:val="modern"/>
    <w:pitch w:val="default"/>
    <w:sig w:usb0="00000003" w:usb1="288F0000" w:usb2="00000006" w:usb3="00000000" w:csb0="00040001" w:csb1="00000000"/>
  </w:font>
  <w:font w:name="宋体-18030">
    <w:altName w:val="宋体"/>
    <w:panose1 w:val="00000000000000000000"/>
    <w:charset w:val="86"/>
    <w:family w:val="moder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800618">
    <w:pPr>
      <w:pStyle w:val="17"/>
      <w:ind w:right="360"/>
      <w:jc w:val="both"/>
      <w:rPr>
        <w:rFonts w:hint="eastAsia"/>
      </w:rPr>
    </w:pPr>
    <w:r>
      <w:rPr>
        <w:sz w:val="13"/>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D8F71D0">
                          <w:pPr>
                            <w:pStyle w:val="17"/>
                          </w:pPr>
                          <w:r>
                            <w:fldChar w:fldCharType="begin"/>
                          </w:r>
                          <w:r>
                            <w:instrText xml:space="preserve"> PAGE  \* MERGEFORMAT </w:instrText>
                          </w:r>
                          <w:r>
                            <w:fldChar w:fldCharType="separate"/>
                          </w:r>
                          <w:r>
                            <w:t>3</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1mipjyQEAAJsDAAAOAAAAAAAAAAEAIAAAAB4BAABkcnMvZTJvRG9j&#10;LnhtbFBLBQYAAAAABgAGAFkBAABZBQAAAAA=&#10;">
              <v:fill on="f" focussize="0,0"/>
              <v:stroke on="f"/>
              <v:imagedata o:title=""/>
              <o:lock v:ext="edit" aspectratio="f"/>
              <v:textbox inset="0mm,0mm,0mm,0mm" style="mso-fit-shape-to-text:t;">
                <w:txbxContent>
                  <w:p w14:paraId="7D8F71D0">
                    <w:pPr>
                      <w:pStyle w:val="17"/>
                    </w:pPr>
                    <w:r>
                      <w:fldChar w:fldCharType="begin"/>
                    </w:r>
                    <w:r>
                      <w:instrText xml:space="preserve"> PAGE  \* MERGEFORMAT </w:instrText>
                    </w:r>
                    <w:r>
                      <w:fldChar w:fldCharType="separate"/>
                    </w:r>
                    <w:r>
                      <w:t>3</w:t>
                    </w:r>
                    <w:r>
                      <w:fldChar w:fldCharType="end"/>
                    </w:r>
                  </w:p>
                </w:txbxContent>
              </v:textbox>
            </v:shape>
          </w:pict>
        </mc:Fallback>
      </mc:AlternateContent>
    </w:r>
    <w:r>
      <w:rPr>
        <w:rFonts w:hint="eastAsia"/>
        <w:sz w:val="13"/>
        <w:szCs w:val="13"/>
      </w:rPr>
      <w:t xml:space="preserve"> </w:t>
    </w:r>
    <w:r>
      <w:rPr>
        <w:rFonts w:hint="eastAsia"/>
      </w:rPr>
      <w:t xml:space="preserve">  </w:t>
    </w:r>
    <w:r>
      <w:rPr>
        <w:rFonts w:hint="eastAsia"/>
        <w:sz w:val="21"/>
        <w:szCs w:val="21"/>
      </w:rPr>
      <w:t xml:space="preserve"> </w:t>
    </w:r>
    <w:r>
      <w:rPr>
        <w:rFonts w:hint="eastAsia"/>
        <w:color w:val="800000"/>
        <w:sz w:val="16"/>
        <w:szCs w:val="20"/>
        <w:lang w:val="en-US" w:eastAsia="zh-CN"/>
      </w:rPr>
      <w:t xml:space="preserve">      </w:t>
    </w:r>
  </w:p>
  <w:p w14:paraId="6B9097AA">
    <w:pPr>
      <w:pStyle w:val="17"/>
      <w:tabs>
        <w:tab w:val="center" w:pos="4320"/>
        <w:tab w:val="right" w:pos="8640"/>
        <w:tab w:val="clear" w:pos="4153"/>
        <w:tab w:val="clear" w:pos="8306"/>
      </w:tabs>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05DBBB">
    <w:pPr>
      <w:pStyle w:val="17"/>
      <w:ind w:right="360"/>
      <w:jc w:val="both"/>
      <w:rPr>
        <w:rFonts w:hint="eastAsia"/>
      </w:rPr>
    </w:pPr>
    <w:r>
      <w:rPr>
        <w:sz w:val="16"/>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0DFD9F2">
                          <w:pPr>
                            <w:pStyle w:val="17"/>
                          </w:pPr>
                          <w:r>
                            <w:fldChar w:fldCharType="begin"/>
                          </w:r>
                          <w:r>
                            <w:instrText xml:space="preserve"> PAGE  \* MERGEFORMAT </w:instrText>
                          </w:r>
                          <w:r>
                            <w:fldChar w:fldCharType="separate"/>
                          </w:r>
                          <w:r>
                            <w:t>63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70DFD9F2">
                    <w:pPr>
                      <w:pStyle w:val="17"/>
                    </w:pPr>
                    <w:r>
                      <w:fldChar w:fldCharType="begin"/>
                    </w:r>
                    <w:r>
                      <w:instrText xml:space="preserve"> PAGE  \* MERGEFORMAT </w:instrText>
                    </w:r>
                    <w:r>
                      <w:fldChar w:fldCharType="separate"/>
                    </w:r>
                    <w:r>
                      <w:t>63</w:t>
                    </w:r>
                    <w:r>
                      <w:fldChar w:fldCharType="end"/>
                    </w:r>
                  </w:p>
                </w:txbxContent>
              </v:textbox>
            </v:shape>
          </w:pict>
        </mc:Fallback>
      </mc:AlternateContent>
    </w:r>
    <w:r>
      <w:rPr>
        <w:rFonts w:hint="eastAsia"/>
        <w:color w:val="800000"/>
        <w:sz w:val="16"/>
        <w:szCs w:val="20"/>
        <w:lang w:val="en-US" w:eastAsia="zh-CN"/>
      </w:rPr>
      <w:t xml:space="preserve">        </w:t>
    </w:r>
  </w:p>
  <w:p w14:paraId="5E1CA02D">
    <w:pPr>
      <w:pStyle w:val="17"/>
      <w:keepNext w:val="0"/>
      <w:keepLines w:val="0"/>
      <w:pageBreakBefore w:val="0"/>
      <w:widowControl w:val="0"/>
      <w:kinsoku/>
      <w:wordWrap/>
      <w:overflowPunct/>
      <w:topLinePunct w:val="0"/>
      <w:autoSpaceDE w:val="0"/>
      <w:autoSpaceDN w:val="0"/>
      <w:bidi w:val="0"/>
      <w:adjustRightInd w:val="0"/>
      <w:snapToGrid w:val="0"/>
      <w:spacing w:line="240" w:lineRule="auto"/>
      <w:ind w:left="7200" w:hanging="7200" w:hangingChars="4000"/>
      <w:jc w:val="both"/>
      <w:textAlignment w:val="auto"/>
      <w:rPr>
        <w:rFonts w:hint="default"/>
        <w:lang w:val="en-US"/>
      </w:rPr>
    </w:pPr>
  </w:p>
  <w:p w14:paraId="4087B975">
    <w:pPr>
      <w:pStyle w:val="17"/>
      <w:ind w:right="360"/>
      <w:jc w:val="right"/>
      <w:rPr>
        <w:rFonts w:hint="default" w:eastAsia="宋体"/>
        <w:lang w:val="en-US" w:eastAsia="zh-CN"/>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219E13">
    <w:pPr>
      <w:pStyle w:val="18"/>
      <w:pBdr>
        <w:bottom w:val="single" w:color="auto" w:sz="4" w:space="0"/>
      </w:pBdr>
      <w:jc w:val="both"/>
      <w:rPr>
        <w:rFonts w:hint="eastAsia" w:ascii="Times New Roman" w:hAnsi="Times New Roman" w:eastAsia="宋体" w:cs="Times New Roman"/>
        <w:sz w:val="22"/>
        <w:szCs w:val="28"/>
        <w:lang w:val="en-US" w:eastAsia="zh-CN"/>
      </w:rPr>
    </w:pPr>
    <w:r>
      <w:rPr>
        <w:rFonts w:hint="eastAsia" w:ascii="Times New Roman" w:hAnsi="Times New Roman" w:eastAsia="宋体" w:cs="Times New Roman"/>
        <w:sz w:val="22"/>
        <w:szCs w:val="28"/>
        <w:lang w:val="en-US"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8A8889F"/>
    <w:multiLevelType w:val="singleLevel"/>
    <w:tmpl w:val="B8A8889F"/>
    <w:lvl w:ilvl="0" w:tentative="0">
      <w:start w:val="2"/>
      <w:numFmt w:val="chineseCounting"/>
      <w:suff w:val="space"/>
      <w:lvlText w:val="（%1）"/>
      <w:lvlJc w:val="left"/>
      <w:rPr>
        <w:rFonts w:hint="eastAsia"/>
      </w:rPr>
    </w:lvl>
  </w:abstractNum>
  <w:abstractNum w:abstractNumId="1">
    <w:nsid w:val="00000000"/>
    <w:multiLevelType w:val="multilevel"/>
    <w:tmpl w:val="00000000"/>
    <w:lvl w:ilvl="0" w:tentative="0">
      <w:start w:val="1"/>
      <w:numFmt w:val="japaneseCounting"/>
      <w:lvlText w:val="%1"/>
      <w:lvlJc w:val="left"/>
      <w:pPr>
        <w:tabs>
          <w:tab w:val="left" w:pos="0"/>
        </w:tabs>
        <w:ind w:left="360" w:hanging="360"/>
      </w:pPr>
      <w:rPr>
        <w:rFonts w:hint="default" w:ascii="宋体" w:hAnsi="宋体" w:eastAsia="宋体"/>
      </w:r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2">
    <w:nsid w:val="11715540"/>
    <w:multiLevelType w:val="multilevel"/>
    <w:tmpl w:val="11715540"/>
    <w:lvl w:ilvl="0" w:tentative="0">
      <w:start w:val="1"/>
      <w:numFmt w:val="japaneseCounting"/>
      <w:lvlText w:val="（%1）"/>
      <w:lvlJc w:val="left"/>
      <w:pPr>
        <w:tabs>
          <w:tab w:val="left" w:pos="1725"/>
        </w:tabs>
        <w:ind w:left="1725" w:hanging="1080"/>
      </w:pPr>
      <w:rPr>
        <w:rFonts w:hint="default"/>
      </w:rPr>
    </w:lvl>
    <w:lvl w:ilvl="1" w:tentative="0">
      <w:start w:val="1"/>
      <w:numFmt w:val="lowerLetter"/>
      <w:lvlText w:val="%2)"/>
      <w:lvlJc w:val="left"/>
      <w:pPr>
        <w:tabs>
          <w:tab w:val="left" w:pos="1485"/>
        </w:tabs>
        <w:ind w:left="1485" w:hanging="420"/>
      </w:pPr>
    </w:lvl>
    <w:lvl w:ilvl="2" w:tentative="0">
      <w:start w:val="1"/>
      <w:numFmt w:val="lowerRoman"/>
      <w:lvlText w:val="%3."/>
      <w:lvlJc w:val="right"/>
      <w:pPr>
        <w:tabs>
          <w:tab w:val="left" w:pos="1905"/>
        </w:tabs>
        <w:ind w:left="1905" w:hanging="420"/>
      </w:pPr>
    </w:lvl>
    <w:lvl w:ilvl="3" w:tentative="0">
      <w:start w:val="1"/>
      <w:numFmt w:val="decimal"/>
      <w:lvlText w:val="%4."/>
      <w:lvlJc w:val="left"/>
      <w:pPr>
        <w:tabs>
          <w:tab w:val="left" w:pos="2325"/>
        </w:tabs>
        <w:ind w:left="2325" w:hanging="420"/>
      </w:pPr>
    </w:lvl>
    <w:lvl w:ilvl="4" w:tentative="0">
      <w:start w:val="1"/>
      <w:numFmt w:val="lowerLetter"/>
      <w:lvlText w:val="%5)"/>
      <w:lvlJc w:val="left"/>
      <w:pPr>
        <w:tabs>
          <w:tab w:val="left" w:pos="2745"/>
        </w:tabs>
        <w:ind w:left="2745" w:hanging="420"/>
      </w:pPr>
    </w:lvl>
    <w:lvl w:ilvl="5" w:tentative="0">
      <w:start w:val="1"/>
      <w:numFmt w:val="lowerRoman"/>
      <w:lvlText w:val="%6."/>
      <w:lvlJc w:val="right"/>
      <w:pPr>
        <w:tabs>
          <w:tab w:val="left" w:pos="3165"/>
        </w:tabs>
        <w:ind w:left="3165" w:hanging="420"/>
      </w:pPr>
    </w:lvl>
    <w:lvl w:ilvl="6" w:tentative="0">
      <w:start w:val="1"/>
      <w:numFmt w:val="decimal"/>
      <w:lvlText w:val="%7."/>
      <w:lvlJc w:val="left"/>
      <w:pPr>
        <w:tabs>
          <w:tab w:val="left" w:pos="3585"/>
        </w:tabs>
        <w:ind w:left="3585" w:hanging="420"/>
      </w:pPr>
    </w:lvl>
    <w:lvl w:ilvl="7" w:tentative="0">
      <w:start w:val="1"/>
      <w:numFmt w:val="lowerLetter"/>
      <w:lvlText w:val="%8)"/>
      <w:lvlJc w:val="left"/>
      <w:pPr>
        <w:tabs>
          <w:tab w:val="left" w:pos="4005"/>
        </w:tabs>
        <w:ind w:left="4005" w:hanging="420"/>
      </w:pPr>
    </w:lvl>
    <w:lvl w:ilvl="8" w:tentative="0">
      <w:start w:val="1"/>
      <w:numFmt w:val="lowerRoman"/>
      <w:lvlText w:val="%9."/>
      <w:lvlJc w:val="right"/>
      <w:pPr>
        <w:tabs>
          <w:tab w:val="left" w:pos="4425"/>
        </w:tabs>
        <w:ind w:left="4425" w:hanging="420"/>
      </w:pPr>
    </w:lvl>
  </w:abstractNum>
  <w:abstractNum w:abstractNumId="3">
    <w:nsid w:val="26F2549E"/>
    <w:multiLevelType w:val="multilevel"/>
    <w:tmpl w:val="26F2549E"/>
    <w:lvl w:ilvl="0" w:tentative="0">
      <w:start w:val="1"/>
      <w:numFmt w:val="decimal"/>
      <w:lvlText w:val="%1、"/>
      <w:lvlJc w:val="left"/>
      <w:pPr>
        <w:ind w:left="371" w:hanging="360"/>
      </w:pPr>
      <w:rPr>
        <w:rFonts w:hint="default"/>
      </w:rPr>
    </w:lvl>
    <w:lvl w:ilvl="1" w:tentative="0">
      <w:start w:val="1"/>
      <w:numFmt w:val="lowerLetter"/>
      <w:pStyle w:val="4"/>
      <w:lvlText w:val="%2)"/>
      <w:lvlJc w:val="left"/>
      <w:pPr>
        <w:ind w:left="851" w:hanging="420"/>
      </w:pPr>
    </w:lvl>
    <w:lvl w:ilvl="2" w:tentative="0">
      <w:start w:val="1"/>
      <w:numFmt w:val="lowerRoman"/>
      <w:lvlText w:val="%3."/>
      <w:lvlJc w:val="right"/>
      <w:pPr>
        <w:ind w:left="1271" w:hanging="420"/>
      </w:pPr>
    </w:lvl>
    <w:lvl w:ilvl="3" w:tentative="0">
      <w:start w:val="1"/>
      <w:numFmt w:val="decimal"/>
      <w:lvlText w:val="%4."/>
      <w:lvlJc w:val="left"/>
      <w:pPr>
        <w:ind w:left="1691" w:hanging="420"/>
      </w:pPr>
    </w:lvl>
    <w:lvl w:ilvl="4" w:tentative="0">
      <w:start w:val="1"/>
      <w:numFmt w:val="lowerLetter"/>
      <w:lvlText w:val="%5)"/>
      <w:lvlJc w:val="left"/>
      <w:pPr>
        <w:ind w:left="2111" w:hanging="420"/>
      </w:pPr>
    </w:lvl>
    <w:lvl w:ilvl="5" w:tentative="0">
      <w:start w:val="1"/>
      <w:numFmt w:val="lowerRoman"/>
      <w:lvlText w:val="%6."/>
      <w:lvlJc w:val="right"/>
      <w:pPr>
        <w:ind w:left="2531" w:hanging="420"/>
      </w:pPr>
    </w:lvl>
    <w:lvl w:ilvl="6" w:tentative="0">
      <w:start w:val="1"/>
      <w:numFmt w:val="decimal"/>
      <w:lvlText w:val="%7."/>
      <w:lvlJc w:val="left"/>
      <w:pPr>
        <w:ind w:left="2951" w:hanging="420"/>
      </w:pPr>
    </w:lvl>
    <w:lvl w:ilvl="7" w:tentative="0">
      <w:start w:val="1"/>
      <w:numFmt w:val="lowerLetter"/>
      <w:lvlText w:val="%8)"/>
      <w:lvlJc w:val="left"/>
      <w:pPr>
        <w:ind w:left="3371" w:hanging="420"/>
      </w:pPr>
    </w:lvl>
    <w:lvl w:ilvl="8" w:tentative="0">
      <w:start w:val="1"/>
      <w:numFmt w:val="lowerRoman"/>
      <w:lvlText w:val="%9."/>
      <w:lvlJc w:val="right"/>
      <w:pPr>
        <w:ind w:left="3791" w:hanging="420"/>
      </w:pPr>
    </w:lvl>
  </w:abstractNum>
  <w:abstractNum w:abstractNumId="4">
    <w:nsid w:val="29F474DA"/>
    <w:multiLevelType w:val="singleLevel"/>
    <w:tmpl w:val="29F474DA"/>
    <w:lvl w:ilvl="0" w:tentative="0">
      <w:start w:val="1"/>
      <w:numFmt w:val="decimal"/>
      <w:suff w:val="nothing"/>
      <w:lvlText w:val="%1、"/>
      <w:lvlJc w:val="left"/>
      <w:rPr>
        <w:rFonts w:hint="default"/>
        <w:highlight w:val="none"/>
      </w:rPr>
    </w:lvl>
  </w:abstractNum>
  <w:abstractNum w:abstractNumId="5">
    <w:nsid w:val="3EBB3C91"/>
    <w:multiLevelType w:val="multilevel"/>
    <w:tmpl w:val="3EBB3C91"/>
    <w:lvl w:ilvl="0" w:tentative="0">
      <w:start w:val="1"/>
      <w:numFmt w:val="chineseCountingThousand"/>
      <w:suff w:val="space"/>
      <w:lvlText w:val="%1. "/>
      <w:lvlJc w:val="left"/>
      <w:pPr>
        <w:ind w:left="907" w:hanging="907"/>
      </w:pPr>
      <w:rPr>
        <w:rFonts w:hint="eastAsia"/>
      </w:rPr>
    </w:lvl>
    <w:lvl w:ilvl="1" w:tentative="0">
      <w:start w:val="1"/>
      <w:numFmt w:val="decimal"/>
      <w:isLgl/>
      <w:suff w:val="space"/>
      <w:lvlText w:val="%1.%2 "/>
      <w:lvlJc w:val="left"/>
      <w:pPr>
        <w:ind w:left="794" w:hanging="794"/>
      </w:pPr>
    </w:lvl>
    <w:lvl w:ilvl="2" w:tentative="0">
      <w:start w:val="0"/>
      <w:numFmt w:val="none"/>
      <w:lvlText w:val=""/>
      <w:lvlJc w:val="left"/>
      <w:pPr>
        <w:tabs>
          <w:tab w:val="left" w:pos="360"/>
        </w:tabs>
      </w:pPr>
      <w:rPr>
        <w:rFonts w:cs="Times New Roman"/>
      </w:rPr>
    </w:lvl>
    <w:lvl w:ilvl="3" w:tentative="0">
      <w:start w:val="0"/>
      <w:numFmt w:val="none"/>
      <w:lvlText w:val=""/>
      <w:lvlJc w:val="left"/>
      <w:pPr>
        <w:tabs>
          <w:tab w:val="left" w:pos="360"/>
        </w:tabs>
      </w:pPr>
      <w:rPr>
        <w:rFonts w:cs="Times New Roman"/>
      </w:rPr>
    </w:lvl>
    <w:lvl w:ilvl="4" w:tentative="0">
      <w:start w:val="0"/>
      <w:numFmt w:val="decimal"/>
      <w:pStyle w:val="64"/>
      <w:lvlText w:val=""/>
      <w:lvlJc w:val="left"/>
      <w:rPr>
        <w:rFonts w:cs="Times New Roman"/>
      </w:rPr>
    </w:lvl>
    <w:lvl w:ilvl="5" w:tentative="0">
      <w:start w:val="0"/>
      <w:numFmt w:val="decimal"/>
      <w:lvlText w:val=""/>
      <w:lvlJc w:val="left"/>
      <w:rPr>
        <w:rFonts w:cs="Times New Roman"/>
      </w:rPr>
    </w:lvl>
    <w:lvl w:ilvl="6" w:tentative="0">
      <w:start w:val="0"/>
      <w:numFmt w:val="decimal"/>
      <w:lvlText w:val=""/>
      <w:lvlJc w:val="left"/>
      <w:rPr>
        <w:rFonts w:cs="Times New Roman"/>
      </w:rPr>
    </w:lvl>
    <w:lvl w:ilvl="7" w:tentative="0">
      <w:start w:val="0"/>
      <w:numFmt w:val="decimal"/>
      <w:lvlText w:val=""/>
      <w:lvlJc w:val="left"/>
      <w:rPr>
        <w:rFonts w:cs="Times New Roman"/>
      </w:rPr>
    </w:lvl>
    <w:lvl w:ilvl="8" w:tentative="0">
      <w:start w:val="0"/>
      <w:numFmt w:val="decimal"/>
      <w:lvlText w:val=""/>
      <w:lvlJc w:val="left"/>
      <w:rPr>
        <w:rFonts w:cs="Times New Roman"/>
      </w:rPr>
    </w:lvl>
  </w:abstractNum>
  <w:abstractNum w:abstractNumId="6">
    <w:nsid w:val="55CD4C99"/>
    <w:multiLevelType w:val="singleLevel"/>
    <w:tmpl w:val="55CD4C99"/>
    <w:lvl w:ilvl="0" w:tentative="0">
      <w:start w:val="1"/>
      <w:numFmt w:val="chineseCounting"/>
      <w:suff w:val="nothing"/>
      <w:lvlText w:val="%1、"/>
      <w:lvlJc w:val="left"/>
    </w:lvl>
  </w:abstractNum>
  <w:abstractNum w:abstractNumId="7">
    <w:nsid w:val="6EC8727B"/>
    <w:multiLevelType w:val="singleLevel"/>
    <w:tmpl w:val="6EC8727B"/>
    <w:lvl w:ilvl="0" w:tentative="0">
      <w:start w:val="1"/>
      <w:numFmt w:val="decimal"/>
      <w:suff w:val="nothing"/>
      <w:lvlText w:val="%1、"/>
      <w:lvlJc w:val="left"/>
    </w:lvl>
  </w:abstractNum>
  <w:abstractNum w:abstractNumId="8">
    <w:nsid w:val="78AA6554"/>
    <w:multiLevelType w:val="multilevel"/>
    <w:tmpl w:val="78AA6554"/>
    <w:lvl w:ilvl="0" w:tentative="0">
      <w:start w:val="1"/>
      <w:numFmt w:val="japaneseCounting"/>
      <w:lvlText w:val="（%1）"/>
      <w:lvlJc w:val="left"/>
      <w:pPr>
        <w:tabs>
          <w:tab w:val="left" w:pos="1725"/>
        </w:tabs>
        <w:ind w:left="1725" w:hanging="1080"/>
      </w:pPr>
      <w:rPr>
        <w:rFonts w:hint="default"/>
        <w:lang w:val="en-US"/>
      </w:rPr>
    </w:lvl>
    <w:lvl w:ilvl="1" w:tentative="0">
      <w:start w:val="1"/>
      <w:numFmt w:val="lowerLetter"/>
      <w:lvlText w:val="%2)"/>
      <w:lvlJc w:val="left"/>
      <w:pPr>
        <w:tabs>
          <w:tab w:val="left" w:pos="1485"/>
        </w:tabs>
        <w:ind w:left="1485" w:hanging="420"/>
      </w:pPr>
    </w:lvl>
    <w:lvl w:ilvl="2" w:tentative="0">
      <w:start w:val="1"/>
      <w:numFmt w:val="lowerRoman"/>
      <w:lvlText w:val="%3."/>
      <w:lvlJc w:val="right"/>
      <w:pPr>
        <w:tabs>
          <w:tab w:val="left" w:pos="1905"/>
        </w:tabs>
        <w:ind w:left="1905" w:hanging="420"/>
      </w:pPr>
    </w:lvl>
    <w:lvl w:ilvl="3" w:tentative="0">
      <w:start w:val="1"/>
      <w:numFmt w:val="decimal"/>
      <w:lvlText w:val="%4."/>
      <w:lvlJc w:val="left"/>
      <w:pPr>
        <w:tabs>
          <w:tab w:val="left" w:pos="2325"/>
        </w:tabs>
        <w:ind w:left="2325" w:hanging="420"/>
      </w:pPr>
    </w:lvl>
    <w:lvl w:ilvl="4" w:tentative="0">
      <w:start w:val="1"/>
      <w:numFmt w:val="lowerLetter"/>
      <w:lvlText w:val="%5)"/>
      <w:lvlJc w:val="left"/>
      <w:pPr>
        <w:tabs>
          <w:tab w:val="left" w:pos="2745"/>
        </w:tabs>
        <w:ind w:left="2745" w:hanging="420"/>
      </w:pPr>
    </w:lvl>
    <w:lvl w:ilvl="5" w:tentative="0">
      <w:start w:val="1"/>
      <w:numFmt w:val="lowerRoman"/>
      <w:lvlText w:val="%6."/>
      <w:lvlJc w:val="right"/>
      <w:pPr>
        <w:tabs>
          <w:tab w:val="left" w:pos="3165"/>
        </w:tabs>
        <w:ind w:left="3165" w:hanging="420"/>
      </w:pPr>
    </w:lvl>
    <w:lvl w:ilvl="6" w:tentative="0">
      <w:start w:val="1"/>
      <w:numFmt w:val="decimal"/>
      <w:lvlText w:val="%7."/>
      <w:lvlJc w:val="left"/>
      <w:pPr>
        <w:tabs>
          <w:tab w:val="left" w:pos="3585"/>
        </w:tabs>
        <w:ind w:left="3585" w:hanging="420"/>
      </w:pPr>
    </w:lvl>
    <w:lvl w:ilvl="7" w:tentative="0">
      <w:start w:val="1"/>
      <w:numFmt w:val="lowerLetter"/>
      <w:lvlText w:val="%8)"/>
      <w:lvlJc w:val="left"/>
      <w:pPr>
        <w:tabs>
          <w:tab w:val="left" w:pos="4005"/>
        </w:tabs>
        <w:ind w:left="4005" w:hanging="420"/>
      </w:pPr>
    </w:lvl>
    <w:lvl w:ilvl="8" w:tentative="0">
      <w:start w:val="1"/>
      <w:numFmt w:val="lowerRoman"/>
      <w:lvlText w:val="%9."/>
      <w:lvlJc w:val="right"/>
      <w:pPr>
        <w:tabs>
          <w:tab w:val="left" w:pos="4425"/>
        </w:tabs>
        <w:ind w:left="4425" w:hanging="420"/>
      </w:pPr>
    </w:lvl>
  </w:abstractNum>
  <w:num w:numId="1">
    <w:abstractNumId w:val="3"/>
  </w:num>
  <w:num w:numId="2">
    <w:abstractNumId w:val="5"/>
  </w:num>
  <w:num w:numId="3">
    <w:abstractNumId w:val="7"/>
  </w:num>
  <w:num w:numId="4">
    <w:abstractNumId w:val="6"/>
  </w:num>
  <w:num w:numId="5">
    <w:abstractNumId w:val="2"/>
  </w:num>
  <w:num w:numId="6">
    <w:abstractNumId w:val="8"/>
  </w:num>
  <w:num w:numId="7">
    <w:abstractNumId w:val="4"/>
  </w:num>
  <w:num w:numId="8">
    <w:abstractNumId w:val="0"/>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isplayBackgroundShape w:val="1"/>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06"/>
  <w:drawingGridVerticalSpacing w:val="157"/>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ExNTVkYTAzOTgzZDAxZjZkZDdmOWViN2M5NDFlZGIifQ=="/>
  </w:docVars>
  <w:rsids>
    <w:rsidRoot w:val="00AE79E0"/>
    <w:rsid w:val="000008FD"/>
    <w:rsid w:val="00003231"/>
    <w:rsid w:val="00003B78"/>
    <w:rsid w:val="00003F23"/>
    <w:rsid w:val="00005025"/>
    <w:rsid w:val="0000620B"/>
    <w:rsid w:val="0000681E"/>
    <w:rsid w:val="0000682D"/>
    <w:rsid w:val="00011FD2"/>
    <w:rsid w:val="000126C8"/>
    <w:rsid w:val="00012CFA"/>
    <w:rsid w:val="00013187"/>
    <w:rsid w:val="000137F2"/>
    <w:rsid w:val="00014B17"/>
    <w:rsid w:val="000165AB"/>
    <w:rsid w:val="000201C1"/>
    <w:rsid w:val="00021187"/>
    <w:rsid w:val="00021198"/>
    <w:rsid w:val="00021864"/>
    <w:rsid w:val="00023055"/>
    <w:rsid w:val="00023185"/>
    <w:rsid w:val="000242CE"/>
    <w:rsid w:val="00024AD6"/>
    <w:rsid w:val="00026A08"/>
    <w:rsid w:val="000279EA"/>
    <w:rsid w:val="000305D5"/>
    <w:rsid w:val="000319B0"/>
    <w:rsid w:val="00034387"/>
    <w:rsid w:val="00034B72"/>
    <w:rsid w:val="00034BA3"/>
    <w:rsid w:val="00034CDA"/>
    <w:rsid w:val="00034F63"/>
    <w:rsid w:val="0003627F"/>
    <w:rsid w:val="0003679A"/>
    <w:rsid w:val="00040E67"/>
    <w:rsid w:val="00041F06"/>
    <w:rsid w:val="000423B1"/>
    <w:rsid w:val="0004299A"/>
    <w:rsid w:val="000429F1"/>
    <w:rsid w:val="000437CC"/>
    <w:rsid w:val="00043E1C"/>
    <w:rsid w:val="00046FC5"/>
    <w:rsid w:val="00047373"/>
    <w:rsid w:val="000476D9"/>
    <w:rsid w:val="0005173F"/>
    <w:rsid w:val="00051864"/>
    <w:rsid w:val="00051ECE"/>
    <w:rsid w:val="000520FE"/>
    <w:rsid w:val="00053450"/>
    <w:rsid w:val="000538D1"/>
    <w:rsid w:val="00054A43"/>
    <w:rsid w:val="00055123"/>
    <w:rsid w:val="00055AB6"/>
    <w:rsid w:val="00055F34"/>
    <w:rsid w:val="00056350"/>
    <w:rsid w:val="00056A13"/>
    <w:rsid w:val="000576A3"/>
    <w:rsid w:val="00063B93"/>
    <w:rsid w:val="00064417"/>
    <w:rsid w:val="000649EF"/>
    <w:rsid w:val="00065388"/>
    <w:rsid w:val="00065665"/>
    <w:rsid w:val="00067D7A"/>
    <w:rsid w:val="00070288"/>
    <w:rsid w:val="00070340"/>
    <w:rsid w:val="000708C5"/>
    <w:rsid w:val="000712BD"/>
    <w:rsid w:val="000719DB"/>
    <w:rsid w:val="00072AC0"/>
    <w:rsid w:val="000738C2"/>
    <w:rsid w:val="000742BD"/>
    <w:rsid w:val="0007479D"/>
    <w:rsid w:val="00075123"/>
    <w:rsid w:val="00075390"/>
    <w:rsid w:val="0007565B"/>
    <w:rsid w:val="00075BB9"/>
    <w:rsid w:val="00076436"/>
    <w:rsid w:val="00076558"/>
    <w:rsid w:val="00077C43"/>
    <w:rsid w:val="00077D8B"/>
    <w:rsid w:val="0008094E"/>
    <w:rsid w:val="00080A6F"/>
    <w:rsid w:val="000816F2"/>
    <w:rsid w:val="00082869"/>
    <w:rsid w:val="00083463"/>
    <w:rsid w:val="00083CDC"/>
    <w:rsid w:val="00084CC1"/>
    <w:rsid w:val="000852D7"/>
    <w:rsid w:val="00085489"/>
    <w:rsid w:val="000863D1"/>
    <w:rsid w:val="00086A7A"/>
    <w:rsid w:val="00086B28"/>
    <w:rsid w:val="000874E4"/>
    <w:rsid w:val="0008796E"/>
    <w:rsid w:val="00087E9D"/>
    <w:rsid w:val="000901E9"/>
    <w:rsid w:val="00090BD9"/>
    <w:rsid w:val="00090F00"/>
    <w:rsid w:val="00091C9B"/>
    <w:rsid w:val="00091DC7"/>
    <w:rsid w:val="000926F6"/>
    <w:rsid w:val="000942A8"/>
    <w:rsid w:val="00094641"/>
    <w:rsid w:val="00094AC9"/>
    <w:rsid w:val="00095245"/>
    <w:rsid w:val="000955A6"/>
    <w:rsid w:val="00095B6E"/>
    <w:rsid w:val="0009686F"/>
    <w:rsid w:val="000A1761"/>
    <w:rsid w:val="000A184E"/>
    <w:rsid w:val="000A1B3C"/>
    <w:rsid w:val="000A2970"/>
    <w:rsid w:val="000A35E1"/>
    <w:rsid w:val="000A3813"/>
    <w:rsid w:val="000A4619"/>
    <w:rsid w:val="000A48D7"/>
    <w:rsid w:val="000A5705"/>
    <w:rsid w:val="000A6219"/>
    <w:rsid w:val="000A6DD1"/>
    <w:rsid w:val="000A7BFA"/>
    <w:rsid w:val="000A7E34"/>
    <w:rsid w:val="000B0CDF"/>
    <w:rsid w:val="000B19BA"/>
    <w:rsid w:val="000B21F3"/>
    <w:rsid w:val="000B5B49"/>
    <w:rsid w:val="000B5CD6"/>
    <w:rsid w:val="000B5D8E"/>
    <w:rsid w:val="000B71A8"/>
    <w:rsid w:val="000B7353"/>
    <w:rsid w:val="000B7627"/>
    <w:rsid w:val="000B7FDE"/>
    <w:rsid w:val="000C062A"/>
    <w:rsid w:val="000C0D0A"/>
    <w:rsid w:val="000C0D63"/>
    <w:rsid w:val="000C1047"/>
    <w:rsid w:val="000C2C5E"/>
    <w:rsid w:val="000C4AF2"/>
    <w:rsid w:val="000C58C5"/>
    <w:rsid w:val="000C627A"/>
    <w:rsid w:val="000C6774"/>
    <w:rsid w:val="000C68DD"/>
    <w:rsid w:val="000C742F"/>
    <w:rsid w:val="000C7D1B"/>
    <w:rsid w:val="000D07C7"/>
    <w:rsid w:val="000D16D6"/>
    <w:rsid w:val="000D1955"/>
    <w:rsid w:val="000D1963"/>
    <w:rsid w:val="000D260B"/>
    <w:rsid w:val="000D296C"/>
    <w:rsid w:val="000D2BE7"/>
    <w:rsid w:val="000D3BE4"/>
    <w:rsid w:val="000D3FDF"/>
    <w:rsid w:val="000D3FE5"/>
    <w:rsid w:val="000D5BFA"/>
    <w:rsid w:val="000D77C3"/>
    <w:rsid w:val="000E0018"/>
    <w:rsid w:val="000E169F"/>
    <w:rsid w:val="000E18AA"/>
    <w:rsid w:val="000E1F61"/>
    <w:rsid w:val="000E30EA"/>
    <w:rsid w:val="000E3822"/>
    <w:rsid w:val="000E416E"/>
    <w:rsid w:val="000E4C55"/>
    <w:rsid w:val="000E57CE"/>
    <w:rsid w:val="000E5BD2"/>
    <w:rsid w:val="000E6242"/>
    <w:rsid w:val="000E689E"/>
    <w:rsid w:val="000E6A46"/>
    <w:rsid w:val="000E6ED7"/>
    <w:rsid w:val="000F0113"/>
    <w:rsid w:val="000F1DED"/>
    <w:rsid w:val="000F2698"/>
    <w:rsid w:val="000F3E84"/>
    <w:rsid w:val="000F3FFF"/>
    <w:rsid w:val="000F4B95"/>
    <w:rsid w:val="000F6140"/>
    <w:rsid w:val="000F6A98"/>
    <w:rsid w:val="000F6AB9"/>
    <w:rsid w:val="000F6B00"/>
    <w:rsid w:val="000F6D6B"/>
    <w:rsid w:val="000F6DA7"/>
    <w:rsid w:val="000F7DEB"/>
    <w:rsid w:val="001008C8"/>
    <w:rsid w:val="00103AEE"/>
    <w:rsid w:val="00104E2B"/>
    <w:rsid w:val="00104E64"/>
    <w:rsid w:val="0010538C"/>
    <w:rsid w:val="001057AF"/>
    <w:rsid w:val="00110A45"/>
    <w:rsid w:val="00111249"/>
    <w:rsid w:val="001123E7"/>
    <w:rsid w:val="001135FE"/>
    <w:rsid w:val="00113871"/>
    <w:rsid w:val="0011439C"/>
    <w:rsid w:val="00114702"/>
    <w:rsid w:val="00116424"/>
    <w:rsid w:val="001167DB"/>
    <w:rsid w:val="00116D76"/>
    <w:rsid w:val="00117062"/>
    <w:rsid w:val="001170CE"/>
    <w:rsid w:val="001178E2"/>
    <w:rsid w:val="00117DEA"/>
    <w:rsid w:val="00117FAC"/>
    <w:rsid w:val="0012043E"/>
    <w:rsid w:val="001209D4"/>
    <w:rsid w:val="001209D7"/>
    <w:rsid w:val="00120A18"/>
    <w:rsid w:val="00120C83"/>
    <w:rsid w:val="00121289"/>
    <w:rsid w:val="001233FB"/>
    <w:rsid w:val="0012425E"/>
    <w:rsid w:val="0012511F"/>
    <w:rsid w:val="00125392"/>
    <w:rsid w:val="001255D4"/>
    <w:rsid w:val="001263BA"/>
    <w:rsid w:val="00126A4E"/>
    <w:rsid w:val="00126AD8"/>
    <w:rsid w:val="00126DF1"/>
    <w:rsid w:val="001276ED"/>
    <w:rsid w:val="00127742"/>
    <w:rsid w:val="00130067"/>
    <w:rsid w:val="00130C17"/>
    <w:rsid w:val="0013112F"/>
    <w:rsid w:val="0013118B"/>
    <w:rsid w:val="001311ED"/>
    <w:rsid w:val="0013431D"/>
    <w:rsid w:val="00134648"/>
    <w:rsid w:val="001348DF"/>
    <w:rsid w:val="00134FD5"/>
    <w:rsid w:val="0013509E"/>
    <w:rsid w:val="00135535"/>
    <w:rsid w:val="00135AED"/>
    <w:rsid w:val="00135BC4"/>
    <w:rsid w:val="00135F38"/>
    <w:rsid w:val="001369C3"/>
    <w:rsid w:val="00137B6B"/>
    <w:rsid w:val="00137D64"/>
    <w:rsid w:val="00137E4C"/>
    <w:rsid w:val="00141038"/>
    <w:rsid w:val="0014151F"/>
    <w:rsid w:val="00141941"/>
    <w:rsid w:val="00142184"/>
    <w:rsid w:val="0014311D"/>
    <w:rsid w:val="00144467"/>
    <w:rsid w:val="001449E6"/>
    <w:rsid w:val="0014579A"/>
    <w:rsid w:val="00145A0C"/>
    <w:rsid w:val="00145E17"/>
    <w:rsid w:val="00147477"/>
    <w:rsid w:val="0015038C"/>
    <w:rsid w:val="001508B1"/>
    <w:rsid w:val="00152331"/>
    <w:rsid w:val="00152403"/>
    <w:rsid w:val="00152CE0"/>
    <w:rsid w:val="00155001"/>
    <w:rsid w:val="001553F5"/>
    <w:rsid w:val="001554EC"/>
    <w:rsid w:val="00155CDB"/>
    <w:rsid w:val="00156646"/>
    <w:rsid w:val="001568CF"/>
    <w:rsid w:val="00157E12"/>
    <w:rsid w:val="00160800"/>
    <w:rsid w:val="00160863"/>
    <w:rsid w:val="0016087F"/>
    <w:rsid w:val="00160A88"/>
    <w:rsid w:val="001613E7"/>
    <w:rsid w:val="0016174A"/>
    <w:rsid w:val="001620F9"/>
    <w:rsid w:val="00165DAF"/>
    <w:rsid w:val="00167DD2"/>
    <w:rsid w:val="0017046D"/>
    <w:rsid w:val="0017080E"/>
    <w:rsid w:val="00171430"/>
    <w:rsid w:val="001714A4"/>
    <w:rsid w:val="00171FC2"/>
    <w:rsid w:val="001729B3"/>
    <w:rsid w:val="00172D11"/>
    <w:rsid w:val="00172FE9"/>
    <w:rsid w:val="001736ED"/>
    <w:rsid w:val="00173D1D"/>
    <w:rsid w:val="00174925"/>
    <w:rsid w:val="00174E84"/>
    <w:rsid w:val="00175BB3"/>
    <w:rsid w:val="00176570"/>
    <w:rsid w:val="00176A44"/>
    <w:rsid w:val="00176CDE"/>
    <w:rsid w:val="00177851"/>
    <w:rsid w:val="00180275"/>
    <w:rsid w:val="0018175A"/>
    <w:rsid w:val="00182153"/>
    <w:rsid w:val="00183525"/>
    <w:rsid w:val="00183724"/>
    <w:rsid w:val="00184539"/>
    <w:rsid w:val="00184EF2"/>
    <w:rsid w:val="0018523C"/>
    <w:rsid w:val="00186A8D"/>
    <w:rsid w:val="0019046D"/>
    <w:rsid w:val="00191194"/>
    <w:rsid w:val="00192441"/>
    <w:rsid w:val="001924AF"/>
    <w:rsid w:val="00192969"/>
    <w:rsid w:val="00192AB0"/>
    <w:rsid w:val="00193398"/>
    <w:rsid w:val="001935E2"/>
    <w:rsid w:val="00193A65"/>
    <w:rsid w:val="00194057"/>
    <w:rsid w:val="0019444D"/>
    <w:rsid w:val="001966AA"/>
    <w:rsid w:val="00196974"/>
    <w:rsid w:val="00196D5E"/>
    <w:rsid w:val="00196F4B"/>
    <w:rsid w:val="001972EB"/>
    <w:rsid w:val="001A0B29"/>
    <w:rsid w:val="001A12FE"/>
    <w:rsid w:val="001A406A"/>
    <w:rsid w:val="001A62A1"/>
    <w:rsid w:val="001A74C3"/>
    <w:rsid w:val="001B0B9D"/>
    <w:rsid w:val="001B1C75"/>
    <w:rsid w:val="001B2BBF"/>
    <w:rsid w:val="001B522A"/>
    <w:rsid w:val="001B560A"/>
    <w:rsid w:val="001B5738"/>
    <w:rsid w:val="001B6E93"/>
    <w:rsid w:val="001B70B5"/>
    <w:rsid w:val="001B7B84"/>
    <w:rsid w:val="001B7F39"/>
    <w:rsid w:val="001C05AB"/>
    <w:rsid w:val="001C1F35"/>
    <w:rsid w:val="001C2A8A"/>
    <w:rsid w:val="001C3B70"/>
    <w:rsid w:val="001C5539"/>
    <w:rsid w:val="001C59BE"/>
    <w:rsid w:val="001C5DC4"/>
    <w:rsid w:val="001C5E26"/>
    <w:rsid w:val="001C6220"/>
    <w:rsid w:val="001C6B18"/>
    <w:rsid w:val="001D0A93"/>
    <w:rsid w:val="001D2F5F"/>
    <w:rsid w:val="001D446C"/>
    <w:rsid w:val="001D5688"/>
    <w:rsid w:val="001D58FF"/>
    <w:rsid w:val="001D629D"/>
    <w:rsid w:val="001D63FD"/>
    <w:rsid w:val="001D6F3F"/>
    <w:rsid w:val="001D6F45"/>
    <w:rsid w:val="001D7E45"/>
    <w:rsid w:val="001E04F1"/>
    <w:rsid w:val="001E20D3"/>
    <w:rsid w:val="001E2E22"/>
    <w:rsid w:val="001E2FC4"/>
    <w:rsid w:val="001E36B7"/>
    <w:rsid w:val="001E47CD"/>
    <w:rsid w:val="001E5159"/>
    <w:rsid w:val="001E5832"/>
    <w:rsid w:val="001E591A"/>
    <w:rsid w:val="001E68D0"/>
    <w:rsid w:val="001F07C5"/>
    <w:rsid w:val="001F1324"/>
    <w:rsid w:val="001F134E"/>
    <w:rsid w:val="001F14AE"/>
    <w:rsid w:val="001F1946"/>
    <w:rsid w:val="001F26BA"/>
    <w:rsid w:val="001F3378"/>
    <w:rsid w:val="001F4661"/>
    <w:rsid w:val="001F4719"/>
    <w:rsid w:val="001F66D5"/>
    <w:rsid w:val="001F6A1F"/>
    <w:rsid w:val="001F7137"/>
    <w:rsid w:val="001F770C"/>
    <w:rsid w:val="00200094"/>
    <w:rsid w:val="00200808"/>
    <w:rsid w:val="00200C69"/>
    <w:rsid w:val="00201148"/>
    <w:rsid w:val="00202825"/>
    <w:rsid w:val="00202D5B"/>
    <w:rsid w:val="00202F2A"/>
    <w:rsid w:val="002036F3"/>
    <w:rsid w:val="00203F5C"/>
    <w:rsid w:val="00204191"/>
    <w:rsid w:val="0020421A"/>
    <w:rsid w:val="002047D3"/>
    <w:rsid w:val="0020497C"/>
    <w:rsid w:val="00205798"/>
    <w:rsid w:val="00205A83"/>
    <w:rsid w:val="00205DEE"/>
    <w:rsid w:val="00207016"/>
    <w:rsid w:val="0021092F"/>
    <w:rsid w:val="00210BCE"/>
    <w:rsid w:val="002111F8"/>
    <w:rsid w:val="002112B7"/>
    <w:rsid w:val="0021169E"/>
    <w:rsid w:val="00211789"/>
    <w:rsid w:val="00211B64"/>
    <w:rsid w:val="00211C86"/>
    <w:rsid w:val="00211FEE"/>
    <w:rsid w:val="002122F0"/>
    <w:rsid w:val="00212CA5"/>
    <w:rsid w:val="00212EB3"/>
    <w:rsid w:val="00213256"/>
    <w:rsid w:val="0021421B"/>
    <w:rsid w:val="0021435E"/>
    <w:rsid w:val="00217577"/>
    <w:rsid w:val="00217846"/>
    <w:rsid w:val="002203C0"/>
    <w:rsid w:val="002209E8"/>
    <w:rsid w:val="002215D0"/>
    <w:rsid w:val="0022309F"/>
    <w:rsid w:val="00224266"/>
    <w:rsid w:val="002248D5"/>
    <w:rsid w:val="00224BDB"/>
    <w:rsid w:val="00225A4D"/>
    <w:rsid w:val="00225E3E"/>
    <w:rsid w:val="00225E4A"/>
    <w:rsid w:val="00227FEE"/>
    <w:rsid w:val="00230CC1"/>
    <w:rsid w:val="00230D14"/>
    <w:rsid w:val="002314E9"/>
    <w:rsid w:val="00231CB1"/>
    <w:rsid w:val="00232C8A"/>
    <w:rsid w:val="0023334B"/>
    <w:rsid w:val="00234A89"/>
    <w:rsid w:val="00234E10"/>
    <w:rsid w:val="00235478"/>
    <w:rsid w:val="002358C7"/>
    <w:rsid w:val="002362AF"/>
    <w:rsid w:val="002362CC"/>
    <w:rsid w:val="00237506"/>
    <w:rsid w:val="002378D0"/>
    <w:rsid w:val="00237B57"/>
    <w:rsid w:val="00243A1C"/>
    <w:rsid w:val="00243B5E"/>
    <w:rsid w:val="00243C20"/>
    <w:rsid w:val="00243D7D"/>
    <w:rsid w:val="00243ECE"/>
    <w:rsid w:val="00245ACA"/>
    <w:rsid w:val="00246F54"/>
    <w:rsid w:val="0025249A"/>
    <w:rsid w:val="0025326E"/>
    <w:rsid w:val="002541D3"/>
    <w:rsid w:val="00254D18"/>
    <w:rsid w:val="00255705"/>
    <w:rsid w:val="00255C2F"/>
    <w:rsid w:val="00255D4D"/>
    <w:rsid w:val="00257088"/>
    <w:rsid w:val="002574B1"/>
    <w:rsid w:val="0025775C"/>
    <w:rsid w:val="0025785F"/>
    <w:rsid w:val="0026096A"/>
    <w:rsid w:val="00260B60"/>
    <w:rsid w:val="0026120E"/>
    <w:rsid w:val="00261315"/>
    <w:rsid w:val="0026223A"/>
    <w:rsid w:val="002632DC"/>
    <w:rsid w:val="00263F02"/>
    <w:rsid w:val="002648FB"/>
    <w:rsid w:val="00266892"/>
    <w:rsid w:val="00266CC0"/>
    <w:rsid w:val="002672ED"/>
    <w:rsid w:val="0027024E"/>
    <w:rsid w:val="00272390"/>
    <w:rsid w:val="0027543F"/>
    <w:rsid w:val="00275F7E"/>
    <w:rsid w:val="002760E4"/>
    <w:rsid w:val="002768B5"/>
    <w:rsid w:val="00277378"/>
    <w:rsid w:val="0028110D"/>
    <w:rsid w:val="00281371"/>
    <w:rsid w:val="002813D2"/>
    <w:rsid w:val="002819B4"/>
    <w:rsid w:val="0028291E"/>
    <w:rsid w:val="00282FBB"/>
    <w:rsid w:val="00283B88"/>
    <w:rsid w:val="00285CC4"/>
    <w:rsid w:val="00286851"/>
    <w:rsid w:val="00290235"/>
    <w:rsid w:val="00290EB7"/>
    <w:rsid w:val="00291B90"/>
    <w:rsid w:val="00291EBD"/>
    <w:rsid w:val="00293933"/>
    <w:rsid w:val="00295F38"/>
    <w:rsid w:val="00296FAA"/>
    <w:rsid w:val="002970FB"/>
    <w:rsid w:val="00297E16"/>
    <w:rsid w:val="002A07DB"/>
    <w:rsid w:val="002A1959"/>
    <w:rsid w:val="002A3638"/>
    <w:rsid w:val="002A484A"/>
    <w:rsid w:val="002A49E9"/>
    <w:rsid w:val="002A4C87"/>
    <w:rsid w:val="002A4E7F"/>
    <w:rsid w:val="002A51FE"/>
    <w:rsid w:val="002A79FB"/>
    <w:rsid w:val="002A7C46"/>
    <w:rsid w:val="002A7D6F"/>
    <w:rsid w:val="002B08C1"/>
    <w:rsid w:val="002B0A6F"/>
    <w:rsid w:val="002B12D0"/>
    <w:rsid w:val="002B17E9"/>
    <w:rsid w:val="002B1A43"/>
    <w:rsid w:val="002B1ABC"/>
    <w:rsid w:val="002B220A"/>
    <w:rsid w:val="002B28DF"/>
    <w:rsid w:val="002B3EF5"/>
    <w:rsid w:val="002B4721"/>
    <w:rsid w:val="002B635D"/>
    <w:rsid w:val="002B6423"/>
    <w:rsid w:val="002B6D27"/>
    <w:rsid w:val="002B6EAE"/>
    <w:rsid w:val="002B7C85"/>
    <w:rsid w:val="002C1472"/>
    <w:rsid w:val="002C1DFD"/>
    <w:rsid w:val="002C316D"/>
    <w:rsid w:val="002C324F"/>
    <w:rsid w:val="002C32A4"/>
    <w:rsid w:val="002C34A7"/>
    <w:rsid w:val="002C404C"/>
    <w:rsid w:val="002C44F8"/>
    <w:rsid w:val="002C48D8"/>
    <w:rsid w:val="002C50D1"/>
    <w:rsid w:val="002C53E5"/>
    <w:rsid w:val="002C5959"/>
    <w:rsid w:val="002C66EA"/>
    <w:rsid w:val="002C6EE6"/>
    <w:rsid w:val="002C76A3"/>
    <w:rsid w:val="002D16A5"/>
    <w:rsid w:val="002D1856"/>
    <w:rsid w:val="002D4063"/>
    <w:rsid w:val="002D6C02"/>
    <w:rsid w:val="002D6F6A"/>
    <w:rsid w:val="002D702A"/>
    <w:rsid w:val="002D73D4"/>
    <w:rsid w:val="002D73FE"/>
    <w:rsid w:val="002E00B8"/>
    <w:rsid w:val="002E023A"/>
    <w:rsid w:val="002E05E3"/>
    <w:rsid w:val="002E0CF1"/>
    <w:rsid w:val="002E131F"/>
    <w:rsid w:val="002E3A5F"/>
    <w:rsid w:val="002E3A69"/>
    <w:rsid w:val="002E3A88"/>
    <w:rsid w:val="002E3B8A"/>
    <w:rsid w:val="002E5DDC"/>
    <w:rsid w:val="002E6CBA"/>
    <w:rsid w:val="002E70C0"/>
    <w:rsid w:val="002E779E"/>
    <w:rsid w:val="002F0126"/>
    <w:rsid w:val="002F1C05"/>
    <w:rsid w:val="002F3E1E"/>
    <w:rsid w:val="002F5154"/>
    <w:rsid w:val="002F5668"/>
    <w:rsid w:val="002F6350"/>
    <w:rsid w:val="002F726F"/>
    <w:rsid w:val="002F7307"/>
    <w:rsid w:val="002F775E"/>
    <w:rsid w:val="003002FC"/>
    <w:rsid w:val="00301764"/>
    <w:rsid w:val="0030256A"/>
    <w:rsid w:val="003049E1"/>
    <w:rsid w:val="00304EE7"/>
    <w:rsid w:val="003064DC"/>
    <w:rsid w:val="0030763F"/>
    <w:rsid w:val="0030791A"/>
    <w:rsid w:val="00311D1C"/>
    <w:rsid w:val="00311FE2"/>
    <w:rsid w:val="00312912"/>
    <w:rsid w:val="00312B46"/>
    <w:rsid w:val="003135CA"/>
    <w:rsid w:val="00314E48"/>
    <w:rsid w:val="00315218"/>
    <w:rsid w:val="003169FF"/>
    <w:rsid w:val="0031704D"/>
    <w:rsid w:val="00317374"/>
    <w:rsid w:val="0031782B"/>
    <w:rsid w:val="00317903"/>
    <w:rsid w:val="00317929"/>
    <w:rsid w:val="00320797"/>
    <w:rsid w:val="00321351"/>
    <w:rsid w:val="003215D0"/>
    <w:rsid w:val="003219FF"/>
    <w:rsid w:val="00321B0F"/>
    <w:rsid w:val="00323327"/>
    <w:rsid w:val="003233D3"/>
    <w:rsid w:val="0032368B"/>
    <w:rsid w:val="00323B3C"/>
    <w:rsid w:val="00323B9B"/>
    <w:rsid w:val="00323EE0"/>
    <w:rsid w:val="003250B5"/>
    <w:rsid w:val="00325C3D"/>
    <w:rsid w:val="00327B00"/>
    <w:rsid w:val="00330EEC"/>
    <w:rsid w:val="00331614"/>
    <w:rsid w:val="003316A2"/>
    <w:rsid w:val="003316AA"/>
    <w:rsid w:val="00331951"/>
    <w:rsid w:val="00333612"/>
    <w:rsid w:val="00333F5A"/>
    <w:rsid w:val="00334464"/>
    <w:rsid w:val="00335143"/>
    <w:rsid w:val="0033520E"/>
    <w:rsid w:val="003355DB"/>
    <w:rsid w:val="003360C0"/>
    <w:rsid w:val="00337E3A"/>
    <w:rsid w:val="00341701"/>
    <w:rsid w:val="00341E1B"/>
    <w:rsid w:val="00342063"/>
    <w:rsid w:val="00343AFA"/>
    <w:rsid w:val="00345340"/>
    <w:rsid w:val="00345DC6"/>
    <w:rsid w:val="00347D7F"/>
    <w:rsid w:val="0035000C"/>
    <w:rsid w:val="0035054D"/>
    <w:rsid w:val="00350672"/>
    <w:rsid w:val="003520CF"/>
    <w:rsid w:val="00352130"/>
    <w:rsid w:val="00352629"/>
    <w:rsid w:val="00352961"/>
    <w:rsid w:val="00352F5E"/>
    <w:rsid w:val="003535C3"/>
    <w:rsid w:val="00355078"/>
    <w:rsid w:val="003554BE"/>
    <w:rsid w:val="00355BD8"/>
    <w:rsid w:val="0035755D"/>
    <w:rsid w:val="00357634"/>
    <w:rsid w:val="003607F7"/>
    <w:rsid w:val="0036156D"/>
    <w:rsid w:val="00361C08"/>
    <w:rsid w:val="00362C15"/>
    <w:rsid w:val="003635A5"/>
    <w:rsid w:val="003639F7"/>
    <w:rsid w:val="00363A88"/>
    <w:rsid w:val="00364D6D"/>
    <w:rsid w:val="003660EB"/>
    <w:rsid w:val="0036682B"/>
    <w:rsid w:val="00366A3F"/>
    <w:rsid w:val="00366D2F"/>
    <w:rsid w:val="00367050"/>
    <w:rsid w:val="0036779C"/>
    <w:rsid w:val="00370079"/>
    <w:rsid w:val="00370746"/>
    <w:rsid w:val="003714B5"/>
    <w:rsid w:val="003727AA"/>
    <w:rsid w:val="003730CA"/>
    <w:rsid w:val="003733A8"/>
    <w:rsid w:val="00373B52"/>
    <w:rsid w:val="00374236"/>
    <w:rsid w:val="00374A30"/>
    <w:rsid w:val="0037500F"/>
    <w:rsid w:val="00375EBC"/>
    <w:rsid w:val="00376B56"/>
    <w:rsid w:val="00377293"/>
    <w:rsid w:val="003773A5"/>
    <w:rsid w:val="003773CE"/>
    <w:rsid w:val="003773E1"/>
    <w:rsid w:val="0037755A"/>
    <w:rsid w:val="0037765D"/>
    <w:rsid w:val="0037791B"/>
    <w:rsid w:val="00380988"/>
    <w:rsid w:val="003810A2"/>
    <w:rsid w:val="00381168"/>
    <w:rsid w:val="003827D4"/>
    <w:rsid w:val="00382C45"/>
    <w:rsid w:val="00383BED"/>
    <w:rsid w:val="00385827"/>
    <w:rsid w:val="00385E4B"/>
    <w:rsid w:val="0038654B"/>
    <w:rsid w:val="00386A77"/>
    <w:rsid w:val="00386B6F"/>
    <w:rsid w:val="00387676"/>
    <w:rsid w:val="00387770"/>
    <w:rsid w:val="00390418"/>
    <w:rsid w:val="003906A3"/>
    <w:rsid w:val="00390901"/>
    <w:rsid w:val="00390A55"/>
    <w:rsid w:val="00390D6E"/>
    <w:rsid w:val="00391153"/>
    <w:rsid w:val="0039119C"/>
    <w:rsid w:val="00392149"/>
    <w:rsid w:val="00392690"/>
    <w:rsid w:val="00392DE4"/>
    <w:rsid w:val="0039363C"/>
    <w:rsid w:val="00393D4C"/>
    <w:rsid w:val="00394FFF"/>
    <w:rsid w:val="00396C19"/>
    <w:rsid w:val="003A1A8E"/>
    <w:rsid w:val="003A1C83"/>
    <w:rsid w:val="003A1CE5"/>
    <w:rsid w:val="003A1FAF"/>
    <w:rsid w:val="003A24EE"/>
    <w:rsid w:val="003A4F37"/>
    <w:rsid w:val="003A6060"/>
    <w:rsid w:val="003A797D"/>
    <w:rsid w:val="003A7E53"/>
    <w:rsid w:val="003B03F9"/>
    <w:rsid w:val="003B0499"/>
    <w:rsid w:val="003B14CC"/>
    <w:rsid w:val="003B16BA"/>
    <w:rsid w:val="003B25CE"/>
    <w:rsid w:val="003B436D"/>
    <w:rsid w:val="003B4CAB"/>
    <w:rsid w:val="003B6267"/>
    <w:rsid w:val="003B76FC"/>
    <w:rsid w:val="003C01E5"/>
    <w:rsid w:val="003C1D2A"/>
    <w:rsid w:val="003C1E0B"/>
    <w:rsid w:val="003C2AF5"/>
    <w:rsid w:val="003C36AD"/>
    <w:rsid w:val="003C4FF3"/>
    <w:rsid w:val="003C5BF9"/>
    <w:rsid w:val="003C6429"/>
    <w:rsid w:val="003C6DB2"/>
    <w:rsid w:val="003C7068"/>
    <w:rsid w:val="003C7A1D"/>
    <w:rsid w:val="003D1587"/>
    <w:rsid w:val="003D1C4D"/>
    <w:rsid w:val="003D302B"/>
    <w:rsid w:val="003D32A3"/>
    <w:rsid w:val="003D38BA"/>
    <w:rsid w:val="003D44D8"/>
    <w:rsid w:val="003D4675"/>
    <w:rsid w:val="003D6965"/>
    <w:rsid w:val="003E04A9"/>
    <w:rsid w:val="003E0849"/>
    <w:rsid w:val="003E1E30"/>
    <w:rsid w:val="003E2182"/>
    <w:rsid w:val="003E333B"/>
    <w:rsid w:val="003E37E5"/>
    <w:rsid w:val="003E3BF0"/>
    <w:rsid w:val="003E4056"/>
    <w:rsid w:val="003E44EB"/>
    <w:rsid w:val="003E4507"/>
    <w:rsid w:val="003E54FB"/>
    <w:rsid w:val="003E5587"/>
    <w:rsid w:val="003E571E"/>
    <w:rsid w:val="003E5FB3"/>
    <w:rsid w:val="003E6E74"/>
    <w:rsid w:val="003E6F20"/>
    <w:rsid w:val="003E7AEF"/>
    <w:rsid w:val="003F101A"/>
    <w:rsid w:val="003F15CD"/>
    <w:rsid w:val="003F2112"/>
    <w:rsid w:val="003F3F4E"/>
    <w:rsid w:val="003F4963"/>
    <w:rsid w:val="003F51D0"/>
    <w:rsid w:val="003F5810"/>
    <w:rsid w:val="003F5F57"/>
    <w:rsid w:val="003F6082"/>
    <w:rsid w:val="003F60E2"/>
    <w:rsid w:val="003F6180"/>
    <w:rsid w:val="003F6452"/>
    <w:rsid w:val="003F659B"/>
    <w:rsid w:val="003F7825"/>
    <w:rsid w:val="003F7D6D"/>
    <w:rsid w:val="0040044F"/>
    <w:rsid w:val="00400942"/>
    <w:rsid w:val="00400AAA"/>
    <w:rsid w:val="0040108E"/>
    <w:rsid w:val="004019B0"/>
    <w:rsid w:val="00402C0A"/>
    <w:rsid w:val="004039CF"/>
    <w:rsid w:val="00403F19"/>
    <w:rsid w:val="00404DF2"/>
    <w:rsid w:val="00404F09"/>
    <w:rsid w:val="0040537E"/>
    <w:rsid w:val="00405A3C"/>
    <w:rsid w:val="00407458"/>
    <w:rsid w:val="00407A64"/>
    <w:rsid w:val="004100F4"/>
    <w:rsid w:val="00410282"/>
    <w:rsid w:val="0041072B"/>
    <w:rsid w:val="00411E24"/>
    <w:rsid w:val="004126E0"/>
    <w:rsid w:val="00415A8A"/>
    <w:rsid w:val="00415CBE"/>
    <w:rsid w:val="00415D23"/>
    <w:rsid w:val="004161D1"/>
    <w:rsid w:val="00416645"/>
    <w:rsid w:val="00416864"/>
    <w:rsid w:val="00416D19"/>
    <w:rsid w:val="0041780A"/>
    <w:rsid w:val="00417A6E"/>
    <w:rsid w:val="00417BC7"/>
    <w:rsid w:val="00417E88"/>
    <w:rsid w:val="00420C05"/>
    <w:rsid w:val="00420E6D"/>
    <w:rsid w:val="004211C4"/>
    <w:rsid w:val="00421C2B"/>
    <w:rsid w:val="004223C5"/>
    <w:rsid w:val="0042307D"/>
    <w:rsid w:val="004237BE"/>
    <w:rsid w:val="00423B8C"/>
    <w:rsid w:val="00423FF8"/>
    <w:rsid w:val="00426294"/>
    <w:rsid w:val="00426B59"/>
    <w:rsid w:val="0042715C"/>
    <w:rsid w:val="00427EEC"/>
    <w:rsid w:val="004310A8"/>
    <w:rsid w:val="00431381"/>
    <w:rsid w:val="004313CD"/>
    <w:rsid w:val="00431502"/>
    <w:rsid w:val="0043170A"/>
    <w:rsid w:val="004321AD"/>
    <w:rsid w:val="00432D5F"/>
    <w:rsid w:val="00432EA8"/>
    <w:rsid w:val="004338B0"/>
    <w:rsid w:val="00434745"/>
    <w:rsid w:val="0043632B"/>
    <w:rsid w:val="00441BE1"/>
    <w:rsid w:val="00441FA2"/>
    <w:rsid w:val="004424AF"/>
    <w:rsid w:val="004425B4"/>
    <w:rsid w:val="00442945"/>
    <w:rsid w:val="00442AA4"/>
    <w:rsid w:val="00443251"/>
    <w:rsid w:val="0044358F"/>
    <w:rsid w:val="0044399C"/>
    <w:rsid w:val="00444061"/>
    <w:rsid w:val="004441B5"/>
    <w:rsid w:val="0044427D"/>
    <w:rsid w:val="004451E6"/>
    <w:rsid w:val="004460F3"/>
    <w:rsid w:val="0044663D"/>
    <w:rsid w:val="0044683C"/>
    <w:rsid w:val="0045012A"/>
    <w:rsid w:val="004511E3"/>
    <w:rsid w:val="00453782"/>
    <w:rsid w:val="00453849"/>
    <w:rsid w:val="004542CB"/>
    <w:rsid w:val="0045480C"/>
    <w:rsid w:val="00454D19"/>
    <w:rsid w:val="00455612"/>
    <w:rsid w:val="00460038"/>
    <w:rsid w:val="0046010D"/>
    <w:rsid w:val="0046069B"/>
    <w:rsid w:val="004607F9"/>
    <w:rsid w:val="00460B47"/>
    <w:rsid w:val="00460F46"/>
    <w:rsid w:val="00461338"/>
    <w:rsid w:val="00461382"/>
    <w:rsid w:val="00462552"/>
    <w:rsid w:val="004630FD"/>
    <w:rsid w:val="0046401C"/>
    <w:rsid w:val="00464999"/>
    <w:rsid w:val="004658CB"/>
    <w:rsid w:val="00465A0C"/>
    <w:rsid w:val="004667AD"/>
    <w:rsid w:val="004668B1"/>
    <w:rsid w:val="004670CE"/>
    <w:rsid w:val="00471C43"/>
    <w:rsid w:val="00472037"/>
    <w:rsid w:val="00473549"/>
    <w:rsid w:val="0047382F"/>
    <w:rsid w:val="00473AFE"/>
    <w:rsid w:val="00474D40"/>
    <w:rsid w:val="00474DB3"/>
    <w:rsid w:val="0047507D"/>
    <w:rsid w:val="00476EE9"/>
    <w:rsid w:val="004776DB"/>
    <w:rsid w:val="00477F37"/>
    <w:rsid w:val="00481B35"/>
    <w:rsid w:val="0048235F"/>
    <w:rsid w:val="00482CF4"/>
    <w:rsid w:val="00483728"/>
    <w:rsid w:val="004845DF"/>
    <w:rsid w:val="004849C7"/>
    <w:rsid w:val="004851F9"/>
    <w:rsid w:val="0049006E"/>
    <w:rsid w:val="0049015B"/>
    <w:rsid w:val="004918CC"/>
    <w:rsid w:val="00492569"/>
    <w:rsid w:val="00492EA5"/>
    <w:rsid w:val="004946A1"/>
    <w:rsid w:val="00494B71"/>
    <w:rsid w:val="004962AD"/>
    <w:rsid w:val="004974CC"/>
    <w:rsid w:val="004A381A"/>
    <w:rsid w:val="004A44AE"/>
    <w:rsid w:val="004A4C5E"/>
    <w:rsid w:val="004A5D0F"/>
    <w:rsid w:val="004A6E1F"/>
    <w:rsid w:val="004A7AB9"/>
    <w:rsid w:val="004A7B48"/>
    <w:rsid w:val="004B1083"/>
    <w:rsid w:val="004B2FCE"/>
    <w:rsid w:val="004B3258"/>
    <w:rsid w:val="004B339D"/>
    <w:rsid w:val="004B411D"/>
    <w:rsid w:val="004B4880"/>
    <w:rsid w:val="004B522D"/>
    <w:rsid w:val="004B580C"/>
    <w:rsid w:val="004B6147"/>
    <w:rsid w:val="004B6214"/>
    <w:rsid w:val="004B6278"/>
    <w:rsid w:val="004B7182"/>
    <w:rsid w:val="004B74DD"/>
    <w:rsid w:val="004B7850"/>
    <w:rsid w:val="004C0519"/>
    <w:rsid w:val="004C084D"/>
    <w:rsid w:val="004C0F35"/>
    <w:rsid w:val="004C193F"/>
    <w:rsid w:val="004C1E29"/>
    <w:rsid w:val="004C2023"/>
    <w:rsid w:val="004C2C02"/>
    <w:rsid w:val="004C36C7"/>
    <w:rsid w:val="004C4656"/>
    <w:rsid w:val="004C49F4"/>
    <w:rsid w:val="004C5351"/>
    <w:rsid w:val="004C5697"/>
    <w:rsid w:val="004C5836"/>
    <w:rsid w:val="004C6035"/>
    <w:rsid w:val="004C6194"/>
    <w:rsid w:val="004C6E98"/>
    <w:rsid w:val="004D067C"/>
    <w:rsid w:val="004D072B"/>
    <w:rsid w:val="004D0C9D"/>
    <w:rsid w:val="004D1634"/>
    <w:rsid w:val="004D1A3A"/>
    <w:rsid w:val="004D3FCF"/>
    <w:rsid w:val="004D5837"/>
    <w:rsid w:val="004D5C9E"/>
    <w:rsid w:val="004D7796"/>
    <w:rsid w:val="004E1166"/>
    <w:rsid w:val="004E33E6"/>
    <w:rsid w:val="004E355E"/>
    <w:rsid w:val="004E3A33"/>
    <w:rsid w:val="004E3FCB"/>
    <w:rsid w:val="004E4947"/>
    <w:rsid w:val="004E5558"/>
    <w:rsid w:val="004E628E"/>
    <w:rsid w:val="004F0179"/>
    <w:rsid w:val="004F07B4"/>
    <w:rsid w:val="004F0E55"/>
    <w:rsid w:val="004F1A17"/>
    <w:rsid w:val="004F2179"/>
    <w:rsid w:val="004F2F65"/>
    <w:rsid w:val="004F4107"/>
    <w:rsid w:val="004F4817"/>
    <w:rsid w:val="004F4CE8"/>
    <w:rsid w:val="004F5E5D"/>
    <w:rsid w:val="005005CA"/>
    <w:rsid w:val="00503F0C"/>
    <w:rsid w:val="005049C2"/>
    <w:rsid w:val="00505000"/>
    <w:rsid w:val="00505F35"/>
    <w:rsid w:val="00506243"/>
    <w:rsid w:val="0051007B"/>
    <w:rsid w:val="005109B4"/>
    <w:rsid w:val="00510FF3"/>
    <w:rsid w:val="0051101A"/>
    <w:rsid w:val="005110F6"/>
    <w:rsid w:val="005123B0"/>
    <w:rsid w:val="00512C46"/>
    <w:rsid w:val="005133F8"/>
    <w:rsid w:val="00516E05"/>
    <w:rsid w:val="0051736C"/>
    <w:rsid w:val="0051783C"/>
    <w:rsid w:val="00520213"/>
    <w:rsid w:val="00521398"/>
    <w:rsid w:val="005216F4"/>
    <w:rsid w:val="00521CF7"/>
    <w:rsid w:val="005230ED"/>
    <w:rsid w:val="005238A4"/>
    <w:rsid w:val="00523F17"/>
    <w:rsid w:val="005241CD"/>
    <w:rsid w:val="00524DC0"/>
    <w:rsid w:val="00525CF8"/>
    <w:rsid w:val="00527504"/>
    <w:rsid w:val="0052792F"/>
    <w:rsid w:val="00527D7D"/>
    <w:rsid w:val="00530019"/>
    <w:rsid w:val="00530C83"/>
    <w:rsid w:val="0053165F"/>
    <w:rsid w:val="005324E4"/>
    <w:rsid w:val="0053342C"/>
    <w:rsid w:val="00533A96"/>
    <w:rsid w:val="005355C1"/>
    <w:rsid w:val="005360E0"/>
    <w:rsid w:val="0053718C"/>
    <w:rsid w:val="00537E7F"/>
    <w:rsid w:val="0054056B"/>
    <w:rsid w:val="00541337"/>
    <w:rsid w:val="00541E82"/>
    <w:rsid w:val="00542409"/>
    <w:rsid w:val="0054258E"/>
    <w:rsid w:val="00543761"/>
    <w:rsid w:val="0054384F"/>
    <w:rsid w:val="005438A9"/>
    <w:rsid w:val="00543A5B"/>
    <w:rsid w:val="00544669"/>
    <w:rsid w:val="0054546A"/>
    <w:rsid w:val="00546F61"/>
    <w:rsid w:val="00547251"/>
    <w:rsid w:val="00550481"/>
    <w:rsid w:val="00550683"/>
    <w:rsid w:val="00551490"/>
    <w:rsid w:val="00551BCD"/>
    <w:rsid w:val="00551CEA"/>
    <w:rsid w:val="00552194"/>
    <w:rsid w:val="00552507"/>
    <w:rsid w:val="0055255E"/>
    <w:rsid w:val="00555A2D"/>
    <w:rsid w:val="0055608D"/>
    <w:rsid w:val="00556248"/>
    <w:rsid w:val="005567A5"/>
    <w:rsid w:val="005600B6"/>
    <w:rsid w:val="0056070C"/>
    <w:rsid w:val="0056129C"/>
    <w:rsid w:val="00561DE3"/>
    <w:rsid w:val="00562825"/>
    <w:rsid w:val="00562CB9"/>
    <w:rsid w:val="00563609"/>
    <w:rsid w:val="00563C9B"/>
    <w:rsid w:val="005651DF"/>
    <w:rsid w:val="0056536A"/>
    <w:rsid w:val="005669E9"/>
    <w:rsid w:val="00567C7B"/>
    <w:rsid w:val="005713D9"/>
    <w:rsid w:val="00573793"/>
    <w:rsid w:val="00573BFA"/>
    <w:rsid w:val="0057417D"/>
    <w:rsid w:val="00576042"/>
    <w:rsid w:val="00576110"/>
    <w:rsid w:val="00576136"/>
    <w:rsid w:val="00577870"/>
    <w:rsid w:val="0058030A"/>
    <w:rsid w:val="0058170B"/>
    <w:rsid w:val="00581D96"/>
    <w:rsid w:val="00584303"/>
    <w:rsid w:val="00584D60"/>
    <w:rsid w:val="0058516E"/>
    <w:rsid w:val="005851F3"/>
    <w:rsid w:val="00586659"/>
    <w:rsid w:val="00586D56"/>
    <w:rsid w:val="00587298"/>
    <w:rsid w:val="005904F0"/>
    <w:rsid w:val="00590CD1"/>
    <w:rsid w:val="00592D2A"/>
    <w:rsid w:val="0059415A"/>
    <w:rsid w:val="00594EC0"/>
    <w:rsid w:val="00595493"/>
    <w:rsid w:val="005A1204"/>
    <w:rsid w:val="005A2ABF"/>
    <w:rsid w:val="005A5F79"/>
    <w:rsid w:val="005A5F8B"/>
    <w:rsid w:val="005A72E5"/>
    <w:rsid w:val="005A7A1D"/>
    <w:rsid w:val="005A7AEA"/>
    <w:rsid w:val="005B06D3"/>
    <w:rsid w:val="005B0BE5"/>
    <w:rsid w:val="005B1CAE"/>
    <w:rsid w:val="005B214C"/>
    <w:rsid w:val="005B2527"/>
    <w:rsid w:val="005B2632"/>
    <w:rsid w:val="005B33BF"/>
    <w:rsid w:val="005B3815"/>
    <w:rsid w:val="005B4E15"/>
    <w:rsid w:val="005B5A7C"/>
    <w:rsid w:val="005B7348"/>
    <w:rsid w:val="005B79A8"/>
    <w:rsid w:val="005C0C02"/>
    <w:rsid w:val="005C0E14"/>
    <w:rsid w:val="005C14DC"/>
    <w:rsid w:val="005C21FF"/>
    <w:rsid w:val="005C3BA3"/>
    <w:rsid w:val="005C4719"/>
    <w:rsid w:val="005C486A"/>
    <w:rsid w:val="005C528A"/>
    <w:rsid w:val="005C53AD"/>
    <w:rsid w:val="005C5B8B"/>
    <w:rsid w:val="005C5C66"/>
    <w:rsid w:val="005C62AB"/>
    <w:rsid w:val="005C7C3E"/>
    <w:rsid w:val="005C7C54"/>
    <w:rsid w:val="005D0271"/>
    <w:rsid w:val="005D03FC"/>
    <w:rsid w:val="005D1EE1"/>
    <w:rsid w:val="005D2E94"/>
    <w:rsid w:val="005D32B9"/>
    <w:rsid w:val="005D3FF4"/>
    <w:rsid w:val="005D4094"/>
    <w:rsid w:val="005D4866"/>
    <w:rsid w:val="005D50B8"/>
    <w:rsid w:val="005E0B12"/>
    <w:rsid w:val="005E2911"/>
    <w:rsid w:val="005E3267"/>
    <w:rsid w:val="005E37AB"/>
    <w:rsid w:val="005E3CB5"/>
    <w:rsid w:val="005E645C"/>
    <w:rsid w:val="005E7A4E"/>
    <w:rsid w:val="005F0D9A"/>
    <w:rsid w:val="005F265C"/>
    <w:rsid w:val="005F328D"/>
    <w:rsid w:val="005F34DC"/>
    <w:rsid w:val="005F3DE4"/>
    <w:rsid w:val="005F3E1C"/>
    <w:rsid w:val="005F3F5F"/>
    <w:rsid w:val="005F472D"/>
    <w:rsid w:val="005F4F61"/>
    <w:rsid w:val="005F78D5"/>
    <w:rsid w:val="0060096E"/>
    <w:rsid w:val="00600A38"/>
    <w:rsid w:val="00600F75"/>
    <w:rsid w:val="006020B2"/>
    <w:rsid w:val="006026B5"/>
    <w:rsid w:val="00602AF5"/>
    <w:rsid w:val="00603A0D"/>
    <w:rsid w:val="00604420"/>
    <w:rsid w:val="00604D8B"/>
    <w:rsid w:val="0060572C"/>
    <w:rsid w:val="00605E01"/>
    <w:rsid w:val="00605FB4"/>
    <w:rsid w:val="00610392"/>
    <w:rsid w:val="006107B7"/>
    <w:rsid w:val="006130F4"/>
    <w:rsid w:val="00614329"/>
    <w:rsid w:val="006147E7"/>
    <w:rsid w:val="006148C0"/>
    <w:rsid w:val="0061506A"/>
    <w:rsid w:val="006156B1"/>
    <w:rsid w:val="00615D13"/>
    <w:rsid w:val="00615F86"/>
    <w:rsid w:val="00616603"/>
    <w:rsid w:val="00620A41"/>
    <w:rsid w:val="00621166"/>
    <w:rsid w:val="0062163B"/>
    <w:rsid w:val="00621C81"/>
    <w:rsid w:val="0062339E"/>
    <w:rsid w:val="00623D09"/>
    <w:rsid w:val="00623DFC"/>
    <w:rsid w:val="0062440C"/>
    <w:rsid w:val="00624524"/>
    <w:rsid w:val="0062472F"/>
    <w:rsid w:val="00625550"/>
    <w:rsid w:val="00626629"/>
    <w:rsid w:val="00627474"/>
    <w:rsid w:val="00627610"/>
    <w:rsid w:val="00630DA0"/>
    <w:rsid w:val="00632B09"/>
    <w:rsid w:val="00633555"/>
    <w:rsid w:val="00633D90"/>
    <w:rsid w:val="00633EC2"/>
    <w:rsid w:val="006347A2"/>
    <w:rsid w:val="00634E5B"/>
    <w:rsid w:val="00635711"/>
    <w:rsid w:val="00635DBA"/>
    <w:rsid w:val="00635EA4"/>
    <w:rsid w:val="00637445"/>
    <w:rsid w:val="00641F14"/>
    <w:rsid w:val="00642501"/>
    <w:rsid w:val="0064308A"/>
    <w:rsid w:val="00643FD1"/>
    <w:rsid w:val="00644099"/>
    <w:rsid w:val="00644E89"/>
    <w:rsid w:val="00645F55"/>
    <w:rsid w:val="00646A25"/>
    <w:rsid w:val="006476B7"/>
    <w:rsid w:val="006510E8"/>
    <w:rsid w:val="006516DC"/>
    <w:rsid w:val="00651C53"/>
    <w:rsid w:val="0065308D"/>
    <w:rsid w:val="00654004"/>
    <w:rsid w:val="0065443A"/>
    <w:rsid w:val="006600B9"/>
    <w:rsid w:val="0066164D"/>
    <w:rsid w:val="00661C1D"/>
    <w:rsid w:val="00661D5F"/>
    <w:rsid w:val="00662E06"/>
    <w:rsid w:val="00662FB6"/>
    <w:rsid w:val="00663CF3"/>
    <w:rsid w:val="00664193"/>
    <w:rsid w:val="006647FA"/>
    <w:rsid w:val="00664E12"/>
    <w:rsid w:val="0066518D"/>
    <w:rsid w:val="006653DB"/>
    <w:rsid w:val="00666349"/>
    <w:rsid w:val="006665F2"/>
    <w:rsid w:val="00666FE8"/>
    <w:rsid w:val="006671DE"/>
    <w:rsid w:val="006704EB"/>
    <w:rsid w:val="0067089D"/>
    <w:rsid w:val="00671C63"/>
    <w:rsid w:val="006723D5"/>
    <w:rsid w:val="006726D4"/>
    <w:rsid w:val="0067287C"/>
    <w:rsid w:val="00672D10"/>
    <w:rsid w:val="006733E5"/>
    <w:rsid w:val="006736C1"/>
    <w:rsid w:val="00674496"/>
    <w:rsid w:val="00674497"/>
    <w:rsid w:val="006744CD"/>
    <w:rsid w:val="0067499E"/>
    <w:rsid w:val="006756EF"/>
    <w:rsid w:val="00676BD2"/>
    <w:rsid w:val="00677784"/>
    <w:rsid w:val="0068018B"/>
    <w:rsid w:val="00680B45"/>
    <w:rsid w:val="006810F1"/>
    <w:rsid w:val="00681A38"/>
    <w:rsid w:val="00681D83"/>
    <w:rsid w:val="00682F92"/>
    <w:rsid w:val="006847D7"/>
    <w:rsid w:val="006856B6"/>
    <w:rsid w:val="0068609C"/>
    <w:rsid w:val="00686B0B"/>
    <w:rsid w:val="0068706D"/>
    <w:rsid w:val="006874D8"/>
    <w:rsid w:val="00687F19"/>
    <w:rsid w:val="00690638"/>
    <w:rsid w:val="00691076"/>
    <w:rsid w:val="00691098"/>
    <w:rsid w:val="00691980"/>
    <w:rsid w:val="00693E86"/>
    <w:rsid w:val="00694648"/>
    <w:rsid w:val="0069481D"/>
    <w:rsid w:val="00694B5F"/>
    <w:rsid w:val="00694C91"/>
    <w:rsid w:val="00695104"/>
    <w:rsid w:val="00696109"/>
    <w:rsid w:val="00696144"/>
    <w:rsid w:val="00696684"/>
    <w:rsid w:val="00696B27"/>
    <w:rsid w:val="006A10C7"/>
    <w:rsid w:val="006A10D8"/>
    <w:rsid w:val="006A10EF"/>
    <w:rsid w:val="006A1B03"/>
    <w:rsid w:val="006A2518"/>
    <w:rsid w:val="006A39AF"/>
    <w:rsid w:val="006A40CB"/>
    <w:rsid w:val="006A46F3"/>
    <w:rsid w:val="006A5308"/>
    <w:rsid w:val="006A577F"/>
    <w:rsid w:val="006A6B2B"/>
    <w:rsid w:val="006A753C"/>
    <w:rsid w:val="006B0351"/>
    <w:rsid w:val="006B0578"/>
    <w:rsid w:val="006B2A74"/>
    <w:rsid w:val="006B2C55"/>
    <w:rsid w:val="006B32A5"/>
    <w:rsid w:val="006B5339"/>
    <w:rsid w:val="006B5367"/>
    <w:rsid w:val="006B54DA"/>
    <w:rsid w:val="006B5D9B"/>
    <w:rsid w:val="006B5EF9"/>
    <w:rsid w:val="006B66C8"/>
    <w:rsid w:val="006B705F"/>
    <w:rsid w:val="006B7579"/>
    <w:rsid w:val="006B7FDD"/>
    <w:rsid w:val="006C012F"/>
    <w:rsid w:val="006C05A8"/>
    <w:rsid w:val="006C0731"/>
    <w:rsid w:val="006C1DF0"/>
    <w:rsid w:val="006C5277"/>
    <w:rsid w:val="006C61AA"/>
    <w:rsid w:val="006C6996"/>
    <w:rsid w:val="006D2000"/>
    <w:rsid w:val="006D3D6F"/>
    <w:rsid w:val="006D5E67"/>
    <w:rsid w:val="006D6704"/>
    <w:rsid w:val="006D693D"/>
    <w:rsid w:val="006E06DF"/>
    <w:rsid w:val="006E08DB"/>
    <w:rsid w:val="006E13F6"/>
    <w:rsid w:val="006E17C0"/>
    <w:rsid w:val="006E188C"/>
    <w:rsid w:val="006E190E"/>
    <w:rsid w:val="006E19E5"/>
    <w:rsid w:val="006E1FBF"/>
    <w:rsid w:val="006E37EA"/>
    <w:rsid w:val="006E3D4E"/>
    <w:rsid w:val="006E49ED"/>
    <w:rsid w:val="006E5612"/>
    <w:rsid w:val="006E56B3"/>
    <w:rsid w:val="006E6620"/>
    <w:rsid w:val="006E7385"/>
    <w:rsid w:val="006E7B1E"/>
    <w:rsid w:val="006F0A3E"/>
    <w:rsid w:val="006F1BBF"/>
    <w:rsid w:val="006F20E6"/>
    <w:rsid w:val="006F258F"/>
    <w:rsid w:val="006F2DED"/>
    <w:rsid w:val="006F3ACD"/>
    <w:rsid w:val="006F3E63"/>
    <w:rsid w:val="006F46C4"/>
    <w:rsid w:val="006F62AF"/>
    <w:rsid w:val="006F7536"/>
    <w:rsid w:val="0070173D"/>
    <w:rsid w:val="0070339D"/>
    <w:rsid w:val="007033FB"/>
    <w:rsid w:val="007040AD"/>
    <w:rsid w:val="00705C81"/>
    <w:rsid w:val="00705D76"/>
    <w:rsid w:val="0070660A"/>
    <w:rsid w:val="007068A4"/>
    <w:rsid w:val="00707CF0"/>
    <w:rsid w:val="00707F3F"/>
    <w:rsid w:val="00711531"/>
    <w:rsid w:val="00712C7E"/>
    <w:rsid w:val="00712D53"/>
    <w:rsid w:val="007132EF"/>
    <w:rsid w:val="007136B0"/>
    <w:rsid w:val="00714D93"/>
    <w:rsid w:val="00716395"/>
    <w:rsid w:val="00716C51"/>
    <w:rsid w:val="00716CC4"/>
    <w:rsid w:val="00716E17"/>
    <w:rsid w:val="007176FE"/>
    <w:rsid w:val="0071790B"/>
    <w:rsid w:val="00717D6B"/>
    <w:rsid w:val="00721CC5"/>
    <w:rsid w:val="00721D24"/>
    <w:rsid w:val="00722543"/>
    <w:rsid w:val="007230A0"/>
    <w:rsid w:val="00723224"/>
    <w:rsid w:val="0072329B"/>
    <w:rsid w:val="00723C85"/>
    <w:rsid w:val="00725FB7"/>
    <w:rsid w:val="00726199"/>
    <w:rsid w:val="007272AF"/>
    <w:rsid w:val="007272F7"/>
    <w:rsid w:val="00730B1B"/>
    <w:rsid w:val="007312DA"/>
    <w:rsid w:val="0073162E"/>
    <w:rsid w:val="00731D13"/>
    <w:rsid w:val="00732771"/>
    <w:rsid w:val="007349FD"/>
    <w:rsid w:val="00734A42"/>
    <w:rsid w:val="00737C5E"/>
    <w:rsid w:val="00737D64"/>
    <w:rsid w:val="00740DCB"/>
    <w:rsid w:val="007424E4"/>
    <w:rsid w:val="00742777"/>
    <w:rsid w:val="00742D47"/>
    <w:rsid w:val="00743AB1"/>
    <w:rsid w:val="00743E21"/>
    <w:rsid w:val="0074550E"/>
    <w:rsid w:val="00745A35"/>
    <w:rsid w:val="00745A48"/>
    <w:rsid w:val="00745B06"/>
    <w:rsid w:val="00745C40"/>
    <w:rsid w:val="007471FA"/>
    <w:rsid w:val="00747369"/>
    <w:rsid w:val="007473D8"/>
    <w:rsid w:val="00747C72"/>
    <w:rsid w:val="007500CF"/>
    <w:rsid w:val="00750850"/>
    <w:rsid w:val="00750D66"/>
    <w:rsid w:val="00751160"/>
    <w:rsid w:val="00752854"/>
    <w:rsid w:val="007535AE"/>
    <w:rsid w:val="00754C61"/>
    <w:rsid w:val="00754F7F"/>
    <w:rsid w:val="00755347"/>
    <w:rsid w:val="00755C51"/>
    <w:rsid w:val="00755C99"/>
    <w:rsid w:val="00756853"/>
    <w:rsid w:val="007568B6"/>
    <w:rsid w:val="007571A1"/>
    <w:rsid w:val="00757DCD"/>
    <w:rsid w:val="00760288"/>
    <w:rsid w:val="00760490"/>
    <w:rsid w:val="00760A2B"/>
    <w:rsid w:val="007618D8"/>
    <w:rsid w:val="0076208F"/>
    <w:rsid w:val="007625DB"/>
    <w:rsid w:val="00762EF7"/>
    <w:rsid w:val="00763199"/>
    <w:rsid w:val="0076430C"/>
    <w:rsid w:val="00764A1D"/>
    <w:rsid w:val="00764DD4"/>
    <w:rsid w:val="00764F2B"/>
    <w:rsid w:val="00765C55"/>
    <w:rsid w:val="007666F9"/>
    <w:rsid w:val="007709DA"/>
    <w:rsid w:val="00770ABF"/>
    <w:rsid w:val="00770BAD"/>
    <w:rsid w:val="007719B5"/>
    <w:rsid w:val="00771D46"/>
    <w:rsid w:val="00772869"/>
    <w:rsid w:val="00772C02"/>
    <w:rsid w:val="00772F8D"/>
    <w:rsid w:val="00773132"/>
    <w:rsid w:val="00773831"/>
    <w:rsid w:val="00773B01"/>
    <w:rsid w:val="00774875"/>
    <w:rsid w:val="00774E2D"/>
    <w:rsid w:val="00774F6E"/>
    <w:rsid w:val="007802A7"/>
    <w:rsid w:val="00780F12"/>
    <w:rsid w:val="007813CF"/>
    <w:rsid w:val="0078213C"/>
    <w:rsid w:val="0078237E"/>
    <w:rsid w:val="00782936"/>
    <w:rsid w:val="0078381E"/>
    <w:rsid w:val="007844C8"/>
    <w:rsid w:val="0078470F"/>
    <w:rsid w:val="007855F1"/>
    <w:rsid w:val="00785690"/>
    <w:rsid w:val="007903F8"/>
    <w:rsid w:val="00790432"/>
    <w:rsid w:val="007904B9"/>
    <w:rsid w:val="007907E1"/>
    <w:rsid w:val="00790808"/>
    <w:rsid w:val="00790FA5"/>
    <w:rsid w:val="00791822"/>
    <w:rsid w:val="007930D5"/>
    <w:rsid w:val="007936DC"/>
    <w:rsid w:val="007936EA"/>
    <w:rsid w:val="007971A4"/>
    <w:rsid w:val="007974FA"/>
    <w:rsid w:val="00797555"/>
    <w:rsid w:val="00797F1D"/>
    <w:rsid w:val="007A0AC9"/>
    <w:rsid w:val="007A1FAF"/>
    <w:rsid w:val="007A2F88"/>
    <w:rsid w:val="007A3752"/>
    <w:rsid w:val="007A38B9"/>
    <w:rsid w:val="007A427A"/>
    <w:rsid w:val="007A45AA"/>
    <w:rsid w:val="007A4B5E"/>
    <w:rsid w:val="007A59E3"/>
    <w:rsid w:val="007A5F57"/>
    <w:rsid w:val="007A6174"/>
    <w:rsid w:val="007A6A9E"/>
    <w:rsid w:val="007A7059"/>
    <w:rsid w:val="007B13EC"/>
    <w:rsid w:val="007B233C"/>
    <w:rsid w:val="007B2825"/>
    <w:rsid w:val="007B31B9"/>
    <w:rsid w:val="007B462B"/>
    <w:rsid w:val="007B57F4"/>
    <w:rsid w:val="007B78B0"/>
    <w:rsid w:val="007B7E15"/>
    <w:rsid w:val="007C0309"/>
    <w:rsid w:val="007C03E0"/>
    <w:rsid w:val="007C0935"/>
    <w:rsid w:val="007C1BF5"/>
    <w:rsid w:val="007C1F01"/>
    <w:rsid w:val="007C27E1"/>
    <w:rsid w:val="007C31F9"/>
    <w:rsid w:val="007C3DE6"/>
    <w:rsid w:val="007C4012"/>
    <w:rsid w:val="007C460F"/>
    <w:rsid w:val="007C49DF"/>
    <w:rsid w:val="007C4CB0"/>
    <w:rsid w:val="007C57AA"/>
    <w:rsid w:val="007D2649"/>
    <w:rsid w:val="007D269D"/>
    <w:rsid w:val="007D3189"/>
    <w:rsid w:val="007D4838"/>
    <w:rsid w:val="007D51D1"/>
    <w:rsid w:val="007D548E"/>
    <w:rsid w:val="007D6896"/>
    <w:rsid w:val="007D7E77"/>
    <w:rsid w:val="007E022F"/>
    <w:rsid w:val="007E0419"/>
    <w:rsid w:val="007E0A1D"/>
    <w:rsid w:val="007E19D9"/>
    <w:rsid w:val="007E3F20"/>
    <w:rsid w:val="007E4803"/>
    <w:rsid w:val="007E4E45"/>
    <w:rsid w:val="007E61C8"/>
    <w:rsid w:val="007E62E8"/>
    <w:rsid w:val="007E6894"/>
    <w:rsid w:val="007E7E6F"/>
    <w:rsid w:val="007F0E76"/>
    <w:rsid w:val="007F1A84"/>
    <w:rsid w:val="007F411B"/>
    <w:rsid w:val="007F4373"/>
    <w:rsid w:val="007F5CC6"/>
    <w:rsid w:val="007F5DA7"/>
    <w:rsid w:val="007F6DD8"/>
    <w:rsid w:val="007F7A3F"/>
    <w:rsid w:val="00800E1B"/>
    <w:rsid w:val="008011CA"/>
    <w:rsid w:val="00802115"/>
    <w:rsid w:val="0080297F"/>
    <w:rsid w:val="00802AEB"/>
    <w:rsid w:val="00804AA7"/>
    <w:rsid w:val="008050D4"/>
    <w:rsid w:val="00805C97"/>
    <w:rsid w:val="00807409"/>
    <w:rsid w:val="00810D7D"/>
    <w:rsid w:val="0081224C"/>
    <w:rsid w:val="008122F0"/>
    <w:rsid w:val="0081255C"/>
    <w:rsid w:val="008130BC"/>
    <w:rsid w:val="008139AE"/>
    <w:rsid w:val="00814482"/>
    <w:rsid w:val="00814613"/>
    <w:rsid w:val="00815814"/>
    <w:rsid w:val="0081713C"/>
    <w:rsid w:val="00817A3E"/>
    <w:rsid w:val="00817E38"/>
    <w:rsid w:val="008203A0"/>
    <w:rsid w:val="0082098C"/>
    <w:rsid w:val="00821049"/>
    <w:rsid w:val="008221ED"/>
    <w:rsid w:val="0082324A"/>
    <w:rsid w:val="00823410"/>
    <w:rsid w:val="00823934"/>
    <w:rsid w:val="00823C0E"/>
    <w:rsid w:val="00825C04"/>
    <w:rsid w:val="00825FD1"/>
    <w:rsid w:val="0082732D"/>
    <w:rsid w:val="00827D38"/>
    <w:rsid w:val="00830D77"/>
    <w:rsid w:val="00833F56"/>
    <w:rsid w:val="00834226"/>
    <w:rsid w:val="00835041"/>
    <w:rsid w:val="00835338"/>
    <w:rsid w:val="00837C25"/>
    <w:rsid w:val="00837CF8"/>
    <w:rsid w:val="0084055A"/>
    <w:rsid w:val="008409F6"/>
    <w:rsid w:val="00841666"/>
    <w:rsid w:val="0084180C"/>
    <w:rsid w:val="00842054"/>
    <w:rsid w:val="00842DBE"/>
    <w:rsid w:val="00843E13"/>
    <w:rsid w:val="00844277"/>
    <w:rsid w:val="00844DE2"/>
    <w:rsid w:val="00844E9F"/>
    <w:rsid w:val="008477BC"/>
    <w:rsid w:val="008477D1"/>
    <w:rsid w:val="008500B8"/>
    <w:rsid w:val="00853B3C"/>
    <w:rsid w:val="00853BF2"/>
    <w:rsid w:val="008579B9"/>
    <w:rsid w:val="00857D81"/>
    <w:rsid w:val="00860125"/>
    <w:rsid w:val="00860281"/>
    <w:rsid w:val="00864DFD"/>
    <w:rsid w:val="00864EE5"/>
    <w:rsid w:val="0086594A"/>
    <w:rsid w:val="008659FF"/>
    <w:rsid w:val="00870BED"/>
    <w:rsid w:val="00871639"/>
    <w:rsid w:val="008722A9"/>
    <w:rsid w:val="00872B76"/>
    <w:rsid w:val="00874032"/>
    <w:rsid w:val="008742D4"/>
    <w:rsid w:val="00875160"/>
    <w:rsid w:val="00877D18"/>
    <w:rsid w:val="0088034E"/>
    <w:rsid w:val="0088059E"/>
    <w:rsid w:val="00880A20"/>
    <w:rsid w:val="00881014"/>
    <w:rsid w:val="00881613"/>
    <w:rsid w:val="008819D7"/>
    <w:rsid w:val="00882328"/>
    <w:rsid w:val="00882CE4"/>
    <w:rsid w:val="008842B3"/>
    <w:rsid w:val="00884581"/>
    <w:rsid w:val="008848A4"/>
    <w:rsid w:val="00885487"/>
    <w:rsid w:val="0088623C"/>
    <w:rsid w:val="00887001"/>
    <w:rsid w:val="008875EC"/>
    <w:rsid w:val="008876A1"/>
    <w:rsid w:val="00887A30"/>
    <w:rsid w:val="0089204A"/>
    <w:rsid w:val="008925C1"/>
    <w:rsid w:val="00892823"/>
    <w:rsid w:val="00892E73"/>
    <w:rsid w:val="00893590"/>
    <w:rsid w:val="00893596"/>
    <w:rsid w:val="00893C65"/>
    <w:rsid w:val="008946D9"/>
    <w:rsid w:val="00894794"/>
    <w:rsid w:val="0089578A"/>
    <w:rsid w:val="00895FEA"/>
    <w:rsid w:val="00896309"/>
    <w:rsid w:val="00896CB1"/>
    <w:rsid w:val="00896D30"/>
    <w:rsid w:val="008973DD"/>
    <w:rsid w:val="008977E0"/>
    <w:rsid w:val="00897C4E"/>
    <w:rsid w:val="008A084B"/>
    <w:rsid w:val="008A0BEC"/>
    <w:rsid w:val="008A1976"/>
    <w:rsid w:val="008A3A8C"/>
    <w:rsid w:val="008A44AB"/>
    <w:rsid w:val="008A5646"/>
    <w:rsid w:val="008A60BD"/>
    <w:rsid w:val="008A646C"/>
    <w:rsid w:val="008A6591"/>
    <w:rsid w:val="008A68A6"/>
    <w:rsid w:val="008A6CCF"/>
    <w:rsid w:val="008A7BCB"/>
    <w:rsid w:val="008B0347"/>
    <w:rsid w:val="008B20D8"/>
    <w:rsid w:val="008B2C6E"/>
    <w:rsid w:val="008B37D1"/>
    <w:rsid w:val="008B4609"/>
    <w:rsid w:val="008B4713"/>
    <w:rsid w:val="008B4CFE"/>
    <w:rsid w:val="008B6593"/>
    <w:rsid w:val="008B7D9A"/>
    <w:rsid w:val="008C0275"/>
    <w:rsid w:val="008C06ED"/>
    <w:rsid w:val="008C1255"/>
    <w:rsid w:val="008C2893"/>
    <w:rsid w:val="008C2B3A"/>
    <w:rsid w:val="008C2DDF"/>
    <w:rsid w:val="008C382F"/>
    <w:rsid w:val="008C4945"/>
    <w:rsid w:val="008C594C"/>
    <w:rsid w:val="008C59D3"/>
    <w:rsid w:val="008C6AC6"/>
    <w:rsid w:val="008C6DBE"/>
    <w:rsid w:val="008D049E"/>
    <w:rsid w:val="008D08B1"/>
    <w:rsid w:val="008D1ADD"/>
    <w:rsid w:val="008D33DB"/>
    <w:rsid w:val="008D3CBB"/>
    <w:rsid w:val="008D489B"/>
    <w:rsid w:val="008D5020"/>
    <w:rsid w:val="008D6086"/>
    <w:rsid w:val="008D6221"/>
    <w:rsid w:val="008D6FA8"/>
    <w:rsid w:val="008E0008"/>
    <w:rsid w:val="008E0A7B"/>
    <w:rsid w:val="008E111A"/>
    <w:rsid w:val="008E1189"/>
    <w:rsid w:val="008E1259"/>
    <w:rsid w:val="008E265B"/>
    <w:rsid w:val="008E31C0"/>
    <w:rsid w:val="008E3C48"/>
    <w:rsid w:val="008E3C68"/>
    <w:rsid w:val="008E4E76"/>
    <w:rsid w:val="008E5C69"/>
    <w:rsid w:val="008E65EC"/>
    <w:rsid w:val="008E6792"/>
    <w:rsid w:val="008E7021"/>
    <w:rsid w:val="008E7ED9"/>
    <w:rsid w:val="008F0C15"/>
    <w:rsid w:val="008F1365"/>
    <w:rsid w:val="008F1512"/>
    <w:rsid w:val="008F1903"/>
    <w:rsid w:val="008F28AA"/>
    <w:rsid w:val="008F385E"/>
    <w:rsid w:val="008F5A54"/>
    <w:rsid w:val="008F5C39"/>
    <w:rsid w:val="008F5D8C"/>
    <w:rsid w:val="008F63D2"/>
    <w:rsid w:val="008F6C65"/>
    <w:rsid w:val="00900279"/>
    <w:rsid w:val="009009D3"/>
    <w:rsid w:val="0090149D"/>
    <w:rsid w:val="00901BC8"/>
    <w:rsid w:val="009027B1"/>
    <w:rsid w:val="00902A61"/>
    <w:rsid w:val="00902D57"/>
    <w:rsid w:val="00903801"/>
    <w:rsid w:val="009041D4"/>
    <w:rsid w:val="00905320"/>
    <w:rsid w:val="00905904"/>
    <w:rsid w:val="00906B8F"/>
    <w:rsid w:val="00907CB6"/>
    <w:rsid w:val="009100A1"/>
    <w:rsid w:val="009102B6"/>
    <w:rsid w:val="009102F3"/>
    <w:rsid w:val="009106B7"/>
    <w:rsid w:val="00910D50"/>
    <w:rsid w:val="0091102A"/>
    <w:rsid w:val="009113B6"/>
    <w:rsid w:val="009119E7"/>
    <w:rsid w:val="009131EA"/>
    <w:rsid w:val="00913747"/>
    <w:rsid w:val="00913E62"/>
    <w:rsid w:val="00914157"/>
    <w:rsid w:val="00914B70"/>
    <w:rsid w:val="00914D00"/>
    <w:rsid w:val="00916340"/>
    <w:rsid w:val="00917B17"/>
    <w:rsid w:val="00920CBB"/>
    <w:rsid w:val="009215B3"/>
    <w:rsid w:val="0092176E"/>
    <w:rsid w:val="00921771"/>
    <w:rsid w:val="00921855"/>
    <w:rsid w:val="00923804"/>
    <w:rsid w:val="009239A8"/>
    <w:rsid w:val="00924006"/>
    <w:rsid w:val="009250CC"/>
    <w:rsid w:val="009250E4"/>
    <w:rsid w:val="00925B70"/>
    <w:rsid w:val="00925D5A"/>
    <w:rsid w:val="009263DA"/>
    <w:rsid w:val="009269D9"/>
    <w:rsid w:val="00927530"/>
    <w:rsid w:val="0093028F"/>
    <w:rsid w:val="009311BF"/>
    <w:rsid w:val="00931895"/>
    <w:rsid w:val="009339B3"/>
    <w:rsid w:val="00934DF3"/>
    <w:rsid w:val="00934ED4"/>
    <w:rsid w:val="009359C1"/>
    <w:rsid w:val="00936246"/>
    <w:rsid w:val="00936BB8"/>
    <w:rsid w:val="00937A5C"/>
    <w:rsid w:val="009407CC"/>
    <w:rsid w:val="0094119C"/>
    <w:rsid w:val="00941460"/>
    <w:rsid w:val="009416A8"/>
    <w:rsid w:val="009422E8"/>
    <w:rsid w:val="00943EB7"/>
    <w:rsid w:val="00944BB1"/>
    <w:rsid w:val="00947807"/>
    <w:rsid w:val="00947CF9"/>
    <w:rsid w:val="00951727"/>
    <w:rsid w:val="00951F8F"/>
    <w:rsid w:val="00954165"/>
    <w:rsid w:val="00955535"/>
    <w:rsid w:val="00955EEC"/>
    <w:rsid w:val="00956106"/>
    <w:rsid w:val="009568E6"/>
    <w:rsid w:val="0095690D"/>
    <w:rsid w:val="00960C65"/>
    <w:rsid w:val="00960CD9"/>
    <w:rsid w:val="00960E15"/>
    <w:rsid w:val="009615D9"/>
    <w:rsid w:val="00961831"/>
    <w:rsid w:val="0096221C"/>
    <w:rsid w:val="00962495"/>
    <w:rsid w:val="009647EF"/>
    <w:rsid w:val="009670ED"/>
    <w:rsid w:val="00967352"/>
    <w:rsid w:val="00967700"/>
    <w:rsid w:val="0096771D"/>
    <w:rsid w:val="00967DB9"/>
    <w:rsid w:val="00970120"/>
    <w:rsid w:val="00970E0E"/>
    <w:rsid w:val="00971384"/>
    <w:rsid w:val="00971916"/>
    <w:rsid w:val="00971EAA"/>
    <w:rsid w:val="00972013"/>
    <w:rsid w:val="00973749"/>
    <w:rsid w:val="00974546"/>
    <w:rsid w:val="0097537A"/>
    <w:rsid w:val="00975419"/>
    <w:rsid w:val="00975464"/>
    <w:rsid w:val="00975672"/>
    <w:rsid w:val="0097685F"/>
    <w:rsid w:val="0098056A"/>
    <w:rsid w:val="009806FE"/>
    <w:rsid w:val="009816D9"/>
    <w:rsid w:val="009818C1"/>
    <w:rsid w:val="00981A95"/>
    <w:rsid w:val="00981D12"/>
    <w:rsid w:val="00983221"/>
    <w:rsid w:val="0098329F"/>
    <w:rsid w:val="00984000"/>
    <w:rsid w:val="009843FC"/>
    <w:rsid w:val="00985ECF"/>
    <w:rsid w:val="00986A3E"/>
    <w:rsid w:val="009870C7"/>
    <w:rsid w:val="009902FB"/>
    <w:rsid w:val="0099063B"/>
    <w:rsid w:val="0099116A"/>
    <w:rsid w:val="00991417"/>
    <w:rsid w:val="00991503"/>
    <w:rsid w:val="00992311"/>
    <w:rsid w:val="0099271E"/>
    <w:rsid w:val="00992C09"/>
    <w:rsid w:val="00993279"/>
    <w:rsid w:val="00993604"/>
    <w:rsid w:val="00994FDE"/>
    <w:rsid w:val="00995928"/>
    <w:rsid w:val="00995F70"/>
    <w:rsid w:val="009964C4"/>
    <w:rsid w:val="009968A9"/>
    <w:rsid w:val="00997029"/>
    <w:rsid w:val="009973BB"/>
    <w:rsid w:val="009979EA"/>
    <w:rsid w:val="009A01DD"/>
    <w:rsid w:val="009A0E02"/>
    <w:rsid w:val="009A28C4"/>
    <w:rsid w:val="009A36FE"/>
    <w:rsid w:val="009A4126"/>
    <w:rsid w:val="009A48AF"/>
    <w:rsid w:val="009A6664"/>
    <w:rsid w:val="009A786A"/>
    <w:rsid w:val="009B15F0"/>
    <w:rsid w:val="009B1E7B"/>
    <w:rsid w:val="009B20FF"/>
    <w:rsid w:val="009B2A02"/>
    <w:rsid w:val="009B2A70"/>
    <w:rsid w:val="009B572B"/>
    <w:rsid w:val="009B5D14"/>
    <w:rsid w:val="009B6080"/>
    <w:rsid w:val="009B695D"/>
    <w:rsid w:val="009B71DA"/>
    <w:rsid w:val="009B756F"/>
    <w:rsid w:val="009C0D73"/>
    <w:rsid w:val="009C11A8"/>
    <w:rsid w:val="009C3E8F"/>
    <w:rsid w:val="009C44D2"/>
    <w:rsid w:val="009C4DA6"/>
    <w:rsid w:val="009C514B"/>
    <w:rsid w:val="009C52C5"/>
    <w:rsid w:val="009C7253"/>
    <w:rsid w:val="009C796C"/>
    <w:rsid w:val="009C7D7A"/>
    <w:rsid w:val="009C7D96"/>
    <w:rsid w:val="009D176A"/>
    <w:rsid w:val="009D256C"/>
    <w:rsid w:val="009D39E9"/>
    <w:rsid w:val="009D3A7E"/>
    <w:rsid w:val="009D406F"/>
    <w:rsid w:val="009D46A1"/>
    <w:rsid w:val="009D4A03"/>
    <w:rsid w:val="009D506D"/>
    <w:rsid w:val="009D5FBF"/>
    <w:rsid w:val="009E1C4C"/>
    <w:rsid w:val="009E2240"/>
    <w:rsid w:val="009E29A8"/>
    <w:rsid w:val="009E3E09"/>
    <w:rsid w:val="009E4001"/>
    <w:rsid w:val="009E48CC"/>
    <w:rsid w:val="009E5B01"/>
    <w:rsid w:val="009F0055"/>
    <w:rsid w:val="009F113B"/>
    <w:rsid w:val="009F2064"/>
    <w:rsid w:val="009F2164"/>
    <w:rsid w:val="009F2CF8"/>
    <w:rsid w:val="009F33CE"/>
    <w:rsid w:val="009F3D24"/>
    <w:rsid w:val="009F3E85"/>
    <w:rsid w:val="009F4552"/>
    <w:rsid w:val="009F5866"/>
    <w:rsid w:val="009F587C"/>
    <w:rsid w:val="009F628B"/>
    <w:rsid w:val="009F6D38"/>
    <w:rsid w:val="009F70D5"/>
    <w:rsid w:val="00A01176"/>
    <w:rsid w:val="00A02C34"/>
    <w:rsid w:val="00A03F0D"/>
    <w:rsid w:val="00A0458E"/>
    <w:rsid w:val="00A04F33"/>
    <w:rsid w:val="00A0612A"/>
    <w:rsid w:val="00A070EA"/>
    <w:rsid w:val="00A0748F"/>
    <w:rsid w:val="00A0753F"/>
    <w:rsid w:val="00A07754"/>
    <w:rsid w:val="00A10C44"/>
    <w:rsid w:val="00A10F8C"/>
    <w:rsid w:val="00A117A1"/>
    <w:rsid w:val="00A11FFF"/>
    <w:rsid w:val="00A12A65"/>
    <w:rsid w:val="00A12B90"/>
    <w:rsid w:val="00A12DA2"/>
    <w:rsid w:val="00A13A72"/>
    <w:rsid w:val="00A15A35"/>
    <w:rsid w:val="00A16338"/>
    <w:rsid w:val="00A168AC"/>
    <w:rsid w:val="00A20282"/>
    <w:rsid w:val="00A202C8"/>
    <w:rsid w:val="00A202D9"/>
    <w:rsid w:val="00A208DF"/>
    <w:rsid w:val="00A2121E"/>
    <w:rsid w:val="00A21AA1"/>
    <w:rsid w:val="00A21C4D"/>
    <w:rsid w:val="00A21C7D"/>
    <w:rsid w:val="00A223FD"/>
    <w:rsid w:val="00A22490"/>
    <w:rsid w:val="00A22EC8"/>
    <w:rsid w:val="00A2338A"/>
    <w:rsid w:val="00A24C2E"/>
    <w:rsid w:val="00A25559"/>
    <w:rsid w:val="00A25C50"/>
    <w:rsid w:val="00A2784A"/>
    <w:rsid w:val="00A27CB5"/>
    <w:rsid w:val="00A3003E"/>
    <w:rsid w:val="00A3093E"/>
    <w:rsid w:val="00A3095C"/>
    <w:rsid w:val="00A30CD0"/>
    <w:rsid w:val="00A312FE"/>
    <w:rsid w:val="00A3196C"/>
    <w:rsid w:val="00A31CD2"/>
    <w:rsid w:val="00A31CD8"/>
    <w:rsid w:val="00A328EB"/>
    <w:rsid w:val="00A32B6C"/>
    <w:rsid w:val="00A33D86"/>
    <w:rsid w:val="00A34848"/>
    <w:rsid w:val="00A34E38"/>
    <w:rsid w:val="00A35020"/>
    <w:rsid w:val="00A35F68"/>
    <w:rsid w:val="00A3734F"/>
    <w:rsid w:val="00A374B9"/>
    <w:rsid w:val="00A37FDE"/>
    <w:rsid w:val="00A40184"/>
    <w:rsid w:val="00A4065C"/>
    <w:rsid w:val="00A4174E"/>
    <w:rsid w:val="00A41B9C"/>
    <w:rsid w:val="00A42695"/>
    <w:rsid w:val="00A42D81"/>
    <w:rsid w:val="00A443A9"/>
    <w:rsid w:val="00A444D0"/>
    <w:rsid w:val="00A44AC4"/>
    <w:rsid w:val="00A450FD"/>
    <w:rsid w:val="00A45114"/>
    <w:rsid w:val="00A45AC9"/>
    <w:rsid w:val="00A4620E"/>
    <w:rsid w:val="00A467FD"/>
    <w:rsid w:val="00A46894"/>
    <w:rsid w:val="00A501B7"/>
    <w:rsid w:val="00A50BD4"/>
    <w:rsid w:val="00A516DD"/>
    <w:rsid w:val="00A51E34"/>
    <w:rsid w:val="00A52588"/>
    <w:rsid w:val="00A567D2"/>
    <w:rsid w:val="00A572A2"/>
    <w:rsid w:val="00A6010A"/>
    <w:rsid w:val="00A605F8"/>
    <w:rsid w:val="00A60EE0"/>
    <w:rsid w:val="00A61456"/>
    <w:rsid w:val="00A6193F"/>
    <w:rsid w:val="00A629C1"/>
    <w:rsid w:val="00A62A44"/>
    <w:rsid w:val="00A62B99"/>
    <w:rsid w:val="00A632EB"/>
    <w:rsid w:val="00A632FE"/>
    <w:rsid w:val="00A63AD6"/>
    <w:rsid w:val="00A64448"/>
    <w:rsid w:val="00A64BD8"/>
    <w:rsid w:val="00A64FBA"/>
    <w:rsid w:val="00A64FCD"/>
    <w:rsid w:val="00A659F2"/>
    <w:rsid w:val="00A65BEE"/>
    <w:rsid w:val="00A67496"/>
    <w:rsid w:val="00A67AF8"/>
    <w:rsid w:val="00A705DC"/>
    <w:rsid w:val="00A70F7E"/>
    <w:rsid w:val="00A71179"/>
    <w:rsid w:val="00A715E1"/>
    <w:rsid w:val="00A71CD7"/>
    <w:rsid w:val="00A72559"/>
    <w:rsid w:val="00A72866"/>
    <w:rsid w:val="00A75B6D"/>
    <w:rsid w:val="00A75FDF"/>
    <w:rsid w:val="00A76242"/>
    <w:rsid w:val="00A76347"/>
    <w:rsid w:val="00A7657F"/>
    <w:rsid w:val="00A76874"/>
    <w:rsid w:val="00A77171"/>
    <w:rsid w:val="00A7793E"/>
    <w:rsid w:val="00A77B5C"/>
    <w:rsid w:val="00A807C2"/>
    <w:rsid w:val="00A81149"/>
    <w:rsid w:val="00A81926"/>
    <w:rsid w:val="00A81E2D"/>
    <w:rsid w:val="00A82819"/>
    <w:rsid w:val="00A8392C"/>
    <w:rsid w:val="00A84379"/>
    <w:rsid w:val="00A845F6"/>
    <w:rsid w:val="00A84C32"/>
    <w:rsid w:val="00A858B6"/>
    <w:rsid w:val="00A858E9"/>
    <w:rsid w:val="00A86180"/>
    <w:rsid w:val="00A86990"/>
    <w:rsid w:val="00A86C04"/>
    <w:rsid w:val="00A9048C"/>
    <w:rsid w:val="00A91899"/>
    <w:rsid w:val="00A91B2B"/>
    <w:rsid w:val="00A931B2"/>
    <w:rsid w:val="00A93736"/>
    <w:rsid w:val="00A93CA9"/>
    <w:rsid w:val="00A94933"/>
    <w:rsid w:val="00A94E4F"/>
    <w:rsid w:val="00A952A6"/>
    <w:rsid w:val="00A957A7"/>
    <w:rsid w:val="00A95C8D"/>
    <w:rsid w:val="00A96147"/>
    <w:rsid w:val="00A96E07"/>
    <w:rsid w:val="00A96E12"/>
    <w:rsid w:val="00A972C5"/>
    <w:rsid w:val="00AA0587"/>
    <w:rsid w:val="00AA0801"/>
    <w:rsid w:val="00AA0DE8"/>
    <w:rsid w:val="00AA273D"/>
    <w:rsid w:val="00AA2CC1"/>
    <w:rsid w:val="00AA2EFA"/>
    <w:rsid w:val="00AA3951"/>
    <w:rsid w:val="00AA3ADB"/>
    <w:rsid w:val="00AA441B"/>
    <w:rsid w:val="00AB1091"/>
    <w:rsid w:val="00AB1E5B"/>
    <w:rsid w:val="00AB227C"/>
    <w:rsid w:val="00AB2B6F"/>
    <w:rsid w:val="00AB3477"/>
    <w:rsid w:val="00AB357C"/>
    <w:rsid w:val="00AB44E6"/>
    <w:rsid w:val="00AB4A2B"/>
    <w:rsid w:val="00AB572F"/>
    <w:rsid w:val="00AB60CD"/>
    <w:rsid w:val="00AB6F2C"/>
    <w:rsid w:val="00AB7B80"/>
    <w:rsid w:val="00AC048B"/>
    <w:rsid w:val="00AC1C9C"/>
    <w:rsid w:val="00AC267E"/>
    <w:rsid w:val="00AC3246"/>
    <w:rsid w:val="00AC36A0"/>
    <w:rsid w:val="00AC399B"/>
    <w:rsid w:val="00AC47E1"/>
    <w:rsid w:val="00AC4AC9"/>
    <w:rsid w:val="00AC4EE1"/>
    <w:rsid w:val="00AC50A4"/>
    <w:rsid w:val="00AC6335"/>
    <w:rsid w:val="00AC6A0C"/>
    <w:rsid w:val="00AC7020"/>
    <w:rsid w:val="00AD0CC2"/>
    <w:rsid w:val="00AD12F6"/>
    <w:rsid w:val="00AD15B0"/>
    <w:rsid w:val="00AD1CBD"/>
    <w:rsid w:val="00AD1D1A"/>
    <w:rsid w:val="00AD1E38"/>
    <w:rsid w:val="00AD221E"/>
    <w:rsid w:val="00AD2DB6"/>
    <w:rsid w:val="00AD307C"/>
    <w:rsid w:val="00AD30C8"/>
    <w:rsid w:val="00AD34D4"/>
    <w:rsid w:val="00AD3D94"/>
    <w:rsid w:val="00AD41CC"/>
    <w:rsid w:val="00AD4205"/>
    <w:rsid w:val="00AD46EE"/>
    <w:rsid w:val="00AD50CD"/>
    <w:rsid w:val="00AD5273"/>
    <w:rsid w:val="00AD6858"/>
    <w:rsid w:val="00AD74D5"/>
    <w:rsid w:val="00AD763C"/>
    <w:rsid w:val="00AE0D5E"/>
    <w:rsid w:val="00AE22CE"/>
    <w:rsid w:val="00AE2C01"/>
    <w:rsid w:val="00AE3135"/>
    <w:rsid w:val="00AE3804"/>
    <w:rsid w:val="00AE3CBE"/>
    <w:rsid w:val="00AE5C9B"/>
    <w:rsid w:val="00AE6772"/>
    <w:rsid w:val="00AE79E0"/>
    <w:rsid w:val="00AE7D55"/>
    <w:rsid w:val="00AF0194"/>
    <w:rsid w:val="00AF0580"/>
    <w:rsid w:val="00AF06CF"/>
    <w:rsid w:val="00AF1827"/>
    <w:rsid w:val="00AF2006"/>
    <w:rsid w:val="00AF208F"/>
    <w:rsid w:val="00AF26A1"/>
    <w:rsid w:val="00AF3DAD"/>
    <w:rsid w:val="00AF5BD3"/>
    <w:rsid w:val="00AF5E95"/>
    <w:rsid w:val="00AF7329"/>
    <w:rsid w:val="00B0068A"/>
    <w:rsid w:val="00B00F74"/>
    <w:rsid w:val="00B02336"/>
    <w:rsid w:val="00B02486"/>
    <w:rsid w:val="00B04C8D"/>
    <w:rsid w:val="00B04D5F"/>
    <w:rsid w:val="00B05154"/>
    <w:rsid w:val="00B0534F"/>
    <w:rsid w:val="00B05DCC"/>
    <w:rsid w:val="00B12215"/>
    <w:rsid w:val="00B12BE1"/>
    <w:rsid w:val="00B13674"/>
    <w:rsid w:val="00B13953"/>
    <w:rsid w:val="00B16A4F"/>
    <w:rsid w:val="00B16DEE"/>
    <w:rsid w:val="00B17192"/>
    <w:rsid w:val="00B208E7"/>
    <w:rsid w:val="00B2316F"/>
    <w:rsid w:val="00B232AF"/>
    <w:rsid w:val="00B23F83"/>
    <w:rsid w:val="00B2454B"/>
    <w:rsid w:val="00B24814"/>
    <w:rsid w:val="00B2524B"/>
    <w:rsid w:val="00B2573C"/>
    <w:rsid w:val="00B25DE3"/>
    <w:rsid w:val="00B2626F"/>
    <w:rsid w:val="00B26F34"/>
    <w:rsid w:val="00B27682"/>
    <w:rsid w:val="00B319D1"/>
    <w:rsid w:val="00B330C3"/>
    <w:rsid w:val="00B336C1"/>
    <w:rsid w:val="00B34A54"/>
    <w:rsid w:val="00B34D79"/>
    <w:rsid w:val="00B36C44"/>
    <w:rsid w:val="00B379A1"/>
    <w:rsid w:val="00B37C87"/>
    <w:rsid w:val="00B4003E"/>
    <w:rsid w:val="00B400EF"/>
    <w:rsid w:val="00B41572"/>
    <w:rsid w:val="00B42D59"/>
    <w:rsid w:val="00B4334D"/>
    <w:rsid w:val="00B45C0B"/>
    <w:rsid w:val="00B45C89"/>
    <w:rsid w:val="00B47177"/>
    <w:rsid w:val="00B47A2D"/>
    <w:rsid w:val="00B5021E"/>
    <w:rsid w:val="00B502E8"/>
    <w:rsid w:val="00B5056D"/>
    <w:rsid w:val="00B506FF"/>
    <w:rsid w:val="00B50FF6"/>
    <w:rsid w:val="00B52414"/>
    <w:rsid w:val="00B5343C"/>
    <w:rsid w:val="00B535F4"/>
    <w:rsid w:val="00B53A6F"/>
    <w:rsid w:val="00B53CAD"/>
    <w:rsid w:val="00B54769"/>
    <w:rsid w:val="00B5599A"/>
    <w:rsid w:val="00B55ECC"/>
    <w:rsid w:val="00B56D38"/>
    <w:rsid w:val="00B57380"/>
    <w:rsid w:val="00B60944"/>
    <w:rsid w:val="00B61A33"/>
    <w:rsid w:val="00B61DBE"/>
    <w:rsid w:val="00B61E45"/>
    <w:rsid w:val="00B620C9"/>
    <w:rsid w:val="00B62560"/>
    <w:rsid w:val="00B634CE"/>
    <w:rsid w:val="00B635D6"/>
    <w:rsid w:val="00B639F0"/>
    <w:rsid w:val="00B6438D"/>
    <w:rsid w:val="00B6469B"/>
    <w:rsid w:val="00B6518D"/>
    <w:rsid w:val="00B652EA"/>
    <w:rsid w:val="00B65545"/>
    <w:rsid w:val="00B65886"/>
    <w:rsid w:val="00B6594F"/>
    <w:rsid w:val="00B67247"/>
    <w:rsid w:val="00B67F68"/>
    <w:rsid w:val="00B70670"/>
    <w:rsid w:val="00B71259"/>
    <w:rsid w:val="00B719E8"/>
    <w:rsid w:val="00B71C06"/>
    <w:rsid w:val="00B71FE4"/>
    <w:rsid w:val="00B723D1"/>
    <w:rsid w:val="00B72466"/>
    <w:rsid w:val="00B72A0C"/>
    <w:rsid w:val="00B74320"/>
    <w:rsid w:val="00B743FE"/>
    <w:rsid w:val="00B753CD"/>
    <w:rsid w:val="00B75D60"/>
    <w:rsid w:val="00B7710E"/>
    <w:rsid w:val="00B801AA"/>
    <w:rsid w:val="00B803B2"/>
    <w:rsid w:val="00B80855"/>
    <w:rsid w:val="00B827BF"/>
    <w:rsid w:val="00B82D67"/>
    <w:rsid w:val="00B82EB1"/>
    <w:rsid w:val="00B83506"/>
    <w:rsid w:val="00B83C43"/>
    <w:rsid w:val="00B85F5D"/>
    <w:rsid w:val="00B86290"/>
    <w:rsid w:val="00B86722"/>
    <w:rsid w:val="00B86BF9"/>
    <w:rsid w:val="00B87949"/>
    <w:rsid w:val="00B87968"/>
    <w:rsid w:val="00B87D47"/>
    <w:rsid w:val="00B907DE"/>
    <w:rsid w:val="00B90B20"/>
    <w:rsid w:val="00B91A97"/>
    <w:rsid w:val="00B92058"/>
    <w:rsid w:val="00B93275"/>
    <w:rsid w:val="00B93847"/>
    <w:rsid w:val="00B940D6"/>
    <w:rsid w:val="00B94110"/>
    <w:rsid w:val="00B95DB5"/>
    <w:rsid w:val="00B95EA9"/>
    <w:rsid w:val="00B96128"/>
    <w:rsid w:val="00BA086D"/>
    <w:rsid w:val="00BA27B9"/>
    <w:rsid w:val="00BA29A3"/>
    <w:rsid w:val="00BA2B5A"/>
    <w:rsid w:val="00BA396A"/>
    <w:rsid w:val="00BA3B4D"/>
    <w:rsid w:val="00BA440E"/>
    <w:rsid w:val="00BA46D5"/>
    <w:rsid w:val="00BA4761"/>
    <w:rsid w:val="00BA5988"/>
    <w:rsid w:val="00BA5EA9"/>
    <w:rsid w:val="00BA6677"/>
    <w:rsid w:val="00BA6CF0"/>
    <w:rsid w:val="00BA7B5F"/>
    <w:rsid w:val="00BA7D53"/>
    <w:rsid w:val="00BB07CA"/>
    <w:rsid w:val="00BB13B0"/>
    <w:rsid w:val="00BB2243"/>
    <w:rsid w:val="00BB2472"/>
    <w:rsid w:val="00BB26BD"/>
    <w:rsid w:val="00BB3071"/>
    <w:rsid w:val="00BB4DA8"/>
    <w:rsid w:val="00BB5C9B"/>
    <w:rsid w:val="00BB654C"/>
    <w:rsid w:val="00BB7259"/>
    <w:rsid w:val="00BB78E4"/>
    <w:rsid w:val="00BB7D10"/>
    <w:rsid w:val="00BC08F9"/>
    <w:rsid w:val="00BC2FB5"/>
    <w:rsid w:val="00BC7E1A"/>
    <w:rsid w:val="00BD0CCA"/>
    <w:rsid w:val="00BD0E1B"/>
    <w:rsid w:val="00BD14DA"/>
    <w:rsid w:val="00BD1520"/>
    <w:rsid w:val="00BD16A2"/>
    <w:rsid w:val="00BD17B8"/>
    <w:rsid w:val="00BD4A82"/>
    <w:rsid w:val="00BD4AF5"/>
    <w:rsid w:val="00BD581A"/>
    <w:rsid w:val="00BD6B29"/>
    <w:rsid w:val="00BE021F"/>
    <w:rsid w:val="00BE0B77"/>
    <w:rsid w:val="00BE1113"/>
    <w:rsid w:val="00BE2894"/>
    <w:rsid w:val="00BE28BA"/>
    <w:rsid w:val="00BE418D"/>
    <w:rsid w:val="00BE43EF"/>
    <w:rsid w:val="00BE4D39"/>
    <w:rsid w:val="00BE6C75"/>
    <w:rsid w:val="00BE6CE2"/>
    <w:rsid w:val="00BE6E37"/>
    <w:rsid w:val="00BE6F01"/>
    <w:rsid w:val="00BF0CD5"/>
    <w:rsid w:val="00BF2BAC"/>
    <w:rsid w:val="00BF35F2"/>
    <w:rsid w:val="00BF3885"/>
    <w:rsid w:val="00BF4700"/>
    <w:rsid w:val="00BF5832"/>
    <w:rsid w:val="00BF60FB"/>
    <w:rsid w:val="00BF61DA"/>
    <w:rsid w:val="00BF7616"/>
    <w:rsid w:val="00C012D5"/>
    <w:rsid w:val="00C03ECB"/>
    <w:rsid w:val="00C0410F"/>
    <w:rsid w:val="00C04D71"/>
    <w:rsid w:val="00C055D0"/>
    <w:rsid w:val="00C05A43"/>
    <w:rsid w:val="00C05BD9"/>
    <w:rsid w:val="00C06C13"/>
    <w:rsid w:val="00C074CA"/>
    <w:rsid w:val="00C11480"/>
    <w:rsid w:val="00C1189D"/>
    <w:rsid w:val="00C120BB"/>
    <w:rsid w:val="00C12496"/>
    <w:rsid w:val="00C124FE"/>
    <w:rsid w:val="00C12A5C"/>
    <w:rsid w:val="00C1366B"/>
    <w:rsid w:val="00C136D9"/>
    <w:rsid w:val="00C149D9"/>
    <w:rsid w:val="00C16774"/>
    <w:rsid w:val="00C20685"/>
    <w:rsid w:val="00C2267C"/>
    <w:rsid w:val="00C2287D"/>
    <w:rsid w:val="00C22FE8"/>
    <w:rsid w:val="00C23066"/>
    <w:rsid w:val="00C235C9"/>
    <w:rsid w:val="00C23A65"/>
    <w:rsid w:val="00C23C09"/>
    <w:rsid w:val="00C24E48"/>
    <w:rsid w:val="00C255CB"/>
    <w:rsid w:val="00C261D6"/>
    <w:rsid w:val="00C27ACA"/>
    <w:rsid w:val="00C308AD"/>
    <w:rsid w:val="00C30E75"/>
    <w:rsid w:val="00C31167"/>
    <w:rsid w:val="00C31EAC"/>
    <w:rsid w:val="00C348FC"/>
    <w:rsid w:val="00C34A09"/>
    <w:rsid w:val="00C35560"/>
    <w:rsid w:val="00C36D02"/>
    <w:rsid w:val="00C40878"/>
    <w:rsid w:val="00C408BB"/>
    <w:rsid w:val="00C40B12"/>
    <w:rsid w:val="00C40BF0"/>
    <w:rsid w:val="00C41E74"/>
    <w:rsid w:val="00C41EEE"/>
    <w:rsid w:val="00C42716"/>
    <w:rsid w:val="00C428C5"/>
    <w:rsid w:val="00C4294E"/>
    <w:rsid w:val="00C448B7"/>
    <w:rsid w:val="00C45DB4"/>
    <w:rsid w:val="00C45F58"/>
    <w:rsid w:val="00C469A0"/>
    <w:rsid w:val="00C46E5A"/>
    <w:rsid w:val="00C47624"/>
    <w:rsid w:val="00C47AC3"/>
    <w:rsid w:val="00C5028A"/>
    <w:rsid w:val="00C504A0"/>
    <w:rsid w:val="00C5082A"/>
    <w:rsid w:val="00C50869"/>
    <w:rsid w:val="00C51262"/>
    <w:rsid w:val="00C52038"/>
    <w:rsid w:val="00C525D6"/>
    <w:rsid w:val="00C53851"/>
    <w:rsid w:val="00C55002"/>
    <w:rsid w:val="00C55728"/>
    <w:rsid w:val="00C55B56"/>
    <w:rsid w:val="00C56EFF"/>
    <w:rsid w:val="00C6012A"/>
    <w:rsid w:val="00C612F0"/>
    <w:rsid w:val="00C61852"/>
    <w:rsid w:val="00C61AEE"/>
    <w:rsid w:val="00C625B0"/>
    <w:rsid w:val="00C631A9"/>
    <w:rsid w:val="00C633B9"/>
    <w:rsid w:val="00C63952"/>
    <w:rsid w:val="00C63D99"/>
    <w:rsid w:val="00C6488D"/>
    <w:rsid w:val="00C65AE3"/>
    <w:rsid w:val="00C66EE0"/>
    <w:rsid w:val="00C672F4"/>
    <w:rsid w:val="00C700B2"/>
    <w:rsid w:val="00C704CE"/>
    <w:rsid w:val="00C70CCA"/>
    <w:rsid w:val="00C72F5C"/>
    <w:rsid w:val="00C7318D"/>
    <w:rsid w:val="00C731B6"/>
    <w:rsid w:val="00C74632"/>
    <w:rsid w:val="00C74FB7"/>
    <w:rsid w:val="00C7504C"/>
    <w:rsid w:val="00C75318"/>
    <w:rsid w:val="00C7575F"/>
    <w:rsid w:val="00C75938"/>
    <w:rsid w:val="00C759C1"/>
    <w:rsid w:val="00C76BB7"/>
    <w:rsid w:val="00C76D91"/>
    <w:rsid w:val="00C80471"/>
    <w:rsid w:val="00C809B8"/>
    <w:rsid w:val="00C810F3"/>
    <w:rsid w:val="00C82E85"/>
    <w:rsid w:val="00C83C54"/>
    <w:rsid w:val="00C83E16"/>
    <w:rsid w:val="00C84924"/>
    <w:rsid w:val="00C84E8A"/>
    <w:rsid w:val="00C8793D"/>
    <w:rsid w:val="00C87B1E"/>
    <w:rsid w:val="00C90018"/>
    <w:rsid w:val="00C90BFA"/>
    <w:rsid w:val="00C92600"/>
    <w:rsid w:val="00C93782"/>
    <w:rsid w:val="00C93E4A"/>
    <w:rsid w:val="00C94BBA"/>
    <w:rsid w:val="00C94EA9"/>
    <w:rsid w:val="00C95513"/>
    <w:rsid w:val="00C95C89"/>
    <w:rsid w:val="00C96C17"/>
    <w:rsid w:val="00CA0FEE"/>
    <w:rsid w:val="00CA1540"/>
    <w:rsid w:val="00CA1659"/>
    <w:rsid w:val="00CA2763"/>
    <w:rsid w:val="00CA3355"/>
    <w:rsid w:val="00CA3699"/>
    <w:rsid w:val="00CA3BB0"/>
    <w:rsid w:val="00CA3D6A"/>
    <w:rsid w:val="00CA4DA6"/>
    <w:rsid w:val="00CA6301"/>
    <w:rsid w:val="00CA7A4C"/>
    <w:rsid w:val="00CB1B6F"/>
    <w:rsid w:val="00CB1E84"/>
    <w:rsid w:val="00CB289A"/>
    <w:rsid w:val="00CB328A"/>
    <w:rsid w:val="00CB37BA"/>
    <w:rsid w:val="00CB4157"/>
    <w:rsid w:val="00CB4437"/>
    <w:rsid w:val="00CB4A4F"/>
    <w:rsid w:val="00CB5402"/>
    <w:rsid w:val="00CB5AB1"/>
    <w:rsid w:val="00CB5C99"/>
    <w:rsid w:val="00CB637D"/>
    <w:rsid w:val="00CB7BB1"/>
    <w:rsid w:val="00CB7F68"/>
    <w:rsid w:val="00CC3265"/>
    <w:rsid w:val="00CC3EB7"/>
    <w:rsid w:val="00CC4C2A"/>
    <w:rsid w:val="00CC55FF"/>
    <w:rsid w:val="00CC69A1"/>
    <w:rsid w:val="00CC6EFE"/>
    <w:rsid w:val="00CC7BAB"/>
    <w:rsid w:val="00CD0675"/>
    <w:rsid w:val="00CD0684"/>
    <w:rsid w:val="00CD148C"/>
    <w:rsid w:val="00CD185E"/>
    <w:rsid w:val="00CD1D2C"/>
    <w:rsid w:val="00CD21B9"/>
    <w:rsid w:val="00CD2FC8"/>
    <w:rsid w:val="00CD3933"/>
    <w:rsid w:val="00CD3D29"/>
    <w:rsid w:val="00CD3D4F"/>
    <w:rsid w:val="00CD3E25"/>
    <w:rsid w:val="00CD3FB0"/>
    <w:rsid w:val="00CD4F6D"/>
    <w:rsid w:val="00CD5121"/>
    <w:rsid w:val="00CD5A03"/>
    <w:rsid w:val="00CD67D6"/>
    <w:rsid w:val="00CD6B69"/>
    <w:rsid w:val="00CD7CAF"/>
    <w:rsid w:val="00CE11E9"/>
    <w:rsid w:val="00CE11FE"/>
    <w:rsid w:val="00CE17F2"/>
    <w:rsid w:val="00CE24B4"/>
    <w:rsid w:val="00CE258D"/>
    <w:rsid w:val="00CE279C"/>
    <w:rsid w:val="00CE30D5"/>
    <w:rsid w:val="00CE470E"/>
    <w:rsid w:val="00CE58BA"/>
    <w:rsid w:val="00CE7CA4"/>
    <w:rsid w:val="00CE7E87"/>
    <w:rsid w:val="00CF0E20"/>
    <w:rsid w:val="00CF1B95"/>
    <w:rsid w:val="00CF210B"/>
    <w:rsid w:val="00CF2CDE"/>
    <w:rsid w:val="00CF2F34"/>
    <w:rsid w:val="00CF302C"/>
    <w:rsid w:val="00CF3462"/>
    <w:rsid w:val="00CF4433"/>
    <w:rsid w:val="00CF55CB"/>
    <w:rsid w:val="00CF572B"/>
    <w:rsid w:val="00CF5C36"/>
    <w:rsid w:val="00CF6C37"/>
    <w:rsid w:val="00CF6F8E"/>
    <w:rsid w:val="00CF711F"/>
    <w:rsid w:val="00CF7C7A"/>
    <w:rsid w:val="00CF7E51"/>
    <w:rsid w:val="00CF7F16"/>
    <w:rsid w:val="00D001EF"/>
    <w:rsid w:val="00D01418"/>
    <w:rsid w:val="00D01613"/>
    <w:rsid w:val="00D0287F"/>
    <w:rsid w:val="00D02E1A"/>
    <w:rsid w:val="00D02E6B"/>
    <w:rsid w:val="00D0475A"/>
    <w:rsid w:val="00D05A65"/>
    <w:rsid w:val="00D05CE8"/>
    <w:rsid w:val="00D079E0"/>
    <w:rsid w:val="00D1002A"/>
    <w:rsid w:val="00D10107"/>
    <w:rsid w:val="00D10AE1"/>
    <w:rsid w:val="00D1291A"/>
    <w:rsid w:val="00D133F8"/>
    <w:rsid w:val="00D136C0"/>
    <w:rsid w:val="00D13798"/>
    <w:rsid w:val="00D14704"/>
    <w:rsid w:val="00D149CA"/>
    <w:rsid w:val="00D14B54"/>
    <w:rsid w:val="00D15181"/>
    <w:rsid w:val="00D153B0"/>
    <w:rsid w:val="00D16DF7"/>
    <w:rsid w:val="00D16F70"/>
    <w:rsid w:val="00D1768D"/>
    <w:rsid w:val="00D17B8B"/>
    <w:rsid w:val="00D17DCF"/>
    <w:rsid w:val="00D20F6E"/>
    <w:rsid w:val="00D21313"/>
    <w:rsid w:val="00D213C7"/>
    <w:rsid w:val="00D222CF"/>
    <w:rsid w:val="00D242C6"/>
    <w:rsid w:val="00D255C8"/>
    <w:rsid w:val="00D2600A"/>
    <w:rsid w:val="00D26BF4"/>
    <w:rsid w:val="00D3001E"/>
    <w:rsid w:val="00D31C9B"/>
    <w:rsid w:val="00D32354"/>
    <w:rsid w:val="00D328D6"/>
    <w:rsid w:val="00D32C4F"/>
    <w:rsid w:val="00D34183"/>
    <w:rsid w:val="00D3432B"/>
    <w:rsid w:val="00D353D9"/>
    <w:rsid w:val="00D3573E"/>
    <w:rsid w:val="00D36292"/>
    <w:rsid w:val="00D36BE7"/>
    <w:rsid w:val="00D400FF"/>
    <w:rsid w:val="00D402A3"/>
    <w:rsid w:val="00D405CB"/>
    <w:rsid w:val="00D414D6"/>
    <w:rsid w:val="00D429C3"/>
    <w:rsid w:val="00D438DE"/>
    <w:rsid w:val="00D441B4"/>
    <w:rsid w:val="00D4616E"/>
    <w:rsid w:val="00D463AA"/>
    <w:rsid w:val="00D50142"/>
    <w:rsid w:val="00D50CF9"/>
    <w:rsid w:val="00D51288"/>
    <w:rsid w:val="00D51578"/>
    <w:rsid w:val="00D52C26"/>
    <w:rsid w:val="00D52CB4"/>
    <w:rsid w:val="00D53932"/>
    <w:rsid w:val="00D53F62"/>
    <w:rsid w:val="00D555F9"/>
    <w:rsid w:val="00D556F1"/>
    <w:rsid w:val="00D5619D"/>
    <w:rsid w:val="00D56ADB"/>
    <w:rsid w:val="00D56C5D"/>
    <w:rsid w:val="00D56F77"/>
    <w:rsid w:val="00D6008F"/>
    <w:rsid w:val="00D60DB7"/>
    <w:rsid w:val="00D613AE"/>
    <w:rsid w:val="00D61943"/>
    <w:rsid w:val="00D62BD7"/>
    <w:rsid w:val="00D63369"/>
    <w:rsid w:val="00D63413"/>
    <w:rsid w:val="00D64361"/>
    <w:rsid w:val="00D64870"/>
    <w:rsid w:val="00D64AAF"/>
    <w:rsid w:val="00D64C8B"/>
    <w:rsid w:val="00D659E4"/>
    <w:rsid w:val="00D661E3"/>
    <w:rsid w:val="00D66282"/>
    <w:rsid w:val="00D6681A"/>
    <w:rsid w:val="00D66BEA"/>
    <w:rsid w:val="00D6722E"/>
    <w:rsid w:val="00D6731B"/>
    <w:rsid w:val="00D70410"/>
    <w:rsid w:val="00D71682"/>
    <w:rsid w:val="00D72721"/>
    <w:rsid w:val="00D74EA2"/>
    <w:rsid w:val="00D75089"/>
    <w:rsid w:val="00D75A42"/>
    <w:rsid w:val="00D81951"/>
    <w:rsid w:val="00D819E4"/>
    <w:rsid w:val="00D829CD"/>
    <w:rsid w:val="00D8305D"/>
    <w:rsid w:val="00D83759"/>
    <w:rsid w:val="00D84259"/>
    <w:rsid w:val="00D842AF"/>
    <w:rsid w:val="00D844AF"/>
    <w:rsid w:val="00D849CC"/>
    <w:rsid w:val="00D85D34"/>
    <w:rsid w:val="00D86AB3"/>
    <w:rsid w:val="00D86D1E"/>
    <w:rsid w:val="00D87115"/>
    <w:rsid w:val="00D87B1F"/>
    <w:rsid w:val="00D9013D"/>
    <w:rsid w:val="00D90539"/>
    <w:rsid w:val="00D90B62"/>
    <w:rsid w:val="00D912FA"/>
    <w:rsid w:val="00D91D17"/>
    <w:rsid w:val="00D91D38"/>
    <w:rsid w:val="00D927DD"/>
    <w:rsid w:val="00D92C17"/>
    <w:rsid w:val="00D934D8"/>
    <w:rsid w:val="00D9467E"/>
    <w:rsid w:val="00D95823"/>
    <w:rsid w:val="00D958FA"/>
    <w:rsid w:val="00D974CF"/>
    <w:rsid w:val="00D97904"/>
    <w:rsid w:val="00D97E0B"/>
    <w:rsid w:val="00DA02A1"/>
    <w:rsid w:val="00DA0F36"/>
    <w:rsid w:val="00DA21E6"/>
    <w:rsid w:val="00DA2DBF"/>
    <w:rsid w:val="00DA2F8B"/>
    <w:rsid w:val="00DA2FDB"/>
    <w:rsid w:val="00DA3FC0"/>
    <w:rsid w:val="00DA475F"/>
    <w:rsid w:val="00DA50C3"/>
    <w:rsid w:val="00DA5358"/>
    <w:rsid w:val="00DA5E0D"/>
    <w:rsid w:val="00DA618B"/>
    <w:rsid w:val="00DA6A3B"/>
    <w:rsid w:val="00DA6C8E"/>
    <w:rsid w:val="00DA6E25"/>
    <w:rsid w:val="00DA7549"/>
    <w:rsid w:val="00DA7628"/>
    <w:rsid w:val="00DA78ED"/>
    <w:rsid w:val="00DA79B2"/>
    <w:rsid w:val="00DA7AEB"/>
    <w:rsid w:val="00DA7BB8"/>
    <w:rsid w:val="00DB0546"/>
    <w:rsid w:val="00DB0570"/>
    <w:rsid w:val="00DB0B57"/>
    <w:rsid w:val="00DB1A0B"/>
    <w:rsid w:val="00DB1A8A"/>
    <w:rsid w:val="00DB22EC"/>
    <w:rsid w:val="00DB2842"/>
    <w:rsid w:val="00DB5120"/>
    <w:rsid w:val="00DB5AE9"/>
    <w:rsid w:val="00DB63E0"/>
    <w:rsid w:val="00DB67B2"/>
    <w:rsid w:val="00DB6970"/>
    <w:rsid w:val="00DB6E92"/>
    <w:rsid w:val="00DB7515"/>
    <w:rsid w:val="00DC0B7E"/>
    <w:rsid w:val="00DC1C58"/>
    <w:rsid w:val="00DC2451"/>
    <w:rsid w:val="00DC2610"/>
    <w:rsid w:val="00DC2A70"/>
    <w:rsid w:val="00DC2BB3"/>
    <w:rsid w:val="00DC4673"/>
    <w:rsid w:val="00DC4CE9"/>
    <w:rsid w:val="00DC5812"/>
    <w:rsid w:val="00DC5C08"/>
    <w:rsid w:val="00DC634F"/>
    <w:rsid w:val="00DC749B"/>
    <w:rsid w:val="00DC7FE1"/>
    <w:rsid w:val="00DD0974"/>
    <w:rsid w:val="00DD1BE8"/>
    <w:rsid w:val="00DD2808"/>
    <w:rsid w:val="00DD472F"/>
    <w:rsid w:val="00DD4954"/>
    <w:rsid w:val="00DD4C91"/>
    <w:rsid w:val="00DD5F88"/>
    <w:rsid w:val="00DD6AF7"/>
    <w:rsid w:val="00DD7F04"/>
    <w:rsid w:val="00DE03AC"/>
    <w:rsid w:val="00DE0744"/>
    <w:rsid w:val="00DE0912"/>
    <w:rsid w:val="00DE0CE7"/>
    <w:rsid w:val="00DE11AA"/>
    <w:rsid w:val="00DE250C"/>
    <w:rsid w:val="00DE2D9B"/>
    <w:rsid w:val="00DE35DC"/>
    <w:rsid w:val="00DE4C68"/>
    <w:rsid w:val="00DE5439"/>
    <w:rsid w:val="00DE547D"/>
    <w:rsid w:val="00DE69D6"/>
    <w:rsid w:val="00DE6D58"/>
    <w:rsid w:val="00DE7091"/>
    <w:rsid w:val="00DE7C48"/>
    <w:rsid w:val="00DE7F94"/>
    <w:rsid w:val="00DF05BF"/>
    <w:rsid w:val="00DF0BFC"/>
    <w:rsid w:val="00DF1933"/>
    <w:rsid w:val="00DF2054"/>
    <w:rsid w:val="00DF2B2F"/>
    <w:rsid w:val="00DF383A"/>
    <w:rsid w:val="00DF3C46"/>
    <w:rsid w:val="00DF7B68"/>
    <w:rsid w:val="00E006FE"/>
    <w:rsid w:val="00E00923"/>
    <w:rsid w:val="00E00A9F"/>
    <w:rsid w:val="00E02DFF"/>
    <w:rsid w:val="00E03F70"/>
    <w:rsid w:val="00E042CE"/>
    <w:rsid w:val="00E055A6"/>
    <w:rsid w:val="00E10940"/>
    <w:rsid w:val="00E112B0"/>
    <w:rsid w:val="00E11603"/>
    <w:rsid w:val="00E12696"/>
    <w:rsid w:val="00E12FC8"/>
    <w:rsid w:val="00E13276"/>
    <w:rsid w:val="00E133DB"/>
    <w:rsid w:val="00E140D6"/>
    <w:rsid w:val="00E14B8C"/>
    <w:rsid w:val="00E163FB"/>
    <w:rsid w:val="00E1664D"/>
    <w:rsid w:val="00E16941"/>
    <w:rsid w:val="00E16BC3"/>
    <w:rsid w:val="00E20B42"/>
    <w:rsid w:val="00E22006"/>
    <w:rsid w:val="00E2221B"/>
    <w:rsid w:val="00E22A59"/>
    <w:rsid w:val="00E236A0"/>
    <w:rsid w:val="00E26279"/>
    <w:rsid w:val="00E27B8C"/>
    <w:rsid w:val="00E3247D"/>
    <w:rsid w:val="00E329E8"/>
    <w:rsid w:val="00E32C2F"/>
    <w:rsid w:val="00E32E78"/>
    <w:rsid w:val="00E33305"/>
    <w:rsid w:val="00E3376D"/>
    <w:rsid w:val="00E33A5A"/>
    <w:rsid w:val="00E342A5"/>
    <w:rsid w:val="00E346CB"/>
    <w:rsid w:val="00E35217"/>
    <w:rsid w:val="00E373F6"/>
    <w:rsid w:val="00E37DFC"/>
    <w:rsid w:val="00E37E76"/>
    <w:rsid w:val="00E410E7"/>
    <w:rsid w:val="00E417AC"/>
    <w:rsid w:val="00E41B52"/>
    <w:rsid w:val="00E433B4"/>
    <w:rsid w:val="00E44618"/>
    <w:rsid w:val="00E4489E"/>
    <w:rsid w:val="00E453E2"/>
    <w:rsid w:val="00E46769"/>
    <w:rsid w:val="00E4694A"/>
    <w:rsid w:val="00E5115E"/>
    <w:rsid w:val="00E512E4"/>
    <w:rsid w:val="00E51AA6"/>
    <w:rsid w:val="00E53016"/>
    <w:rsid w:val="00E530BF"/>
    <w:rsid w:val="00E53911"/>
    <w:rsid w:val="00E53AD9"/>
    <w:rsid w:val="00E53EDA"/>
    <w:rsid w:val="00E546B0"/>
    <w:rsid w:val="00E54C1A"/>
    <w:rsid w:val="00E54E1B"/>
    <w:rsid w:val="00E56A0C"/>
    <w:rsid w:val="00E57FD7"/>
    <w:rsid w:val="00E605CA"/>
    <w:rsid w:val="00E60D97"/>
    <w:rsid w:val="00E62D0A"/>
    <w:rsid w:val="00E63ADC"/>
    <w:rsid w:val="00E64A01"/>
    <w:rsid w:val="00E64D67"/>
    <w:rsid w:val="00E6520C"/>
    <w:rsid w:val="00E65C38"/>
    <w:rsid w:val="00E66CE3"/>
    <w:rsid w:val="00E67725"/>
    <w:rsid w:val="00E67BE5"/>
    <w:rsid w:val="00E70134"/>
    <w:rsid w:val="00E701D5"/>
    <w:rsid w:val="00E71065"/>
    <w:rsid w:val="00E7150A"/>
    <w:rsid w:val="00E716B6"/>
    <w:rsid w:val="00E7190B"/>
    <w:rsid w:val="00E7341C"/>
    <w:rsid w:val="00E7398E"/>
    <w:rsid w:val="00E73B80"/>
    <w:rsid w:val="00E73D2F"/>
    <w:rsid w:val="00E74078"/>
    <w:rsid w:val="00E74536"/>
    <w:rsid w:val="00E74992"/>
    <w:rsid w:val="00E74C71"/>
    <w:rsid w:val="00E74E3A"/>
    <w:rsid w:val="00E7605E"/>
    <w:rsid w:val="00E76DE1"/>
    <w:rsid w:val="00E77574"/>
    <w:rsid w:val="00E77AC8"/>
    <w:rsid w:val="00E8081E"/>
    <w:rsid w:val="00E80E44"/>
    <w:rsid w:val="00E81909"/>
    <w:rsid w:val="00E84074"/>
    <w:rsid w:val="00E84877"/>
    <w:rsid w:val="00E84A88"/>
    <w:rsid w:val="00E85453"/>
    <w:rsid w:val="00E863F8"/>
    <w:rsid w:val="00E86CC2"/>
    <w:rsid w:val="00E86E07"/>
    <w:rsid w:val="00E86E5E"/>
    <w:rsid w:val="00E876B6"/>
    <w:rsid w:val="00E9005B"/>
    <w:rsid w:val="00E90F76"/>
    <w:rsid w:val="00E91F98"/>
    <w:rsid w:val="00E924F6"/>
    <w:rsid w:val="00E92561"/>
    <w:rsid w:val="00E9292D"/>
    <w:rsid w:val="00E9395D"/>
    <w:rsid w:val="00E943F3"/>
    <w:rsid w:val="00E961FD"/>
    <w:rsid w:val="00E96E96"/>
    <w:rsid w:val="00E97FDF"/>
    <w:rsid w:val="00EA0702"/>
    <w:rsid w:val="00EA1CC0"/>
    <w:rsid w:val="00EA42C7"/>
    <w:rsid w:val="00EA4449"/>
    <w:rsid w:val="00EA4579"/>
    <w:rsid w:val="00EA5675"/>
    <w:rsid w:val="00EA66D1"/>
    <w:rsid w:val="00EA7677"/>
    <w:rsid w:val="00EB2D3E"/>
    <w:rsid w:val="00EB2F2E"/>
    <w:rsid w:val="00EB3E30"/>
    <w:rsid w:val="00EB4A95"/>
    <w:rsid w:val="00EB533C"/>
    <w:rsid w:val="00EB641D"/>
    <w:rsid w:val="00EB6EC1"/>
    <w:rsid w:val="00EB6FB3"/>
    <w:rsid w:val="00EB7189"/>
    <w:rsid w:val="00EB789B"/>
    <w:rsid w:val="00EC02CD"/>
    <w:rsid w:val="00EC0ABA"/>
    <w:rsid w:val="00EC1FC3"/>
    <w:rsid w:val="00EC2D5A"/>
    <w:rsid w:val="00EC30CB"/>
    <w:rsid w:val="00EC375B"/>
    <w:rsid w:val="00EC40C3"/>
    <w:rsid w:val="00EC4F2E"/>
    <w:rsid w:val="00EC6E5C"/>
    <w:rsid w:val="00EC6F9C"/>
    <w:rsid w:val="00EC7131"/>
    <w:rsid w:val="00EC720E"/>
    <w:rsid w:val="00EC7C65"/>
    <w:rsid w:val="00EC7F98"/>
    <w:rsid w:val="00ED2248"/>
    <w:rsid w:val="00ED2A3A"/>
    <w:rsid w:val="00ED3A1F"/>
    <w:rsid w:val="00ED3EFC"/>
    <w:rsid w:val="00ED4054"/>
    <w:rsid w:val="00ED4956"/>
    <w:rsid w:val="00ED5AB8"/>
    <w:rsid w:val="00ED7B42"/>
    <w:rsid w:val="00EE124D"/>
    <w:rsid w:val="00EE332D"/>
    <w:rsid w:val="00EE3592"/>
    <w:rsid w:val="00EE36F9"/>
    <w:rsid w:val="00EE4177"/>
    <w:rsid w:val="00EE648B"/>
    <w:rsid w:val="00EE68FD"/>
    <w:rsid w:val="00EE7C38"/>
    <w:rsid w:val="00EF0BB8"/>
    <w:rsid w:val="00EF0E62"/>
    <w:rsid w:val="00EF0EBF"/>
    <w:rsid w:val="00EF1922"/>
    <w:rsid w:val="00EF1FC9"/>
    <w:rsid w:val="00EF262F"/>
    <w:rsid w:val="00EF2817"/>
    <w:rsid w:val="00EF2A7B"/>
    <w:rsid w:val="00EF3BA9"/>
    <w:rsid w:val="00EF4457"/>
    <w:rsid w:val="00EF4D8E"/>
    <w:rsid w:val="00EF52FD"/>
    <w:rsid w:val="00EF5B50"/>
    <w:rsid w:val="00EF63E9"/>
    <w:rsid w:val="00EF6CBB"/>
    <w:rsid w:val="00EF7015"/>
    <w:rsid w:val="00EF7271"/>
    <w:rsid w:val="00EF7A2C"/>
    <w:rsid w:val="00F001FE"/>
    <w:rsid w:val="00F00500"/>
    <w:rsid w:val="00F00A68"/>
    <w:rsid w:val="00F00A84"/>
    <w:rsid w:val="00F01554"/>
    <w:rsid w:val="00F02A29"/>
    <w:rsid w:val="00F033D9"/>
    <w:rsid w:val="00F03723"/>
    <w:rsid w:val="00F037C6"/>
    <w:rsid w:val="00F03E68"/>
    <w:rsid w:val="00F04239"/>
    <w:rsid w:val="00F04FEA"/>
    <w:rsid w:val="00F05A1D"/>
    <w:rsid w:val="00F0698C"/>
    <w:rsid w:val="00F06CDD"/>
    <w:rsid w:val="00F070AC"/>
    <w:rsid w:val="00F07BFF"/>
    <w:rsid w:val="00F105E7"/>
    <w:rsid w:val="00F11B1D"/>
    <w:rsid w:val="00F1226A"/>
    <w:rsid w:val="00F1258C"/>
    <w:rsid w:val="00F131AB"/>
    <w:rsid w:val="00F151AC"/>
    <w:rsid w:val="00F15514"/>
    <w:rsid w:val="00F1568B"/>
    <w:rsid w:val="00F16B36"/>
    <w:rsid w:val="00F17B6E"/>
    <w:rsid w:val="00F2036F"/>
    <w:rsid w:val="00F21178"/>
    <w:rsid w:val="00F22270"/>
    <w:rsid w:val="00F22CA5"/>
    <w:rsid w:val="00F2307A"/>
    <w:rsid w:val="00F23E3B"/>
    <w:rsid w:val="00F240B0"/>
    <w:rsid w:val="00F261CC"/>
    <w:rsid w:val="00F30086"/>
    <w:rsid w:val="00F30959"/>
    <w:rsid w:val="00F312A0"/>
    <w:rsid w:val="00F3159C"/>
    <w:rsid w:val="00F31E22"/>
    <w:rsid w:val="00F31E26"/>
    <w:rsid w:val="00F31FC6"/>
    <w:rsid w:val="00F31FF4"/>
    <w:rsid w:val="00F32175"/>
    <w:rsid w:val="00F3233D"/>
    <w:rsid w:val="00F325B2"/>
    <w:rsid w:val="00F33C79"/>
    <w:rsid w:val="00F354F4"/>
    <w:rsid w:val="00F35940"/>
    <w:rsid w:val="00F36936"/>
    <w:rsid w:val="00F36A38"/>
    <w:rsid w:val="00F3735B"/>
    <w:rsid w:val="00F37467"/>
    <w:rsid w:val="00F37779"/>
    <w:rsid w:val="00F37B12"/>
    <w:rsid w:val="00F37B74"/>
    <w:rsid w:val="00F40DF4"/>
    <w:rsid w:val="00F4130C"/>
    <w:rsid w:val="00F41788"/>
    <w:rsid w:val="00F41D7B"/>
    <w:rsid w:val="00F42085"/>
    <w:rsid w:val="00F43602"/>
    <w:rsid w:val="00F43736"/>
    <w:rsid w:val="00F45082"/>
    <w:rsid w:val="00F45675"/>
    <w:rsid w:val="00F45B5A"/>
    <w:rsid w:val="00F46670"/>
    <w:rsid w:val="00F4686A"/>
    <w:rsid w:val="00F46DD5"/>
    <w:rsid w:val="00F5006D"/>
    <w:rsid w:val="00F508E4"/>
    <w:rsid w:val="00F51128"/>
    <w:rsid w:val="00F5277E"/>
    <w:rsid w:val="00F55257"/>
    <w:rsid w:val="00F553A9"/>
    <w:rsid w:val="00F558D1"/>
    <w:rsid w:val="00F55ADC"/>
    <w:rsid w:val="00F56628"/>
    <w:rsid w:val="00F5666C"/>
    <w:rsid w:val="00F566BA"/>
    <w:rsid w:val="00F56CC8"/>
    <w:rsid w:val="00F57B80"/>
    <w:rsid w:val="00F60472"/>
    <w:rsid w:val="00F604D1"/>
    <w:rsid w:val="00F61447"/>
    <w:rsid w:val="00F61698"/>
    <w:rsid w:val="00F61AF2"/>
    <w:rsid w:val="00F6209B"/>
    <w:rsid w:val="00F6252F"/>
    <w:rsid w:val="00F6253A"/>
    <w:rsid w:val="00F628FE"/>
    <w:rsid w:val="00F63A74"/>
    <w:rsid w:val="00F64798"/>
    <w:rsid w:val="00F64A4B"/>
    <w:rsid w:val="00F64B74"/>
    <w:rsid w:val="00F653F9"/>
    <w:rsid w:val="00F66F40"/>
    <w:rsid w:val="00F66FFC"/>
    <w:rsid w:val="00F6732E"/>
    <w:rsid w:val="00F67835"/>
    <w:rsid w:val="00F70005"/>
    <w:rsid w:val="00F704A5"/>
    <w:rsid w:val="00F72D0E"/>
    <w:rsid w:val="00F73507"/>
    <w:rsid w:val="00F75724"/>
    <w:rsid w:val="00F75DAA"/>
    <w:rsid w:val="00F76380"/>
    <w:rsid w:val="00F76509"/>
    <w:rsid w:val="00F7681B"/>
    <w:rsid w:val="00F76EDB"/>
    <w:rsid w:val="00F7717A"/>
    <w:rsid w:val="00F77419"/>
    <w:rsid w:val="00F80AB8"/>
    <w:rsid w:val="00F812D5"/>
    <w:rsid w:val="00F836BB"/>
    <w:rsid w:val="00F851C1"/>
    <w:rsid w:val="00F85C26"/>
    <w:rsid w:val="00F86142"/>
    <w:rsid w:val="00F8753B"/>
    <w:rsid w:val="00F92A28"/>
    <w:rsid w:val="00F92C0D"/>
    <w:rsid w:val="00F92C86"/>
    <w:rsid w:val="00F92F34"/>
    <w:rsid w:val="00F9336D"/>
    <w:rsid w:val="00F9400D"/>
    <w:rsid w:val="00F948A4"/>
    <w:rsid w:val="00F963DD"/>
    <w:rsid w:val="00F972CD"/>
    <w:rsid w:val="00F97950"/>
    <w:rsid w:val="00F97EA2"/>
    <w:rsid w:val="00FA155D"/>
    <w:rsid w:val="00FA2094"/>
    <w:rsid w:val="00FA2EB8"/>
    <w:rsid w:val="00FA365D"/>
    <w:rsid w:val="00FA36E8"/>
    <w:rsid w:val="00FA37CC"/>
    <w:rsid w:val="00FA7A2E"/>
    <w:rsid w:val="00FB1492"/>
    <w:rsid w:val="00FB1BF3"/>
    <w:rsid w:val="00FB1C90"/>
    <w:rsid w:val="00FB1EA1"/>
    <w:rsid w:val="00FB2E6A"/>
    <w:rsid w:val="00FB3ADF"/>
    <w:rsid w:val="00FB4720"/>
    <w:rsid w:val="00FB49F4"/>
    <w:rsid w:val="00FB4B82"/>
    <w:rsid w:val="00FB4F70"/>
    <w:rsid w:val="00FB67B4"/>
    <w:rsid w:val="00FB71F1"/>
    <w:rsid w:val="00FB731B"/>
    <w:rsid w:val="00FB7FB0"/>
    <w:rsid w:val="00FC052F"/>
    <w:rsid w:val="00FC2C14"/>
    <w:rsid w:val="00FC30FA"/>
    <w:rsid w:val="00FC38F4"/>
    <w:rsid w:val="00FC3C14"/>
    <w:rsid w:val="00FC45B8"/>
    <w:rsid w:val="00FC5154"/>
    <w:rsid w:val="00FC6FC5"/>
    <w:rsid w:val="00FC747E"/>
    <w:rsid w:val="00FC74B8"/>
    <w:rsid w:val="00FD134E"/>
    <w:rsid w:val="00FD173C"/>
    <w:rsid w:val="00FD1750"/>
    <w:rsid w:val="00FD1DD8"/>
    <w:rsid w:val="00FD34D9"/>
    <w:rsid w:val="00FD3564"/>
    <w:rsid w:val="00FD480F"/>
    <w:rsid w:val="00FD487A"/>
    <w:rsid w:val="00FD751A"/>
    <w:rsid w:val="00FE0B38"/>
    <w:rsid w:val="00FE1206"/>
    <w:rsid w:val="00FE1797"/>
    <w:rsid w:val="00FE190E"/>
    <w:rsid w:val="00FE1D88"/>
    <w:rsid w:val="00FE2703"/>
    <w:rsid w:val="00FE60E1"/>
    <w:rsid w:val="00FE67CB"/>
    <w:rsid w:val="00FE7E4B"/>
    <w:rsid w:val="00FF0585"/>
    <w:rsid w:val="00FF151A"/>
    <w:rsid w:val="00FF191B"/>
    <w:rsid w:val="00FF2228"/>
    <w:rsid w:val="00FF2493"/>
    <w:rsid w:val="00FF25EF"/>
    <w:rsid w:val="00FF2A4E"/>
    <w:rsid w:val="00FF3172"/>
    <w:rsid w:val="00FF366A"/>
    <w:rsid w:val="00FF41B1"/>
    <w:rsid w:val="00FF452F"/>
    <w:rsid w:val="00FF4CA8"/>
    <w:rsid w:val="00FF4E67"/>
    <w:rsid w:val="00FF4F99"/>
    <w:rsid w:val="00FF695D"/>
    <w:rsid w:val="00FF70A0"/>
    <w:rsid w:val="00FF7322"/>
    <w:rsid w:val="00FF77A2"/>
    <w:rsid w:val="00FF792F"/>
    <w:rsid w:val="00FF7B66"/>
    <w:rsid w:val="00FF7F07"/>
    <w:rsid w:val="010827C0"/>
    <w:rsid w:val="014F04E5"/>
    <w:rsid w:val="016F283F"/>
    <w:rsid w:val="01920401"/>
    <w:rsid w:val="0195644C"/>
    <w:rsid w:val="0196601E"/>
    <w:rsid w:val="019E4202"/>
    <w:rsid w:val="01B87B26"/>
    <w:rsid w:val="01C072D1"/>
    <w:rsid w:val="01C62F65"/>
    <w:rsid w:val="02450B5D"/>
    <w:rsid w:val="025008C3"/>
    <w:rsid w:val="0255198A"/>
    <w:rsid w:val="026B1AC9"/>
    <w:rsid w:val="027423B3"/>
    <w:rsid w:val="028E7BDF"/>
    <w:rsid w:val="02B472A9"/>
    <w:rsid w:val="02C95469"/>
    <w:rsid w:val="02D34744"/>
    <w:rsid w:val="02D61B95"/>
    <w:rsid w:val="03101E00"/>
    <w:rsid w:val="03110CB2"/>
    <w:rsid w:val="034F484F"/>
    <w:rsid w:val="03E11484"/>
    <w:rsid w:val="04552530"/>
    <w:rsid w:val="0465519A"/>
    <w:rsid w:val="04B05277"/>
    <w:rsid w:val="04B14A54"/>
    <w:rsid w:val="05087233"/>
    <w:rsid w:val="050D4295"/>
    <w:rsid w:val="05371AF0"/>
    <w:rsid w:val="0548574A"/>
    <w:rsid w:val="054A1206"/>
    <w:rsid w:val="05544350"/>
    <w:rsid w:val="05D02834"/>
    <w:rsid w:val="05E64C20"/>
    <w:rsid w:val="05ED6429"/>
    <w:rsid w:val="062051A9"/>
    <w:rsid w:val="064A0705"/>
    <w:rsid w:val="06897EFF"/>
    <w:rsid w:val="06A04F45"/>
    <w:rsid w:val="06AF0529"/>
    <w:rsid w:val="06AF7AFE"/>
    <w:rsid w:val="06B04F83"/>
    <w:rsid w:val="06CD24E2"/>
    <w:rsid w:val="06D500D3"/>
    <w:rsid w:val="074143D2"/>
    <w:rsid w:val="07443158"/>
    <w:rsid w:val="074E6108"/>
    <w:rsid w:val="07D41F0B"/>
    <w:rsid w:val="07EF451C"/>
    <w:rsid w:val="07F4584C"/>
    <w:rsid w:val="080A62FE"/>
    <w:rsid w:val="082500FC"/>
    <w:rsid w:val="082779D0"/>
    <w:rsid w:val="08305869"/>
    <w:rsid w:val="088F1F3E"/>
    <w:rsid w:val="089E6217"/>
    <w:rsid w:val="08BE09DC"/>
    <w:rsid w:val="08C96CD9"/>
    <w:rsid w:val="08D82CBE"/>
    <w:rsid w:val="08DF2475"/>
    <w:rsid w:val="08E421C5"/>
    <w:rsid w:val="08F63846"/>
    <w:rsid w:val="08F830FA"/>
    <w:rsid w:val="091F4B4B"/>
    <w:rsid w:val="09287EA3"/>
    <w:rsid w:val="09293C1C"/>
    <w:rsid w:val="092A4459"/>
    <w:rsid w:val="093F1B4A"/>
    <w:rsid w:val="09755F8A"/>
    <w:rsid w:val="098D41AA"/>
    <w:rsid w:val="09B53677"/>
    <w:rsid w:val="09F101AC"/>
    <w:rsid w:val="09F547F1"/>
    <w:rsid w:val="0A1641A0"/>
    <w:rsid w:val="0A374116"/>
    <w:rsid w:val="0A425D09"/>
    <w:rsid w:val="0A615213"/>
    <w:rsid w:val="0A894972"/>
    <w:rsid w:val="0AD361DF"/>
    <w:rsid w:val="0AF139A7"/>
    <w:rsid w:val="0BA17A99"/>
    <w:rsid w:val="0BAF7383"/>
    <w:rsid w:val="0BB97AC8"/>
    <w:rsid w:val="0BCA09F3"/>
    <w:rsid w:val="0BCE4606"/>
    <w:rsid w:val="0BCF5D24"/>
    <w:rsid w:val="0C174BC2"/>
    <w:rsid w:val="0C1A784C"/>
    <w:rsid w:val="0C7D722D"/>
    <w:rsid w:val="0CB97FA9"/>
    <w:rsid w:val="0CCB1770"/>
    <w:rsid w:val="0CCE5B94"/>
    <w:rsid w:val="0CEF39AD"/>
    <w:rsid w:val="0CFF1A4A"/>
    <w:rsid w:val="0D3F1B32"/>
    <w:rsid w:val="0D5A43A4"/>
    <w:rsid w:val="0D5F286E"/>
    <w:rsid w:val="0DEB14A0"/>
    <w:rsid w:val="0DEB54DD"/>
    <w:rsid w:val="0E096438"/>
    <w:rsid w:val="0E1A25F8"/>
    <w:rsid w:val="0E33119A"/>
    <w:rsid w:val="0E484B44"/>
    <w:rsid w:val="0ED71EEE"/>
    <w:rsid w:val="0EEF05BA"/>
    <w:rsid w:val="0F0F11BE"/>
    <w:rsid w:val="0F2203CF"/>
    <w:rsid w:val="0F272863"/>
    <w:rsid w:val="0F2C78B5"/>
    <w:rsid w:val="0F340C24"/>
    <w:rsid w:val="0F49256A"/>
    <w:rsid w:val="0F544915"/>
    <w:rsid w:val="0F6256F4"/>
    <w:rsid w:val="0FAC2639"/>
    <w:rsid w:val="0FB2671F"/>
    <w:rsid w:val="0FBF4B97"/>
    <w:rsid w:val="10130368"/>
    <w:rsid w:val="102E514F"/>
    <w:rsid w:val="104C77C0"/>
    <w:rsid w:val="1061783B"/>
    <w:rsid w:val="10AF2C58"/>
    <w:rsid w:val="10BF71E9"/>
    <w:rsid w:val="10D241D0"/>
    <w:rsid w:val="11105DEF"/>
    <w:rsid w:val="111123A7"/>
    <w:rsid w:val="1132247A"/>
    <w:rsid w:val="113B0034"/>
    <w:rsid w:val="11511AAD"/>
    <w:rsid w:val="11714438"/>
    <w:rsid w:val="117C475F"/>
    <w:rsid w:val="11B271DC"/>
    <w:rsid w:val="11D10160"/>
    <w:rsid w:val="1204469C"/>
    <w:rsid w:val="12135469"/>
    <w:rsid w:val="121E04E8"/>
    <w:rsid w:val="12200177"/>
    <w:rsid w:val="126E04C4"/>
    <w:rsid w:val="12900868"/>
    <w:rsid w:val="12C10A21"/>
    <w:rsid w:val="12F64B6E"/>
    <w:rsid w:val="130970C4"/>
    <w:rsid w:val="13441AE5"/>
    <w:rsid w:val="134C6DD6"/>
    <w:rsid w:val="136D666B"/>
    <w:rsid w:val="139F799A"/>
    <w:rsid w:val="13B17C71"/>
    <w:rsid w:val="13CE17D5"/>
    <w:rsid w:val="1405689D"/>
    <w:rsid w:val="140E5EE8"/>
    <w:rsid w:val="1425441D"/>
    <w:rsid w:val="14301B0C"/>
    <w:rsid w:val="14711FFC"/>
    <w:rsid w:val="147C18B9"/>
    <w:rsid w:val="147E2158"/>
    <w:rsid w:val="14970D4A"/>
    <w:rsid w:val="14AD4DB8"/>
    <w:rsid w:val="14C4258A"/>
    <w:rsid w:val="15A64BF0"/>
    <w:rsid w:val="15C13494"/>
    <w:rsid w:val="15EC220C"/>
    <w:rsid w:val="15F555B1"/>
    <w:rsid w:val="161E3404"/>
    <w:rsid w:val="169C77DB"/>
    <w:rsid w:val="16CD208A"/>
    <w:rsid w:val="16E573D4"/>
    <w:rsid w:val="170A6E3A"/>
    <w:rsid w:val="1720040C"/>
    <w:rsid w:val="174E3C66"/>
    <w:rsid w:val="175005C5"/>
    <w:rsid w:val="176D3DBC"/>
    <w:rsid w:val="17BA0860"/>
    <w:rsid w:val="17FF1CA5"/>
    <w:rsid w:val="186576DB"/>
    <w:rsid w:val="1870581D"/>
    <w:rsid w:val="18852DC4"/>
    <w:rsid w:val="18B43EE8"/>
    <w:rsid w:val="18D07C10"/>
    <w:rsid w:val="19940024"/>
    <w:rsid w:val="19B73F44"/>
    <w:rsid w:val="1A1C0075"/>
    <w:rsid w:val="1A2235E4"/>
    <w:rsid w:val="1A304E0A"/>
    <w:rsid w:val="1A367F46"/>
    <w:rsid w:val="1A943AF7"/>
    <w:rsid w:val="1ADC3C25"/>
    <w:rsid w:val="1B0A0ACD"/>
    <w:rsid w:val="1B2C68C9"/>
    <w:rsid w:val="1B4D2EB0"/>
    <w:rsid w:val="1B8A22F8"/>
    <w:rsid w:val="1BA809D0"/>
    <w:rsid w:val="1BAD4A8B"/>
    <w:rsid w:val="1BC8769B"/>
    <w:rsid w:val="1C041A94"/>
    <w:rsid w:val="1C456AEB"/>
    <w:rsid w:val="1C817B9F"/>
    <w:rsid w:val="1C8C41A9"/>
    <w:rsid w:val="1C913B90"/>
    <w:rsid w:val="1C982E58"/>
    <w:rsid w:val="1CAA2094"/>
    <w:rsid w:val="1CB338B2"/>
    <w:rsid w:val="1CBB1081"/>
    <w:rsid w:val="1CF52D14"/>
    <w:rsid w:val="1D076741"/>
    <w:rsid w:val="1D0F3860"/>
    <w:rsid w:val="1D2A5E93"/>
    <w:rsid w:val="1D3369BF"/>
    <w:rsid w:val="1D354CD2"/>
    <w:rsid w:val="1D5C49B8"/>
    <w:rsid w:val="1D6227F8"/>
    <w:rsid w:val="1D644556"/>
    <w:rsid w:val="1DAB7C59"/>
    <w:rsid w:val="1DB775F0"/>
    <w:rsid w:val="1DC96A0D"/>
    <w:rsid w:val="1DE1661E"/>
    <w:rsid w:val="1DFE291F"/>
    <w:rsid w:val="1E141822"/>
    <w:rsid w:val="1E385966"/>
    <w:rsid w:val="1E601256"/>
    <w:rsid w:val="1E7D1FC4"/>
    <w:rsid w:val="1E990AA4"/>
    <w:rsid w:val="1EC41FC5"/>
    <w:rsid w:val="1EE42889"/>
    <w:rsid w:val="1F093E7B"/>
    <w:rsid w:val="1F132604"/>
    <w:rsid w:val="1F4C5B16"/>
    <w:rsid w:val="1F852551"/>
    <w:rsid w:val="1FA73631"/>
    <w:rsid w:val="1FAB0A8F"/>
    <w:rsid w:val="1FBB64FE"/>
    <w:rsid w:val="1FC009DE"/>
    <w:rsid w:val="1FC35DD8"/>
    <w:rsid w:val="1FF90AD1"/>
    <w:rsid w:val="201448F3"/>
    <w:rsid w:val="2056004D"/>
    <w:rsid w:val="205F5715"/>
    <w:rsid w:val="206B2007"/>
    <w:rsid w:val="207B4905"/>
    <w:rsid w:val="20A04297"/>
    <w:rsid w:val="20C20C31"/>
    <w:rsid w:val="20C84D12"/>
    <w:rsid w:val="20EA3839"/>
    <w:rsid w:val="210F6386"/>
    <w:rsid w:val="21123AF4"/>
    <w:rsid w:val="214B42D7"/>
    <w:rsid w:val="21543824"/>
    <w:rsid w:val="215A1D31"/>
    <w:rsid w:val="2197751D"/>
    <w:rsid w:val="21A6126D"/>
    <w:rsid w:val="21AC5E05"/>
    <w:rsid w:val="21BA77C5"/>
    <w:rsid w:val="21C10A3D"/>
    <w:rsid w:val="21CD2F3E"/>
    <w:rsid w:val="21E40288"/>
    <w:rsid w:val="220F1E76"/>
    <w:rsid w:val="22135316"/>
    <w:rsid w:val="22312373"/>
    <w:rsid w:val="223E3706"/>
    <w:rsid w:val="225D0766"/>
    <w:rsid w:val="227F3C44"/>
    <w:rsid w:val="22813E3B"/>
    <w:rsid w:val="229B2BFD"/>
    <w:rsid w:val="22C4509D"/>
    <w:rsid w:val="22D14F53"/>
    <w:rsid w:val="22F4274D"/>
    <w:rsid w:val="23447230"/>
    <w:rsid w:val="239F492C"/>
    <w:rsid w:val="23AC59BF"/>
    <w:rsid w:val="23DB0465"/>
    <w:rsid w:val="23DE59BA"/>
    <w:rsid w:val="240E27FB"/>
    <w:rsid w:val="2460453E"/>
    <w:rsid w:val="24613453"/>
    <w:rsid w:val="24690BB2"/>
    <w:rsid w:val="247955FF"/>
    <w:rsid w:val="24A43F77"/>
    <w:rsid w:val="24C1158C"/>
    <w:rsid w:val="24C82820"/>
    <w:rsid w:val="24D16C22"/>
    <w:rsid w:val="24D740D4"/>
    <w:rsid w:val="25011339"/>
    <w:rsid w:val="25236D9F"/>
    <w:rsid w:val="256E3D48"/>
    <w:rsid w:val="25F50CB6"/>
    <w:rsid w:val="26163EB5"/>
    <w:rsid w:val="26321F0A"/>
    <w:rsid w:val="265B2A1E"/>
    <w:rsid w:val="26C568DA"/>
    <w:rsid w:val="26D905D7"/>
    <w:rsid w:val="26EA6665"/>
    <w:rsid w:val="27223B87"/>
    <w:rsid w:val="273902E6"/>
    <w:rsid w:val="2746688A"/>
    <w:rsid w:val="276B6060"/>
    <w:rsid w:val="27822A1D"/>
    <w:rsid w:val="278F23C0"/>
    <w:rsid w:val="27AD56A5"/>
    <w:rsid w:val="27B2145C"/>
    <w:rsid w:val="27FA7131"/>
    <w:rsid w:val="281A0EA7"/>
    <w:rsid w:val="28435545"/>
    <w:rsid w:val="287C121A"/>
    <w:rsid w:val="28884063"/>
    <w:rsid w:val="28962D82"/>
    <w:rsid w:val="28C22024"/>
    <w:rsid w:val="28DA4193"/>
    <w:rsid w:val="28E76FDC"/>
    <w:rsid w:val="28F42AC8"/>
    <w:rsid w:val="28FB2A87"/>
    <w:rsid w:val="290129D3"/>
    <w:rsid w:val="298D5275"/>
    <w:rsid w:val="29A742A4"/>
    <w:rsid w:val="29F56D48"/>
    <w:rsid w:val="2A0D0CC4"/>
    <w:rsid w:val="2A1B2201"/>
    <w:rsid w:val="2A613DAE"/>
    <w:rsid w:val="2A73489F"/>
    <w:rsid w:val="2AC8240E"/>
    <w:rsid w:val="2AE474F4"/>
    <w:rsid w:val="2AE91610"/>
    <w:rsid w:val="2AF23A16"/>
    <w:rsid w:val="2B2D0EF2"/>
    <w:rsid w:val="2B69661F"/>
    <w:rsid w:val="2BA271EA"/>
    <w:rsid w:val="2BAE7D76"/>
    <w:rsid w:val="2BCD7395"/>
    <w:rsid w:val="2BCE4856"/>
    <w:rsid w:val="2BEC2B5B"/>
    <w:rsid w:val="2C0B1EB7"/>
    <w:rsid w:val="2C3708A1"/>
    <w:rsid w:val="2C371CC5"/>
    <w:rsid w:val="2C4E1120"/>
    <w:rsid w:val="2C740C6A"/>
    <w:rsid w:val="2C8F5842"/>
    <w:rsid w:val="2CBA5B43"/>
    <w:rsid w:val="2CBE0286"/>
    <w:rsid w:val="2CFE750E"/>
    <w:rsid w:val="2D05394C"/>
    <w:rsid w:val="2D0F7889"/>
    <w:rsid w:val="2D874C30"/>
    <w:rsid w:val="2DC0604D"/>
    <w:rsid w:val="2DD361E2"/>
    <w:rsid w:val="2DF42E5B"/>
    <w:rsid w:val="2E0A72C8"/>
    <w:rsid w:val="2E0D4939"/>
    <w:rsid w:val="2E734E6D"/>
    <w:rsid w:val="2E933762"/>
    <w:rsid w:val="2EA27501"/>
    <w:rsid w:val="2EB16D61"/>
    <w:rsid w:val="2EE46E89"/>
    <w:rsid w:val="2F0361F1"/>
    <w:rsid w:val="2F260132"/>
    <w:rsid w:val="2F3C2100"/>
    <w:rsid w:val="2F3E7857"/>
    <w:rsid w:val="2F5E167A"/>
    <w:rsid w:val="2F624773"/>
    <w:rsid w:val="2F7A54B3"/>
    <w:rsid w:val="2F9060E8"/>
    <w:rsid w:val="2FCA440F"/>
    <w:rsid w:val="2FE00F3D"/>
    <w:rsid w:val="2FE57FED"/>
    <w:rsid w:val="2FEC4067"/>
    <w:rsid w:val="2FF02C24"/>
    <w:rsid w:val="2FF40230"/>
    <w:rsid w:val="2FFC2FA7"/>
    <w:rsid w:val="30246A80"/>
    <w:rsid w:val="305C0CAD"/>
    <w:rsid w:val="307325D9"/>
    <w:rsid w:val="30B11ABF"/>
    <w:rsid w:val="30C51EF2"/>
    <w:rsid w:val="30D977A2"/>
    <w:rsid w:val="318750EF"/>
    <w:rsid w:val="318C73AC"/>
    <w:rsid w:val="31D71BB7"/>
    <w:rsid w:val="31E71DFA"/>
    <w:rsid w:val="31F2015C"/>
    <w:rsid w:val="31F67EDC"/>
    <w:rsid w:val="325D5CAE"/>
    <w:rsid w:val="32E53E60"/>
    <w:rsid w:val="333E257D"/>
    <w:rsid w:val="33473172"/>
    <w:rsid w:val="337C0898"/>
    <w:rsid w:val="33CD3196"/>
    <w:rsid w:val="341774EA"/>
    <w:rsid w:val="343C6007"/>
    <w:rsid w:val="3474525E"/>
    <w:rsid w:val="348231C8"/>
    <w:rsid w:val="349756CD"/>
    <w:rsid w:val="34BB1D0D"/>
    <w:rsid w:val="34DB703E"/>
    <w:rsid w:val="34DF325D"/>
    <w:rsid w:val="352B6080"/>
    <w:rsid w:val="352E7A4E"/>
    <w:rsid w:val="355D1BDD"/>
    <w:rsid w:val="35BB002A"/>
    <w:rsid w:val="35D46B3A"/>
    <w:rsid w:val="35F273D0"/>
    <w:rsid w:val="35FF1075"/>
    <w:rsid w:val="36312BA6"/>
    <w:rsid w:val="363E3E80"/>
    <w:rsid w:val="364147F8"/>
    <w:rsid w:val="3659703F"/>
    <w:rsid w:val="36AB0D07"/>
    <w:rsid w:val="36CA51EA"/>
    <w:rsid w:val="36F44901"/>
    <w:rsid w:val="371216F3"/>
    <w:rsid w:val="371562DB"/>
    <w:rsid w:val="37256F21"/>
    <w:rsid w:val="37321D6A"/>
    <w:rsid w:val="37555A58"/>
    <w:rsid w:val="375E2E42"/>
    <w:rsid w:val="37B26BC7"/>
    <w:rsid w:val="37BA272F"/>
    <w:rsid w:val="37DF7667"/>
    <w:rsid w:val="3810197F"/>
    <w:rsid w:val="381E47F3"/>
    <w:rsid w:val="382F7F59"/>
    <w:rsid w:val="3898459D"/>
    <w:rsid w:val="38B4677D"/>
    <w:rsid w:val="38D65532"/>
    <w:rsid w:val="39585248"/>
    <w:rsid w:val="39682C9F"/>
    <w:rsid w:val="39C0030D"/>
    <w:rsid w:val="39E15BEA"/>
    <w:rsid w:val="3A74592E"/>
    <w:rsid w:val="3AF96F3C"/>
    <w:rsid w:val="3AFF6407"/>
    <w:rsid w:val="3B4E1274"/>
    <w:rsid w:val="3B5B73B5"/>
    <w:rsid w:val="3B6A75F8"/>
    <w:rsid w:val="3B8A2759"/>
    <w:rsid w:val="3BA20BFD"/>
    <w:rsid w:val="3BA42B0A"/>
    <w:rsid w:val="3BC40B50"/>
    <w:rsid w:val="3BD01B51"/>
    <w:rsid w:val="3C003D8D"/>
    <w:rsid w:val="3C3917A1"/>
    <w:rsid w:val="3C5C2847"/>
    <w:rsid w:val="3C925059"/>
    <w:rsid w:val="3CB5559F"/>
    <w:rsid w:val="3CBC2B52"/>
    <w:rsid w:val="3CE753A4"/>
    <w:rsid w:val="3D1A4877"/>
    <w:rsid w:val="3D1F312E"/>
    <w:rsid w:val="3D340328"/>
    <w:rsid w:val="3D6A7724"/>
    <w:rsid w:val="3DDC1163"/>
    <w:rsid w:val="3E3711E2"/>
    <w:rsid w:val="3E421533"/>
    <w:rsid w:val="3E4E44C1"/>
    <w:rsid w:val="3E706C67"/>
    <w:rsid w:val="3E8D5E6B"/>
    <w:rsid w:val="3ED01430"/>
    <w:rsid w:val="3EDC25BB"/>
    <w:rsid w:val="3EF74B23"/>
    <w:rsid w:val="3F081602"/>
    <w:rsid w:val="3F66594E"/>
    <w:rsid w:val="3F796D91"/>
    <w:rsid w:val="3F9733C2"/>
    <w:rsid w:val="3FA30497"/>
    <w:rsid w:val="3FD247CD"/>
    <w:rsid w:val="3FD414E4"/>
    <w:rsid w:val="40925627"/>
    <w:rsid w:val="40D45C40"/>
    <w:rsid w:val="40DB5220"/>
    <w:rsid w:val="40E81C84"/>
    <w:rsid w:val="40F94293"/>
    <w:rsid w:val="4157061F"/>
    <w:rsid w:val="41597EF3"/>
    <w:rsid w:val="41662610"/>
    <w:rsid w:val="41921B27"/>
    <w:rsid w:val="41D33E93"/>
    <w:rsid w:val="41D46DAB"/>
    <w:rsid w:val="41D75722"/>
    <w:rsid w:val="420D7370"/>
    <w:rsid w:val="429E34F1"/>
    <w:rsid w:val="42AA6865"/>
    <w:rsid w:val="42C57F36"/>
    <w:rsid w:val="42D27F5D"/>
    <w:rsid w:val="42EA6221"/>
    <w:rsid w:val="434A46EC"/>
    <w:rsid w:val="435C7A89"/>
    <w:rsid w:val="437B01A5"/>
    <w:rsid w:val="43941B2C"/>
    <w:rsid w:val="43CB2F74"/>
    <w:rsid w:val="43E20674"/>
    <w:rsid w:val="444A568D"/>
    <w:rsid w:val="444C4C47"/>
    <w:rsid w:val="44590819"/>
    <w:rsid w:val="445B488C"/>
    <w:rsid w:val="446E48E9"/>
    <w:rsid w:val="44784B34"/>
    <w:rsid w:val="447B1C4D"/>
    <w:rsid w:val="450665E4"/>
    <w:rsid w:val="450F3328"/>
    <w:rsid w:val="453252CE"/>
    <w:rsid w:val="453A4CCF"/>
    <w:rsid w:val="45597105"/>
    <w:rsid w:val="455E0086"/>
    <w:rsid w:val="45640302"/>
    <w:rsid w:val="456C63D5"/>
    <w:rsid w:val="45763405"/>
    <w:rsid w:val="458B7D93"/>
    <w:rsid w:val="46293689"/>
    <w:rsid w:val="465A35BD"/>
    <w:rsid w:val="465D0485"/>
    <w:rsid w:val="465F0134"/>
    <w:rsid w:val="46D93AEF"/>
    <w:rsid w:val="47113641"/>
    <w:rsid w:val="4742292E"/>
    <w:rsid w:val="475E2568"/>
    <w:rsid w:val="476B6BD2"/>
    <w:rsid w:val="47842674"/>
    <w:rsid w:val="4795427E"/>
    <w:rsid w:val="479F32A6"/>
    <w:rsid w:val="47B9126E"/>
    <w:rsid w:val="47D12ED9"/>
    <w:rsid w:val="48322A33"/>
    <w:rsid w:val="485B09F4"/>
    <w:rsid w:val="4866371A"/>
    <w:rsid w:val="48674224"/>
    <w:rsid w:val="48A95C04"/>
    <w:rsid w:val="48CE652C"/>
    <w:rsid w:val="48D91605"/>
    <w:rsid w:val="48F97216"/>
    <w:rsid w:val="492275A4"/>
    <w:rsid w:val="49446E29"/>
    <w:rsid w:val="49C9699B"/>
    <w:rsid w:val="49DD50AA"/>
    <w:rsid w:val="4A496086"/>
    <w:rsid w:val="4A6C513B"/>
    <w:rsid w:val="4A74295D"/>
    <w:rsid w:val="4AC11C68"/>
    <w:rsid w:val="4ACE1952"/>
    <w:rsid w:val="4AEE4B84"/>
    <w:rsid w:val="4AEF15D8"/>
    <w:rsid w:val="4B005883"/>
    <w:rsid w:val="4B036369"/>
    <w:rsid w:val="4B61791F"/>
    <w:rsid w:val="4B7A0F54"/>
    <w:rsid w:val="4BE40D01"/>
    <w:rsid w:val="4C0C7EBD"/>
    <w:rsid w:val="4C486328"/>
    <w:rsid w:val="4C4C09CF"/>
    <w:rsid w:val="4C4D6CFC"/>
    <w:rsid w:val="4C5540BF"/>
    <w:rsid w:val="4CA02851"/>
    <w:rsid w:val="4CC81A20"/>
    <w:rsid w:val="4CE76CFB"/>
    <w:rsid w:val="4D141FE0"/>
    <w:rsid w:val="4D646B23"/>
    <w:rsid w:val="4DAC05E6"/>
    <w:rsid w:val="4DC236BE"/>
    <w:rsid w:val="4DE82D2A"/>
    <w:rsid w:val="4E0524B6"/>
    <w:rsid w:val="4E0E5897"/>
    <w:rsid w:val="4E4242CC"/>
    <w:rsid w:val="4E5F5F0E"/>
    <w:rsid w:val="4E677615"/>
    <w:rsid w:val="4ED079B5"/>
    <w:rsid w:val="4ED127FF"/>
    <w:rsid w:val="4ED96A7E"/>
    <w:rsid w:val="4EF92D15"/>
    <w:rsid w:val="4F540514"/>
    <w:rsid w:val="4F6666E3"/>
    <w:rsid w:val="4F724D1A"/>
    <w:rsid w:val="4F9C22EA"/>
    <w:rsid w:val="4FA72771"/>
    <w:rsid w:val="4FB22195"/>
    <w:rsid w:val="4FFE3062"/>
    <w:rsid w:val="500372D1"/>
    <w:rsid w:val="50697A27"/>
    <w:rsid w:val="50C01628"/>
    <w:rsid w:val="50C65FDD"/>
    <w:rsid w:val="50C77758"/>
    <w:rsid w:val="50E028B4"/>
    <w:rsid w:val="5119769F"/>
    <w:rsid w:val="51271000"/>
    <w:rsid w:val="517D674F"/>
    <w:rsid w:val="51B11960"/>
    <w:rsid w:val="5200468D"/>
    <w:rsid w:val="520B596A"/>
    <w:rsid w:val="5226253D"/>
    <w:rsid w:val="522D7877"/>
    <w:rsid w:val="523A461D"/>
    <w:rsid w:val="526D37FE"/>
    <w:rsid w:val="52C728C5"/>
    <w:rsid w:val="52E57E15"/>
    <w:rsid w:val="52EB0BC7"/>
    <w:rsid w:val="52FD43C9"/>
    <w:rsid w:val="531B187C"/>
    <w:rsid w:val="533C110A"/>
    <w:rsid w:val="536A3A27"/>
    <w:rsid w:val="53737AE7"/>
    <w:rsid w:val="53DE35D5"/>
    <w:rsid w:val="5403105C"/>
    <w:rsid w:val="543E122D"/>
    <w:rsid w:val="544544DB"/>
    <w:rsid w:val="54454A38"/>
    <w:rsid w:val="54603722"/>
    <w:rsid w:val="5460414F"/>
    <w:rsid w:val="546E1AAF"/>
    <w:rsid w:val="546E385E"/>
    <w:rsid w:val="546E6143"/>
    <w:rsid w:val="54994D7E"/>
    <w:rsid w:val="54B76D9A"/>
    <w:rsid w:val="54C44B46"/>
    <w:rsid w:val="54D34337"/>
    <w:rsid w:val="54DA5D8D"/>
    <w:rsid w:val="54ED35AA"/>
    <w:rsid w:val="551D40DC"/>
    <w:rsid w:val="55300100"/>
    <w:rsid w:val="55B921AE"/>
    <w:rsid w:val="55C217A6"/>
    <w:rsid w:val="55C45E2B"/>
    <w:rsid w:val="55C7591B"/>
    <w:rsid w:val="55F964C0"/>
    <w:rsid w:val="562B5EAA"/>
    <w:rsid w:val="565A665B"/>
    <w:rsid w:val="566B44F9"/>
    <w:rsid w:val="568000FE"/>
    <w:rsid w:val="56CE1E48"/>
    <w:rsid w:val="57231423"/>
    <w:rsid w:val="57441971"/>
    <w:rsid w:val="5753390A"/>
    <w:rsid w:val="577949F3"/>
    <w:rsid w:val="5781344E"/>
    <w:rsid w:val="578923D3"/>
    <w:rsid w:val="57C837F3"/>
    <w:rsid w:val="57D27E9C"/>
    <w:rsid w:val="57DE5369"/>
    <w:rsid w:val="57E33FE6"/>
    <w:rsid w:val="58002426"/>
    <w:rsid w:val="584E6149"/>
    <w:rsid w:val="585A65D3"/>
    <w:rsid w:val="587873A1"/>
    <w:rsid w:val="587C29ED"/>
    <w:rsid w:val="587D598D"/>
    <w:rsid w:val="589F3852"/>
    <w:rsid w:val="58BB798B"/>
    <w:rsid w:val="58CB74D0"/>
    <w:rsid w:val="58E77E9A"/>
    <w:rsid w:val="59154646"/>
    <w:rsid w:val="5935428B"/>
    <w:rsid w:val="59537423"/>
    <w:rsid w:val="59695434"/>
    <w:rsid w:val="59CA7788"/>
    <w:rsid w:val="59D06384"/>
    <w:rsid w:val="59EB363D"/>
    <w:rsid w:val="59F359C5"/>
    <w:rsid w:val="59F82839"/>
    <w:rsid w:val="5A6E2A15"/>
    <w:rsid w:val="5AA4447D"/>
    <w:rsid w:val="5AF54CD9"/>
    <w:rsid w:val="5B105132"/>
    <w:rsid w:val="5B314FB8"/>
    <w:rsid w:val="5B395408"/>
    <w:rsid w:val="5B5136E8"/>
    <w:rsid w:val="5B8542BD"/>
    <w:rsid w:val="5BB22788"/>
    <w:rsid w:val="5BEF0AD5"/>
    <w:rsid w:val="5C0E64BD"/>
    <w:rsid w:val="5C0F3B78"/>
    <w:rsid w:val="5C36729C"/>
    <w:rsid w:val="5C520E7C"/>
    <w:rsid w:val="5C5611D3"/>
    <w:rsid w:val="5C6E5A67"/>
    <w:rsid w:val="5CC055C4"/>
    <w:rsid w:val="5CC07DD9"/>
    <w:rsid w:val="5D0D35F8"/>
    <w:rsid w:val="5D123E93"/>
    <w:rsid w:val="5D1C654D"/>
    <w:rsid w:val="5D2017FC"/>
    <w:rsid w:val="5DB449D7"/>
    <w:rsid w:val="5DC23869"/>
    <w:rsid w:val="5DDE1A54"/>
    <w:rsid w:val="5DFA1519"/>
    <w:rsid w:val="5E6D4E5F"/>
    <w:rsid w:val="5E8343A9"/>
    <w:rsid w:val="5ECF7C24"/>
    <w:rsid w:val="5EFA2F5D"/>
    <w:rsid w:val="5F0E6877"/>
    <w:rsid w:val="5F1405A9"/>
    <w:rsid w:val="5F4E2C09"/>
    <w:rsid w:val="5F7C47FC"/>
    <w:rsid w:val="5FB4164A"/>
    <w:rsid w:val="5FF41E65"/>
    <w:rsid w:val="60675D31"/>
    <w:rsid w:val="606E61E9"/>
    <w:rsid w:val="60D17C50"/>
    <w:rsid w:val="61152866"/>
    <w:rsid w:val="61CE7FA1"/>
    <w:rsid w:val="622017F1"/>
    <w:rsid w:val="62DD1EB5"/>
    <w:rsid w:val="63154001"/>
    <w:rsid w:val="633D39F4"/>
    <w:rsid w:val="634467FD"/>
    <w:rsid w:val="63520F1A"/>
    <w:rsid w:val="63937429"/>
    <w:rsid w:val="63D0339F"/>
    <w:rsid w:val="6413263F"/>
    <w:rsid w:val="64944B56"/>
    <w:rsid w:val="64B27796"/>
    <w:rsid w:val="64CA1A25"/>
    <w:rsid w:val="64E83DE8"/>
    <w:rsid w:val="64EC3D37"/>
    <w:rsid w:val="64EE1A97"/>
    <w:rsid w:val="656211BC"/>
    <w:rsid w:val="65622EF3"/>
    <w:rsid w:val="6578453C"/>
    <w:rsid w:val="65810E59"/>
    <w:rsid w:val="65817895"/>
    <w:rsid w:val="658E039D"/>
    <w:rsid w:val="65924CA9"/>
    <w:rsid w:val="65B46B2F"/>
    <w:rsid w:val="65C26A8E"/>
    <w:rsid w:val="65D200F0"/>
    <w:rsid w:val="65E51C8D"/>
    <w:rsid w:val="65FF6E40"/>
    <w:rsid w:val="660D2ED6"/>
    <w:rsid w:val="660E0C4E"/>
    <w:rsid w:val="6612135A"/>
    <w:rsid w:val="6659207B"/>
    <w:rsid w:val="66AE7DC2"/>
    <w:rsid w:val="66D439F4"/>
    <w:rsid w:val="66D6776C"/>
    <w:rsid w:val="66FA4241"/>
    <w:rsid w:val="672A3F5C"/>
    <w:rsid w:val="672C66EE"/>
    <w:rsid w:val="674D4335"/>
    <w:rsid w:val="67726657"/>
    <w:rsid w:val="678A4ED6"/>
    <w:rsid w:val="67BB05DB"/>
    <w:rsid w:val="67BD26DA"/>
    <w:rsid w:val="68120612"/>
    <w:rsid w:val="684865DA"/>
    <w:rsid w:val="68744C4B"/>
    <w:rsid w:val="688A35DC"/>
    <w:rsid w:val="6896352A"/>
    <w:rsid w:val="68C80E95"/>
    <w:rsid w:val="68D51FF8"/>
    <w:rsid w:val="68F41093"/>
    <w:rsid w:val="69232A11"/>
    <w:rsid w:val="694F6758"/>
    <w:rsid w:val="695E2B47"/>
    <w:rsid w:val="69721525"/>
    <w:rsid w:val="69874162"/>
    <w:rsid w:val="69886D18"/>
    <w:rsid w:val="699C0B46"/>
    <w:rsid w:val="699E6EDB"/>
    <w:rsid w:val="6A0C5CC5"/>
    <w:rsid w:val="6A0D4726"/>
    <w:rsid w:val="6A1011E7"/>
    <w:rsid w:val="6A5C61DA"/>
    <w:rsid w:val="6A7554EE"/>
    <w:rsid w:val="6A7D7D3F"/>
    <w:rsid w:val="6A9C5931"/>
    <w:rsid w:val="6AAE7AF6"/>
    <w:rsid w:val="6AD14FD7"/>
    <w:rsid w:val="6B327947"/>
    <w:rsid w:val="6BC92D5B"/>
    <w:rsid w:val="6BD20370"/>
    <w:rsid w:val="6BDC2A11"/>
    <w:rsid w:val="6BE85984"/>
    <w:rsid w:val="6C4179F9"/>
    <w:rsid w:val="6CC60283"/>
    <w:rsid w:val="6D2356D5"/>
    <w:rsid w:val="6D374CDD"/>
    <w:rsid w:val="6D4603CA"/>
    <w:rsid w:val="6D7A376E"/>
    <w:rsid w:val="6D924ED4"/>
    <w:rsid w:val="6DC139A9"/>
    <w:rsid w:val="6DC432DB"/>
    <w:rsid w:val="6E1F559C"/>
    <w:rsid w:val="6E74415F"/>
    <w:rsid w:val="6E9A3775"/>
    <w:rsid w:val="6EC425A0"/>
    <w:rsid w:val="6EF966EE"/>
    <w:rsid w:val="6F155591"/>
    <w:rsid w:val="6F564781"/>
    <w:rsid w:val="6F944336"/>
    <w:rsid w:val="6FA110A6"/>
    <w:rsid w:val="6FAD4F96"/>
    <w:rsid w:val="6FC64B3E"/>
    <w:rsid w:val="6FD5610C"/>
    <w:rsid w:val="700A0487"/>
    <w:rsid w:val="70393F60"/>
    <w:rsid w:val="706E6C67"/>
    <w:rsid w:val="70A408DB"/>
    <w:rsid w:val="70A52F39"/>
    <w:rsid w:val="70BB7EBB"/>
    <w:rsid w:val="70D34E08"/>
    <w:rsid w:val="70EF5AB4"/>
    <w:rsid w:val="71325EE7"/>
    <w:rsid w:val="71411CC9"/>
    <w:rsid w:val="71502811"/>
    <w:rsid w:val="71C10F2E"/>
    <w:rsid w:val="71C87C41"/>
    <w:rsid w:val="71C93E5C"/>
    <w:rsid w:val="71FC339D"/>
    <w:rsid w:val="722137BD"/>
    <w:rsid w:val="722453CB"/>
    <w:rsid w:val="72365B57"/>
    <w:rsid w:val="72611287"/>
    <w:rsid w:val="72A20E4A"/>
    <w:rsid w:val="72BB5F8B"/>
    <w:rsid w:val="72BB6655"/>
    <w:rsid w:val="72C70B09"/>
    <w:rsid w:val="72C712E1"/>
    <w:rsid w:val="72F97638"/>
    <w:rsid w:val="72FA1A10"/>
    <w:rsid w:val="73322ECF"/>
    <w:rsid w:val="73662167"/>
    <w:rsid w:val="738024D6"/>
    <w:rsid w:val="73952CB3"/>
    <w:rsid w:val="73C55FFA"/>
    <w:rsid w:val="74424693"/>
    <w:rsid w:val="744A0A36"/>
    <w:rsid w:val="74D62DD0"/>
    <w:rsid w:val="7501589A"/>
    <w:rsid w:val="75092F11"/>
    <w:rsid w:val="751C6001"/>
    <w:rsid w:val="752C54C6"/>
    <w:rsid w:val="75686957"/>
    <w:rsid w:val="75907680"/>
    <w:rsid w:val="75D017B9"/>
    <w:rsid w:val="761A4816"/>
    <w:rsid w:val="76772852"/>
    <w:rsid w:val="767C4B99"/>
    <w:rsid w:val="769D3F76"/>
    <w:rsid w:val="76D36956"/>
    <w:rsid w:val="771D3195"/>
    <w:rsid w:val="7758241F"/>
    <w:rsid w:val="77CE2B0A"/>
    <w:rsid w:val="77F838AE"/>
    <w:rsid w:val="780E7E28"/>
    <w:rsid w:val="781B0555"/>
    <w:rsid w:val="784E07A8"/>
    <w:rsid w:val="78533409"/>
    <w:rsid w:val="78705799"/>
    <w:rsid w:val="78774B27"/>
    <w:rsid w:val="787765F1"/>
    <w:rsid w:val="78D26A7E"/>
    <w:rsid w:val="78F9553C"/>
    <w:rsid w:val="79940026"/>
    <w:rsid w:val="79B871A5"/>
    <w:rsid w:val="79F002FE"/>
    <w:rsid w:val="7A162C99"/>
    <w:rsid w:val="7A170370"/>
    <w:rsid w:val="7A173ECC"/>
    <w:rsid w:val="7A1C5986"/>
    <w:rsid w:val="7A72753A"/>
    <w:rsid w:val="7A8377B3"/>
    <w:rsid w:val="7A8A20FF"/>
    <w:rsid w:val="7AF47429"/>
    <w:rsid w:val="7B0862D8"/>
    <w:rsid w:val="7B130B37"/>
    <w:rsid w:val="7B406A51"/>
    <w:rsid w:val="7B6B4CD9"/>
    <w:rsid w:val="7B9B00FB"/>
    <w:rsid w:val="7BF7374C"/>
    <w:rsid w:val="7C01654E"/>
    <w:rsid w:val="7C09018C"/>
    <w:rsid w:val="7C3A2988"/>
    <w:rsid w:val="7C420122"/>
    <w:rsid w:val="7C541224"/>
    <w:rsid w:val="7C5F5157"/>
    <w:rsid w:val="7C675C0A"/>
    <w:rsid w:val="7C727ADF"/>
    <w:rsid w:val="7CF02627"/>
    <w:rsid w:val="7D114D01"/>
    <w:rsid w:val="7D5921B2"/>
    <w:rsid w:val="7D741635"/>
    <w:rsid w:val="7DDC6E34"/>
    <w:rsid w:val="7E205AED"/>
    <w:rsid w:val="7E23216E"/>
    <w:rsid w:val="7E751182"/>
    <w:rsid w:val="7E8A5804"/>
    <w:rsid w:val="7E8E57B1"/>
    <w:rsid w:val="7EA41695"/>
    <w:rsid w:val="7EAC1347"/>
    <w:rsid w:val="7ED96E19"/>
    <w:rsid w:val="7F1F491B"/>
    <w:rsid w:val="7F245858"/>
    <w:rsid w:val="7F9A1827"/>
    <w:rsid w:val="7FA22F78"/>
    <w:rsid w:val="7FA27CF2"/>
    <w:rsid w:val="7FAF4BA7"/>
    <w:rsid w:val="7FB201B2"/>
    <w:rsid w:val="7FB3011B"/>
    <w:rsid w:val="7FBA3291"/>
    <w:rsid w:val="7FBC7AE6"/>
    <w:rsid w:val="7FF00AD6"/>
    <w:rsid w:val="7FF45937"/>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1"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iPriority="99"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0" w:semiHidden="0" w:name="Body Text First Indent"/>
    <w:lsdException w:qFormat="1" w:uiPriority="99"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autoRedefine/>
    <w:qFormat/>
    <w:uiPriority w:val="0"/>
    <w:pPr>
      <w:keepNext/>
      <w:keepLines/>
      <w:spacing w:before="340" w:after="330" w:line="578" w:lineRule="auto"/>
      <w:outlineLvl w:val="0"/>
    </w:pPr>
    <w:rPr>
      <w:b/>
      <w:bCs/>
      <w:kern w:val="44"/>
      <w:sz w:val="44"/>
      <w:szCs w:val="44"/>
    </w:rPr>
  </w:style>
  <w:style w:type="paragraph" w:styleId="4">
    <w:name w:val="heading 2"/>
    <w:basedOn w:val="1"/>
    <w:next w:val="1"/>
    <w:autoRedefine/>
    <w:qFormat/>
    <w:uiPriority w:val="0"/>
    <w:pPr>
      <w:keepNext/>
      <w:keepLines/>
      <w:numPr>
        <w:ilvl w:val="1"/>
        <w:numId w:val="1"/>
      </w:numPr>
      <w:adjustRightInd w:val="0"/>
      <w:spacing w:line="360" w:lineRule="atLeast"/>
      <w:textAlignment w:val="baseline"/>
      <w:outlineLvl w:val="1"/>
    </w:pPr>
    <w:rPr>
      <w:kern w:val="0"/>
      <w:sz w:val="24"/>
      <w:szCs w:val="20"/>
    </w:rPr>
  </w:style>
  <w:style w:type="paragraph" w:styleId="5">
    <w:name w:val="heading 3"/>
    <w:basedOn w:val="1"/>
    <w:next w:val="1"/>
    <w:autoRedefine/>
    <w:qFormat/>
    <w:uiPriority w:val="0"/>
    <w:pPr>
      <w:keepNext/>
      <w:keepLines/>
      <w:spacing w:before="260" w:after="260" w:line="416" w:lineRule="atLeast"/>
      <w:jc w:val="both"/>
      <w:textAlignment w:val="baseline"/>
      <w:outlineLvl w:val="2"/>
    </w:pPr>
    <w:rPr>
      <w:b/>
      <w:bCs/>
      <w:color w:val="000000"/>
      <w:sz w:val="32"/>
      <w:szCs w:val="32"/>
      <w:u w:val="none" w:color="000000"/>
      <w:lang w:val="en-US" w:eastAsia="zh-CN" w:bidi="ar-SA"/>
    </w:rPr>
  </w:style>
  <w:style w:type="paragraph" w:styleId="6">
    <w:name w:val="heading 4"/>
    <w:basedOn w:val="1"/>
    <w:next w:val="1"/>
    <w:autoRedefine/>
    <w:qFormat/>
    <w:uiPriority w:val="1"/>
    <w:pPr>
      <w:ind w:left="652"/>
      <w:outlineLvl w:val="3"/>
    </w:pPr>
    <w:rPr>
      <w:b/>
      <w:bCs/>
      <w:sz w:val="30"/>
      <w:szCs w:val="30"/>
    </w:rPr>
  </w:style>
  <w:style w:type="character" w:default="1" w:styleId="30">
    <w:name w:val="Default Paragraph Font"/>
    <w:autoRedefine/>
    <w:semiHidden/>
    <w:qFormat/>
    <w:uiPriority w:val="0"/>
  </w:style>
  <w:style w:type="table" w:default="1" w:styleId="28">
    <w:name w:val="Normal Table"/>
    <w:autoRedefine/>
    <w:semiHidden/>
    <w:qFormat/>
    <w:uiPriority w:val="0"/>
    <w:tblPr>
      <w:tblCellMar>
        <w:top w:w="0" w:type="dxa"/>
        <w:left w:w="108" w:type="dxa"/>
        <w:bottom w:w="0" w:type="dxa"/>
        <w:right w:w="108" w:type="dxa"/>
      </w:tblCellMar>
    </w:tblPr>
  </w:style>
  <w:style w:type="paragraph" w:styleId="2">
    <w:name w:val="toa heading"/>
    <w:basedOn w:val="1"/>
    <w:next w:val="1"/>
    <w:autoRedefine/>
    <w:unhideWhenUsed/>
    <w:qFormat/>
    <w:uiPriority w:val="99"/>
    <w:pPr>
      <w:spacing w:before="120"/>
    </w:pPr>
    <w:rPr>
      <w:rFonts w:ascii="Cambria" w:hAnsi="Cambria"/>
      <w:sz w:val="24"/>
    </w:rPr>
  </w:style>
  <w:style w:type="paragraph" w:styleId="7">
    <w:name w:val="Normal Indent"/>
    <w:basedOn w:val="1"/>
    <w:next w:val="1"/>
    <w:autoRedefine/>
    <w:qFormat/>
    <w:uiPriority w:val="0"/>
    <w:pPr>
      <w:adjustRightInd w:val="0"/>
      <w:spacing w:line="360" w:lineRule="atLeast"/>
      <w:ind w:firstLine="482"/>
      <w:textAlignment w:val="baseline"/>
    </w:pPr>
    <w:rPr>
      <w:kern w:val="0"/>
      <w:sz w:val="24"/>
      <w:szCs w:val="20"/>
    </w:rPr>
  </w:style>
  <w:style w:type="paragraph" w:styleId="8">
    <w:name w:val="annotation text"/>
    <w:basedOn w:val="1"/>
    <w:autoRedefine/>
    <w:qFormat/>
    <w:uiPriority w:val="0"/>
    <w:pPr>
      <w:jc w:val="left"/>
    </w:pPr>
  </w:style>
  <w:style w:type="paragraph" w:styleId="9">
    <w:name w:val="index 6"/>
    <w:next w:val="1"/>
    <w:autoRedefine/>
    <w:qFormat/>
    <w:uiPriority w:val="0"/>
    <w:pPr>
      <w:widowControl w:val="0"/>
      <w:ind w:firstLine="840"/>
      <w:jc w:val="both"/>
    </w:pPr>
    <w:rPr>
      <w:rFonts w:ascii="Calibri" w:hAnsi="Calibri" w:eastAsia="宋体" w:cs="Arial"/>
      <w:kern w:val="2"/>
      <w:sz w:val="21"/>
      <w:szCs w:val="24"/>
      <w:lang w:val="en-US" w:eastAsia="zh-CN" w:bidi="ar-SA"/>
    </w:rPr>
  </w:style>
  <w:style w:type="paragraph" w:styleId="10">
    <w:name w:val="Body Text"/>
    <w:basedOn w:val="1"/>
    <w:next w:val="11"/>
    <w:link w:val="43"/>
    <w:autoRedefine/>
    <w:qFormat/>
    <w:uiPriority w:val="0"/>
    <w:pPr>
      <w:spacing w:after="120"/>
    </w:pPr>
  </w:style>
  <w:style w:type="paragraph" w:customStyle="1" w:styleId="11">
    <w:name w:val="_Style 2"/>
    <w:basedOn w:val="1"/>
    <w:next w:val="1"/>
    <w:autoRedefine/>
    <w:qFormat/>
    <w:uiPriority w:val="0"/>
    <w:pPr>
      <w:ind w:firstLine="200" w:firstLineChars="200"/>
    </w:pPr>
    <w:rPr>
      <w:rFonts w:ascii="Calibri" w:hAnsi="Calibri"/>
      <w:sz w:val="28"/>
      <w:szCs w:val="22"/>
    </w:rPr>
  </w:style>
  <w:style w:type="paragraph" w:styleId="12">
    <w:name w:val="Body Text Indent"/>
    <w:basedOn w:val="1"/>
    <w:next w:val="1"/>
    <w:autoRedefine/>
    <w:qFormat/>
    <w:uiPriority w:val="0"/>
    <w:pPr>
      <w:spacing w:after="120"/>
      <w:ind w:left="200" w:leftChars="200"/>
    </w:pPr>
  </w:style>
  <w:style w:type="paragraph" w:styleId="13">
    <w:name w:val="toc 3"/>
    <w:basedOn w:val="1"/>
    <w:next w:val="1"/>
    <w:autoRedefine/>
    <w:qFormat/>
    <w:uiPriority w:val="39"/>
    <w:pPr>
      <w:tabs>
        <w:tab w:val="right" w:leader="dot" w:pos="9288"/>
      </w:tabs>
      <w:ind w:left="400" w:leftChars="400"/>
    </w:pPr>
    <w:rPr>
      <w:rFonts w:ascii="宋体"/>
    </w:rPr>
  </w:style>
  <w:style w:type="paragraph" w:styleId="14">
    <w:name w:val="Plain Text"/>
    <w:basedOn w:val="1"/>
    <w:next w:val="15"/>
    <w:link w:val="44"/>
    <w:autoRedefine/>
    <w:qFormat/>
    <w:uiPriority w:val="0"/>
    <w:rPr>
      <w:rFonts w:ascii="宋体"/>
      <w:color w:val="000000"/>
      <w:szCs w:val="20"/>
      <w:u w:val="none" w:color="000000"/>
    </w:rPr>
  </w:style>
  <w:style w:type="paragraph" w:styleId="15">
    <w:name w:val="index 7"/>
    <w:basedOn w:val="1"/>
    <w:next w:val="1"/>
    <w:autoRedefine/>
    <w:qFormat/>
    <w:uiPriority w:val="0"/>
    <w:pPr>
      <w:autoSpaceDE/>
      <w:autoSpaceDN/>
      <w:adjustRightInd/>
      <w:ind w:left="1200" w:leftChars="1200"/>
    </w:pPr>
    <w:rPr>
      <w:color w:val="auto"/>
      <w:kern w:val="2"/>
      <w:szCs w:val="24"/>
    </w:rPr>
  </w:style>
  <w:style w:type="paragraph" w:styleId="16">
    <w:name w:val="Date"/>
    <w:basedOn w:val="1"/>
    <w:next w:val="1"/>
    <w:link w:val="45"/>
    <w:autoRedefine/>
    <w:qFormat/>
    <w:uiPriority w:val="0"/>
    <w:rPr>
      <w:rFonts w:ascii="Arial" w:hAnsi="Arial" w:eastAsia="仿宋_GB2312"/>
      <w:color w:val="000000"/>
      <w:sz w:val="32"/>
      <w:szCs w:val="20"/>
      <w:u w:val="none" w:color="000000"/>
    </w:rPr>
  </w:style>
  <w:style w:type="paragraph" w:styleId="17">
    <w:name w:val="footer"/>
    <w:basedOn w:val="1"/>
    <w:link w:val="46"/>
    <w:autoRedefine/>
    <w:qFormat/>
    <w:uiPriority w:val="0"/>
    <w:pPr>
      <w:tabs>
        <w:tab w:val="center" w:pos="4153"/>
        <w:tab w:val="right" w:pos="8306"/>
      </w:tabs>
      <w:snapToGrid w:val="0"/>
      <w:jc w:val="left"/>
    </w:pPr>
    <w:rPr>
      <w:sz w:val="18"/>
      <w:szCs w:val="18"/>
    </w:rPr>
  </w:style>
  <w:style w:type="paragraph" w:styleId="18">
    <w:name w:val="header"/>
    <w:basedOn w:val="1"/>
    <w:link w:val="47"/>
    <w:autoRedefine/>
    <w:qFormat/>
    <w:uiPriority w:val="0"/>
    <w:pPr>
      <w:pBdr>
        <w:bottom w:val="single" w:color="auto" w:sz="6" w:space="1"/>
      </w:pBdr>
      <w:tabs>
        <w:tab w:val="center" w:pos="4153"/>
        <w:tab w:val="right" w:pos="8306"/>
      </w:tabs>
      <w:snapToGrid w:val="0"/>
      <w:jc w:val="center"/>
    </w:pPr>
    <w:rPr>
      <w:sz w:val="18"/>
      <w:szCs w:val="18"/>
    </w:rPr>
  </w:style>
  <w:style w:type="paragraph" w:styleId="19">
    <w:name w:val="toc 1"/>
    <w:basedOn w:val="1"/>
    <w:next w:val="1"/>
    <w:autoRedefine/>
    <w:qFormat/>
    <w:uiPriority w:val="39"/>
  </w:style>
  <w:style w:type="paragraph" w:styleId="20">
    <w:name w:val="List"/>
    <w:basedOn w:val="1"/>
    <w:autoRedefine/>
    <w:qFormat/>
    <w:uiPriority w:val="0"/>
    <w:pPr>
      <w:adjustRightInd/>
      <w:snapToGrid/>
      <w:spacing w:after="0"/>
      <w:ind w:left="200" w:hanging="200" w:hangingChars="200"/>
      <w:contextualSpacing/>
    </w:pPr>
    <w:rPr>
      <w:rFonts w:ascii="Times New Roman" w:hAnsi="Times New Roman" w:eastAsia="宋体"/>
      <w:sz w:val="20"/>
      <w:szCs w:val="20"/>
    </w:rPr>
  </w:style>
  <w:style w:type="paragraph" w:styleId="21">
    <w:name w:val="footnote text"/>
    <w:basedOn w:val="1"/>
    <w:next w:val="10"/>
    <w:autoRedefine/>
    <w:qFormat/>
    <w:uiPriority w:val="0"/>
    <w:pPr>
      <w:snapToGrid w:val="0"/>
      <w:jc w:val="left"/>
    </w:pPr>
    <w:rPr>
      <w:rFonts w:ascii="Times New Roman" w:hAnsi="Times New Roman" w:eastAsia="宋体" w:cs="Times New Roman"/>
      <w:sz w:val="18"/>
    </w:rPr>
  </w:style>
  <w:style w:type="paragraph" w:styleId="22">
    <w:name w:val="toc 2"/>
    <w:basedOn w:val="1"/>
    <w:next w:val="1"/>
    <w:autoRedefine/>
    <w:qFormat/>
    <w:uiPriority w:val="39"/>
    <w:pPr>
      <w:ind w:left="200" w:leftChars="200"/>
    </w:pPr>
  </w:style>
  <w:style w:type="paragraph" w:styleId="23">
    <w:name w:val="Body Text 2"/>
    <w:basedOn w:val="1"/>
    <w:autoRedefine/>
    <w:qFormat/>
    <w:uiPriority w:val="0"/>
    <w:pPr>
      <w:tabs>
        <w:tab w:val="left" w:pos="0"/>
      </w:tabs>
      <w:spacing w:line="400" w:lineRule="atLeast"/>
    </w:pPr>
    <w:rPr>
      <w:rFonts w:ascii="Arial" w:hAnsi="Arial"/>
      <w:color w:val="000000"/>
    </w:rPr>
  </w:style>
  <w:style w:type="paragraph" w:styleId="24">
    <w:name w:val="Normal (Web)"/>
    <w:basedOn w:val="1"/>
    <w:autoRedefine/>
    <w:qFormat/>
    <w:uiPriority w:val="0"/>
    <w:pPr>
      <w:widowControl/>
      <w:spacing w:before="100" w:beforeAutospacing="1" w:after="100" w:afterAutospacing="1"/>
      <w:jc w:val="left"/>
    </w:pPr>
    <w:rPr>
      <w:rFonts w:ascii="宋体" w:hAnsi="宋体" w:cs="宋体"/>
      <w:kern w:val="0"/>
      <w:sz w:val="24"/>
    </w:rPr>
  </w:style>
  <w:style w:type="paragraph" w:styleId="25">
    <w:name w:val="Title"/>
    <w:basedOn w:val="1"/>
    <w:link w:val="77"/>
    <w:autoRedefine/>
    <w:qFormat/>
    <w:uiPriority w:val="0"/>
    <w:pPr>
      <w:spacing w:before="240" w:after="60"/>
      <w:ind w:left="425" w:hanging="425"/>
      <w:jc w:val="center"/>
      <w:outlineLvl w:val="0"/>
    </w:pPr>
    <w:rPr>
      <w:rFonts w:ascii="Arial" w:hAnsi="Arial" w:cs="Arial"/>
      <w:b/>
      <w:bCs/>
      <w:sz w:val="32"/>
      <w:szCs w:val="32"/>
    </w:rPr>
  </w:style>
  <w:style w:type="paragraph" w:styleId="26">
    <w:name w:val="Body Text First Indent"/>
    <w:basedOn w:val="10"/>
    <w:next w:val="1"/>
    <w:autoRedefine/>
    <w:unhideWhenUsed/>
    <w:qFormat/>
    <w:uiPriority w:val="0"/>
    <w:pPr>
      <w:adjustRightInd/>
      <w:spacing w:after="120" w:line="240" w:lineRule="auto"/>
      <w:ind w:firstLine="420" w:firstLineChars="100"/>
      <w:jc w:val="both"/>
    </w:pPr>
    <w:rPr>
      <w:rFonts w:ascii="Times New Roman"/>
      <w:kern w:val="2"/>
      <w:sz w:val="21"/>
      <w:szCs w:val="24"/>
    </w:rPr>
  </w:style>
  <w:style w:type="paragraph" w:styleId="27">
    <w:name w:val="Body Text First Indent 2"/>
    <w:basedOn w:val="12"/>
    <w:autoRedefine/>
    <w:unhideWhenUsed/>
    <w:qFormat/>
    <w:uiPriority w:val="99"/>
    <w:pPr>
      <w:spacing w:after="120" w:line="240" w:lineRule="auto"/>
      <w:ind w:left="420" w:leftChars="200" w:firstLine="420"/>
    </w:pPr>
    <w:rPr>
      <w:rFonts w:cs="宋体"/>
      <w:sz w:val="21"/>
      <w:szCs w:val="21"/>
    </w:rPr>
  </w:style>
  <w:style w:type="table" w:styleId="29">
    <w:name w:val="Table Grid"/>
    <w:basedOn w:val="28"/>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1">
    <w:name w:val="Strong"/>
    <w:basedOn w:val="30"/>
    <w:autoRedefine/>
    <w:qFormat/>
    <w:uiPriority w:val="0"/>
    <w:rPr>
      <w:b/>
    </w:rPr>
  </w:style>
  <w:style w:type="character" w:styleId="32">
    <w:name w:val="page number"/>
    <w:basedOn w:val="30"/>
    <w:autoRedefine/>
    <w:qFormat/>
    <w:uiPriority w:val="0"/>
  </w:style>
  <w:style w:type="character" w:styleId="33">
    <w:name w:val="FollowedHyperlink"/>
    <w:autoRedefine/>
    <w:qFormat/>
    <w:uiPriority w:val="0"/>
    <w:rPr>
      <w:color w:val="333333"/>
      <w:u w:val="none"/>
    </w:rPr>
  </w:style>
  <w:style w:type="character" w:styleId="34">
    <w:name w:val="HTML Definition"/>
    <w:basedOn w:val="30"/>
    <w:autoRedefine/>
    <w:qFormat/>
    <w:uiPriority w:val="0"/>
  </w:style>
  <w:style w:type="character" w:styleId="35">
    <w:name w:val="HTML Typewriter"/>
    <w:basedOn w:val="30"/>
    <w:autoRedefine/>
    <w:qFormat/>
    <w:uiPriority w:val="0"/>
    <w:rPr>
      <w:rFonts w:ascii="monospace" w:hAnsi="monospace" w:eastAsia="monospace" w:cs="monospace"/>
      <w:sz w:val="20"/>
    </w:rPr>
  </w:style>
  <w:style w:type="character" w:styleId="36">
    <w:name w:val="HTML Acronym"/>
    <w:basedOn w:val="30"/>
    <w:autoRedefine/>
    <w:qFormat/>
    <w:uiPriority w:val="0"/>
  </w:style>
  <w:style w:type="character" w:styleId="37">
    <w:name w:val="HTML Variable"/>
    <w:basedOn w:val="30"/>
    <w:autoRedefine/>
    <w:qFormat/>
    <w:uiPriority w:val="0"/>
  </w:style>
  <w:style w:type="character" w:styleId="38">
    <w:name w:val="Hyperlink"/>
    <w:autoRedefine/>
    <w:qFormat/>
    <w:uiPriority w:val="99"/>
    <w:rPr>
      <w:color w:val="0000FF"/>
      <w:u w:val="single"/>
    </w:rPr>
  </w:style>
  <w:style w:type="character" w:styleId="39">
    <w:name w:val="HTML Code"/>
    <w:basedOn w:val="30"/>
    <w:autoRedefine/>
    <w:qFormat/>
    <w:uiPriority w:val="0"/>
    <w:rPr>
      <w:rFonts w:hint="default" w:ascii="monospace" w:hAnsi="monospace" w:eastAsia="monospace" w:cs="monospace"/>
      <w:sz w:val="20"/>
    </w:rPr>
  </w:style>
  <w:style w:type="character" w:styleId="40">
    <w:name w:val="HTML Cite"/>
    <w:basedOn w:val="30"/>
    <w:autoRedefine/>
    <w:qFormat/>
    <w:uiPriority w:val="0"/>
  </w:style>
  <w:style w:type="character" w:styleId="41">
    <w:name w:val="HTML Keyboard"/>
    <w:basedOn w:val="30"/>
    <w:autoRedefine/>
    <w:qFormat/>
    <w:uiPriority w:val="0"/>
    <w:rPr>
      <w:rFonts w:hint="default" w:ascii="monospace" w:hAnsi="monospace" w:eastAsia="monospace" w:cs="monospace"/>
      <w:sz w:val="20"/>
    </w:rPr>
  </w:style>
  <w:style w:type="character" w:styleId="42">
    <w:name w:val="HTML Sample"/>
    <w:basedOn w:val="30"/>
    <w:autoRedefine/>
    <w:qFormat/>
    <w:uiPriority w:val="0"/>
    <w:rPr>
      <w:rFonts w:hint="default" w:ascii="monospace" w:hAnsi="monospace" w:eastAsia="monospace" w:cs="monospace"/>
    </w:rPr>
  </w:style>
  <w:style w:type="character" w:customStyle="1" w:styleId="43">
    <w:name w:val="正文文本 Char"/>
    <w:link w:val="10"/>
    <w:autoRedefine/>
    <w:semiHidden/>
    <w:qFormat/>
    <w:locked/>
    <w:uiPriority w:val="0"/>
    <w:rPr>
      <w:rFonts w:eastAsia="宋体"/>
      <w:kern w:val="2"/>
      <w:sz w:val="21"/>
      <w:szCs w:val="24"/>
      <w:lang w:val="en-US" w:eastAsia="zh-CN" w:bidi="ar-SA"/>
    </w:rPr>
  </w:style>
  <w:style w:type="character" w:customStyle="1" w:styleId="44">
    <w:name w:val="纯文本 Char"/>
    <w:link w:val="14"/>
    <w:autoRedefine/>
    <w:qFormat/>
    <w:uiPriority w:val="0"/>
    <w:rPr>
      <w:rFonts w:ascii="宋体"/>
      <w:color w:val="000000"/>
      <w:kern w:val="2"/>
      <w:sz w:val="21"/>
      <w:u w:val="none" w:color="000000"/>
    </w:rPr>
  </w:style>
  <w:style w:type="character" w:customStyle="1" w:styleId="45">
    <w:name w:val="日期 Char"/>
    <w:link w:val="16"/>
    <w:autoRedefine/>
    <w:qFormat/>
    <w:uiPriority w:val="0"/>
    <w:rPr>
      <w:rFonts w:ascii="Arial" w:hAnsi="Arial" w:eastAsia="仿宋_GB2312"/>
      <w:color w:val="000000"/>
      <w:kern w:val="2"/>
      <w:sz w:val="32"/>
      <w:u w:val="none" w:color="000000"/>
      <w:lang w:val="en-US" w:eastAsia="zh-CN" w:bidi="ar-SA"/>
    </w:rPr>
  </w:style>
  <w:style w:type="character" w:customStyle="1" w:styleId="46">
    <w:name w:val="页脚 Char"/>
    <w:link w:val="17"/>
    <w:autoRedefine/>
    <w:qFormat/>
    <w:locked/>
    <w:uiPriority w:val="0"/>
    <w:rPr>
      <w:rFonts w:eastAsia="宋体"/>
      <w:kern w:val="2"/>
      <w:sz w:val="18"/>
      <w:szCs w:val="18"/>
      <w:lang w:val="en-US" w:eastAsia="zh-CN" w:bidi="ar-SA"/>
    </w:rPr>
  </w:style>
  <w:style w:type="character" w:customStyle="1" w:styleId="47">
    <w:name w:val="页眉 Char"/>
    <w:link w:val="18"/>
    <w:autoRedefine/>
    <w:qFormat/>
    <w:locked/>
    <w:uiPriority w:val="0"/>
    <w:rPr>
      <w:rFonts w:eastAsia="宋体"/>
      <w:kern w:val="2"/>
      <w:sz w:val="18"/>
      <w:szCs w:val="18"/>
      <w:lang w:val="en-US" w:eastAsia="zh-CN" w:bidi="ar-SA"/>
    </w:rPr>
  </w:style>
  <w:style w:type="paragraph" w:customStyle="1" w:styleId="48">
    <w:name w:val="正文缩进1"/>
    <w:basedOn w:val="1"/>
    <w:autoRedefine/>
    <w:qFormat/>
    <w:uiPriority w:val="0"/>
    <w:pPr>
      <w:ind w:firstLine="420" w:firstLineChars="200"/>
    </w:pPr>
  </w:style>
  <w:style w:type="paragraph" w:customStyle="1" w:styleId="49">
    <w:name w:val="正文格式"/>
    <w:basedOn w:val="1"/>
    <w:autoRedefine/>
    <w:qFormat/>
    <w:uiPriority w:val="99"/>
    <w:pPr>
      <w:widowControl/>
      <w:adjustRightInd w:val="0"/>
      <w:snapToGrid w:val="0"/>
      <w:spacing w:line="400" w:lineRule="atLeast"/>
      <w:ind w:firstLine="482"/>
      <w:textAlignment w:val="baseline"/>
    </w:pPr>
    <w:rPr>
      <w:rFonts w:ascii="Times New Roman" w:hAnsi="Times New Roman"/>
      <w:kern w:val="0"/>
      <w:sz w:val="24"/>
    </w:rPr>
  </w:style>
  <w:style w:type="character" w:customStyle="1" w:styleId="50">
    <w:name w:val="font01"/>
    <w:basedOn w:val="30"/>
    <w:autoRedefine/>
    <w:qFormat/>
    <w:uiPriority w:val="0"/>
    <w:rPr>
      <w:rFonts w:hint="eastAsia" w:ascii="宋体" w:hAnsi="宋体" w:eastAsia="宋体" w:cs="宋体"/>
      <w:color w:val="000000"/>
      <w:sz w:val="22"/>
      <w:szCs w:val="22"/>
      <w:u w:val="none"/>
    </w:rPr>
  </w:style>
  <w:style w:type="character" w:customStyle="1" w:styleId="51">
    <w:name w:val="font111"/>
    <w:basedOn w:val="30"/>
    <w:autoRedefine/>
    <w:qFormat/>
    <w:uiPriority w:val="0"/>
    <w:rPr>
      <w:rFonts w:ascii="Arial" w:hAnsi="Arial" w:cs="Arial"/>
      <w:color w:val="000000"/>
      <w:sz w:val="18"/>
      <w:szCs w:val="18"/>
      <w:u w:val="none"/>
    </w:rPr>
  </w:style>
  <w:style w:type="character" w:customStyle="1" w:styleId="52">
    <w:name w:val="Body Text Char"/>
    <w:autoRedefine/>
    <w:qFormat/>
    <w:locked/>
    <w:uiPriority w:val="0"/>
    <w:rPr>
      <w:rFonts w:ascii="宋体" w:hAnsi="Arial"/>
      <w:sz w:val="28"/>
    </w:rPr>
  </w:style>
  <w:style w:type="paragraph" w:customStyle="1" w:styleId="53">
    <w:name w:val="black1"/>
    <w:basedOn w:val="1"/>
    <w:autoRedefine/>
    <w:qFormat/>
    <w:uiPriority w:val="0"/>
    <w:pPr>
      <w:widowControl/>
      <w:spacing w:before="100" w:beforeLines="0" w:beforeAutospacing="1" w:after="100" w:afterLines="0" w:afterAutospacing="1" w:line="280" w:lineRule="atLeast"/>
      <w:jc w:val="left"/>
    </w:pPr>
    <w:rPr>
      <w:rFonts w:ascii="_x000B__x000C_" w:hAnsi="_x000B__x000C_"/>
      <w:color w:val="000000"/>
      <w:kern w:val="0"/>
      <w:sz w:val="18"/>
      <w:szCs w:val="18"/>
    </w:rPr>
  </w:style>
  <w:style w:type="paragraph" w:customStyle="1" w:styleId="54">
    <w:name w:val="Table Paragraph"/>
    <w:basedOn w:val="1"/>
    <w:autoRedefine/>
    <w:qFormat/>
    <w:uiPriority w:val="1"/>
  </w:style>
  <w:style w:type="paragraph" w:customStyle="1" w:styleId="55">
    <w:name w:val="Body 1"/>
    <w:autoRedefine/>
    <w:qFormat/>
    <w:uiPriority w:val="0"/>
    <w:pPr>
      <w:outlineLvl w:val="0"/>
    </w:pPr>
    <w:rPr>
      <w:rFonts w:ascii="Helvetica" w:hAnsi="Helvetica" w:eastAsia="ヒラギノ角ゴ Pro W3" w:cs="Times New Roman"/>
      <w:color w:val="000000"/>
      <w:sz w:val="22"/>
      <w:lang w:val="en-US" w:eastAsia="zh-CN" w:bidi="ar-SA"/>
    </w:rPr>
  </w:style>
  <w:style w:type="paragraph" w:customStyle="1" w:styleId="56">
    <w:name w:val="正文（绿盟科技）"/>
    <w:autoRedefine/>
    <w:qFormat/>
    <w:uiPriority w:val="0"/>
    <w:pPr>
      <w:spacing w:line="300" w:lineRule="auto"/>
    </w:pPr>
    <w:rPr>
      <w:rFonts w:ascii="Arial" w:hAnsi="Arial" w:eastAsia="宋体" w:cs="黑体"/>
      <w:sz w:val="21"/>
      <w:szCs w:val="21"/>
      <w:lang w:val="en-US" w:eastAsia="zh-CN" w:bidi="ar-SA"/>
    </w:rPr>
  </w:style>
  <w:style w:type="paragraph" w:customStyle="1" w:styleId="57">
    <w:name w:val="Char"/>
    <w:basedOn w:val="1"/>
    <w:next w:val="1"/>
    <w:autoRedefine/>
    <w:qFormat/>
    <w:uiPriority w:val="0"/>
    <w:pPr>
      <w:widowControl/>
      <w:spacing w:line="360" w:lineRule="auto"/>
      <w:jc w:val="left"/>
    </w:pPr>
    <w:rPr>
      <w:kern w:val="0"/>
      <w:szCs w:val="20"/>
      <w:lang w:eastAsia="en-US"/>
    </w:rPr>
  </w:style>
  <w:style w:type="paragraph" w:customStyle="1" w:styleId="58">
    <w:name w:val="文档正文"/>
    <w:basedOn w:val="1"/>
    <w:autoRedefine/>
    <w:qFormat/>
    <w:uiPriority w:val="0"/>
    <w:pPr>
      <w:adjustRightInd w:val="0"/>
      <w:spacing w:line="312" w:lineRule="atLeast"/>
      <w:ind w:firstLine="567"/>
      <w:textAlignment w:val="baseline"/>
    </w:pPr>
    <w:rPr>
      <w:rFonts w:ascii="长城仿宋" w:eastAsia="长城仿宋"/>
      <w:kern w:val="0"/>
      <w:sz w:val="28"/>
      <w:szCs w:val="20"/>
    </w:rPr>
  </w:style>
  <w:style w:type="paragraph" w:customStyle="1" w:styleId="59">
    <w:name w:val="p0"/>
    <w:basedOn w:val="1"/>
    <w:autoRedefine/>
    <w:qFormat/>
    <w:uiPriority w:val="0"/>
    <w:pPr>
      <w:widowControl/>
      <w:jc w:val="left"/>
    </w:pPr>
    <w:rPr>
      <w:rFonts w:ascii="宋体" w:hAnsi="宋体" w:cs="宋体"/>
      <w:kern w:val="0"/>
      <w:sz w:val="18"/>
      <w:szCs w:val="18"/>
    </w:rPr>
  </w:style>
  <w:style w:type="paragraph" w:customStyle="1" w:styleId="60">
    <w:name w:val="WPS Plain"/>
    <w:autoRedefine/>
    <w:qFormat/>
    <w:uiPriority w:val="0"/>
    <w:rPr>
      <w:rFonts w:ascii="Times New Roman" w:hAnsi="Times New Roman" w:eastAsia="宋体" w:cs="Times New Roman"/>
      <w:lang w:val="en-US" w:eastAsia="zh-CN" w:bidi="ar-SA"/>
    </w:rPr>
  </w:style>
  <w:style w:type="paragraph" w:customStyle="1" w:styleId="61">
    <w:name w:val="节标题"/>
    <w:basedOn w:val="1"/>
    <w:next w:val="1"/>
    <w:autoRedefine/>
    <w:qFormat/>
    <w:uiPriority w:val="0"/>
    <w:pPr>
      <w:widowControl/>
      <w:spacing w:line="289" w:lineRule="atLeast"/>
      <w:jc w:val="center"/>
      <w:textAlignment w:val="baseline"/>
    </w:pPr>
    <w:rPr>
      <w:color w:val="000000"/>
      <w:kern w:val="0"/>
      <w:sz w:val="28"/>
      <w:szCs w:val="20"/>
      <w:u w:val="none" w:color="000000"/>
    </w:rPr>
  </w:style>
  <w:style w:type="paragraph" w:styleId="62">
    <w:name w:val="List Paragraph"/>
    <w:basedOn w:val="1"/>
    <w:autoRedefine/>
    <w:qFormat/>
    <w:uiPriority w:val="0"/>
    <w:pPr>
      <w:spacing w:line="360" w:lineRule="auto"/>
      <w:ind w:firstLine="420" w:firstLineChars="200"/>
    </w:pPr>
    <w:rPr>
      <w:rFonts w:ascii="宋体" w:hAnsi="宋体" w:cs="宋体"/>
      <w:sz w:val="24"/>
    </w:rPr>
  </w:style>
  <w:style w:type="paragraph" w:customStyle="1" w:styleId="63">
    <w:name w:val="样式 左侧:  0 厘米 悬挂缩进: 2.5 字符"/>
    <w:basedOn w:val="1"/>
    <w:autoRedefine/>
    <w:qFormat/>
    <w:uiPriority w:val="0"/>
    <w:pPr>
      <w:ind w:left="525" w:hanging="525" w:hangingChars="250"/>
    </w:pPr>
    <w:rPr>
      <w:szCs w:val="20"/>
    </w:rPr>
  </w:style>
  <w:style w:type="paragraph" w:customStyle="1" w:styleId="64">
    <w:name w:val="标题 5（有编号）（绿盟科技）"/>
    <w:basedOn w:val="1"/>
    <w:next w:val="56"/>
    <w:autoRedefine/>
    <w:qFormat/>
    <w:uiPriority w:val="0"/>
    <w:pPr>
      <w:keepNext/>
      <w:keepLines/>
      <w:numPr>
        <w:ilvl w:val="4"/>
        <w:numId w:val="2"/>
      </w:numPr>
      <w:spacing w:before="280" w:after="156" w:line="377" w:lineRule="auto"/>
      <w:jc w:val="left"/>
      <w:outlineLvl w:val="4"/>
    </w:pPr>
    <w:rPr>
      <w:rFonts w:ascii="Arial" w:hAnsi="Arial" w:eastAsia="黑体"/>
      <w:b/>
      <w:sz w:val="24"/>
      <w:szCs w:val="28"/>
    </w:rPr>
  </w:style>
  <w:style w:type="paragraph" w:customStyle="1" w:styleId="65">
    <w:name w:val="Default"/>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66">
    <w:name w:val="图例"/>
    <w:basedOn w:val="1"/>
    <w:autoRedefine/>
    <w:qFormat/>
    <w:uiPriority w:val="0"/>
    <w:pPr>
      <w:spacing w:before="120" w:beforeLines="0" w:after="120" w:afterLines="0" w:line="360" w:lineRule="auto"/>
      <w:jc w:val="center"/>
    </w:pPr>
    <w:rPr>
      <w:rFonts w:eastAsia="仿宋_GB2312"/>
      <w:b/>
      <w:sz w:val="24"/>
    </w:rPr>
  </w:style>
  <w:style w:type="character" w:customStyle="1" w:styleId="67">
    <w:name w:val="font71"/>
    <w:basedOn w:val="30"/>
    <w:autoRedefine/>
    <w:qFormat/>
    <w:uiPriority w:val="0"/>
    <w:rPr>
      <w:rFonts w:hint="default" w:ascii="Calibri" w:hAnsi="Calibri" w:cs="Calibri"/>
      <w:b/>
      <w:bCs/>
      <w:color w:val="000000"/>
      <w:sz w:val="21"/>
      <w:szCs w:val="21"/>
      <w:u w:val="none"/>
    </w:rPr>
  </w:style>
  <w:style w:type="character" w:customStyle="1" w:styleId="68">
    <w:name w:val="font61"/>
    <w:basedOn w:val="30"/>
    <w:autoRedefine/>
    <w:qFormat/>
    <w:uiPriority w:val="0"/>
    <w:rPr>
      <w:rFonts w:hint="eastAsia" w:ascii="华文仿宋" w:hAnsi="华文仿宋" w:eastAsia="华文仿宋" w:cs="华文仿宋"/>
      <w:color w:val="000000"/>
      <w:sz w:val="21"/>
      <w:szCs w:val="21"/>
      <w:u w:val="none"/>
    </w:rPr>
  </w:style>
  <w:style w:type="character" w:customStyle="1" w:styleId="69">
    <w:name w:val="font91"/>
    <w:basedOn w:val="30"/>
    <w:autoRedefine/>
    <w:qFormat/>
    <w:uiPriority w:val="0"/>
    <w:rPr>
      <w:rFonts w:hint="default" w:ascii="Calibri" w:hAnsi="Calibri" w:cs="Calibri"/>
      <w:b/>
      <w:bCs/>
      <w:color w:val="FF0000"/>
      <w:sz w:val="21"/>
      <w:szCs w:val="21"/>
      <w:u w:val="none"/>
    </w:rPr>
  </w:style>
  <w:style w:type="character" w:customStyle="1" w:styleId="70">
    <w:name w:val="font101"/>
    <w:basedOn w:val="30"/>
    <w:autoRedefine/>
    <w:qFormat/>
    <w:uiPriority w:val="0"/>
    <w:rPr>
      <w:rFonts w:hint="eastAsia" w:ascii="宋体" w:hAnsi="宋体" w:eastAsia="宋体" w:cs="宋体"/>
      <w:color w:val="000000"/>
      <w:sz w:val="21"/>
      <w:szCs w:val="21"/>
      <w:u w:val="none"/>
    </w:rPr>
  </w:style>
  <w:style w:type="character" w:customStyle="1" w:styleId="71">
    <w:name w:val="font81"/>
    <w:basedOn w:val="30"/>
    <w:autoRedefine/>
    <w:qFormat/>
    <w:uiPriority w:val="0"/>
    <w:rPr>
      <w:rFonts w:hint="default" w:ascii="Calibri" w:hAnsi="Calibri" w:cs="Calibri"/>
      <w:color w:val="000000"/>
      <w:sz w:val="21"/>
      <w:szCs w:val="21"/>
      <w:u w:val="none"/>
    </w:rPr>
  </w:style>
  <w:style w:type="character" w:customStyle="1" w:styleId="72">
    <w:name w:val="first-child"/>
    <w:basedOn w:val="30"/>
    <w:autoRedefine/>
    <w:qFormat/>
    <w:uiPriority w:val="0"/>
  </w:style>
  <w:style w:type="character" w:customStyle="1" w:styleId="73">
    <w:name w:val="layui-layer-tabnow"/>
    <w:basedOn w:val="30"/>
    <w:autoRedefine/>
    <w:qFormat/>
    <w:uiPriority w:val="0"/>
    <w:rPr>
      <w:bdr w:val="single" w:color="CCCCCC" w:sz="6" w:space="0"/>
      <w:shd w:val="clear" w:fill="FFFFFF"/>
    </w:rPr>
  </w:style>
  <w:style w:type="paragraph" w:customStyle="1" w:styleId="74">
    <w:name w:val="标书正文"/>
    <w:basedOn w:val="1"/>
    <w:autoRedefine/>
    <w:qFormat/>
    <w:uiPriority w:val="0"/>
    <w:pPr>
      <w:spacing w:line="560" w:lineRule="exact"/>
      <w:ind w:firstLine="723" w:firstLineChars="200"/>
      <w:jc w:val="center"/>
    </w:pPr>
    <w:rPr>
      <w:rFonts w:ascii="仿宋_GB2312" w:eastAsia="仿宋_GB2312"/>
      <w:b/>
      <w:sz w:val="36"/>
    </w:rPr>
  </w:style>
  <w:style w:type="paragraph" w:customStyle="1" w:styleId="75">
    <w:name w:val="答复表头"/>
    <w:basedOn w:val="76"/>
    <w:next w:val="1"/>
    <w:autoRedefine/>
    <w:qFormat/>
    <w:uiPriority w:val="0"/>
    <w:pPr>
      <w:tabs>
        <w:tab w:val="left" w:pos="480"/>
      </w:tabs>
    </w:pPr>
    <w:rPr>
      <w:b/>
    </w:rPr>
  </w:style>
  <w:style w:type="paragraph" w:customStyle="1" w:styleId="76">
    <w:name w:val="正表头"/>
    <w:basedOn w:val="1"/>
    <w:autoRedefine/>
    <w:qFormat/>
    <w:uiPriority w:val="0"/>
    <w:pPr>
      <w:tabs>
        <w:tab w:val="left" w:pos="480"/>
      </w:tabs>
      <w:autoSpaceDE w:val="0"/>
      <w:autoSpaceDN w:val="0"/>
      <w:adjustRightInd w:val="0"/>
      <w:jc w:val="center"/>
      <w:textAlignment w:val="baseline"/>
    </w:pPr>
    <w:rPr>
      <w:rFonts w:ascii="宋体" w:hAnsi="Tms Rmn"/>
      <w:color w:val="000000"/>
      <w:kern w:val="0"/>
    </w:rPr>
  </w:style>
  <w:style w:type="character" w:customStyle="1" w:styleId="77">
    <w:name w:val="标题 字符"/>
    <w:link w:val="25"/>
    <w:autoRedefine/>
    <w:qFormat/>
    <w:uiPriority w:val="0"/>
    <w:rPr>
      <w:rFonts w:ascii="Arial" w:hAnsi="Arial" w:cs="Arial"/>
      <w:b/>
      <w:bCs/>
      <w:sz w:val="32"/>
      <w:szCs w:val="32"/>
    </w:rPr>
  </w:style>
  <w:style w:type="character" w:customStyle="1" w:styleId="78">
    <w:name w:val="NormalCharacter"/>
    <w:autoRedefine/>
    <w:semiHidden/>
    <w:qFormat/>
    <w:uiPriority w:val="0"/>
  </w:style>
  <w:style w:type="paragraph" w:customStyle="1" w:styleId="79">
    <w:name w:val="Body text|2"/>
    <w:basedOn w:val="1"/>
    <w:autoRedefine/>
    <w:qFormat/>
    <w:uiPriority w:val="0"/>
    <w:pPr>
      <w:widowControl w:val="0"/>
      <w:shd w:val="clear" w:color="auto" w:fill="auto"/>
      <w:spacing w:after="260"/>
      <w:ind w:firstLine="140"/>
    </w:pPr>
    <w:rPr>
      <w:rFonts w:ascii="宋体" w:hAnsi="宋体" w:eastAsia="宋体" w:cs="宋体"/>
      <w:sz w:val="30"/>
      <w:szCs w:val="30"/>
      <w:u w:val="none"/>
      <w:shd w:val="clear" w:color="auto" w:fill="auto"/>
      <w:lang w:val="zh-TW" w:eastAsia="zh-TW" w:bidi="zh-TW"/>
    </w:rPr>
  </w:style>
  <w:style w:type="paragraph" w:customStyle="1" w:styleId="80">
    <w:name w:val="Body text|1"/>
    <w:basedOn w:val="1"/>
    <w:autoRedefine/>
    <w:qFormat/>
    <w:uiPriority w:val="0"/>
    <w:pPr>
      <w:widowControl w:val="0"/>
      <w:shd w:val="clear" w:color="auto" w:fill="auto"/>
      <w:spacing w:line="454" w:lineRule="auto"/>
      <w:ind w:firstLine="140"/>
    </w:pPr>
    <w:rPr>
      <w:rFonts w:ascii="宋体" w:hAnsi="宋体" w:eastAsia="宋体" w:cs="宋体"/>
      <w:sz w:val="22"/>
      <w:szCs w:val="22"/>
      <w:u w:val="none"/>
      <w:shd w:val="clear" w:color="auto" w:fill="auto"/>
      <w:lang w:val="zh-TW" w:eastAsia="zh-TW" w:bidi="zh-TW"/>
    </w:rPr>
  </w:style>
  <w:style w:type="paragraph" w:customStyle="1" w:styleId="81">
    <w:name w:val="Other|1"/>
    <w:basedOn w:val="1"/>
    <w:autoRedefine/>
    <w:qFormat/>
    <w:uiPriority w:val="0"/>
    <w:pPr>
      <w:widowControl w:val="0"/>
      <w:shd w:val="clear" w:color="auto" w:fill="auto"/>
      <w:spacing w:line="454" w:lineRule="auto"/>
      <w:ind w:firstLine="140"/>
    </w:pPr>
    <w:rPr>
      <w:rFonts w:ascii="宋体" w:hAnsi="宋体" w:eastAsia="宋体" w:cs="宋体"/>
      <w:sz w:val="22"/>
      <w:szCs w:val="22"/>
      <w:u w:val="none"/>
      <w:shd w:val="clear" w:color="auto" w:fill="auto"/>
      <w:lang w:val="zh-TW" w:eastAsia="zh-TW" w:bidi="zh-TW"/>
    </w:rPr>
  </w:style>
  <w:style w:type="paragraph" w:customStyle="1" w:styleId="82">
    <w:name w:val="目录 41"/>
    <w:next w:val="1"/>
    <w:qFormat/>
    <w:uiPriority w:val="0"/>
    <w:pPr>
      <w:wordWrap w:val="0"/>
      <w:ind w:left="1275"/>
      <w:jc w:val="both"/>
    </w:pPr>
    <w:rPr>
      <w:rFonts w:ascii="Times New Roman" w:hAnsi="Times New Roman" w:eastAsia="宋体" w:cs="Times New Roman"/>
      <w:sz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2.png"/><Relationship Id="rId7" Type="http://schemas.openxmlformats.org/officeDocument/2006/relationships/image" Target="media/image1.jpeg"/><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MSCD龙帝国技术社区 Htpp://Bbs.Mscode.Cc</Company>
  <Pages>76</Pages>
  <Words>18762</Words>
  <Characters>20458</Characters>
  <Lines>310</Lines>
  <Paragraphs>87</Paragraphs>
  <TotalTime>15</TotalTime>
  <ScaleCrop>false</ScaleCrop>
  <LinksUpToDate>false</LinksUpToDate>
  <CharactersWithSpaces>20771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2014-07-12T00:56:00Z</dcterms:created>
  <dc:creator>陈倩倩</dc:creator>
  <cp:lastModifiedBy>WPS_1646618408</cp:lastModifiedBy>
  <cp:lastPrinted>2024-02-04T09:31:00Z</cp:lastPrinted>
  <dcterms:modified xsi:type="dcterms:W3CDTF">2025-04-02T13:35:25Z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FA55A7666250433C9D53A2DEFFD14BE1</vt:lpwstr>
  </property>
  <property fmtid="{D5CDD505-2E9C-101B-9397-08002B2CF9AE}" pid="4" name="KSOTemplateDocerSaveRecord">
    <vt:lpwstr>eyJoZGlkIjoiMTExNTVkYTAzOTgzZDAxZjZkZDdmOWViN2M5NDFlZGIiLCJ1c2VySWQiOiIxMzM3MjExNjQwIn0=</vt:lpwstr>
  </property>
</Properties>
</file>