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F12C479">
      <w:pPr>
        <w:widowControl/>
        <w:overflowPunct w:val="0"/>
        <w:autoSpaceDE w:val="0"/>
        <w:autoSpaceDN w:val="0"/>
        <w:adjustRightInd w:val="0"/>
        <w:spacing w:line="360" w:lineRule="auto"/>
        <w:jc w:val="both"/>
        <w:textAlignment w:val="baseline"/>
        <w:rPr>
          <w:rFonts w:hint="eastAsia" w:ascii="宋体" w:hAnsi="宋体" w:cs="宋体"/>
          <w:b/>
          <w:sz w:val="18"/>
          <w:szCs w:val="18"/>
        </w:rPr>
      </w:pPr>
    </w:p>
    <w:p w14:paraId="035BEC8B">
      <w:pPr>
        <w:pStyle w:val="16"/>
        <w:rPr>
          <w:rFonts w:hint="eastAsia" w:ascii="宋体" w:hAnsi="宋体" w:cs="宋体"/>
          <w:b/>
          <w:szCs w:val="21"/>
        </w:rPr>
      </w:pPr>
    </w:p>
    <w:p w14:paraId="49C0516D">
      <w:pPr>
        <w:jc w:val="center"/>
        <w:rPr>
          <w:rFonts w:hint="eastAsia" w:ascii="仿宋" w:hAnsi="仿宋" w:eastAsia="仿宋" w:cs="仿宋"/>
          <w:b/>
          <w:bCs/>
          <w:color w:val="000000"/>
          <w:kern w:val="0"/>
          <w:sz w:val="56"/>
          <w:szCs w:val="56"/>
          <w:lang w:eastAsia="zh-CN"/>
        </w:rPr>
      </w:pPr>
    </w:p>
    <w:p w14:paraId="7FF999F3">
      <w:pPr>
        <w:jc w:val="both"/>
        <w:rPr>
          <w:rFonts w:hint="eastAsia" w:ascii="仿宋" w:hAnsi="仿宋" w:eastAsia="仿宋" w:cs="仿宋"/>
          <w:b/>
          <w:bCs/>
          <w:color w:val="000000"/>
          <w:kern w:val="0"/>
          <w:sz w:val="56"/>
          <w:szCs w:val="56"/>
          <w:lang w:eastAsia="zh-CN"/>
        </w:rPr>
      </w:pPr>
    </w:p>
    <w:p w14:paraId="586445A1">
      <w:pPr>
        <w:jc w:val="center"/>
        <w:rPr>
          <w:rFonts w:hint="eastAsia" w:ascii="仿宋" w:hAnsi="仿宋" w:eastAsia="仿宋" w:cs="仿宋"/>
          <w:b/>
          <w:bCs/>
          <w:sz w:val="22"/>
          <w:szCs w:val="28"/>
        </w:rPr>
      </w:pPr>
      <w:r>
        <w:rPr>
          <w:rFonts w:hint="eastAsia" w:ascii="仿宋" w:hAnsi="仿宋" w:eastAsia="仿宋" w:cs="仿宋"/>
          <w:b/>
          <w:bCs/>
          <w:color w:val="000000"/>
          <w:kern w:val="0"/>
          <w:sz w:val="52"/>
          <w:szCs w:val="52"/>
          <w:lang w:val="en-US" w:eastAsia="zh-CN"/>
        </w:rPr>
        <w:t>泽普县中等职业技术学校精品在线开放课程建设项目</w:t>
      </w:r>
    </w:p>
    <w:p w14:paraId="61C0E688">
      <w:pPr>
        <w:pStyle w:val="10"/>
        <w:rPr>
          <w:rFonts w:hint="eastAsia" w:ascii="仿宋" w:hAnsi="仿宋" w:eastAsia="仿宋" w:cs="仿宋"/>
          <w:b/>
          <w:bCs/>
        </w:rPr>
      </w:pPr>
    </w:p>
    <w:p w14:paraId="6903629C">
      <w:pPr>
        <w:widowControl/>
        <w:overflowPunct w:val="0"/>
        <w:autoSpaceDE w:val="0"/>
        <w:autoSpaceDN w:val="0"/>
        <w:adjustRightInd w:val="0"/>
        <w:spacing w:line="360" w:lineRule="auto"/>
        <w:jc w:val="center"/>
        <w:textAlignment w:val="baseline"/>
        <w:rPr>
          <w:rFonts w:ascii="仿宋" w:hAnsi="仿宋" w:eastAsia="仿宋" w:cs="仿宋"/>
          <w:b/>
          <w:bCs/>
          <w:color w:val="000000"/>
          <w:kern w:val="0"/>
          <w:sz w:val="56"/>
          <w:szCs w:val="56"/>
        </w:rPr>
      </w:pPr>
      <w:r>
        <w:rPr>
          <w:rFonts w:hint="eastAsia" w:ascii="仿宋" w:hAnsi="仿宋" w:eastAsia="仿宋" w:cs="仿宋"/>
          <w:b/>
          <w:bCs/>
          <w:color w:val="000000"/>
          <w:kern w:val="0"/>
          <w:sz w:val="56"/>
          <w:szCs w:val="56"/>
        </w:rPr>
        <w:t>竞争性磋商文件</w:t>
      </w:r>
    </w:p>
    <w:p w14:paraId="69D9B795">
      <w:pPr>
        <w:widowControl/>
        <w:overflowPunct w:val="0"/>
        <w:autoSpaceDE w:val="0"/>
        <w:autoSpaceDN w:val="0"/>
        <w:adjustRightInd w:val="0"/>
        <w:spacing w:line="360" w:lineRule="auto"/>
        <w:jc w:val="center"/>
        <w:textAlignment w:val="baseline"/>
        <w:rPr>
          <w:rFonts w:hint="default" w:ascii="仿宋" w:hAnsi="仿宋" w:eastAsia="仿宋" w:cs="仿宋"/>
          <w:b/>
          <w:color w:val="000000"/>
          <w:kern w:val="0"/>
          <w:sz w:val="32"/>
          <w:szCs w:val="32"/>
          <w:lang w:val="en-US" w:eastAsia="zh-CN"/>
        </w:rPr>
      </w:pPr>
      <w:r>
        <w:rPr>
          <w:rFonts w:hint="eastAsia" w:ascii="仿宋" w:hAnsi="仿宋" w:eastAsia="仿宋" w:cs="仿宋"/>
          <w:b/>
          <w:color w:val="000000"/>
          <w:kern w:val="0"/>
          <w:sz w:val="32"/>
          <w:szCs w:val="32"/>
        </w:rPr>
        <w:t>项目编号：</w:t>
      </w:r>
      <w:r>
        <w:rPr>
          <w:rFonts w:hint="eastAsia" w:ascii="仿宋" w:hAnsi="仿宋" w:eastAsia="仿宋" w:cs="仿宋"/>
          <w:b/>
          <w:color w:val="auto"/>
          <w:kern w:val="0"/>
          <w:sz w:val="32"/>
          <w:szCs w:val="32"/>
          <w:highlight w:val="none"/>
          <w:lang w:val="en-US" w:eastAsia="zh-CN"/>
        </w:rPr>
        <w:t>ZPDL（2025）023</w:t>
      </w:r>
    </w:p>
    <w:p w14:paraId="37AD6EAD">
      <w:pPr>
        <w:widowControl/>
        <w:overflowPunct w:val="0"/>
        <w:autoSpaceDE w:val="0"/>
        <w:autoSpaceDN w:val="0"/>
        <w:adjustRightInd w:val="0"/>
        <w:spacing w:line="360" w:lineRule="auto"/>
        <w:jc w:val="left"/>
        <w:textAlignment w:val="baseline"/>
        <w:rPr>
          <w:rFonts w:ascii="仿宋" w:hAnsi="仿宋" w:eastAsia="仿宋" w:cs="仿宋"/>
          <w:bCs/>
          <w:kern w:val="0"/>
        </w:rPr>
      </w:pPr>
    </w:p>
    <w:p w14:paraId="3539667B">
      <w:pPr>
        <w:widowControl/>
        <w:overflowPunct w:val="0"/>
        <w:autoSpaceDE w:val="0"/>
        <w:autoSpaceDN w:val="0"/>
        <w:adjustRightInd w:val="0"/>
        <w:spacing w:line="360" w:lineRule="auto"/>
        <w:jc w:val="left"/>
        <w:textAlignment w:val="baseline"/>
        <w:rPr>
          <w:rFonts w:ascii="仿宋" w:hAnsi="仿宋" w:eastAsia="仿宋" w:cs="仿宋"/>
          <w:bCs/>
          <w:kern w:val="0"/>
        </w:rPr>
      </w:pPr>
    </w:p>
    <w:p w14:paraId="73100676">
      <w:pPr>
        <w:widowControl/>
        <w:overflowPunct w:val="0"/>
        <w:autoSpaceDE w:val="0"/>
        <w:autoSpaceDN w:val="0"/>
        <w:adjustRightInd w:val="0"/>
        <w:spacing w:line="360" w:lineRule="auto"/>
        <w:jc w:val="left"/>
        <w:textAlignment w:val="baseline"/>
        <w:rPr>
          <w:rFonts w:ascii="仿宋" w:hAnsi="仿宋" w:eastAsia="仿宋" w:cs="仿宋"/>
          <w:bCs/>
          <w:kern w:val="0"/>
        </w:rPr>
      </w:pPr>
    </w:p>
    <w:p w14:paraId="7D59AA6D">
      <w:pPr>
        <w:widowControl/>
        <w:overflowPunct w:val="0"/>
        <w:autoSpaceDE w:val="0"/>
        <w:autoSpaceDN w:val="0"/>
        <w:adjustRightInd w:val="0"/>
        <w:spacing w:line="360" w:lineRule="auto"/>
        <w:jc w:val="left"/>
        <w:textAlignment w:val="baseline"/>
        <w:rPr>
          <w:rFonts w:ascii="仿宋" w:hAnsi="仿宋" w:eastAsia="仿宋" w:cs="仿宋"/>
          <w:bCs/>
          <w:kern w:val="0"/>
        </w:rPr>
      </w:pPr>
    </w:p>
    <w:p w14:paraId="44087C25">
      <w:pPr>
        <w:autoSpaceDE w:val="0"/>
        <w:autoSpaceDN w:val="0"/>
        <w:spacing w:line="600" w:lineRule="exact"/>
        <w:rPr>
          <w:rFonts w:hint="default" w:ascii="仿宋" w:hAnsi="仿宋" w:eastAsia="仿宋" w:cs="仿宋"/>
          <w:b/>
          <w:bCs/>
          <w:kern w:val="0"/>
          <w:sz w:val="28"/>
          <w:szCs w:val="28"/>
          <w:lang w:val="en-US"/>
        </w:rPr>
      </w:pPr>
      <w:r>
        <w:rPr>
          <w:rFonts w:hint="eastAsia" w:ascii="仿宋" w:hAnsi="仿宋" w:eastAsia="仿宋" w:cs="仿宋"/>
          <w:b/>
          <w:bCs/>
          <w:kern w:val="0"/>
          <w:sz w:val="28"/>
          <w:szCs w:val="28"/>
        </w:rPr>
        <w:t>采购单位：</w:t>
      </w:r>
      <w:r>
        <w:rPr>
          <w:rFonts w:hint="eastAsia" w:ascii="仿宋" w:hAnsi="仿宋" w:eastAsia="仿宋" w:cs="仿宋"/>
          <w:b/>
          <w:bCs/>
          <w:kern w:val="0"/>
          <w:sz w:val="28"/>
          <w:szCs w:val="28"/>
          <w:u w:val="single"/>
        </w:rPr>
        <w:t xml:space="preserve"> </w:t>
      </w:r>
      <w:r>
        <w:rPr>
          <w:rFonts w:hint="eastAsia" w:ascii="仿宋" w:hAnsi="仿宋" w:eastAsia="仿宋" w:cs="仿宋"/>
          <w:b/>
          <w:bCs/>
          <w:i w:val="0"/>
          <w:iCs w:val="0"/>
          <w:caps w:val="0"/>
          <w:color w:val="auto"/>
          <w:spacing w:val="0"/>
          <w:kern w:val="0"/>
          <w:sz w:val="28"/>
          <w:szCs w:val="28"/>
          <w:u w:val="single"/>
          <w:shd w:val="clear" w:fill="auto"/>
          <w:lang w:eastAsia="zh-CN"/>
        </w:rPr>
        <w:t>泽普县中等职业技术学校</w:t>
      </w:r>
      <w:r>
        <w:rPr>
          <w:rFonts w:hint="eastAsia" w:ascii="仿宋" w:hAnsi="仿宋" w:eastAsia="仿宋" w:cs="仿宋"/>
          <w:b/>
          <w:bCs/>
          <w:i w:val="0"/>
          <w:iCs w:val="0"/>
          <w:caps w:val="0"/>
          <w:color w:val="auto"/>
          <w:spacing w:val="0"/>
          <w:kern w:val="0"/>
          <w:sz w:val="28"/>
          <w:szCs w:val="28"/>
          <w:u w:val="single"/>
          <w:shd w:val="clear" w:fill="auto"/>
          <w:lang w:val="en-US" w:eastAsia="zh-CN"/>
        </w:rPr>
        <w:t xml:space="preserve"> </w:t>
      </w:r>
    </w:p>
    <w:p w14:paraId="7CA82834">
      <w:pPr>
        <w:autoSpaceDE w:val="0"/>
        <w:autoSpaceDN w:val="0"/>
        <w:spacing w:line="600" w:lineRule="exact"/>
        <w:rPr>
          <w:rFonts w:hint="eastAsia" w:ascii="仿宋" w:hAnsi="仿宋" w:eastAsia="仿宋" w:cs="仿宋"/>
          <w:b/>
          <w:bCs/>
          <w:kern w:val="0"/>
          <w:sz w:val="28"/>
          <w:szCs w:val="28"/>
          <w:u w:val="single"/>
        </w:rPr>
      </w:pPr>
      <w:r>
        <w:rPr>
          <w:rFonts w:hint="eastAsia" w:ascii="仿宋" w:hAnsi="仿宋" w:eastAsia="仿宋" w:cs="仿宋"/>
          <w:b/>
          <w:bCs/>
          <w:kern w:val="0"/>
          <w:sz w:val="28"/>
          <w:szCs w:val="28"/>
        </w:rPr>
        <w:t>联 系 人</w:t>
      </w:r>
      <w:r>
        <w:rPr>
          <w:rFonts w:hint="eastAsia" w:ascii="仿宋" w:hAnsi="仿宋" w:eastAsia="仿宋" w:cs="仿宋"/>
          <w:b/>
          <w:bCs/>
          <w:kern w:val="0"/>
          <w:sz w:val="28"/>
          <w:szCs w:val="28"/>
          <w:u w:val="single"/>
        </w:rPr>
        <w:t xml:space="preserve">： </w:t>
      </w:r>
      <w:r>
        <w:rPr>
          <w:rFonts w:hint="eastAsia" w:ascii="仿宋" w:hAnsi="仿宋" w:eastAsia="仿宋" w:cs="仿宋"/>
          <w:b/>
          <w:bCs/>
          <w:kern w:val="0"/>
          <w:sz w:val="28"/>
          <w:szCs w:val="28"/>
          <w:u w:val="single"/>
          <w:lang w:eastAsia="zh-CN"/>
        </w:rPr>
        <w:t xml:space="preserve"> 黄老师</w:t>
      </w:r>
      <w:r>
        <w:rPr>
          <w:rFonts w:hint="eastAsia" w:ascii="仿宋" w:hAnsi="仿宋" w:eastAsia="仿宋" w:cs="仿宋"/>
          <w:b/>
          <w:bCs/>
          <w:kern w:val="0"/>
          <w:sz w:val="28"/>
          <w:szCs w:val="28"/>
          <w:u w:val="single"/>
        </w:rPr>
        <w:t xml:space="preserve">     </w:t>
      </w:r>
      <w:r>
        <w:rPr>
          <w:rFonts w:hint="eastAsia" w:ascii="仿宋" w:hAnsi="仿宋" w:eastAsia="仿宋" w:cs="仿宋"/>
          <w:b/>
          <w:bCs/>
          <w:kern w:val="0"/>
          <w:sz w:val="28"/>
          <w:szCs w:val="28"/>
          <w:u w:val="single"/>
          <w:lang w:val="en-US" w:eastAsia="zh-CN"/>
        </w:rPr>
        <w:t xml:space="preserve"> </w:t>
      </w:r>
    </w:p>
    <w:p w14:paraId="2F446642">
      <w:pPr>
        <w:autoSpaceDE w:val="0"/>
        <w:autoSpaceDN w:val="0"/>
        <w:spacing w:line="600" w:lineRule="exact"/>
        <w:rPr>
          <w:rFonts w:hint="eastAsia" w:ascii="仿宋" w:hAnsi="仿宋" w:eastAsia="仿宋" w:cs="仿宋"/>
          <w:b/>
          <w:bCs/>
          <w:kern w:val="0"/>
          <w:sz w:val="28"/>
          <w:szCs w:val="28"/>
          <w:u w:val="single"/>
          <w:lang w:val="en-US" w:eastAsia="zh-CN"/>
        </w:rPr>
      </w:pPr>
      <w:r>
        <w:rPr>
          <w:rFonts w:hint="eastAsia" w:ascii="仿宋" w:hAnsi="仿宋" w:eastAsia="仿宋" w:cs="仿宋"/>
          <w:b/>
          <w:bCs/>
          <w:kern w:val="0"/>
          <w:sz w:val="28"/>
          <w:szCs w:val="28"/>
        </w:rPr>
        <w:t>联系电话：</w:t>
      </w:r>
      <w:r>
        <w:rPr>
          <w:rFonts w:hint="eastAsia" w:ascii="仿宋" w:hAnsi="仿宋" w:eastAsia="仿宋" w:cs="仿宋"/>
          <w:b/>
          <w:bCs/>
          <w:kern w:val="0"/>
          <w:sz w:val="28"/>
          <w:szCs w:val="28"/>
          <w:u w:val="single"/>
        </w:rPr>
        <w:t xml:space="preserve">  </w:t>
      </w:r>
      <w:r>
        <w:rPr>
          <w:rFonts w:hint="eastAsia" w:ascii="仿宋" w:hAnsi="仿宋" w:eastAsia="仿宋" w:cs="仿宋"/>
          <w:b/>
          <w:bCs/>
          <w:kern w:val="0"/>
          <w:sz w:val="28"/>
          <w:szCs w:val="28"/>
          <w:u w:val="single"/>
          <w:lang w:eastAsia="zh-CN"/>
        </w:rPr>
        <w:t>19909984334</w:t>
      </w:r>
      <w:r>
        <w:rPr>
          <w:rFonts w:hint="eastAsia" w:ascii="仿宋" w:hAnsi="仿宋" w:eastAsia="仿宋" w:cs="仿宋"/>
          <w:b/>
          <w:bCs/>
          <w:kern w:val="0"/>
          <w:sz w:val="28"/>
          <w:szCs w:val="28"/>
          <w:u w:val="single"/>
        </w:rPr>
        <w:t xml:space="preserve">  </w:t>
      </w:r>
      <w:r>
        <w:rPr>
          <w:rFonts w:hint="eastAsia" w:ascii="仿宋" w:hAnsi="仿宋" w:eastAsia="仿宋" w:cs="仿宋"/>
          <w:b/>
          <w:bCs/>
          <w:kern w:val="0"/>
          <w:sz w:val="28"/>
          <w:szCs w:val="28"/>
          <w:u w:val="single"/>
          <w:lang w:val="en-US" w:eastAsia="zh-CN"/>
        </w:rPr>
        <w:t xml:space="preserve">  </w:t>
      </w:r>
    </w:p>
    <w:p w14:paraId="6358E1C1">
      <w:pPr>
        <w:autoSpaceDE w:val="0"/>
        <w:autoSpaceDN w:val="0"/>
        <w:spacing w:line="600" w:lineRule="exact"/>
        <w:ind w:firstLine="1124" w:firstLineChars="400"/>
        <w:rPr>
          <w:rFonts w:hint="eastAsia" w:ascii="仿宋" w:hAnsi="仿宋" w:eastAsia="仿宋" w:cs="仿宋"/>
          <w:b/>
          <w:bCs/>
          <w:kern w:val="0"/>
          <w:sz w:val="28"/>
          <w:szCs w:val="28"/>
        </w:rPr>
      </w:pPr>
      <w:r>
        <w:rPr>
          <w:rFonts w:hint="eastAsia" w:ascii="仿宋" w:hAnsi="仿宋" w:eastAsia="仿宋" w:cs="仿宋"/>
          <w:b/>
          <w:bCs/>
          <w:sz w:val="28"/>
          <w:szCs w:val="28"/>
        </w:rPr>
        <w:t xml:space="preserve"> </w:t>
      </w:r>
      <w:r>
        <w:rPr>
          <w:rFonts w:hint="eastAsia" w:ascii="仿宋" w:hAnsi="仿宋" w:eastAsia="仿宋" w:cs="仿宋"/>
          <w:b/>
          <w:bCs/>
          <w:kern w:val="0"/>
          <w:sz w:val="28"/>
          <w:szCs w:val="28"/>
        </w:rPr>
        <w:t xml:space="preserve">       </w:t>
      </w:r>
      <w:r>
        <w:rPr>
          <w:rFonts w:hint="eastAsia" w:ascii="仿宋" w:hAnsi="仿宋" w:eastAsia="仿宋" w:cs="仿宋"/>
          <w:b/>
          <w:bCs/>
          <w:sz w:val="28"/>
          <w:szCs w:val="28"/>
        </w:rPr>
        <w:t xml:space="preserve">        </w:t>
      </w:r>
    </w:p>
    <w:p w14:paraId="79581089">
      <w:pPr>
        <w:spacing w:line="220" w:lineRule="atLeast"/>
        <w:rPr>
          <w:rFonts w:hint="eastAsia" w:ascii="仿宋" w:hAnsi="仿宋" w:eastAsia="仿宋" w:cs="仿宋"/>
          <w:b/>
          <w:bCs/>
          <w:kern w:val="0"/>
          <w:sz w:val="28"/>
          <w:szCs w:val="28"/>
          <w:u w:val="single"/>
        </w:rPr>
      </w:pPr>
      <w:r>
        <w:rPr>
          <w:rFonts w:hint="eastAsia" w:ascii="仿宋" w:hAnsi="仿宋" w:eastAsia="仿宋" w:cs="仿宋"/>
          <w:b/>
          <w:bCs/>
          <w:kern w:val="0"/>
          <w:sz w:val="28"/>
          <w:szCs w:val="28"/>
        </w:rPr>
        <w:t>代理机构：</w:t>
      </w:r>
      <w:r>
        <w:rPr>
          <w:rFonts w:hint="eastAsia" w:ascii="仿宋" w:hAnsi="仿宋" w:eastAsia="仿宋" w:cs="仿宋"/>
          <w:b/>
          <w:bCs/>
          <w:i w:val="0"/>
          <w:iCs w:val="0"/>
          <w:caps w:val="0"/>
          <w:color w:val="auto"/>
          <w:spacing w:val="0"/>
          <w:kern w:val="0"/>
          <w:sz w:val="28"/>
          <w:szCs w:val="28"/>
          <w:u w:val="single"/>
          <w:shd w:val="clear" w:fill="auto"/>
          <w:lang w:eastAsia="zh-CN"/>
        </w:rPr>
        <w:t>新疆全咨建设工程项目管理咨询有限公司</w:t>
      </w:r>
      <w:r>
        <w:rPr>
          <w:rFonts w:hint="eastAsia" w:ascii="仿宋" w:hAnsi="仿宋" w:eastAsia="仿宋" w:cs="仿宋"/>
          <w:b/>
          <w:bCs/>
          <w:color w:val="auto"/>
          <w:kern w:val="0"/>
          <w:sz w:val="28"/>
          <w:szCs w:val="28"/>
          <w:highlight w:val="none"/>
          <w:u w:val="single"/>
        </w:rPr>
        <w:t xml:space="preserve"> </w:t>
      </w:r>
    </w:p>
    <w:p w14:paraId="1C197312">
      <w:pPr>
        <w:autoSpaceDE w:val="0"/>
        <w:autoSpaceDN w:val="0"/>
        <w:spacing w:line="600" w:lineRule="exact"/>
        <w:rPr>
          <w:rFonts w:hint="eastAsia" w:ascii="仿宋" w:hAnsi="仿宋" w:eastAsia="仿宋" w:cs="仿宋"/>
          <w:b/>
          <w:bCs/>
          <w:kern w:val="0"/>
          <w:sz w:val="28"/>
          <w:szCs w:val="28"/>
          <w:u w:val="single"/>
        </w:rPr>
      </w:pPr>
      <w:r>
        <w:rPr>
          <w:rFonts w:hint="eastAsia" w:ascii="仿宋" w:hAnsi="仿宋" w:eastAsia="仿宋" w:cs="仿宋"/>
          <w:b/>
          <w:bCs/>
          <w:kern w:val="0"/>
          <w:sz w:val="28"/>
          <w:szCs w:val="28"/>
        </w:rPr>
        <w:t>联 系 人：</w:t>
      </w:r>
      <w:r>
        <w:rPr>
          <w:rFonts w:hint="eastAsia" w:ascii="仿宋" w:hAnsi="仿宋" w:eastAsia="仿宋" w:cs="仿宋"/>
          <w:b/>
          <w:bCs/>
          <w:kern w:val="0"/>
          <w:sz w:val="28"/>
          <w:szCs w:val="28"/>
          <w:u w:val="single"/>
        </w:rPr>
        <w:t xml:space="preserve">   </w:t>
      </w:r>
      <w:r>
        <w:rPr>
          <w:rFonts w:hint="eastAsia" w:ascii="仿宋" w:hAnsi="仿宋" w:eastAsia="仿宋" w:cs="仿宋"/>
          <w:b/>
          <w:bCs/>
          <w:kern w:val="0"/>
          <w:sz w:val="28"/>
          <w:szCs w:val="28"/>
          <w:u w:val="single"/>
          <w:lang w:eastAsia="zh-CN"/>
        </w:rPr>
        <w:t>魏会娟</w:t>
      </w:r>
      <w:r>
        <w:rPr>
          <w:rFonts w:hint="eastAsia" w:ascii="仿宋" w:hAnsi="仿宋" w:eastAsia="仿宋" w:cs="仿宋"/>
          <w:b/>
          <w:bCs/>
          <w:kern w:val="0"/>
          <w:sz w:val="28"/>
          <w:szCs w:val="28"/>
          <w:u w:val="single"/>
        </w:rPr>
        <w:t xml:space="preserve">     </w:t>
      </w:r>
    </w:p>
    <w:p w14:paraId="33CA99C5">
      <w:pPr>
        <w:autoSpaceDE w:val="0"/>
        <w:autoSpaceDN w:val="0"/>
        <w:spacing w:line="600" w:lineRule="exact"/>
        <w:rPr>
          <w:rFonts w:hint="eastAsia" w:ascii="仿宋" w:hAnsi="仿宋" w:eastAsia="仿宋" w:cs="仿宋"/>
          <w:b/>
          <w:bCs/>
          <w:sz w:val="28"/>
          <w:szCs w:val="28"/>
          <w:u w:val="single"/>
        </w:rPr>
      </w:pPr>
      <w:r>
        <w:rPr>
          <w:rFonts w:hint="eastAsia" w:ascii="仿宋" w:hAnsi="仿宋" w:eastAsia="仿宋" w:cs="仿宋"/>
          <w:b/>
          <w:bCs/>
          <w:kern w:val="0"/>
          <w:sz w:val="28"/>
          <w:szCs w:val="28"/>
        </w:rPr>
        <w:t>联系电话：</w:t>
      </w:r>
      <w:r>
        <w:rPr>
          <w:rFonts w:hint="eastAsia" w:ascii="仿宋" w:hAnsi="仿宋" w:eastAsia="仿宋" w:cs="仿宋"/>
          <w:b/>
          <w:bCs/>
          <w:kern w:val="0"/>
          <w:sz w:val="28"/>
          <w:szCs w:val="28"/>
          <w:u w:val="single"/>
        </w:rPr>
        <w:t xml:space="preserve">  </w:t>
      </w:r>
      <w:r>
        <w:rPr>
          <w:rFonts w:hint="eastAsia" w:ascii="仿宋" w:hAnsi="仿宋" w:eastAsia="仿宋" w:cs="仿宋"/>
          <w:b/>
          <w:bCs/>
          <w:kern w:val="0"/>
          <w:sz w:val="28"/>
          <w:szCs w:val="28"/>
          <w:u w:val="single"/>
          <w:lang w:val="en-US" w:eastAsia="zh-CN"/>
        </w:rPr>
        <w:t>15276075795</w:t>
      </w:r>
      <w:r>
        <w:rPr>
          <w:rFonts w:hint="eastAsia" w:ascii="仿宋" w:hAnsi="仿宋" w:eastAsia="仿宋" w:cs="仿宋"/>
          <w:b/>
          <w:bCs/>
          <w:sz w:val="28"/>
          <w:szCs w:val="28"/>
          <w:u w:val="single"/>
          <w:lang w:val="en-US" w:eastAsia="zh-CN"/>
        </w:rPr>
        <w:t xml:space="preserve">   </w:t>
      </w:r>
      <w:r>
        <w:rPr>
          <w:rFonts w:hint="eastAsia" w:ascii="仿宋" w:hAnsi="仿宋" w:eastAsia="仿宋" w:cs="仿宋"/>
          <w:b/>
          <w:bCs/>
          <w:sz w:val="28"/>
          <w:szCs w:val="28"/>
          <w:u w:val="single"/>
        </w:rPr>
        <w:t xml:space="preserve"> </w:t>
      </w:r>
    </w:p>
    <w:p w14:paraId="42A6EADE">
      <w:pPr>
        <w:pStyle w:val="22"/>
        <w:rPr>
          <w:rFonts w:hint="eastAsia" w:ascii="仿宋" w:hAnsi="仿宋" w:eastAsia="仿宋" w:cs="仿宋"/>
          <w:b/>
          <w:bCs/>
          <w:sz w:val="28"/>
          <w:szCs w:val="28"/>
          <w:u w:val="single"/>
        </w:rPr>
      </w:pPr>
    </w:p>
    <w:p w14:paraId="6BBF3C84">
      <w:pPr>
        <w:pStyle w:val="22"/>
        <w:rPr>
          <w:rFonts w:hint="eastAsia" w:ascii="仿宋" w:hAnsi="仿宋" w:eastAsia="仿宋" w:cs="仿宋"/>
          <w:b/>
          <w:bCs/>
          <w:sz w:val="28"/>
          <w:szCs w:val="28"/>
          <w:u w:val="single"/>
        </w:rPr>
      </w:pPr>
    </w:p>
    <w:p w14:paraId="5040FCE9">
      <w:pPr>
        <w:pStyle w:val="9"/>
        <w:jc w:val="center"/>
        <w:rPr>
          <w:rFonts w:hint="eastAsia" w:ascii="仿宋" w:hAnsi="仿宋" w:eastAsia="仿宋" w:cs="仿宋"/>
          <w:b/>
          <w:kern w:val="0"/>
          <w:sz w:val="30"/>
          <w:szCs w:val="30"/>
          <w:lang w:eastAsia="zh-CN"/>
        </w:rPr>
      </w:pPr>
      <w:r>
        <w:rPr>
          <w:rFonts w:hint="eastAsia" w:ascii="仿宋" w:hAnsi="仿宋" w:eastAsia="仿宋" w:cs="仿宋"/>
          <w:b/>
          <w:kern w:val="0"/>
          <w:sz w:val="30"/>
          <w:szCs w:val="30"/>
          <w:lang w:eastAsia="zh-CN"/>
        </w:rPr>
        <w:t>二〇二五年四月</w:t>
      </w:r>
    </w:p>
    <w:p w14:paraId="2957466F">
      <w:pPr>
        <w:rPr>
          <w:rFonts w:hint="eastAsia"/>
          <w:lang w:eastAsia="zh-CN"/>
        </w:rPr>
        <w:sectPr>
          <w:footerReference r:id="rId3" w:type="default"/>
          <w:pgSz w:w="11906" w:h="16838"/>
          <w:pgMar w:top="1440" w:right="1797" w:bottom="1440" w:left="1797" w:header="851" w:footer="992" w:gutter="0"/>
          <w:pgBorders>
            <w:top w:val="none" w:sz="0" w:space="0"/>
            <w:left w:val="none" w:sz="0" w:space="0"/>
            <w:bottom w:val="none" w:sz="0" w:space="0"/>
            <w:right w:val="none" w:sz="0" w:space="0"/>
          </w:pgBorders>
          <w:pgNumType w:fmt="decimal" w:start="1"/>
          <w:cols w:space="720" w:num="1"/>
          <w:docGrid w:linePitch="312" w:charSpace="0"/>
        </w:sectPr>
      </w:pPr>
    </w:p>
    <w:p w14:paraId="576D62EC"/>
    <w:p w14:paraId="6961D564">
      <w:pPr>
        <w:spacing w:line="400" w:lineRule="exact"/>
        <w:ind w:left="1080" w:leftChars="257" w:hanging="540"/>
        <w:jc w:val="center"/>
        <w:rPr>
          <w:rFonts w:ascii="仿宋" w:hAnsi="仿宋" w:eastAsia="仿宋" w:cs="仿宋"/>
          <w:b/>
          <w:sz w:val="28"/>
          <w:szCs w:val="28"/>
        </w:rPr>
      </w:pPr>
      <w:r>
        <w:rPr>
          <w:rFonts w:hint="eastAsia" w:ascii="仿宋" w:hAnsi="仿宋" w:eastAsia="仿宋" w:cs="仿宋"/>
          <w:b/>
          <w:sz w:val="28"/>
          <w:szCs w:val="28"/>
        </w:rPr>
        <w:t>目  录</w:t>
      </w:r>
    </w:p>
    <w:sdt>
      <w:sdtPr>
        <w:rPr>
          <w:rFonts w:hint="eastAsia" w:ascii="仿宋" w:hAnsi="仿宋" w:eastAsia="仿宋" w:cs="仿宋"/>
          <w:sz w:val="28"/>
          <w:szCs w:val="28"/>
        </w:rPr>
        <w:id w:val="147480635"/>
        <w15:color w:val="DBDBDB"/>
        <w:docPartObj>
          <w:docPartGallery w:val="Table of Contents"/>
          <w:docPartUnique/>
        </w:docPartObj>
      </w:sdtPr>
      <w:sdtEndPr>
        <w:rPr>
          <w:rFonts w:hint="eastAsia" w:ascii="仿宋" w:hAnsi="仿宋" w:eastAsia="仿宋" w:cs="仿宋"/>
          <w:sz w:val="28"/>
          <w:szCs w:val="28"/>
        </w:rPr>
      </w:sdtEndPr>
      <w:sdtContent>
        <w:p w14:paraId="3D497FC8">
          <w:pPr>
            <w:jc w:val="center"/>
            <w:rPr>
              <w:rFonts w:ascii="仿宋" w:hAnsi="仿宋" w:eastAsia="仿宋" w:cs="仿宋"/>
              <w:sz w:val="28"/>
              <w:szCs w:val="28"/>
            </w:rPr>
          </w:pPr>
        </w:p>
        <w:p w14:paraId="067A638D">
          <w:pPr>
            <w:pStyle w:val="31"/>
            <w:keepNext w:val="0"/>
            <w:keepLines w:val="0"/>
            <w:pageBreakBefore w:val="0"/>
            <w:tabs>
              <w:tab w:val="right" w:leader="dot" w:pos="8312"/>
            </w:tabs>
            <w:kinsoku/>
            <w:wordWrap/>
            <w:overflowPunct/>
            <w:topLinePunct w:val="0"/>
            <w:autoSpaceDE/>
            <w:autoSpaceDN/>
            <w:bidi w:val="0"/>
            <w:adjustRightInd/>
            <w:snapToGrid/>
            <w:spacing w:line="360" w:lineRule="auto"/>
            <w:textAlignment w:val="auto"/>
            <w:rPr>
              <w:rFonts w:ascii="仿宋" w:hAnsi="仿宋" w:eastAsia="仿宋" w:cs="仿宋"/>
              <w:sz w:val="28"/>
              <w:szCs w:val="28"/>
            </w:rPr>
          </w:pP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TOC \o "1-1" \h \u </w:instrText>
          </w:r>
          <w:r>
            <w:rPr>
              <w:rFonts w:hint="eastAsia" w:ascii="仿宋" w:hAnsi="仿宋" w:eastAsia="仿宋" w:cs="仿宋"/>
              <w:sz w:val="28"/>
              <w:szCs w:val="28"/>
            </w:rPr>
            <w:fldChar w:fldCharType="separate"/>
          </w:r>
          <w:r>
            <w:fldChar w:fldCharType="begin"/>
          </w:r>
          <w:r>
            <w:instrText xml:space="preserve"> HYPERLINK \l "_Toc22179" </w:instrText>
          </w:r>
          <w:r>
            <w:fldChar w:fldCharType="separate"/>
          </w:r>
          <w:r>
            <w:rPr>
              <w:rFonts w:hint="eastAsia" w:ascii="仿宋" w:hAnsi="仿宋" w:eastAsia="仿宋" w:cs="仿宋"/>
              <w:sz w:val="28"/>
              <w:szCs w:val="28"/>
            </w:rPr>
            <w:t>第1章</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供应商须知</w:t>
          </w:r>
          <w:r>
            <w:rPr>
              <w:rFonts w:hint="eastAsia" w:ascii="仿宋" w:hAnsi="仿宋" w:eastAsia="仿宋" w:cs="仿宋"/>
              <w:sz w:val="28"/>
              <w:szCs w:val="28"/>
              <w:lang w:val="en-US" w:eastAsia="zh-CN"/>
            </w:rPr>
            <w:t>........................................</w:t>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_Toc22179 \h </w:instrText>
          </w:r>
          <w:r>
            <w:rPr>
              <w:rFonts w:hint="eastAsia" w:ascii="仿宋" w:hAnsi="仿宋" w:eastAsia="仿宋" w:cs="仿宋"/>
              <w:sz w:val="28"/>
              <w:szCs w:val="28"/>
            </w:rPr>
            <w:fldChar w:fldCharType="separate"/>
          </w:r>
          <w:r>
            <w:rPr>
              <w:rFonts w:hint="eastAsia" w:ascii="仿宋" w:hAnsi="仿宋" w:eastAsia="仿宋" w:cs="仿宋"/>
              <w:sz w:val="28"/>
              <w:szCs w:val="28"/>
            </w:rPr>
            <w:t>1</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465B3F06">
          <w:pPr>
            <w:pStyle w:val="31"/>
            <w:keepNext w:val="0"/>
            <w:keepLines w:val="0"/>
            <w:pageBreakBefore w:val="0"/>
            <w:tabs>
              <w:tab w:val="right" w:leader="dot" w:pos="8312"/>
            </w:tabs>
            <w:kinsoku/>
            <w:wordWrap/>
            <w:overflowPunct/>
            <w:topLinePunct w:val="0"/>
            <w:autoSpaceDE/>
            <w:autoSpaceDN/>
            <w:bidi w:val="0"/>
            <w:adjustRightInd/>
            <w:snapToGrid/>
            <w:spacing w:line="360" w:lineRule="auto"/>
            <w:textAlignment w:val="auto"/>
            <w:rPr>
              <w:rFonts w:ascii="仿宋" w:hAnsi="仿宋" w:eastAsia="仿宋" w:cs="仿宋"/>
              <w:sz w:val="28"/>
              <w:szCs w:val="28"/>
            </w:rPr>
          </w:pPr>
          <w:r>
            <w:fldChar w:fldCharType="begin"/>
          </w:r>
          <w:r>
            <w:instrText xml:space="preserve"> HYPERLINK \l "_Toc8372" </w:instrText>
          </w:r>
          <w:r>
            <w:fldChar w:fldCharType="separate"/>
          </w:r>
          <w:r>
            <w:rPr>
              <w:rFonts w:hint="eastAsia" w:ascii="仿宋" w:hAnsi="仿宋" w:eastAsia="仿宋" w:cs="仿宋"/>
              <w:sz w:val="28"/>
              <w:szCs w:val="28"/>
            </w:rPr>
            <w:t>第2章 响应文件格式</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_Toc8372 \h </w:instrText>
          </w:r>
          <w:r>
            <w:rPr>
              <w:rFonts w:hint="eastAsia" w:ascii="仿宋" w:hAnsi="仿宋" w:eastAsia="仿宋" w:cs="仿宋"/>
              <w:sz w:val="28"/>
              <w:szCs w:val="28"/>
            </w:rPr>
            <w:fldChar w:fldCharType="separate"/>
          </w:r>
          <w:r>
            <w:rPr>
              <w:rFonts w:hint="eastAsia" w:ascii="仿宋" w:hAnsi="仿宋" w:eastAsia="仿宋" w:cs="仿宋"/>
              <w:sz w:val="28"/>
              <w:szCs w:val="28"/>
            </w:rPr>
            <w:t>20</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2D9345DF">
          <w:pPr>
            <w:pStyle w:val="31"/>
            <w:keepNext w:val="0"/>
            <w:keepLines w:val="0"/>
            <w:pageBreakBefore w:val="0"/>
            <w:tabs>
              <w:tab w:val="right" w:leader="dot" w:pos="8312"/>
            </w:tabs>
            <w:kinsoku/>
            <w:wordWrap/>
            <w:overflowPunct/>
            <w:topLinePunct w:val="0"/>
            <w:autoSpaceDE/>
            <w:autoSpaceDN/>
            <w:bidi w:val="0"/>
            <w:adjustRightInd/>
            <w:snapToGrid/>
            <w:spacing w:line="360" w:lineRule="auto"/>
            <w:textAlignment w:val="auto"/>
            <w:rPr>
              <w:rFonts w:hint="eastAsia" w:ascii="仿宋" w:hAnsi="仿宋" w:eastAsia="仿宋" w:cs="仿宋"/>
              <w:sz w:val="28"/>
              <w:szCs w:val="28"/>
              <w:lang w:val="en-US" w:eastAsia="zh-CN"/>
            </w:rPr>
          </w:pPr>
          <w:r>
            <w:fldChar w:fldCharType="begin"/>
          </w:r>
          <w:r>
            <w:instrText xml:space="preserve"> HYPERLINK \l "_Toc18056" </w:instrText>
          </w:r>
          <w:r>
            <w:fldChar w:fldCharType="separate"/>
          </w:r>
          <w:r>
            <w:rPr>
              <w:rFonts w:hint="eastAsia" w:ascii="仿宋" w:hAnsi="仿宋" w:eastAsia="仿宋" w:cs="仿宋"/>
              <w:sz w:val="28"/>
              <w:szCs w:val="28"/>
            </w:rPr>
            <w:t>第3章 磋商</w:t>
          </w:r>
          <w:r>
            <w:rPr>
              <w:rFonts w:hint="eastAsia" w:ascii="仿宋" w:hAnsi="仿宋" w:eastAsia="仿宋" w:cs="仿宋"/>
              <w:sz w:val="28"/>
              <w:szCs w:val="28"/>
              <w:lang w:val="en-US" w:eastAsia="zh-CN"/>
            </w:rPr>
            <w:t>公告</w:t>
          </w:r>
          <w:r>
            <w:rPr>
              <w:rFonts w:hint="eastAsia" w:ascii="仿宋" w:hAnsi="仿宋" w:eastAsia="仿宋" w:cs="仿宋"/>
              <w:sz w:val="28"/>
              <w:szCs w:val="28"/>
            </w:rPr>
            <w:tab/>
          </w:r>
          <w:r>
            <w:rPr>
              <w:rFonts w:hint="eastAsia" w:ascii="仿宋" w:hAnsi="仿宋" w:eastAsia="仿宋" w:cs="仿宋"/>
              <w:sz w:val="28"/>
              <w:szCs w:val="28"/>
              <w:lang w:val="en-US" w:eastAsia="zh-CN"/>
            </w:rPr>
            <w:t>3</w:t>
          </w:r>
          <w:r>
            <w:rPr>
              <w:rFonts w:hint="eastAsia" w:ascii="仿宋" w:hAnsi="仿宋" w:eastAsia="仿宋" w:cs="仿宋"/>
              <w:sz w:val="28"/>
              <w:szCs w:val="28"/>
            </w:rPr>
            <w:fldChar w:fldCharType="end"/>
          </w:r>
          <w:r>
            <w:rPr>
              <w:rFonts w:hint="eastAsia" w:ascii="仿宋" w:hAnsi="仿宋" w:eastAsia="仿宋" w:cs="仿宋"/>
              <w:sz w:val="28"/>
              <w:szCs w:val="28"/>
              <w:lang w:val="en-US" w:eastAsia="zh-CN"/>
            </w:rPr>
            <w:t>7</w:t>
          </w:r>
        </w:p>
        <w:p w14:paraId="0C8758F4">
          <w:pPr>
            <w:pStyle w:val="31"/>
            <w:keepNext w:val="0"/>
            <w:keepLines w:val="0"/>
            <w:pageBreakBefore w:val="0"/>
            <w:tabs>
              <w:tab w:val="right" w:leader="dot" w:pos="8312"/>
            </w:tabs>
            <w:kinsoku/>
            <w:wordWrap/>
            <w:overflowPunct/>
            <w:topLinePunct w:val="0"/>
            <w:autoSpaceDE/>
            <w:autoSpaceDN/>
            <w:bidi w:val="0"/>
            <w:adjustRightInd/>
            <w:snapToGrid/>
            <w:spacing w:line="360" w:lineRule="auto"/>
            <w:textAlignment w:val="auto"/>
            <w:rPr>
              <w:rFonts w:hint="eastAsia" w:ascii="仿宋" w:hAnsi="仿宋" w:eastAsia="仿宋" w:cs="仿宋"/>
              <w:sz w:val="28"/>
              <w:szCs w:val="28"/>
              <w:lang w:val="en-US" w:eastAsia="zh-CN"/>
            </w:rPr>
          </w:pPr>
          <w:r>
            <w:fldChar w:fldCharType="begin"/>
          </w:r>
          <w:r>
            <w:instrText xml:space="preserve"> HYPERLINK \l "_Toc5474" </w:instrText>
          </w:r>
          <w:r>
            <w:fldChar w:fldCharType="separate"/>
          </w:r>
          <w:r>
            <w:rPr>
              <w:rFonts w:hint="eastAsia" w:ascii="仿宋" w:hAnsi="仿宋" w:eastAsia="仿宋" w:cs="仿宋"/>
              <w:sz w:val="28"/>
              <w:szCs w:val="28"/>
            </w:rPr>
            <w:t>第4章 供应商须知资料表</w:t>
          </w:r>
          <w:r>
            <w:rPr>
              <w:rFonts w:hint="eastAsia" w:ascii="仿宋" w:hAnsi="仿宋" w:eastAsia="仿宋" w:cs="仿宋"/>
              <w:sz w:val="28"/>
              <w:szCs w:val="28"/>
            </w:rPr>
            <w:tab/>
          </w:r>
          <w:r>
            <w:rPr>
              <w:rFonts w:hint="eastAsia" w:ascii="仿宋" w:hAnsi="仿宋" w:eastAsia="仿宋" w:cs="仿宋"/>
              <w:sz w:val="28"/>
              <w:szCs w:val="28"/>
              <w:lang w:val="en-US" w:eastAsia="zh-CN"/>
            </w:rPr>
            <w:t>4</w:t>
          </w:r>
          <w:r>
            <w:rPr>
              <w:rFonts w:hint="eastAsia" w:ascii="仿宋" w:hAnsi="仿宋" w:eastAsia="仿宋" w:cs="仿宋"/>
              <w:sz w:val="28"/>
              <w:szCs w:val="28"/>
            </w:rPr>
            <w:fldChar w:fldCharType="end"/>
          </w:r>
          <w:r>
            <w:rPr>
              <w:rFonts w:hint="eastAsia" w:ascii="仿宋" w:hAnsi="仿宋" w:eastAsia="仿宋" w:cs="仿宋"/>
              <w:sz w:val="28"/>
              <w:szCs w:val="28"/>
              <w:lang w:val="en-US" w:eastAsia="zh-CN"/>
            </w:rPr>
            <w:t>2</w:t>
          </w:r>
        </w:p>
        <w:p w14:paraId="37923457">
          <w:pPr>
            <w:pStyle w:val="31"/>
            <w:keepNext w:val="0"/>
            <w:keepLines w:val="0"/>
            <w:pageBreakBefore w:val="0"/>
            <w:tabs>
              <w:tab w:val="right" w:leader="dot" w:pos="8312"/>
            </w:tabs>
            <w:kinsoku/>
            <w:wordWrap/>
            <w:overflowPunct/>
            <w:topLinePunct w:val="0"/>
            <w:autoSpaceDE/>
            <w:autoSpaceDN/>
            <w:bidi w:val="0"/>
            <w:adjustRightInd/>
            <w:snapToGrid/>
            <w:spacing w:line="360" w:lineRule="auto"/>
            <w:textAlignment w:val="auto"/>
            <w:rPr>
              <w:rFonts w:hint="default" w:ascii="仿宋" w:hAnsi="仿宋" w:eastAsia="仿宋" w:cs="仿宋"/>
              <w:sz w:val="28"/>
              <w:szCs w:val="28"/>
              <w:lang w:val="en-US" w:eastAsia="zh-CN"/>
            </w:rPr>
          </w:pPr>
          <w:r>
            <w:fldChar w:fldCharType="begin"/>
          </w:r>
          <w:r>
            <w:instrText xml:space="preserve"> HYPERLINK \l "_Toc17024" </w:instrText>
          </w:r>
          <w:r>
            <w:fldChar w:fldCharType="separate"/>
          </w:r>
          <w:r>
            <w:rPr>
              <w:rFonts w:hint="eastAsia" w:ascii="仿宋" w:hAnsi="仿宋" w:eastAsia="仿宋" w:cs="仿宋"/>
              <w:sz w:val="28"/>
              <w:szCs w:val="28"/>
            </w:rPr>
            <w:t xml:space="preserve">第5章 </w:t>
          </w:r>
          <w:r>
            <w:rPr>
              <w:rFonts w:hint="eastAsia" w:ascii="仿宋" w:hAnsi="仿宋" w:eastAsia="仿宋" w:cs="仿宋"/>
              <w:sz w:val="28"/>
              <w:szCs w:val="28"/>
              <w:lang w:val="en-US" w:eastAsia="zh-CN"/>
            </w:rPr>
            <w:t>项目服务需求</w:t>
          </w:r>
          <w:r>
            <w:rPr>
              <w:rFonts w:hint="eastAsia" w:ascii="仿宋" w:hAnsi="仿宋" w:eastAsia="仿宋" w:cs="仿宋"/>
              <w:sz w:val="28"/>
              <w:szCs w:val="28"/>
            </w:rPr>
            <w:tab/>
          </w:r>
          <w:r>
            <w:rPr>
              <w:rFonts w:hint="eastAsia" w:ascii="仿宋" w:hAnsi="仿宋" w:eastAsia="仿宋" w:cs="仿宋"/>
              <w:sz w:val="28"/>
              <w:szCs w:val="28"/>
            </w:rPr>
            <w:t>.</w:t>
          </w:r>
          <w:r>
            <w:rPr>
              <w:rFonts w:hint="eastAsia" w:ascii="仿宋" w:hAnsi="仿宋" w:eastAsia="仿宋" w:cs="仿宋"/>
              <w:sz w:val="28"/>
              <w:szCs w:val="28"/>
            </w:rPr>
            <w:fldChar w:fldCharType="end"/>
          </w:r>
          <w:r>
            <w:rPr>
              <w:rFonts w:hint="eastAsia" w:ascii="仿宋" w:hAnsi="仿宋" w:eastAsia="仿宋" w:cs="仿宋"/>
              <w:sz w:val="28"/>
              <w:szCs w:val="28"/>
            </w:rPr>
            <w:t>..</w:t>
          </w:r>
          <w:r>
            <w:rPr>
              <w:rFonts w:hint="eastAsia" w:ascii="仿宋" w:hAnsi="仿宋" w:eastAsia="仿宋" w:cs="仿宋"/>
              <w:sz w:val="28"/>
              <w:szCs w:val="28"/>
              <w:lang w:val="en-US" w:eastAsia="zh-CN"/>
            </w:rPr>
            <w:t>47</w:t>
          </w:r>
        </w:p>
        <w:p w14:paraId="3B9CA165">
          <w:pPr>
            <w:pStyle w:val="31"/>
            <w:keepNext w:val="0"/>
            <w:keepLines w:val="0"/>
            <w:pageBreakBefore w:val="0"/>
            <w:tabs>
              <w:tab w:val="right" w:leader="dot" w:pos="8312"/>
            </w:tabs>
            <w:kinsoku/>
            <w:wordWrap/>
            <w:overflowPunct/>
            <w:topLinePunct w:val="0"/>
            <w:autoSpaceDE/>
            <w:autoSpaceDN/>
            <w:bidi w:val="0"/>
            <w:adjustRightInd/>
            <w:snapToGrid/>
            <w:spacing w:line="360" w:lineRule="auto"/>
            <w:textAlignment w:val="auto"/>
            <w:rPr>
              <w:rFonts w:hint="eastAsia" w:ascii="仿宋" w:hAnsi="仿宋" w:eastAsia="仿宋" w:cs="仿宋"/>
              <w:sz w:val="28"/>
              <w:szCs w:val="28"/>
              <w:lang w:val="en-US" w:eastAsia="zh-CN"/>
            </w:rPr>
          </w:pPr>
          <w:r>
            <w:fldChar w:fldCharType="begin"/>
          </w:r>
          <w:r>
            <w:instrText xml:space="preserve"> HYPERLINK \l "_Toc7699" </w:instrText>
          </w:r>
          <w:r>
            <w:fldChar w:fldCharType="separate"/>
          </w:r>
          <w:r>
            <w:rPr>
              <w:rFonts w:hint="eastAsia" w:ascii="仿宋" w:hAnsi="仿宋" w:eastAsia="仿宋" w:cs="仿宋"/>
              <w:sz w:val="28"/>
              <w:szCs w:val="28"/>
            </w:rPr>
            <w:t>第6章 评审方法和标准</w:t>
          </w:r>
          <w:r>
            <w:rPr>
              <w:rFonts w:hint="eastAsia" w:ascii="仿宋" w:hAnsi="仿宋" w:eastAsia="仿宋" w:cs="仿宋"/>
              <w:sz w:val="28"/>
              <w:szCs w:val="28"/>
            </w:rPr>
            <w:tab/>
          </w:r>
          <w:r>
            <w:rPr>
              <w:rFonts w:hint="eastAsia" w:ascii="仿宋" w:hAnsi="仿宋" w:eastAsia="仿宋" w:cs="仿宋"/>
              <w:sz w:val="28"/>
              <w:szCs w:val="28"/>
              <w:lang w:val="en-US" w:eastAsia="zh-CN"/>
            </w:rPr>
            <w:t>4</w:t>
          </w:r>
          <w:r>
            <w:rPr>
              <w:rFonts w:hint="eastAsia" w:ascii="仿宋" w:hAnsi="仿宋" w:eastAsia="仿宋" w:cs="仿宋"/>
              <w:sz w:val="28"/>
              <w:szCs w:val="28"/>
            </w:rPr>
            <w:fldChar w:fldCharType="end"/>
          </w:r>
          <w:r>
            <w:rPr>
              <w:rFonts w:hint="eastAsia" w:ascii="仿宋" w:hAnsi="仿宋" w:eastAsia="仿宋" w:cs="仿宋"/>
              <w:sz w:val="28"/>
              <w:szCs w:val="28"/>
              <w:lang w:val="en-US" w:eastAsia="zh-CN"/>
            </w:rPr>
            <w:t>8</w:t>
          </w:r>
        </w:p>
        <w:p w14:paraId="30D15B1C">
          <w:pPr>
            <w:pStyle w:val="31"/>
            <w:keepNext w:val="0"/>
            <w:keepLines w:val="0"/>
            <w:pageBreakBefore w:val="0"/>
            <w:tabs>
              <w:tab w:val="right" w:leader="dot" w:pos="8312"/>
            </w:tabs>
            <w:kinsoku/>
            <w:wordWrap/>
            <w:overflowPunct/>
            <w:topLinePunct w:val="0"/>
            <w:autoSpaceDE/>
            <w:autoSpaceDN/>
            <w:bidi w:val="0"/>
            <w:adjustRightInd/>
            <w:snapToGrid/>
            <w:spacing w:line="360" w:lineRule="auto"/>
            <w:textAlignment w:val="auto"/>
            <w:rPr>
              <w:rFonts w:hint="eastAsia" w:ascii="仿宋" w:hAnsi="仿宋" w:eastAsia="仿宋" w:cs="仿宋"/>
              <w:sz w:val="28"/>
              <w:szCs w:val="28"/>
              <w:lang w:val="en-US" w:eastAsia="zh-CN"/>
            </w:rPr>
          </w:pPr>
          <w:r>
            <w:fldChar w:fldCharType="begin"/>
          </w:r>
          <w:r>
            <w:instrText xml:space="preserve"> HYPERLINK \l "_Toc4800" </w:instrText>
          </w:r>
          <w:r>
            <w:fldChar w:fldCharType="separate"/>
          </w:r>
          <w:r>
            <w:rPr>
              <w:rFonts w:hint="eastAsia" w:ascii="仿宋" w:hAnsi="仿宋" w:eastAsia="仿宋" w:cs="仿宋"/>
              <w:sz w:val="28"/>
              <w:szCs w:val="28"/>
            </w:rPr>
            <w:t>第7章 政府采购合同</w:t>
          </w:r>
          <w:r>
            <w:rPr>
              <w:rFonts w:hint="eastAsia" w:ascii="仿宋" w:hAnsi="仿宋" w:eastAsia="仿宋" w:cs="仿宋"/>
              <w:sz w:val="28"/>
              <w:szCs w:val="28"/>
            </w:rPr>
            <w:tab/>
          </w:r>
          <w:r>
            <w:rPr>
              <w:rFonts w:hint="eastAsia" w:ascii="仿宋" w:hAnsi="仿宋" w:eastAsia="仿宋" w:cs="仿宋"/>
              <w:sz w:val="28"/>
              <w:szCs w:val="28"/>
              <w:lang w:val="en-US" w:eastAsia="zh-CN"/>
            </w:rPr>
            <w:t>6</w:t>
          </w:r>
          <w:r>
            <w:rPr>
              <w:rFonts w:hint="eastAsia" w:ascii="仿宋" w:hAnsi="仿宋" w:eastAsia="仿宋" w:cs="仿宋"/>
              <w:sz w:val="28"/>
              <w:szCs w:val="28"/>
            </w:rPr>
            <w:fldChar w:fldCharType="end"/>
          </w:r>
          <w:r>
            <w:rPr>
              <w:rFonts w:hint="eastAsia" w:ascii="仿宋" w:hAnsi="仿宋" w:eastAsia="仿宋" w:cs="仿宋"/>
              <w:sz w:val="28"/>
              <w:szCs w:val="28"/>
              <w:lang w:val="en-US" w:eastAsia="zh-CN"/>
            </w:rPr>
            <w:t>4</w:t>
          </w:r>
        </w:p>
        <w:p w14:paraId="45607F56">
          <w:pPr>
            <w:pStyle w:val="31"/>
            <w:keepNext w:val="0"/>
            <w:keepLines w:val="0"/>
            <w:pageBreakBefore w:val="0"/>
            <w:tabs>
              <w:tab w:val="right" w:leader="dot" w:pos="8312"/>
            </w:tabs>
            <w:kinsoku/>
            <w:wordWrap/>
            <w:overflowPunct/>
            <w:topLinePunct w:val="0"/>
            <w:autoSpaceDE/>
            <w:autoSpaceDN/>
            <w:bidi w:val="0"/>
            <w:adjustRightInd/>
            <w:snapToGrid/>
            <w:spacing w:line="360" w:lineRule="auto"/>
            <w:textAlignment w:val="auto"/>
            <w:rPr>
              <w:rFonts w:hint="eastAsia" w:ascii="仿宋" w:hAnsi="仿宋" w:eastAsia="仿宋" w:cs="仿宋"/>
              <w:sz w:val="28"/>
              <w:szCs w:val="28"/>
              <w:lang w:val="en-US" w:eastAsia="zh-CN"/>
            </w:rPr>
          </w:pPr>
          <w:r>
            <w:fldChar w:fldCharType="begin"/>
          </w:r>
          <w:r>
            <w:instrText xml:space="preserve"> HYPERLINK \l "_Toc19964" </w:instrText>
          </w:r>
          <w:r>
            <w:fldChar w:fldCharType="separate"/>
          </w:r>
          <w:r>
            <w:rPr>
              <w:rFonts w:hint="eastAsia" w:ascii="仿宋" w:hAnsi="仿宋" w:eastAsia="仿宋" w:cs="仿宋"/>
              <w:sz w:val="28"/>
              <w:szCs w:val="28"/>
            </w:rPr>
            <w:t>政府采购合同参考范本</w:t>
          </w:r>
          <w:r>
            <w:rPr>
              <w:rFonts w:hint="eastAsia" w:ascii="仿宋" w:hAnsi="仿宋" w:eastAsia="仿宋" w:cs="仿宋"/>
              <w:sz w:val="28"/>
              <w:szCs w:val="28"/>
            </w:rPr>
            <w:tab/>
          </w:r>
          <w:r>
            <w:rPr>
              <w:rFonts w:hint="eastAsia" w:ascii="仿宋" w:hAnsi="仿宋" w:eastAsia="仿宋" w:cs="仿宋"/>
              <w:sz w:val="28"/>
              <w:szCs w:val="28"/>
              <w:lang w:val="en-US" w:eastAsia="zh-CN"/>
            </w:rPr>
            <w:t>6</w:t>
          </w:r>
          <w:r>
            <w:rPr>
              <w:rFonts w:hint="eastAsia" w:ascii="仿宋" w:hAnsi="仿宋" w:eastAsia="仿宋" w:cs="仿宋"/>
              <w:sz w:val="28"/>
              <w:szCs w:val="28"/>
            </w:rPr>
            <w:fldChar w:fldCharType="end"/>
          </w:r>
          <w:r>
            <w:rPr>
              <w:rFonts w:hint="eastAsia" w:ascii="仿宋" w:hAnsi="仿宋" w:eastAsia="仿宋" w:cs="仿宋"/>
              <w:sz w:val="28"/>
              <w:szCs w:val="28"/>
              <w:lang w:val="en-US" w:eastAsia="zh-CN"/>
            </w:rPr>
            <w:t>4</w:t>
          </w:r>
        </w:p>
        <w:p w14:paraId="7514D243">
          <w:pPr>
            <w:pStyle w:val="31"/>
            <w:keepNext w:val="0"/>
            <w:keepLines w:val="0"/>
            <w:pageBreakBefore w:val="0"/>
            <w:tabs>
              <w:tab w:val="right" w:leader="dot" w:pos="8312"/>
            </w:tabs>
            <w:kinsoku/>
            <w:wordWrap/>
            <w:overflowPunct/>
            <w:topLinePunct w:val="0"/>
            <w:autoSpaceDE/>
            <w:autoSpaceDN/>
            <w:bidi w:val="0"/>
            <w:adjustRightInd/>
            <w:snapToGrid/>
            <w:spacing w:line="360" w:lineRule="auto"/>
            <w:textAlignment w:val="auto"/>
            <w:rPr>
              <w:rFonts w:hint="eastAsia" w:ascii="仿宋" w:hAnsi="仿宋" w:eastAsia="仿宋" w:cs="仿宋"/>
              <w:sz w:val="28"/>
              <w:szCs w:val="28"/>
              <w:lang w:val="en-US" w:eastAsia="zh-CN"/>
            </w:rPr>
          </w:pPr>
          <w:r>
            <w:fldChar w:fldCharType="begin"/>
          </w:r>
          <w:r>
            <w:instrText xml:space="preserve"> HYPERLINK \l "_Toc565" </w:instrText>
          </w:r>
          <w:r>
            <w:fldChar w:fldCharType="separate"/>
          </w:r>
          <w:r>
            <w:rPr>
              <w:rFonts w:hint="eastAsia" w:ascii="仿宋" w:hAnsi="仿宋" w:eastAsia="仿宋" w:cs="仿宋"/>
              <w:sz w:val="28"/>
              <w:szCs w:val="28"/>
            </w:rPr>
            <w:t>第一部分 合同书</w:t>
          </w:r>
          <w:r>
            <w:rPr>
              <w:rFonts w:hint="eastAsia" w:ascii="仿宋" w:hAnsi="仿宋" w:eastAsia="仿宋" w:cs="仿宋"/>
              <w:sz w:val="28"/>
              <w:szCs w:val="28"/>
            </w:rPr>
            <w:tab/>
          </w:r>
          <w:r>
            <w:rPr>
              <w:rFonts w:hint="eastAsia" w:ascii="仿宋" w:hAnsi="仿宋" w:eastAsia="仿宋" w:cs="仿宋"/>
              <w:sz w:val="28"/>
              <w:szCs w:val="28"/>
              <w:lang w:val="en-US" w:eastAsia="zh-CN"/>
            </w:rPr>
            <w:t>6</w:t>
          </w:r>
          <w:r>
            <w:rPr>
              <w:rFonts w:hint="eastAsia" w:ascii="仿宋" w:hAnsi="仿宋" w:eastAsia="仿宋" w:cs="仿宋"/>
              <w:sz w:val="28"/>
              <w:szCs w:val="28"/>
            </w:rPr>
            <w:fldChar w:fldCharType="end"/>
          </w:r>
          <w:r>
            <w:rPr>
              <w:rFonts w:hint="eastAsia" w:ascii="仿宋" w:hAnsi="仿宋" w:eastAsia="仿宋" w:cs="仿宋"/>
              <w:sz w:val="28"/>
              <w:szCs w:val="28"/>
              <w:lang w:val="en-US" w:eastAsia="zh-CN"/>
            </w:rPr>
            <w:t>4</w:t>
          </w:r>
        </w:p>
        <w:p w14:paraId="4398AA80">
          <w:pPr>
            <w:pStyle w:val="31"/>
            <w:keepNext w:val="0"/>
            <w:keepLines w:val="0"/>
            <w:pageBreakBefore w:val="0"/>
            <w:tabs>
              <w:tab w:val="right" w:leader="dot" w:pos="8312"/>
            </w:tabs>
            <w:kinsoku/>
            <w:wordWrap/>
            <w:overflowPunct/>
            <w:topLinePunct w:val="0"/>
            <w:autoSpaceDE/>
            <w:autoSpaceDN/>
            <w:bidi w:val="0"/>
            <w:adjustRightInd/>
            <w:snapToGrid/>
            <w:spacing w:line="360" w:lineRule="auto"/>
            <w:textAlignment w:val="auto"/>
            <w:rPr>
              <w:rFonts w:hint="eastAsia" w:ascii="仿宋" w:hAnsi="仿宋" w:eastAsia="仿宋" w:cs="仿宋"/>
              <w:sz w:val="28"/>
              <w:szCs w:val="28"/>
              <w:lang w:val="en-US" w:eastAsia="zh-CN"/>
            </w:rPr>
          </w:pPr>
          <w:r>
            <w:fldChar w:fldCharType="begin"/>
          </w:r>
          <w:r>
            <w:instrText xml:space="preserve"> HYPERLINK \l "_Toc24240" </w:instrText>
          </w:r>
          <w:r>
            <w:fldChar w:fldCharType="separate"/>
          </w:r>
          <w:r>
            <w:rPr>
              <w:rFonts w:hint="eastAsia" w:ascii="仿宋" w:hAnsi="仿宋" w:eastAsia="仿宋" w:cs="仿宋"/>
              <w:sz w:val="28"/>
              <w:szCs w:val="28"/>
            </w:rPr>
            <w:t>第二部分 合同一般条款</w:t>
          </w:r>
          <w:r>
            <w:rPr>
              <w:rFonts w:hint="eastAsia" w:ascii="仿宋" w:hAnsi="仿宋" w:eastAsia="仿宋" w:cs="仿宋"/>
              <w:sz w:val="28"/>
              <w:szCs w:val="28"/>
            </w:rPr>
            <w:tab/>
          </w:r>
          <w:r>
            <w:rPr>
              <w:rFonts w:hint="eastAsia" w:ascii="仿宋" w:hAnsi="仿宋" w:eastAsia="仿宋" w:cs="仿宋"/>
              <w:sz w:val="28"/>
              <w:szCs w:val="28"/>
              <w:lang w:val="en-US" w:eastAsia="zh-CN"/>
            </w:rPr>
            <w:t>6</w:t>
          </w:r>
          <w:r>
            <w:rPr>
              <w:rFonts w:hint="eastAsia" w:ascii="仿宋" w:hAnsi="仿宋" w:eastAsia="仿宋" w:cs="仿宋"/>
              <w:sz w:val="28"/>
              <w:szCs w:val="28"/>
            </w:rPr>
            <w:fldChar w:fldCharType="end"/>
          </w:r>
          <w:r>
            <w:rPr>
              <w:rFonts w:hint="eastAsia" w:ascii="仿宋" w:hAnsi="仿宋" w:eastAsia="仿宋" w:cs="仿宋"/>
              <w:sz w:val="28"/>
              <w:szCs w:val="28"/>
              <w:lang w:val="en-US" w:eastAsia="zh-CN"/>
            </w:rPr>
            <w:t>8</w:t>
          </w:r>
        </w:p>
        <w:p w14:paraId="65821C53">
          <w:pPr>
            <w:pStyle w:val="31"/>
            <w:keepNext w:val="0"/>
            <w:keepLines w:val="0"/>
            <w:pageBreakBefore w:val="0"/>
            <w:tabs>
              <w:tab w:val="right" w:leader="dot" w:pos="8312"/>
            </w:tabs>
            <w:kinsoku/>
            <w:wordWrap/>
            <w:overflowPunct/>
            <w:topLinePunct w:val="0"/>
            <w:autoSpaceDE/>
            <w:autoSpaceDN/>
            <w:bidi w:val="0"/>
            <w:adjustRightInd/>
            <w:snapToGrid/>
            <w:spacing w:line="360" w:lineRule="auto"/>
            <w:textAlignment w:val="auto"/>
            <w:rPr>
              <w:rFonts w:hint="eastAsia" w:ascii="仿宋" w:hAnsi="仿宋" w:eastAsia="仿宋" w:cs="仿宋"/>
              <w:sz w:val="28"/>
              <w:szCs w:val="28"/>
              <w:lang w:val="en-US" w:eastAsia="zh-CN"/>
            </w:rPr>
          </w:pPr>
          <w:r>
            <w:fldChar w:fldCharType="begin"/>
          </w:r>
          <w:r>
            <w:instrText xml:space="preserve"> HYPERLINK \l "_Toc7421" </w:instrText>
          </w:r>
          <w:r>
            <w:fldChar w:fldCharType="separate"/>
          </w:r>
          <w:r>
            <w:rPr>
              <w:rFonts w:hint="eastAsia" w:ascii="仿宋" w:hAnsi="仿宋" w:eastAsia="仿宋" w:cs="仿宋"/>
              <w:sz w:val="28"/>
              <w:szCs w:val="28"/>
            </w:rPr>
            <w:t>第三部分 合同专用条款</w:t>
          </w:r>
          <w:r>
            <w:rPr>
              <w:rFonts w:hint="eastAsia" w:ascii="仿宋" w:hAnsi="仿宋" w:eastAsia="仿宋" w:cs="仿宋"/>
              <w:sz w:val="28"/>
              <w:szCs w:val="28"/>
            </w:rPr>
            <w:tab/>
          </w:r>
          <w:r>
            <w:rPr>
              <w:rFonts w:hint="eastAsia" w:ascii="仿宋" w:hAnsi="仿宋" w:eastAsia="仿宋" w:cs="仿宋"/>
              <w:sz w:val="28"/>
              <w:szCs w:val="28"/>
              <w:lang w:val="en-US" w:eastAsia="zh-CN"/>
            </w:rPr>
            <w:t>7</w:t>
          </w:r>
          <w:r>
            <w:rPr>
              <w:rFonts w:hint="eastAsia" w:ascii="仿宋" w:hAnsi="仿宋" w:eastAsia="仿宋" w:cs="仿宋"/>
              <w:sz w:val="28"/>
              <w:szCs w:val="28"/>
            </w:rPr>
            <w:fldChar w:fldCharType="end"/>
          </w:r>
          <w:r>
            <w:rPr>
              <w:rFonts w:hint="eastAsia" w:ascii="仿宋" w:hAnsi="仿宋" w:eastAsia="仿宋" w:cs="仿宋"/>
              <w:sz w:val="28"/>
              <w:szCs w:val="28"/>
              <w:lang w:val="en-US" w:eastAsia="zh-CN"/>
            </w:rPr>
            <w:t>1</w:t>
          </w:r>
        </w:p>
        <w:p w14:paraId="0F97B558">
          <w:pPr>
            <w:keepNext w:val="0"/>
            <w:keepLines w:val="0"/>
            <w:pageBreakBefore w:val="0"/>
            <w:kinsoku/>
            <w:wordWrap/>
            <w:overflowPunct/>
            <w:topLinePunct w:val="0"/>
            <w:autoSpaceDE/>
            <w:autoSpaceDN/>
            <w:bidi w:val="0"/>
            <w:adjustRightInd/>
            <w:snapToGrid/>
            <w:spacing w:line="360" w:lineRule="auto"/>
            <w:textAlignment w:val="auto"/>
            <w:rPr>
              <w:rFonts w:ascii="仿宋" w:hAnsi="仿宋" w:eastAsia="仿宋" w:cs="仿宋"/>
              <w:kern w:val="0"/>
              <w:szCs w:val="24"/>
            </w:rPr>
            <w:sectPr>
              <w:footerReference r:id="rId4" w:type="default"/>
              <w:pgSz w:w="11906" w:h="16838"/>
              <w:pgMar w:top="1440" w:right="1797" w:bottom="1440" w:left="1797" w:header="851" w:footer="992" w:gutter="0"/>
              <w:pgBorders>
                <w:top w:val="none" w:sz="0" w:space="0"/>
                <w:left w:val="none" w:sz="0" w:space="0"/>
                <w:bottom w:val="none" w:sz="0" w:space="0"/>
                <w:right w:val="none" w:sz="0" w:space="0"/>
              </w:pgBorders>
              <w:pgNumType w:fmt="decimal" w:start="1"/>
              <w:cols w:space="720" w:num="1"/>
              <w:docGrid w:linePitch="312" w:charSpace="0"/>
            </w:sectPr>
          </w:pPr>
          <w:r>
            <w:rPr>
              <w:rFonts w:hint="eastAsia" w:ascii="仿宋" w:hAnsi="仿宋" w:eastAsia="仿宋" w:cs="仿宋"/>
              <w:sz w:val="28"/>
              <w:szCs w:val="28"/>
            </w:rPr>
            <w:fldChar w:fldCharType="end"/>
          </w:r>
          <w:bookmarkStart w:id="0" w:name="_Toc3709"/>
          <w:bookmarkStart w:id="1" w:name="_Toc518923059"/>
          <w:bookmarkStart w:id="2" w:name="_Toc22179"/>
          <w:bookmarkStart w:id="3" w:name="_Toc10715352"/>
          <w:bookmarkStart w:id="4" w:name="_Toc1462"/>
        </w:p>
      </w:sdtContent>
    </w:sdt>
    <w:p w14:paraId="64016E2F">
      <w:pPr>
        <w:pStyle w:val="5"/>
        <w:tabs>
          <w:tab w:val="left" w:pos="0"/>
        </w:tabs>
        <w:spacing w:before="0" w:after="0" w:line="340" w:lineRule="exact"/>
        <w:jc w:val="center"/>
        <w:rPr>
          <w:rFonts w:ascii="仿宋" w:hAnsi="仿宋" w:eastAsia="仿宋" w:cs="仿宋"/>
          <w:szCs w:val="32"/>
        </w:rPr>
      </w:pPr>
      <w:r>
        <w:rPr>
          <w:rFonts w:hint="eastAsia" w:ascii="仿宋" w:hAnsi="仿宋" w:eastAsia="仿宋" w:cs="仿宋"/>
          <w:kern w:val="0"/>
          <w:szCs w:val="24"/>
        </w:rPr>
        <w:t xml:space="preserve">第1章  </w:t>
      </w:r>
      <w:r>
        <w:rPr>
          <w:rFonts w:hint="eastAsia" w:ascii="仿宋" w:hAnsi="仿宋" w:eastAsia="仿宋" w:cs="仿宋"/>
          <w:szCs w:val="32"/>
        </w:rPr>
        <w:t>供应商须知</w:t>
      </w:r>
      <w:bookmarkEnd w:id="0"/>
      <w:bookmarkEnd w:id="1"/>
      <w:bookmarkEnd w:id="2"/>
      <w:bookmarkEnd w:id="3"/>
      <w:bookmarkEnd w:id="4"/>
    </w:p>
    <w:p w14:paraId="223BEEC6">
      <w:pPr>
        <w:rPr>
          <w:rFonts w:ascii="仿宋" w:hAnsi="仿宋" w:eastAsia="仿宋" w:cs="仿宋"/>
          <w:szCs w:val="32"/>
        </w:rPr>
      </w:pPr>
    </w:p>
    <w:p w14:paraId="23FCB1A6">
      <w:pPr>
        <w:pStyle w:val="6"/>
        <w:spacing w:before="0" w:line="240" w:lineRule="atLeast"/>
        <w:ind w:left="1080" w:leftChars="257" w:hanging="540"/>
        <w:rPr>
          <w:rFonts w:ascii="仿宋" w:hAnsi="仿宋" w:eastAsia="仿宋" w:cs="仿宋"/>
          <w:sz w:val="24"/>
          <w:szCs w:val="24"/>
        </w:rPr>
      </w:pPr>
      <w:bookmarkStart w:id="5" w:name="_Toc520356143"/>
      <w:bookmarkStart w:id="6" w:name="_Toc515647757"/>
      <w:bookmarkStart w:id="7" w:name="_Toc216582805"/>
      <w:bookmarkStart w:id="8" w:name="_Toc14711"/>
      <w:bookmarkStart w:id="9" w:name="_Toc21015"/>
      <w:bookmarkStart w:id="10" w:name="_Toc21215"/>
      <w:r>
        <w:rPr>
          <w:rFonts w:hint="eastAsia" w:ascii="仿宋" w:hAnsi="仿宋" w:eastAsia="仿宋" w:cs="仿宋"/>
          <w:sz w:val="24"/>
          <w:szCs w:val="24"/>
        </w:rPr>
        <w:t xml:space="preserve">一   </w:t>
      </w:r>
      <w:bookmarkEnd w:id="5"/>
      <w:bookmarkEnd w:id="6"/>
      <w:bookmarkEnd w:id="7"/>
      <w:r>
        <w:rPr>
          <w:rFonts w:hint="eastAsia" w:ascii="仿宋" w:hAnsi="仿宋" w:eastAsia="仿宋" w:cs="仿宋"/>
          <w:sz w:val="24"/>
          <w:szCs w:val="24"/>
        </w:rPr>
        <w:t>总 则</w:t>
      </w:r>
      <w:bookmarkEnd w:id="8"/>
      <w:bookmarkEnd w:id="9"/>
      <w:bookmarkEnd w:id="10"/>
    </w:p>
    <w:p w14:paraId="20FE1D75">
      <w:pPr>
        <w:pStyle w:val="7"/>
        <w:spacing w:before="0" w:after="0" w:line="240" w:lineRule="atLeast"/>
        <w:rPr>
          <w:rFonts w:ascii="仿宋" w:hAnsi="仿宋" w:eastAsia="仿宋" w:cs="仿宋"/>
          <w:szCs w:val="24"/>
          <w:u w:val="none"/>
        </w:rPr>
      </w:pPr>
      <w:bookmarkStart w:id="11" w:name="_Toc32189"/>
      <w:bookmarkStart w:id="12" w:name="_Toc32623"/>
      <w:bookmarkStart w:id="13" w:name="_Toc520356144"/>
      <w:bookmarkStart w:id="14" w:name="_Toc515647758"/>
      <w:bookmarkStart w:id="15" w:name="_Toc10899"/>
      <w:r>
        <w:rPr>
          <w:rFonts w:hint="eastAsia" w:ascii="仿宋" w:hAnsi="仿宋" w:eastAsia="仿宋" w:cs="仿宋"/>
          <w:szCs w:val="24"/>
          <w:u w:val="none"/>
        </w:rPr>
        <w:t>1.采购人、采购代理机构及</w:t>
      </w:r>
      <w:bookmarkEnd w:id="11"/>
      <w:bookmarkEnd w:id="12"/>
      <w:bookmarkEnd w:id="13"/>
      <w:bookmarkEnd w:id="14"/>
      <w:r>
        <w:rPr>
          <w:rFonts w:hint="eastAsia" w:ascii="仿宋" w:hAnsi="仿宋" w:eastAsia="仿宋" w:cs="仿宋"/>
          <w:szCs w:val="24"/>
          <w:u w:val="none"/>
        </w:rPr>
        <w:t>供应商</w:t>
      </w:r>
      <w:bookmarkEnd w:id="15"/>
    </w:p>
    <w:p w14:paraId="42D3253D">
      <w:pPr>
        <w:numPr>
          <w:ilvl w:val="1"/>
          <w:numId w:val="1"/>
        </w:numPr>
        <w:tabs>
          <w:tab w:val="left" w:pos="0"/>
          <w:tab w:val="clear" w:pos="900"/>
        </w:tabs>
        <w:spacing w:line="240" w:lineRule="atLeast"/>
        <w:ind w:hanging="898"/>
        <w:rPr>
          <w:rFonts w:ascii="仿宋" w:hAnsi="仿宋" w:eastAsia="仿宋" w:cs="仿宋"/>
          <w:sz w:val="24"/>
        </w:rPr>
      </w:pPr>
      <w:r>
        <w:rPr>
          <w:rFonts w:hint="eastAsia" w:ascii="仿宋" w:hAnsi="仿宋" w:eastAsia="仿宋" w:cs="仿宋"/>
          <w:sz w:val="24"/>
        </w:rPr>
        <w:t>采购人：是指依法开展政府采购活动的国家机关、事业单位、团体组织。</w:t>
      </w:r>
    </w:p>
    <w:p w14:paraId="04063F89">
      <w:pPr>
        <w:tabs>
          <w:tab w:val="left" w:pos="0"/>
        </w:tabs>
        <w:spacing w:line="240" w:lineRule="atLeast"/>
        <w:ind w:left="900"/>
        <w:rPr>
          <w:rFonts w:ascii="仿宋" w:hAnsi="仿宋" w:eastAsia="仿宋" w:cs="仿宋"/>
          <w:sz w:val="24"/>
        </w:rPr>
      </w:pPr>
      <w:r>
        <w:rPr>
          <w:rFonts w:hint="eastAsia" w:ascii="仿宋" w:hAnsi="仿宋" w:eastAsia="仿宋" w:cs="仿宋"/>
          <w:sz w:val="24"/>
        </w:rPr>
        <w:t>本项目的采购人见</w:t>
      </w:r>
      <w:r>
        <w:rPr>
          <w:rFonts w:hint="eastAsia" w:ascii="仿宋" w:hAnsi="仿宋" w:eastAsia="仿宋" w:cs="仿宋"/>
          <w:sz w:val="24"/>
          <w:u w:val="single"/>
        </w:rPr>
        <w:t>供应商须知资料表</w:t>
      </w:r>
      <w:r>
        <w:rPr>
          <w:rFonts w:hint="eastAsia" w:ascii="仿宋" w:hAnsi="仿宋" w:eastAsia="仿宋" w:cs="仿宋"/>
          <w:sz w:val="24"/>
        </w:rPr>
        <w:t>。</w:t>
      </w:r>
    </w:p>
    <w:p w14:paraId="6E7031E4">
      <w:pPr>
        <w:numPr>
          <w:ilvl w:val="1"/>
          <w:numId w:val="1"/>
        </w:numPr>
        <w:tabs>
          <w:tab w:val="left" w:pos="0"/>
          <w:tab w:val="clear" w:pos="900"/>
        </w:tabs>
        <w:spacing w:line="240" w:lineRule="atLeast"/>
        <w:ind w:hanging="898"/>
        <w:rPr>
          <w:rFonts w:ascii="仿宋" w:hAnsi="仿宋" w:eastAsia="仿宋" w:cs="仿宋"/>
          <w:sz w:val="24"/>
        </w:rPr>
      </w:pPr>
      <w:r>
        <w:rPr>
          <w:rFonts w:hint="eastAsia" w:ascii="仿宋" w:hAnsi="仿宋" w:eastAsia="仿宋" w:cs="仿宋"/>
          <w:sz w:val="24"/>
        </w:rPr>
        <w:t xml:space="preserve"> 采购代理机构：是指在集中采购机构或从事采购代理业务的社会中介机构。本项目的采购代理机构见</w:t>
      </w:r>
      <w:r>
        <w:rPr>
          <w:rFonts w:hint="eastAsia" w:ascii="仿宋" w:hAnsi="仿宋" w:eastAsia="仿宋" w:cs="仿宋"/>
          <w:sz w:val="24"/>
          <w:u w:val="single"/>
        </w:rPr>
        <w:t>供应商须知资料表</w:t>
      </w:r>
      <w:r>
        <w:rPr>
          <w:rFonts w:hint="eastAsia" w:ascii="仿宋" w:hAnsi="仿宋" w:eastAsia="仿宋" w:cs="仿宋"/>
          <w:sz w:val="24"/>
        </w:rPr>
        <w:t>。</w:t>
      </w:r>
    </w:p>
    <w:p w14:paraId="6DFEC7D5">
      <w:pPr>
        <w:numPr>
          <w:ilvl w:val="1"/>
          <w:numId w:val="1"/>
        </w:numPr>
        <w:spacing w:line="240" w:lineRule="atLeast"/>
        <w:ind w:hangingChars="375"/>
        <w:rPr>
          <w:rFonts w:ascii="仿宋" w:hAnsi="仿宋" w:eastAsia="仿宋" w:cs="仿宋"/>
          <w:sz w:val="24"/>
        </w:rPr>
      </w:pPr>
      <w:r>
        <w:rPr>
          <w:rFonts w:hint="eastAsia" w:ascii="仿宋" w:hAnsi="仿宋" w:eastAsia="仿宋" w:cs="仿宋"/>
          <w:sz w:val="24"/>
        </w:rPr>
        <w:t>供应商：是指向采购人提供服务、工程或者服务的法人、非法人组织或者自然人。本项目的供应商及其磋商服务须满足以下条件：</w:t>
      </w:r>
    </w:p>
    <w:p w14:paraId="6EF19C57">
      <w:pPr>
        <w:spacing w:line="240" w:lineRule="atLeast"/>
        <w:ind w:left="850" w:hanging="849" w:hangingChars="354"/>
        <w:rPr>
          <w:rFonts w:ascii="仿宋" w:hAnsi="仿宋" w:eastAsia="仿宋" w:cs="仿宋"/>
          <w:sz w:val="24"/>
        </w:rPr>
      </w:pPr>
      <w:r>
        <w:rPr>
          <w:rFonts w:hint="eastAsia" w:ascii="仿宋" w:hAnsi="仿宋" w:eastAsia="仿宋" w:cs="仿宋"/>
          <w:sz w:val="24"/>
        </w:rPr>
        <w:t>1.3.1</w:t>
      </w:r>
      <w:r>
        <w:rPr>
          <w:rFonts w:hint="eastAsia" w:ascii="仿宋" w:hAnsi="仿宋" w:eastAsia="仿宋" w:cs="仿宋"/>
          <w:sz w:val="24"/>
        </w:rPr>
        <w:tab/>
      </w:r>
      <w:r>
        <w:rPr>
          <w:rFonts w:hint="eastAsia" w:ascii="仿宋" w:hAnsi="仿宋" w:eastAsia="仿宋" w:cs="仿宋"/>
          <w:sz w:val="24"/>
        </w:rPr>
        <w:t>在中华人民共和国境内注册，能够独立承担民事责任，有生产或供应能力的本国供应商。</w:t>
      </w:r>
    </w:p>
    <w:p w14:paraId="1EEE950F">
      <w:pPr>
        <w:spacing w:line="240" w:lineRule="atLeast"/>
        <w:ind w:left="900" w:hanging="900" w:hangingChars="375"/>
        <w:rPr>
          <w:rFonts w:ascii="仿宋" w:hAnsi="仿宋" w:eastAsia="仿宋" w:cs="仿宋"/>
          <w:sz w:val="24"/>
        </w:rPr>
      </w:pPr>
      <w:r>
        <w:rPr>
          <w:rFonts w:hint="eastAsia" w:ascii="仿宋" w:hAnsi="仿宋" w:eastAsia="仿宋" w:cs="仿宋"/>
          <w:sz w:val="24"/>
        </w:rPr>
        <w:t>1.3.2  具备《中华人民共和国政府采购法》第二十二条关于供应商条件的规定，遵守本项目采购人本级和上级财政部门政府采购的有关规定。</w:t>
      </w:r>
    </w:p>
    <w:p w14:paraId="4A31F4E7">
      <w:pPr>
        <w:spacing w:line="240" w:lineRule="atLeast"/>
        <w:ind w:left="900" w:hanging="900" w:hangingChars="375"/>
        <w:rPr>
          <w:rFonts w:ascii="仿宋" w:hAnsi="仿宋" w:eastAsia="仿宋" w:cs="仿宋"/>
          <w:sz w:val="24"/>
        </w:rPr>
      </w:pPr>
      <w:r>
        <w:rPr>
          <w:rFonts w:hint="eastAsia" w:ascii="仿宋" w:hAnsi="仿宋" w:eastAsia="仿宋" w:cs="仿宋"/>
          <w:sz w:val="24"/>
        </w:rPr>
        <w:t>1.3.3   以采购代理机构认可的方式获得了本项目的磋商文件。</w:t>
      </w:r>
    </w:p>
    <w:p w14:paraId="2476B798">
      <w:pPr>
        <w:spacing w:line="240" w:lineRule="atLeast"/>
        <w:ind w:left="900" w:hanging="900" w:hangingChars="375"/>
        <w:rPr>
          <w:rFonts w:ascii="仿宋" w:hAnsi="仿宋" w:eastAsia="仿宋" w:cs="仿宋"/>
          <w:sz w:val="24"/>
        </w:rPr>
      </w:pPr>
      <w:r>
        <w:rPr>
          <w:rFonts w:hint="eastAsia" w:ascii="仿宋" w:hAnsi="仿宋" w:eastAsia="仿宋" w:cs="仿宋"/>
          <w:sz w:val="24"/>
        </w:rPr>
        <w:t>1.3.4   符合</w:t>
      </w:r>
      <w:r>
        <w:rPr>
          <w:rFonts w:hint="eastAsia" w:ascii="仿宋" w:hAnsi="仿宋" w:eastAsia="仿宋" w:cs="仿宋"/>
          <w:sz w:val="24"/>
          <w:u w:val="single"/>
        </w:rPr>
        <w:t>供应商须知资料表</w:t>
      </w:r>
      <w:r>
        <w:rPr>
          <w:rFonts w:hint="eastAsia" w:ascii="仿宋" w:hAnsi="仿宋" w:eastAsia="仿宋" w:cs="仿宋"/>
          <w:sz w:val="24"/>
        </w:rPr>
        <w:t>中规定的其他要求。</w:t>
      </w:r>
    </w:p>
    <w:p w14:paraId="6191ADA1">
      <w:pPr>
        <w:spacing w:line="240" w:lineRule="atLeast"/>
        <w:ind w:left="900" w:hanging="900" w:hangingChars="375"/>
        <w:rPr>
          <w:rFonts w:ascii="仿宋" w:hAnsi="仿宋" w:eastAsia="仿宋" w:cs="仿宋"/>
          <w:sz w:val="24"/>
        </w:rPr>
      </w:pPr>
      <w:r>
        <w:rPr>
          <w:rFonts w:hint="eastAsia" w:ascii="仿宋" w:hAnsi="仿宋" w:eastAsia="仿宋" w:cs="仿宋"/>
          <w:sz w:val="24"/>
        </w:rPr>
        <w:t>1.3.5   若</w:t>
      </w:r>
      <w:r>
        <w:rPr>
          <w:rFonts w:hint="eastAsia" w:ascii="仿宋" w:hAnsi="仿宋" w:eastAsia="仿宋" w:cs="仿宋"/>
          <w:sz w:val="24"/>
          <w:u w:val="single"/>
        </w:rPr>
        <w:t>供应商须知资料表</w:t>
      </w:r>
      <w:r>
        <w:rPr>
          <w:rFonts w:hint="eastAsia" w:ascii="仿宋" w:hAnsi="仿宋" w:eastAsia="仿宋" w:cs="仿宋"/>
          <w:sz w:val="24"/>
        </w:rPr>
        <w:t>中写明允许采购进口产品，供应商应保证所投产品可履行合法报通关手续进入中国关境内。</w:t>
      </w:r>
    </w:p>
    <w:p w14:paraId="0AF5C062">
      <w:pPr>
        <w:spacing w:line="240" w:lineRule="atLeast"/>
        <w:ind w:left="899" w:leftChars="428"/>
        <w:rPr>
          <w:rFonts w:ascii="仿宋" w:hAnsi="仿宋" w:eastAsia="仿宋" w:cs="仿宋"/>
          <w:sz w:val="24"/>
        </w:rPr>
      </w:pPr>
      <w:r>
        <w:rPr>
          <w:rFonts w:hint="eastAsia" w:ascii="仿宋" w:hAnsi="仿宋" w:eastAsia="仿宋" w:cs="仿宋"/>
          <w:sz w:val="24"/>
        </w:rPr>
        <w:t>若</w:t>
      </w:r>
      <w:r>
        <w:rPr>
          <w:rFonts w:hint="eastAsia" w:ascii="仿宋" w:hAnsi="仿宋" w:eastAsia="仿宋" w:cs="仿宋"/>
          <w:sz w:val="24"/>
          <w:u w:val="single"/>
        </w:rPr>
        <w:t>供应商须知资料表</w:t>
      </w:r>
      <w:r>
        <w:rPr>
          <w:rFonts w:hint="eastAsia" w:ascii="仿宋" w:hAnsi="仿宋" w:eastAsia="仿宋" w:cs="仿宋"/>
          <w:sz w:val="24"/>
        </w:rPr>
        <w:t>中未写明允许采购进口产品，如供应商所投产品为进口产品，其磋商将被认定为</w:t>
      </w:r>
      <w:r>
        <w:rPr>
          <w:rFonts w:hint="eastAsia" w:ascii="仿宋" w:hAnsi="仿宋" w:eastAsia="仿宋" w:cs="仿宋"/>
          <w:b/>
          <w:bCs/>
          <w:sz w:val="24"/>
        </w:rPr>
        <w:t>磋商无效</w:t>
      </w:r>
      <w:r>
        <w:rPr>
          <w:rFonts w:hint="eastAsia" w:ascii="仿宋" w:hAnsi="仿宋" w:eastAsia="仿宋" w:cs="仿宋"/>
          <w:sz w:val="24"/>
        </w:rPr>
        <w:t>。</w:t>
      </w:r>
    </w:p>
    <w:p w14:paraId="52956A94">
      <w:pPr>
        <w:spacing w:line="240" w:lineRule="atLeast"/>
        <w:ind w:left="840" w:hanging="840" w:hangingChars="350"/>
        <w:rPr>
          <w:rFonts w:ascii="仿宋" w:hAnsi="仿宋" w:eastAsia="仿宋" w:cs="仿宋"/>
          <w:sz w:val="24"/>
        </w:rPr>
      </w:pPr>
      <w:r>
        <w:rPr>
          <w:rFonts w:hint="eastAsia" w:ascii="仿宋" w:hAnsi="仿宋" w:eastAsia="仿宋" w:cs="仿宋"/>
          <w:sz w:val="24"/>
        </w:rPr>
        <w:t xml:space="preserve">1.3.6  </w:t>
      </w:r>
      <w:r>
        <w:rPr>
          <w:rFonts w:hint="eastAsia" w:ascii="仿宋" w:hAnsi="仿宋" w:eastAsia="仿宋" w:cs="仿宋"/>
          <w:color w:val="auto"/>
          <w:sz w:val="24"/>
          <w:highlight w:val="none"/>
        </w:rPr>
        <w:t>若</w:t>
      </w:r>
      <w:r>
        <w:rPr>
          <w:rFonts w:hint="eastAsia" w:ascii="仿宋" w:hAnsi="仿宋" w:eastAsia="仿宋" w:cs="仿宋"/>
          <w:color w:val="auto"/>
          <w:sz w:val="24"/>
          <w:highlight w:val="none"/>
          <w:u w:val="single"/>
        </w:rPr>
        <w:t>投标人须知资料表</w:t>
      </w:r>
      <w:r>
        <w:rPr>
          <w:rFonts w:hint="eastAsia" w:ascii="仿宋" w:hAnsi="仿宋" w:eastAsia="仿宋" w:cs="仿宋"/>
          <w:color w:val="auto"/>
          <w:sz w:val="24"/>
          <w:highlight w:val="none"/>
        </w:rPr>
        <w:t>中写明专门面向中小企业采购的，如投标人为非中小企业</w:t>
      </w:r>
      <w:r>
        <w:rPr>
          <w:rFonts w:hint="eastAsia" w:ascii="仿宋" w:hAnsi="仿宋" w:eastAsia="仿宋" w:cs="仿宋"/>
          <w:color w:val="auto"/>
          <w:sz w:val="24"/>
          <w:highlight w:val="none"/>
          <w:lang w:eastAsia="zh-CN"/>
        </w:rPr>
        <w:t>（工程、服务）或</w:t>
      </w:r>
      <w:r>
        <w:rPr>
          <w:rFonts w:hint="eastAsia" w:ascii="仿宋" w:hAnsi="仿宋" w:eastAsia="仿宋" w:cs="仿宋"/>
          <w:color w:val="auto"/>
          <w:sz w:val="24"/>
          <w:highlight w:val="none"/>
        </w:rPr>
        <w:t>所投产品为非中小企业产品</w:t>
      </w:r>
      <w:r>
        <w:rPr>
          <w:rFonts w:hint="eastAsia" w:ascii="仿宋" w:hAnsi="仿宋" w:eastAsia="仿宋" w:cs="仿宋"/>
          <w:color w:val="auto"/>
          <w:sz w:val="24"/>
          <w:highlight w:val="none"/>
          <w:lang w:eastAsia="zh-CN"/>
        </w:rPr>
        <w:t>（货物）</w:t>
      </w:r>
      <w:r>
        <w:rPr>
          <w:rFonts w:hint="eastAsia" w:ascii="仿宋" w:hAnsi="仿宋" w:eastAsia="仿宋" w:cs="仿宋"/>
          <w:sz w:val="24"/>
        </w:rPr>
        <w:t>，其磋商将被认定为</w:t>
      </w:r>
      <w:r>
        <w:rPr>
          <w:rFonts w:hint="eastAsia" w:ascii="仿宋" w:hAnsi="仿宋" w:eastAsia="仿宋" w:cs="仿宋"/>
          <w:b/>
          <w:bCs/>
          <w:sz w:val="24"/>
        </w:rPr>
        <w:t>磋商无效</w:t>
      </w:r>
      <w:r>
        <w:rPr>
          <w:rFonts w:hint="eastAsia" w:ascii="仿宋" w:hAnsi="仿宋" w:eastAsia="仿宋" w:cs="仿宋"/>
          <w:sz w:val="24"/>
        </w:rPr>
        <w:t>。</w:t>
      </w:r>
    </w:p>
    <w:p w14:paraId="329F50E1">
      <w:pPr>
        <w:spacing w:line="240" w:lineRule="atLeast"/>
        <w:ind w:left="900" w:hanging="900" w:hangingChars="375"/>
        <w:rPr>
          <w:rFonts w:ascii="仿宋" w:hAnsi="仿宋" w:eastAsia="仿宋" w:cs="仿宋"/>
          <w:sz w:val="24"/>
        </w:rPr>
      </w:pPr>
      <w:r>
        <w:rPr>
          <w:rFonts w:hint="eastAsia" w:ascii="仿宋" w:hAnsi="仿宋" w:eastAsia="仿宋" w:cs="仿宋"/>
          <w:sz w:val="24"/>
        </w:rPr>
        <w:t>1.4     如</w:t>
      </w:r>
      <w:r>
        <w:rPr>
          <w:rFonts w:hint="eastAsia" w:ascii="仿宋" w:hAnsi="仿宋" w:eastAsia="仿宋" w:cs="仿宋"/>
          <w:sz w:val="24"/>
          <w:u w:val="single"/>
        </w:rPr>
        <w:t>供应商须知资料表</w:t>
      </w:r>
      <w:r>
        <w:rPr>
          <w:rFonts w:hint="eastAsia" w:ascii="仿宋" w:hAnsi="仿宋" w:eastAsia="仿宋" w:cs="仿宋"/>
          <w:sz w:val="24"/>
        </w:rPr>
        <w:t>中允许联合体磋商，对联合体规定如下：</w:t>
      </w:r>
    </w:p>
    <w:p w14:paraId="639A2705">
      <w:pPr>
        <w:spacing w:line="240" w:lineRule="atLeast"/>
        <w:ind w:left="900" w:hanging="900" w:hangingChars="375"/>
        <w:rPr>
          <w:rFonts w:ascii="仿宋" w:hAnsi="仿宋" w:eastAsia="仿宋" w:cs="仿宋"/>
          <w:sz w:val="24"/>
        </w:rPr>
      </w:pPr>
      <w:r>
        <w:rPr>
          <w:rFonts w:hint="eastAsia" w:ascii="仿宋" w:hAnsi="仿宋" w:eastAsia="仿宋" w:cs="仿宋"/>
          <w:sz w:val="24"/>
        </w:rPr>
        <w:t>1.4.1   两个以上供应商可以组成一个磋商联合体，以一个供应商的身份磋商。</w:t>
      </w:r>
    </w:p>
    <w:p w14:paraId="6BBB82C3">
      <w:pPr>
        <w:spacing w:line="240" w:lineRule="atLeast"/>
        <w:ind w:left="900" w:hanging="900" w:hangingChars="375"/>
        <w:rPr>
          <w:rFonts w:ascii="仿宋" w:hAnsi="仿宋" w:eastAsia="仿宋" w:cs="仿宋"/>
          <w:sz w:val="24"/>
        </w:rPr>
      </w:pPr>
      <w:r>
        <w:rPr>
          <w:rFonts w:hint="eastAsia" w:ascii="仿宋" w:hAnsi="仿宋" w:eastAsia="仿宋" w:cs="仿宋"/>
          <w:sz w:val="24"/>
        </w:rPr>
        <w:t>1.4.2   联合体各方均应符合《中华人民共和国政府采购法》第二十二条规定的条件。</w:t>
      </w:r>
    </w:p>
    <w:p w14:paraId="7319788E">
      <w:pPr>
        <w:spacing w:line="240" w:lineRule="atLeast"/>
        <w:ind w:left="900" w:hanging="900" w:hangingChars="375"/>
        <w:rPr>
          <w:rFonts w:ascii="仿宋" w:hAnsi="仿宋" w:eastAsia="仿宋" w:cs="仿宋"/>
          <w:sz w:val="24"/>
        </w:rPr>
      </w:pPr>
      <w:r>
        <w:rPr>
          <w:rFonts w:hint="eastAsia" w:ascii="仿宋" w:hAnsi="仿宋" w:eastAsia="仿宋" w:cs="仿宋"/>
          <w:sz w:val="24"/>
        </w:rPr>
        <w:t>1.4.3   采购人根据采购项目对供应商的特殊要求，联合体中至少应当有一方符合相关规定。</w:t>
      </w:r>
    </w:p>
    <w:p w14:paraId="0E5A5D88">
      <w:pPr>
        <w:spacing w:line="240" w:lineRule="atLeast"/>
        <w:ind w:left="900" w:hanging="900" w:hangingChars="375"/>
        <w:rPr>
          <w:rFonts w:ascii="仿宋" w:hAnsi="仿宋" w:eastAsia="仿宋" w:cs="仿宋"/>
          <w:sz w:val="24"/>
        </w:rPr>
      </w:pPr>
      <w:r>
        <w:rPr>
          <w:rFonts w:hint="eastAsia" w:ascii="仿宋" w:hAnsi="仿宋" w:eastAsia="仿宋" w:cs="仿宋"/>
          <w:sz w:val="24"/>
        </w:rPr>
        <w:t>1.4.4   联合体各方应签订共同磋商协议，明确约定联合体各方承担的工作和相应的责任，并将共同磋商协议连同作为磋商文件第一部分的内容提交。</w:t>
      </w:r>
    </w:p>
    <w:p w14:paraId="5A75B997">
      <w:pPr>
        <w:spacing w:line="240" w:lineRule="atLeast"/>
        <w:ind w:left="900" w:hanging="900" w:hangingChars="375"/>
        <w:rPr>
          <w:rFonts w:ascii="仿宋" w:hAnsi="仿宋" w:eastAsia="仿宋" w:cs="仿宋"/>
          <w:sz w:val="24"/>
        </w:rPr>
      </w:pPr>
      <w:r>
        <w:rPr>
          <w:rFonts w:hint="eastAsia" w:ascii="仿宋" w:hAnsi="仿宋" w:eastAsia="仿宋" w:cs="仿宋"/>
          <w:sz w:val="24"/>
        </w:rPr>
        <w:t>1.4.5   大中型企业、其他自然人、法人或者非法人组织与小型、微型企业组成联合体共同参加磋商，共同磋商协议中应写明小型、微型企业的协议合同金额占到共同磋商协议磋商总金额的比例。</w:t>
      </w:r>
    </w:p>
    <w:p w14:paraId="2367B0A1">
      <w:pPr>
        <w:spacing w:line="240" w:lineRule="atLeast"/>
        <w:ind w:left="900" w:hanging="900" w:hangingChars="375"/>
        <w:rPr>
          <w:rFonts w:ascii="仿宋" w:hAnsi="仿宋" w:eastAsia="仿宋" w:cs="仿宋"/>
          <w:sz w:val="24"/>
        </w:rPr>
      </w:pPr>
      <w:r>
        <w:rPr>
          <w:rFonts w:hint="eastAsia" w:ascii="仿宋" w:hAnsi="仿宋" w:eastAsia="仿宋" w:cs="仿宋"/>
          <w:sz w:val="24"/>
        </w:rPr>
        <w:t>1.4.6  联合体中有同类资质的供应商按照联合体分工承担相同工作的，按照较低的资质等级确定联合体的资质等级。</w:t>
      </w:r>
    </w:p>
    <w:p w14:paraId="066D0FEE">
      <w:pPr>
        <w:spacing w:line="240" w:lineRule="atLeast"/>
        <w:ind w:left="900" w:hanging="900" w:hangingChars="375"/>
        <w:rPr>
          <w:rFonts w:ascii="仿宋" w:hAnsi="仿宋" w:eastAsia="仿宋" w:cs="仿宋"/>
          <w:sz w:val="24"/>
        </w:rPr>
      </w:pPr>
      <w:r>
        <w:rPr>
          <w:rFonts w:hint="eastAsia" w:ascii="仿宋" w:hAnsi="仿宋" w:eastAsia="仿宋" w:cs="仿宋"/>
          <w:sz w:val="24"/>
        </w:rPr>
        <w:t>1.4.7  以联合体形式参加政府采购活动的，联合体各方不得再单独参加或者与其他供应商另外组成联合体参加本项目磋商，否则相关磋商将被认定为</w:t>
      </w:r>
      <w:r>
        <w:rPr>
          <w:rFonts w:hint="eastAsia" w:ascii="仿宋" w:hAnsi="仿宋" w:eastAsia="仿宋" w:cs="仿宋"/>
          <w:b/>
          <w:bCs/>
          <w:sz w:val="24"/>
        </w:rPr>
        <w:t>磋商无效</w:t>
      </w:r>
      <w:r>
        <w:rPr>
          <w:rFonts w:hint="eastAsia" w:ascii="仿宋" w:hAnsi="仿宋" w:eastAsia="仿宋" w:cs="仿宋"/>
          <w:sz w:val="24"/>
        </w:rPr>
        <w:t>。</w:t>
      </w:r>
    </w:p>
    <w:p w14:paraId="64C5D6C2">
      <w:pPr>
        <w:spacing w:line="240" w:lineRule="atLeast"/>
        <w:ind w:left="900" w:hanging="900" w:hangingChars="375"/>
        <w:rPr>
          <w:rFonts w:ascii="仿宋" w:hAnsi="仿宋" w:eastAsia="仿宋" w:cs="仿宋"/>
          <w:sz w:val="24"/>
        </w:rPr>
      </w:pPr>
      <w:r>
        <w:rPr>
          <w:rFonts w:hint="eastAsia" w:ascii="仿宋" w:hAnsi="仿宋" w:eastAsia="仿宋" w:cs="仿宋"/>
          <w:sz w:val="24"/>
        </w:rPr>
        <w:t>1.4.8   对联合体磋商的其他资格要求见</w:t>
      </w:r>
      <w:r>
        <w:rPr>
          <w:rFonts w:hint="eastAsia" w:ascii="仿宋" w:hAnsi="仿宋" w:eastAsia="仿宋" w:cs="仿宋"/>
          <w:sz w:val="24"/>
          <w:u w:val="single"/>
        </w:rPr>
        <w:t>供应商须知资料表</w:t>
      </w:r>
      <w:r>
        <w:rPr>
          <w:rFonts w:hint="eastAsia" w:ascii="仿宋" w:hAnsi="仿宋" w:eastAsia="仿宋" w:cs="仿宋"/>
          <w:sz w:val="24"/>
        </w:rPr>
        <w:t>。</w:t>
      </w:r>
    </w:p>
    <w:p w14:paraId="33037E39">
      <w:pPr>
        <w:spacing w:line="240" w:lineRule="atLeast"/>
        <w:ind w:left="900" w:hanging="900" w:hangingChars="375"/>
        <w:rPr>
          <w:rFonts w:ascii="仿宋" w:hAnsi="仿宋" w:eastAsia="仿宋" w:cs="仿宋"/>
          <w:sz w:val="24"/>
        </w:rPr>
      </w:pPr>
      <w:r>
        <w:rPr>
          <w:rFonts w:hint="eastAsia" w:ascii="仿宋" w:hAnsi="仿宋" w:eastAsia="仿宋" w:cs="仿宋"/>
          <w:sz w:val="24"/>
        </w:rPr>
        <w:t>1.5    单位负责人为同一人或者存在直接控股、管理关系的不同供应商，其相关磋商将被认定为</w:t>
      </w:r>
      <w:r>
        <w:rPr>
          <w:rFonts w:hint="eastAsia" w:ascii="仿宋" w:hAnsi="仿宋" w:eastAsia="仿宋" w:cs="仿宋"/>
          <w:b/>
          <w:bCs/>
          <w:sz w:val="24"/>
        </w:rPr>
        <w:t>磋商无效</w:t>
      </w:r>
      <w:r>
        <w:rPr>
          <w:rFonts w:hint="eastAsia" w:ascii="仿宋" w:hAnsi="仿宋" w:eastAsia="仿宋" w:cs="仿宋"/>
          <w:sz w:val="24"/>
        </w:rPr>
        <w:t>。</w:t>
      </w:r>
    </w:p>
    <w:p w14:paraId="3174EF51">
      <w:pPr>
        <w:spacing w:line="240" w:lineRule="atLeast"/>
        <w:ind w:left="900" w:hanging="900" w:hangingChars="375"/>
        <w:rPr>
          <w:rFonts w:ascii="仿宋" w:hAnsi="仿宋" w:eastAsia="仿宋" w:cs="仿宋"/>
          <w:sz w:val="24"/>
        </w:rPr>
      </w:pPr>
      <w:r>
        <w:rPr>
          <w:rFonts w:hint="eastAsia" w:ascii="仿宋" w:hAnsi="仿宋" w:eastAsia="仿宋" w:cs="仿宋"/>
          <w:sz w:val="24"/>
        </w:rPr>
        <w:t>1.6    为本项目提供过整体设计、规范编制或者项目管理、监理、检测等要求的供应商，不得再参加本项目上述服务以外的其他采购活动。否则其磋商将被认定为</w:t>
      </w:r>
      <w:r>
        <w:rPr>
          <w:rFonts w:hint="eastAsia" w:ascii="仿宋" w:hAnsi="仿宋" w:eastAsia="仿宋" w:cs="仿宋"/>
          <w:b/>
          <w:bCs/>
          <w:sz w:val="24"/>
        </w:rPr>
        <w:t>磋商无效</w:t>
      </w:r>
      <w:r>
        <w:rPr>
          <w:rFonts w:hint="eastAsia" w:ascii="仿宋" w:hAnsi="仿宋" w:eastAsia="仿宋" w:cs="仿宋"/>
          <w:sz w:val="24"/>
        </w:rPr>
        <w:t>。</w:t>
      </w:r>
    </w:p>
    <w:p w14:paraId="72458A1C">
      <w:pPr>
        <w:spacing w:line="240" w:lineRule="atLeast"/>
        <w:ind w:left="900" w:hanging="900" w:hangingChars="375"/>
        <w:rPr>
          <w:rFonts w:ascii="仿宋" w:hAnsi="仿宋" w:eastAsia="仿宋" w:cs="仿宋"/>
          <w:sz w:val="24"/>
        </w:rPr>
      </w:pPr>
      <w:r>
        <w:rPr>
          <w:rFonts w:hint="eastAsia" w:ascii="仿宋" w:hAnsi="仿宋" w:eastAsia="仿宋" w:cs="仿宋"/>
          <w:sz w:val="24"/>
        </w:rPr>
        <w:t>1.7</w:t>
      </w:r>
      <w:r>
        <w:rPr>
          <w:rFonts w:hint="eastAsia" w:ascii="仿宋" w:hAnsi="仿宋" w:eastAsia="仿宋" w:cs="仿宋"/>
          <w:sz w:val="24"/>
        </w:rPr>
        <w:tab/>
      </w:r>
      <w:r>
        <w:rPr>
          <w:rFonts w:hint="eastAsia" w:ascii="仿宋" w:hAnsi="仿宋" w:eastAsia="仿宋" w:cs="仿宋"/>
          <w:sz w:val="24"/>
        </w:rPr>
        <w:t>供应商在磋商过程中不得向采购人提供、给予任何有价值的物品，影响其正常决策行为。一经发现，其将被认定为</w:t>
      </w:r>
      <w:r>
        <w:rPr>
          <w:rFonts w:hint="eastAsia" w:ascii="仿宋" w:hAnsi="仿宋" w:eastAsia="仿宋" w:cs="仿宋"/>
          <w:b/>
          <w:bCs/>
          <w:sz w:val="24"/>
        </w:rPr>
        <w:t>磋商无效</w:t>
      </w:r>
      <w:r>
        <w:rPr>
          <w:rFonts w:hint="eastAsia" w:ascii="仿宋" w:hAnsi="仿宋" w:eastAsia="仿宋" w:cs="仿宋"/>
          <w:sz w:val="24"/>
        </w:rPr>
        <w:t>。</w:t>
      </w:r>
    </w:p>
    <w:p w14:paraId="02D99A93">
      <w:pPr>
        <w:pStyle w:val="7"/>
        <w:spacing w:before="0" w:after="0" w:line="240" w:lineRule="atLeast"/>
        <w:rPr>
          <w:rFonts w:ascii="仿宋" w:hAnsi="仿宋" w:eastAsia="仿宋" w:cs="仿宋"/>
          <w:szCs w:val="24"/>
          <w:u w:val="none"/>
        </w:rPr>
      </w:pPr>
      <w:bookmarkStart w:id="16" w:name="_Toc515647759"/>
      <w:bookmarkStart w:id="17" w:name="_Toc12139"/>
      <w:bookmarkStart w:id="18" w:name="_Toc5286"/>
      <w:bookmarkStart w:id="19" w:name="_Toc20561"/>
      <w:r>
        <w:rPr>
          <w:rFonts w:hint="eastAsia" w:ascii="仿宋" w:hAnsi="仿宋" w:eastAsia="仿宋" w:cs="仿宋"/>
          <w:szCs w:val="24"/>
          <w:u w:val="none"/>
        </w:rPr>
        <w:t>2.资金来源</w:t>
      </w:r>
      <w:bookmarkEnd w:id="16"/>
      <w:bookmarkEnd w:id="17"/>
      <w:bookmarkEnd w:id="18"/>
      <w:bookmarkEnd w:id="19"/>
    </w:p>
    <w:p w14:paraId="18985B15">
      <w:pPr>
        <w:spacing w:line="240" w:lineRule="atLeast"/>
        <w:ind w:left="900" w:hanging="900" w:hangingChars="375"/>
        <w:rPr>
          <w:rFonts w:ascii="仿宋" w:hAnsi="仿宋" w:eastAsia="仿宋" w:cs="仿宋"/>
          <w:sz w:val="24"/>
        </w:rPr>
      </w:pPr>
      <w:r>
        <w:rPr>
          <w:rFonts w:hint="eastAsia" w:ascii="仿宋" w:hAnsi="仿宋" w:eastAsia="仿宋" w:cs="仿宋"/>
          <w:sz w:val="24"/>
        </w:rPr>
        <w:t>2.1</w:t>
      </w:r>
      <w:r>
        <w:rPr>
          <w:rFonts w:hint="eastAsia" w:ascii="仿宋" w:hAnsi="仿宋" w:eastAsia="仿宋" w:cs="仿宋"/>
          <w:sz w:val="24"/>
        </w:rPr>
        <w:tab/>
      </w:r>
      <w:r>
        <w:rPr>
          <w:rFonts w:hint="eastAsia" w:ascii="仿宋" w:hAnsi="仿宋" w:eastAsia="仿宋" w:cs="仿宋"/>
          <w:sz w:val="24"/>
        </w:rPr>
        <w:t>本项目的采购人已获得足以支付本次招标后所签订的合同项下的资金（包括财政性资金和本项目采购中无法与财政性资金分割的非财政性资金）。</w:t>
      </w:r>
    </w:p>
    <w:p w14:paraId="49C4051F">
      <w:pPr>
        <w:spacing w:line="240" w:lineRule="atLeast"/>
        <w:ind w:left="900" w:hanging="900" w:hangingChars="375"/>
        <w:rPr>
          <w:rFonts w:ascii="仿宋" w:hAnsi="仿宋" w:eastAsia="仿宋" w:cs="仿宋"/>
          <w:sz w:val="24"/>
        </w:rPr>
      </w:pPr>
      <w:r>
        <w:rPr>
          <w:rFonts w:hint="eastAsia" w:ascii="仿宋" w:hAnsi="仿宋" w:eastAsia="仿宋" w:cs="仿宋"/>
          <w:sz w:val="24"/>
        </w:rPr>
        <w:t>2.2    项目预算金额和分项或分包最高限价</w:t>
      </w:r>
      <w:r>
        <w:rPr>
          <w:rFonts w:hint="eastAsia" w:ascii="仿宋" w:hAnsi="仿宋" w:eastAsia="仿宋" w:cs="仿宋"/>
          <w:sz w:val="24"/>
          <w:u w:val="single"/>
        </w:rPr>
        <w:t>见供应商须知资料表</w:t>
      </w:r>
      <w:r>
        <w:rPr>
          <w:rFonts w:hint="eastAsia" w:ascii="仿宋" w:hAnsi="仿宋" w:eastAsia="仿宋" w:cs="仿宋"/>
          <w:sz w:val="24"/>
        </w:rPr>
        <w:t>。</w:t>
      </w:r>
    </w:p>
    <w:p w14:paraId="0E04DF2F">
      <w:pPr>
        <w:spacing w:line="240" w:lineRule="atLeast"/>
        <w:ind w:left="900" w:hanging="900" w:hangingChars="375"/>
        <w:rPr>
          <w:rFonts w:ascii="仿宋" w:hAnsi="仿宋" w:eastAsia="仿宋" w:cs="仿宋"/>
          <w:sz w:val="24"/>
        </w:rPr>
      </w:pPr>
      <w:r>
        <w:rPr>
          <w:rFonts w:hint="eastAsia" w:ascii="仿宋" w:hAnsi="仿宋" w:eastAsia="仿宋" w:cs="仿宋"/>
          <w:sz w:val="24"/>
        </w:rPr>
        <w:t>2.3    供应商报价超过磋商文件规定的预算金额或者分项、分包最高限价的，其磋商将被认定为</w:t>
      </w:r>
      <w:r>
        <w:rPr>
          <w:rFonts w:hint="eastAsia" w:ascii="仿宋" w:hAnsi="仿宋" w:eastAsia="仿宋" w:cs="仿宋"/>
          <w:b/>
          <w:bCs/>
          <w:sz w:val="24"/>
        </w:rPr>
        <w:t>磋商无效</w:t>
      </w:r>
      <w:r>
        <w:rPr>
          <w:rFonts w:hint="eastAsia" w:ascii="仿宋" w:hAnsi="仿宋" w:eastAsia="仿宋" w:cs="仿宋"/>
          <w:sz w:val="24"/>
        </w:rPr>
        <w:t>。</w:t>
      </w:r>
    </w:p>
    <w:p w14:paraId="1229DE75">
      <w:pPr>
        <w:pStyle w:val="7"/>
        <w:spacing w:before="0" w:after="0" w:line="240" w:lineRule="atLeast"/>
        <w:rPr>
          <w:rFonts w:ascii="仿宋" w:hAnsi="仿宋" w:eastAsia="仿宋" w:cs="仿宋"/>
          <w:szCs w:val="24"/>
          <w:u w:val="none"/>
        </w:rPr>
      </w:pPr>
      <w:bookmarkStart w:id="20" w:name="_Toc20526"/>
      <w:bookmarkStart w:id="21" w:name="_Toc520356145"/>
      <w:bookmarkStart w:id="22" w:name="_Toc15936"/>
      <w:bookmarkStart w:id="23" w:name="_Toc515647760"/>
      <w:bookmarkStart w:id="24" w:name="_Toc18002"/>
      <w:r>
        <w:rPr>
          <w:rFonts w:hint="eastAsia" w:ascii="仿宋" w:hAnsi="仿宋" w:eastAsia="仿宋" w:cs="仿宋"/>
          <w:szCs w:val="24"/>
          <w:u w:val="none"/>
        </w:rPr>
        <w:t>3.磋商费用</w:t>
      </w:r>
      <w:bookmarkEnd w:id="20"/>
      <w:bookmarkEnd w:id="21"/>
      <w:bookmarkEnd w:id="22"/>
      <w:bookmarkEnd w:id="23"/>
      <w:bookmarkEnd w:id="24"/>
    </w:p>
    <w:p w14:paraId="3A54A756">
      <w:pPr>
        <w:spacing w:line="240" w:lineRule="atLeast"/>
        <w:ind w:left="900" w:hanging="900" w:hangingChars="375"/>
        <w:rPr>
          <w:rFonts w:ascii="仿宋" w:hAnsi="仿宋" w:eastAsia="仿宋" w:cs="仿宋"/>
          <w:sz w:val="24"/>
        </w:rPr>
      </w:pPr>
      <w:r>
        <w:rPr>
          <w:rFonts w:hint="eastAsia" w:ascii="仿宋" w:hAnsi="仿宋" w:eastAsia="仿宋" w:cs="仿宋"/>
          <w:sz w:val="24"/>
        </w:rPr>
        <w:tab/>
      </w:r>
      <w:r>
        <w:rPr>
          <w:rFonts w:hint="eastAsia" w:ascii="仿宋" w:hAnsi="仿宋" w:eastAsia="仿宋" w:cs="仿宋"/>
          <w:sz w:val="24"/>
        </w:rPr>
        <w:t>不论磋商的结果如何，供应商应承担所有与准备和参加磋商有关的费用。</w:t>
      </w:r>
    </w:p>
    <w:p w14:paraId="4F7C1F2F">
      <w:pPr>
        <w:pStyle w:val="7"/>
        <w:spacing w:before="0" w:after="0" w:line="240" w:lineRule="atLeast"/>
        <w:rPr>
          <w:rFonts w:ascii="仿宋" w:hAnsi="仿宋" w:eastAsia="仿宋" w:cs="仿宋"/>
          <w:szCs w:val="24"/>
          <w:u w:val="none"/>
        </w:rPr>
      </w:pPr>
      <w:bookmarkStart w:id="25" w:name="_Toc4463"/>
      <w:bookmarkStart w:id="26" w:name="_Toc30544"/>
      <w:bookmarkStart w:id="27" w:name="_Toc515647761"/>
      <w:bookmarkStart w:id="28" w:name="_Toc6116"/>
      <w:r>
        <w:rPr>
          <w:rFonts w:hint="eastAsia" w:ascii="仿宋" w:hAnsi="仿宋" w:eastAsia="仿宋" w:cs="仿宋"/>
          <w:szCs w:val="24"/>
          <w:u w:val="none"/>
        </w:rPr>
        <w:t>4.适用法律</w:t>
      </w:r>
      <w:bookmarkEnd w:id="25"/>
      <w:bookmarkEnd w:id="26"/>
      <w:bookmarkEnd w:id="27"/>
      <w:bookmarkEnd w:id="28"/>
    </w:p>
    <w:p w14:paraId="4E97DB42">
      <w:pPr>
        <w:spacing w:line="240" w:lineRule="atLeast"/>
        <w:ind w:left="900" w:hanging="900" w:hangingChars="375"/>
        <w:rPr>
          <w:rFonts w:ascii="仿宋" w:hAnsi="仿宋" w:eastAsia="仿宋" w:cs="仿宋"/>
          <w:sz w:val="24"/>
        </w:rPr>
      </w:pPr>
      <w:r>
        <w:rPr>
          <w:rFonts w:hint="eastAsia" w:ascii="仿宋" w:hAnsi="仿宋" w:eastAsia="仿宋" w:cs="仿宋"/>
          <w:sz w:val="24"/>
        </w:rPr>
        <w:t xml:space="preserve">       本项目采购人、采购代理机构、供应商、评审委员会的相关行为均受《中华人民共和国政府采购法》、《中华人民共和国政府采购法实施条例》</w:t>
      </w:r>
      <w:r>
        <w:rPr>
          <w:rFonts w:hint="eastAsia" w:ascii="仿宋" w:hAnsi="仿宋" w:eastAsia="仿宋" w:cs="仿宋"/>
          <w:sz w:val="24"/>
          <w:lang w:eastAsia="zh-CN"/>
        </w:rPr>
        <w:t>、</w:t>
      </w:r>
      <w:r>
        <w:rPr>
          <w:rFonts w:hint="eastAsia" w:ascii="仿宋" w:hAnsi="仿宋" w:eastAsia="仿宋" w:cs="仿宋"/>
          <w:sz w:val="24"/>
        </w:rPr>
        <w:t>财政部关于印发《政府采购竞争性磋商采购方式管理暂行办法》</w:t>
      </w:r>
      <w:r>
        <w:rPr>
          <w:rFonts w:hint="eastAsia" w:ascii="仿宋" w:hAnsi="仿宋" w:eastAsia="仿宋" w:cs="仿宋"/>
          <w:i w:val="0"/>
          <w:iCs w:val="0"/>
          <w:caps w:val="0"/>
          <w:color w:val="auto"/>
          <w:spacing w:val="0"/>
          <w:sz w:val="24"/>
          <w:szCs w:val="24"/>
        </w:rPr>
        <w:t>等有关法律、法规和规章的规定</w:t>
      </w:r>
      <w:r>
        <w:rPr>
          <w:rFonts w:hint="eastAsia" w:ascii="仿宋" w:hAnsi="仿宋" w:eastAsia="仿宋" w:cs="仿宋"/>
          <w:sz w:val="24"/>
        </w:rPr>
        <w:t>及本项目本级和上级财政部门政府采购有关规定的约束，其权利受到上述法律法规的保护。</w:t>
      </w:r>
    </w:p>
    <w:p w14:paraId="7F877DE3">
      <w:pPr>
        <w:spacing w:line="240" w:lineRule="atLeast"/>
        <w:rPr>
          <w:rFonts w:ascii="仿宋" w:hAnsi="仿宋" w:eastAsia="仿宋" w:cs="仿宋"/>
          <w:sz w:val="24"/>
        </w:rPr>
      </w:pPr>
    </w:p>
    <w:p w14:paraId="2330619B">
      <w:pPr>
        <w:pStyle w:val="6"/>
        <w:spacing w:before="0" w:line="240" w:lineRule="atLeast"/>
        <w:ind w:left="1080" w:leftChars="257" w:hanging="540"/>
        <w:rPr>
          <w:rFonts w:ascii="仿宋" w:hAnsi="仿宋" w:eastAsia="仿宋" w:cs="仿宋"/>
          <w:sz w:val="24"/>
          <w:szCs w:val="24"/>
        </w:rPr>
      </w:pPr>
      <w:bookmarkStart w:id="29" w:name="_Toc21566"/>
      <w:bookmarkStart w:id="30" w:name="_Toc515647762"/>
      <w:bookmarkStart w:id="31" w:name="_Toc520356146"/>
      <w:bookmarkStart w:id="32" w:name="_Toc216582806"/>
      <w:bookmarkStart w:id="33" w:name="_Toc4365"/>
      <w:bookmarkStart w:id="34" w:name="_Toc4420"/>
      <w:r>
        <w:rPr>
          <w:rFonts w:hint="eastAsia" w:ascii="仿宋" w:hAnsi="仿宋" w:eastAsia="仿宋" w:cs="仿宋"/>
          <w:sz w:val="24"/>
          <w:szCs w:val="24"/>
        </w:rPr>
        <w:t xml:space="preserve">二   </w:t>
      </w:r>
      <w:bookmarkEnd w:id="29"/>
      <w:bookmarkEnd w:id="30"/>
      <w:bookmarkEnd w:id="31"/>
      <w:bookmarkEnd w:id="32"/>
      <w:bookmarkEnd w:id="33"/>
      <w:r>
        <w:rPr>
          <w:rFonts w:hint="eastAsia" w:ascii="仿宋" w:hAnsi="仿宋" w:eastAsia="仿宋" w:cs="仿宋"/>
          <w:sz w:val="24"/>
          <w:szCs w:val="24"/>
        </w:rPr>
        <w:t>磋商文件</w:t>
      </w:r>
      <w:bookmarkEnd w:id="34"/>
    </w:p>
    <w:p w14:paraId="019D71DE">
      <w:pPr>
        <w:pStyle w:val="7"/>
        <w:spacing w:before="0" w:after="0" w:line="240" w:lineRule="atLeast"/>
        <w:rPr>
          <w:rFonts w:ascii="仿宋" w:hAnsi="仿宋" w:eastAsia="仿宋" w:cs="仿宋"/>
          <w:szCs w:val="24"/>
          <w:u w:val="none"/>
        </w:rPr>
      </w:pPr>
      <w:bookmarkStart w:id="35" w:name="_Toc515904805"/>
      <w:bookmarkStart w:id="36" w:name="_Toc520356148"/>
      <w:bookmarkStart w:id="37" w:name="_Toc9232"/>
      <w:bookmarkStart w:id="38" w:name="_Toc7531"/>
      <w:bookmarkStart w:id="39" w:name="_Toc26044"/>
      <w:r>
        <w:rPr>
          <w:rFonts w:hint="eastAsia" w:ascii="仿宋" w:hAnsi="仿宋" w:eastAsia="仿宋" w:cs="仿宋"/>
          <w:szCs w:val="24"/>
          <w:u w:val="none"/>
        </w:rPr>
        <w:t>6.磋商文件的澄清</w:t>
      </w:r>
      <w:bookmarkEnd w:id="35"/>
      <w:bookmarkEnd w:id="36"/>
      <w:r>
        <w:rPr>
          <w:rFonts w:hint="eastAsia" w:ascii="仿宋" w:hAnsi="仿宋" w:eastAsia="仿宋" w:cs="仿宋"/>
          <w:szCs w:val="24"/>
          <w:u w:val="none"/>
        </w:rPr>
        <w:t>与修改</w:t>
      </w:r>
      <w:bookmarkEnd w:id="37"/>
      <w:bookmarkEnd w:id="38"/>
      <w:bookmarkEnd w:id="39"/>
    </w:p>
    <w:p w14:paraId="74187934">
      <w:pPr>
        <w:pStyle w:val="9"/>
        <w:ind w:left="840" w:hanging="840" w:hangingChars="350"/>
        <w:rPr>
          <w:rFonts w:ascii="仿宋" w:hAnsi="仿宋" w:eastAsia="仿宋" w:cs="仿宋"/>
          <w:szCs w:val="24"/>
        </w:rPr>
      </w:pPr>
      <w:r>
        <w:rPr>
          <w:rFonts w:hint="eastAsia" w:ascii="仿宋" w:hAnsi="仿宋" w:eastAsia="仿宋" w:cs="仿宋"/>
          <w:szCs w:val="24"/>
        </w:rPr>
        <w:t>6.1    为了保证对磋商文件的澄清和修改满足法律的时限要求，任何要求对磋商文件进行澄清的供应商，均应在磋商截止期十日前，以书面形式将澄清要求通知采购人或采购代理机构。</w:t>
      </w:r>
    </w:p>
    <w:p w14:paraId="1A3F5D41">
      <w:pPr>
        <w:pStyle w:val="9"/>
        <w:ind w:left="840" w:hanging="840" w:hangingChars="350"/>
        <w:rPr>
          <w:rFonts w:ascii="仿宋" w:hAnsi="仿宋" w:eastAsia="仿宋" w:cs="仿宋"/>
          <w:szCs w:val="24"/>
        </w:rPr>
      </w:pPr>
      <w:bookmarkStart w:id="40" w:name="_Ref467378678"/>
      <w:bookmarkStart w:id="41" w:name="_Toc515904806"/>
      <w:bookmarkStart w:id="42" w:name="_Toc520356149"/>
      <w:r>
        <w:rPr>
          <w:rFonts w:hint="eastAsia" w:ascii="仿宋" w:hAnsi="仿宋" w:eastAsia="仿宋" w:cs="仿宋"/>
          <w:szCs w:val="24"/>
        </w:rPr>
        <w:t>6.2</w:t>
      </w:r>
      <w:r>
        <w:rPr>
          <w:rFonts w:hint="eastAsia" w:ascii="仿宋" w:hAnsi="仿宋" w:eastAsia="仿宋" w:cs="仿宋"/>
          <w:szCs w:val="24"/>
        </w:rPr>
        <w:tab/>
      </w:r>
      <w:r>
        <w:rPr>
          <w:rFonts w:hint="eastAsia" w:ascii="仿宋" w:hAnsi="仿宋" w:eastAsia="仿宋" w:cs="仿宋"/>
          <w:szCs w:val="24"/>
        </w:rPr>
        <w:t>采购人可主动地或在解答供应商提出的澄清问题时对磋商文件进行澄清或修改。采购代理机构将以发布澄清（更正）公告的方式，澄清或修改磋商文件，澄清或修改内容作为磋商文件的组成部分。</w:t>
      </w:r>
    </w:p>
    <w:p w14:paraId="63BC0AF8">
      <w:pPr>
        <w:pStyle w:val="9"/>
        <w:ind w:left="840" w:hanging="840" w:hangingChars="350"/>
        <w:rPr>
          <w:rFonts w:ascii="仿宋" w:hAnsi="仿宋" w:eastAsia="仿宋" w:cs="仿宋"/>
          <w:szCs w:val="24"/>
        </w:rPr>
      </w:pPr>
      <w:r>
        <w:rPr>
          <w:rFonts w:hint="eastAsia" w:ascii="仿宋" w:hAnsi="仿宋" w:eastAsia="仿宋" w:cs="仿宋"/>
          <w:szCs w:val="24"/>
        </w:rPr>
        <w:t>6.3</w:t>
      </w:r>
      <w:r>
        <w:rPr>
          <w:rFonts w:hint="eastAsia" w:ascii="仿宋" w:hAnsi="仿宋" w:eastAsia="仿宋" w:cs="仿宋"/>
          <w:szCs w:val="24"/>
        </w:rPr>
        <w:tab/>
      </w:r>
      <w:r>
        <w:rPr>
          <w:rFonts w:hint="eastAsia" w:ascii="仿宋" w:hAnsi="仿宋" w:eastAsia="仿宋" w:cs="仿宋"/>
          <w:szCs w:val="24"/>
        </w:rPr>
        <w:t>澄清或者修改的内容可能影响磋商文件编制的，采购代理机构将以书面形式通知所有购买磋商文件的潜在供应商，并对其具有约束力。供应商在收到上述通知后，应及时向采购代理机构回函确认。</w:t>
      </w:r>
    </w:p>
    <w:p w14:paraId="5EBB45D3">
      <w:pPr>
        <w:pStyle w:val="7"/>
        <w:tabs>
          <w:tab w:val="left" w:pos="900"/>
        </w:tabs>
        <w:spacing w:before="0" w:after="0" w:line="240" w:lineRule="atLeast"/>
        <w:rPr>
          <w:rFonts w:ascii="仿宋" w:hAnsi="仿宋" w:eastAsia="仿宋" w:cs="仿宋"/>
          <w:szCs w:val="24"/>
          <w:u w:val="none"/>
        </w:rPr>
      </w:pPr>
      <w:bookmarkStart w:id="43" w:name="_Toc25635"/>
      <w:bookmarkStart w:id="44" w:name="_Toc14569"/>
      <w:bookmarkStart w:id="45" w:name="_Toc10128"/>
      <w:r>
        <w:rPr>
          <w:rFonts w:hint="eastAsia" w:ascii="仿宋" w:hAnsi="仿宋" w:eastAsia="仿宋" w:cs="仿宋"/>
          <w:szCs w:val="24"/>
          <w:u w:val="none"/>
        </w:rPr>
        <w:t>7</w:t>
      </w:r>
      <w:bookmarkEnd w:id="40"/>
      <w:bookmarkEnd w:id="41"/>
      <w:bookmarkEnd w:id="42"/>
      <w:r>
        <w:rPr>
          <w:rFonts w:hint="eastAsia" w:ascii="仿宋" w:hAnsi="仿宋" w:eastAsia="仿宋" w:cs="仿宋"/>
          <w:szCs w:val="24"/>
          <w:u w:val="none"/>
        </w:rPr>
        <w:t>.磋商截止时间的顺延</w:t>
      </w:r>
      <w:bookmarkEnd w:id="43"/>
      <w:bookmarkEnd w:id="44"/>
      <w:bookmarkEnd w:id="45"/>
    </w:p>
    <w:p w14:paraId="0B7D6397">
      <w:pPr>
        <w:spacing w:line="240" w:lineRule="atLeast"/>
        <w:ind w:left="900" w:hanging="900" w:hangingChars="375"/>
        <w:rPr>
          <w:rFonts w:ascii="仿宋" w:hAnsi="仿宋" w:eastAsia="仿宋" w:cs="仿宋"/>
          <w:sz w:val="24"/>
        </w:rPr>
      </w:pPr>
      <w:r>
        <w:rPr>
          <w:rFonts w:hint="eastAsia" w:ascii="仿宋" w:hAnsi="仿宋" w:eastAsia="仿宋" w:cs="仿宋"/>
          <w:sz w:val="24"/>
        </w:rPr>
        <w:tab/>
      </w:r>
      <w:r>
        <w:rPr>
          <w:rFonts w:hint="eastAsia" w:ascii="仿宋" w:hAnsi="仿宋" w:eastAsia="仿宋" w:cs="仿宋"/>
          <w:sz w:val="24"/>
        </w:rPr>
        <w:t>为使供应商准备磋商时有足够的时间对磋商文件的澄清或者修改部分进行研究，采购人将依法决定是否顺延磋商截止时间。</w:t>
      </w:r>
    </w:p>
    <w:p w14:paraId="11BAA99A">
      <w:pPr>
        <w:pStyle w:val="6"/>
        <w:tabs>
          <w:tab w:val="left" w:pos="900"/>
        </w:tabs>
        <w:spacing w:before="0" w:line="240" w:lineRule="atLeast"/>
        <w:ind w:left="1080" w:leftChars="257" w:hanging="540"/>
        <w:rPr>
          <w:rFonts w:ascii="仿宋" w:hAnsi="仿宋" w:eastAsia="仿宋" w:cs="仿宋"/>
        </w:rPr>
      </w:pPr>
      <w:bookmarkStart w:id="46" w:name="_Toc516367020"/>
      <w:bookmarkStart w:id="47" w:name="_Toc7636"/>
      <w:bookmarkStart w:id="48" w:name="_Toc18070"/>
      <w:bookmarkStart w:id="49" w:name="_Toc216582807"/>
      <w:bookmarkStart w:id="50" w:name="_Toc515647766"/>
      <w:bookmarkStart w:id="51" w:name="_Toc520356150"/>
      <w:bookmarkStart w:id="52" w:name="_Toc30808"/>
      <w:bookmarkStart w:id="53" w:name="_Toc17440"/>
      <w:r>
        <w:rPr>
          <w:rFonts w:hint="eastAsia" w:ascii="仿宋" w:hAnsi="仿宋" w:eastAsia="仿宋" w:cs="仿宋"/>
          <w:sz w:val="28"/>
        </w:rPr>
        <w:t xml:space="preserve">三   </w:t>
      </w:r>
      <w:bookmarkEnd w:id="46"/>
      <w:r>
        <w:rPr>
          <w:rFonts w:hint="eastAsia" w:ascii="仿宋" w:hAnsi="仿宋" w:eastAsia="仿宋" w:cs="仿宋"/>
          <w:sz w:val="28"/>
        </w:rPr>
        <w:t>响应文件的编制</w:t>
      </w:r>
      <w:bookmarkEnd w:id="47"/>
      <w:bookmarkEnd w:id="48"/>
      <w:bookmarkEnd w:id="49"/>
      <w:bookmarkEnd w:id="50"/>
      <w:bookmarkEnd w:id="51"/>
      <w:bookmarkEnd w:id="52"/>
      <w:bookmarkEnd w:id="53"/>
    </w:p>
    <w:p w14:paraId="3AFBD32E">
      <w:pPr>
        <w:pStyle w:val="7"/>
        <w:tabs>
          <w:tab w:val="left" w:pos="900"/>
        </w:tabs>
        <w:spacing w:before="0" w:after="0" w:line="240" w:lineRule="atLeast"/>
        <w:rPr>
          <w:rFonts w:ascii="仿宋" w:hAnsi="仿宋" w:eastAsia="仿宋" w:cs="仿宋"/>
          <w:u w:val="none"/>
        </w:rPr>
      </w:pPr>
      <w:bookmarkStart w:id="54" w:name="_Toc515647767"/>
      <w:bookmarkStart w:id="55" w:name="_Toc7786"/>
      <w:bookmarkStart w:id="56" w:name="_Toc15016"/>
      <w:bookmarkStart w:id="57" w:name="_Toc520356151"/>
      <w:bookmarkStart w:id="58" w:name="_Toc21065"/>
      <w:bookmarkStart w:id="59" w:name="_Toc516367021"/>
      <w:bookmarkStart w:id="60" w:name="_Toc3553"/>
      <w:r>
        <w:rPr>
          <w:rFonts w:hint="eastAsia" w:ascii="仿宋" w:hAnsi="仿宋" w:eastAsia="仿宋" w:cs="仿宋"/>
          <w:u w:val="none"/>
        </w:rPr>
        <w:t>8.</w:t>
      </w:r>
      <w:r>
        <w:rPr>
          <w:rFonts w:hint="eastAsia" w:ascii="仿宋" w:hAnsi="仿宋" w:eastAsia="仿宋" w:cs="仿宋"/>
          <w:u w:val="none"/>
        </w:rPr>
        <w:tab/>
      </w:r>
      <w:r>
        <w:rPr>
          <w:rFonts w:hint="eastAsia" w:ascii="仿宋" w:hAnsi="仿宋" w:eastAsia="仿宋" w:cs="仿宋"/>
          <w:u w:val="none"/>
        </w:rPr>
        <w:t>磋商范围及响应文件成交准和计量单位的使用</w:t>
      </w:r>
      <w:bookmarkEnd w:id="54"/>
      <w:bookmarkEnd w:id="55"/>
      <w:bookmarkEnd w:id="56"/>
      <w:bookmarkEnd w:id="57"/>
      <w:bookmarkEnd w:id="58"/>
      <w:bookmarkEnd w:id="59"/>
      <w:bookmarkEnd w:id="60"/>
    </w:p>
    <w:p w14:paraId="7EF3B83B">
      <w:pPr>
        <w:spacing w:line="240" w:lineRule="atLeast"/>
        <w:ind w:left="900" w:hanging="900" w:hangingChars="375"/>
        <w:rPr>
          <w:rFonts w:ascii="仿宋" w:hAnsi="仿宋" w:eastAsia="仿宋" w:cs="仿宋"/>
          <w:sz w:val="24"/>
        </w:rPr>
      </w:pPr>
      <w:r>
        <w:rPr>
          <w:rFonts w:hint="eastAsia" w:ascii="仿宋" w:hAnsi="仿宋" w:eastAsia="仿宋" w:cs="仿宋"/>
          <w:sz w:val="24"/>
        </w:rPr>
        <w:t>8.1</w:t>
      </w:r>
      <w:r>
        <w:rPr>
          <w:rFonts w:hint="eastAsia" w:ascii="仿宋" w:hAnsi="仿宋" w:eastAsia="仿宋" w:cs="仿宋"/>
          <w:sz w:val="24"/>
        </w:rPr>
        <w:tab/>
      </w:r>
      <w:r>
        <w:rPr>
          <w:rFonts w:hint="eastAsia" w:ascii="仿宋" w:hAnsi="仿宋" w:eastAsia="仿宋" w:cs="仿宋"/>
          <w:sz w:val="24"/>
        </w:rPr>
        <w:t>项目有分包的，供应商可对磋商文件其中某一个或几个分包服务内容进行磋商，除非在</w:t>
      </w:r>
      <w:r>
        <w:rPr>
          <w:rFonts w:hint="eastAsia" w:ascii="仿宋" w:hAnsi="仿宋" w:eastAsia="仿宋" w:cs="仿宋"/>
          <w:sz w:val="24"/>
          <w:u w:val="single"/>
        </w:rPr>
        <w:t>供应商须知资料表</w:t>
      </w:r>
      <w:r>
        <w:rPr>
          <w:rFonts w:hint="eastAsia" w:ascii="仿宋" w:hAnsi="仿宋" w:eastAsia="仿宋" w:cs="仿宋"/>
          <w:sz w:val="24"/>
        </w:rPr>
        <w:t>中另有规定。</w:t>
      </w:r>
    </w:p>
    <w:p w14:paraId="7FEC1BAC">
      <w:pPr>
        <w:spacing w:line="240" w:lineRule="atLeast"/>
        <w:ind w:left="900" w:hanging="900" w:hangingChars="375"/>
        <w:rPr>
          <w:rFonts w:ascii="仿宋" w:hAnsi="仿宋" w:eastAsia="仿宋" w:cs="仿宋"/>
          <w:sz w:val="24"/>
        </w:rPr>
      </w:pPr>
      <w:r>
        <w:rPr>
          <w:rFonts w:hint="eastAsia" w:ascii="仿宋" w:hAnsi="仿宋" w:eastAsia="仿宋" w:cs="仿宋"/>
          <w:sz w:val="24"/>
        </w:rPr>
        <w:t>8.2     供应商应当对所投分包磋商文件中“服务需求”所列的所有内容进行磋商，如仅响应某一包中的部分内容，其该包磋商将被认定为</w:t>
      </w:r>
      <w:r>
        <w:rPr>
          <w:rFonts w:hint="eastAsia" w:ascii="仿宋" w:hAnsi="仿宋" w:eastAsia="仿宋" w:cs="仿宋"/>
          <w:b/>
          <w:bCs/>
          <w:sz w:val="24"/>
        </w:rPr>
        <w:t>磋商无效</w:t>
      </w:r>
      <w:r>
        <w:rPr>
          <w:rFonts w:hint="eastAsia" w:ascii="仿宋" w:hAnsi="仿宋" w:eastAsia="仿宋" w:cs="仿宋"/>
          <w:sz w:val="24"/>
        </w:rPr>
        <w:t>。</w:t>
      </w:r>
    </w:p>
    <w:p w14:paraId="4AD0683F">
      <w:pPr>
        <w:spacing w:line="240" w:lineRule="atLeast"/>
        <w:ind w:left="900" w:hanging="900" w:hangingChars="375"/>
        <w:rPr>
          <w:rFonts w:ascii="仿宋" w:hAnsi="仿宋" w:eastAsia="仿宋" w:cs="仿宋"/>
          <w:sz w:val="24"/>
        </w:rPr>
      </w:pPr>
      <w:r>
        <w:rPr>
          <w:rFonts w:hint="eastAsia" w:ascii="仿宋" w:hAnsi="仿宋" w:eastAsia="仿宋" w:cs="仿宋"/>
          <w:sz w:val="24"/>
        </w:rPr>
        <w:t>8.3     无论磋商文件第5章服务需求一览表及技术规格中是否要求，供应商所投服务要求均应符合国家强制性标准。</w:t>
      </w:r>
    </w:p>
    <w:p w14:paraId="19CC2753">
      <w:pPr>
        <w:spacing w:line="240" w:lineRule="atLeast"/>
        <w:ind w:left="900" w:hanging="900" w:hangingChars="375"/>
        <w:rPr>
          <w:rFonts w:ascii="仿宋" w:hAnsi="仿宋" w:eastAsia="仿宋" w:cs="仿宋"/>
          <w:sz w:val="24"/>
        </w:rPr>
      </w:pPr>
      <w:r>
        <w:rPr>
          <w:rFonts w:hint="eastAsia" w:ascii="仿宋" w:hAnsi="仿宋" w:eastAsia="仿宋" w:cs="仿宋"/>
          <w:sz w:val="24"/>
        </w:rPr>
        <w:t>8.4     除磋商文件中有特殊要求外，响应文件中所使用的计量单位，应采用中华人民共和国法定计量单位。</w:t>
      </w:r>
    </w:p>
    <w:p w14:paraId="0D30EFC0">
      <w:pPr>
        <w:pStyle w:val="7"/>
        <w:tabs>
          <w:tab w:val="left" w:pos="900"/>
        </w:tabs>
        <w:spacing w:before="0" w:after="0" w:line="240" w:lineRule="atLeast"/>
        <w:rPr>
          <w:rFonts w:ascii="仿宋" w:hAnsi="仿宋" w:eastAsia="仿宋" w:cs="仿宋"/>
          <w:u w:val="none"/>
        </w:rPr>
      </w:pPr>
      <w:bookmarkStart w:id="61" w:name="_Ref467306195"/>
      <w:bookmarkStart w:id="62" w:name="_Toc516367022"/>
      <w:bookmarkStart w:id="63" w:name="_Ref467306676"/>
      <w:bookmarkStart w:id="64" w:name="_Toc28670"/>
      <w:bookmarkStart w:id="65" w:name="_Toc15064"/>
      <w:bookmarkStart w:id="66" w:name="_Toc520356152"/>
      <w:bookmarkStart w:id="67" w:name="_Toc10364"/>
      <w:bookmarkStart w:id="68" w:name="_Toc28307"/>
      <w:bookmarkStart w:id="69" w:name="_Toc515647768"/>
      <w:r>
        <w:rPr>
          <w:rFonts w:hint="eastAsia" w:ascii="仿宋" w:hAnsi="仿宋" w:eastAsia="仿宋" w:cs="仿宋"/>
          <w:u w:val="none"/>
        </w:rPr>
        <w:t>9.</w:t>
      </w:r>
      <w:bookmarkEnd w:id="61"/>
      <w:bookmarkEnd w:id="62"/>
      <w:bookmarkEnd w:id="63"/>
      <w:r>
        <w:rPr>
          <w:rFonts w:hint="eastAsia" w:ascii="仿宋" w:hAnsi="仿宋" w:eastAsia="仿宋" w:cs="仿宋"/>
          <w:u w:val="none"/>
        </w:rPr>
        <w:t>响应文件构成</w:t>
      </w:r>
      <w:bookmarkEnd w:id="64"/>
      <w:bookmarkEnd w:id="65"/>
      <w:bookmarkEnd w:id="66"/>
      <w:bookmarkEnd w:id="67"/>
      <w:bookmarkEnd w:id="68"/>
      <w:bookmarkEnd w:id="69"/>
    </w:p>
    <w:p w14:paraId="2FC7664F">
      <w:pPr>
        <w:tabs>
          <w:tab w:val="left" w:pos="900"/>
          <w:tab w:val="left" w:pos="5580"/>
        </w:tabs>
        <w:spacing w:line="240" w:lineRule="atLeast"/>
        <w:ind w:left="960" w:hanging="960" w:hangingChars="400"/>
        <w:jc w:val="left"/>
        <w:rPr>
          <w:rFonts w:ascii="仿宋" w:hAnsi="仿宋" w:eastAsia="仿宋" w:cs="仿宋"/>
          <w:sz w:val="24"/>
          <w:u w:val="single"/>
        </w:rPr>
      </w:pPr>
      <w:bookmarkStart w:id="70" w:name="_Ref467052588"/>
      <w:r>
        <w:rPr>
          <w:rFonts w:hint="eastAsia" w:ascii="仿宋" w:hAnsi="仿宋" w:eastAsia="仿宋" w:cs="仿宋"/>
          <w:sz w:val="24"/>
        </w:rPr>
        <w:t xml:space="preserve">9.1      </w:t>
      </w:r>
      <w:r>
        <w:rPr>
          <w:rFonts w:hint="eastAsia" w:ascii="仿宋_GB2312" w:hAnsi="宋体" w:eastAsia="仿宋_GB2312"/>
          <w:b/>
          <w:bCs/>
          <w:color w:val="auto"/>
          <w:sz w:val="24"/>
          <w:u w:val="single"/>
          <w:lang w:eastAsia="zh-CN"/>
        </w:rPr>
        <w:t>供应商须在响应截止时间前完成在系统上递交电子响应文件。供应商的电子响应文件是经过CA证书加密后上传提交的，任何单位或个人均无法在响应截止时间(即开标时间)之前查看或篡改，不存在泄密风险。（严格按照政采云电子投标流程制作并上传电子响应文件）</w:t>
      </w:r>
    </w:p>
    <w:p w14:paraId="6A3DA506">
      <w:pPr>
        <w:spacing w:line="240" w:lineRule="atLeast"/>
        <w:ind w:left="900" w:hanging="900" w:hangingChars="375"/>
        <w:rPr>
          <w:rFonts w:ascii="仿宋" w:hAnsi="仿宋" w:eastAsia="仿宋" w:cs="仿宋"/>
          <w:sz w:val="24"/>
        </w:rPr>
      </w:pPr>
      <w:r>
        <w:rPr>
          <w:rFonts w:hint="eastAsia" w:ascii="仿宋" w:hAnsi="仿宋" w:eastAsia="仿宋" w:cs="仿宋"/>
          <w:sz w:val="24"/>
        </w:rPr>
        <w:t>9.2    上述文件应按照磋商文件规定的格式填写、签署和盖章。</w:t>
      </w:r>
      <w:bookmarkEnd w:id="70"/>
    </w:p>
    <w:p w14:paraId="5C8452B1">
      <w:pPr>
        <w:pStyle w:val="7"/>
        <w:tabs>
          <w:tab w:val="left" w:pos="900"/>
        </w:tabs>
        <w:spacing w:before="0" w:after="0" w:line="240" w:lineRule="atLeast"/>
        <w:rPr>
          <w:rFonts w:ascii="仿宋" w:hAnsi="仿宋" w:eastAsia="仿宋" w:cs="仿宋"/>
          <w:u w:val="none"/>
        </w:rPr>
      </w:pPr>
      <w:bookmarkStart w:id="71" w:name="_Toc520356153"/>
      <w:bookmarkStart w:id="72" w:name="_Toc30107"/>
      <w:bookmarkStart w:id="73" w:name="_Toc5860"/>
      <w:bookmarkStart w:id="74" w:name="_Toc4601"/>
      <w:bookmarkStart w:id="75" w:name="_Toc515647769"/>
      <w:bookmarkStart w:id="76" w:name="_Toc516367023"/>
      <w:bookmarkStart w:id="77" w:name="_Toc10379"/>
      <w:r>
        <w:rPr>
          <w:rFonts w:hint="eastAsia" w:ascii="仿宋" w:hAnsi="仿宋" w:eastAsia="仿宋" w:cs="仿宋"/>
          <w:u w:val="none"/>
        </w:rPr>
        <w:t>10.</w:t>
      </w:r>
      <w:r>
        <w:rPr>
          <w:rFonts w:hint="eastAsia" w:ascii="仿宋" w:hAnsi="仿宋" w:eastAsia="仿宋" w:cs="仿宋"/>
          <w:u w:val="none"/>
        </w:rPr>
        <w:tab/>
      </w:r>
      <w:r>
        <w:rPr>
          <w:rFonts w:hint="eastAsia" w:ascii="仿宋" w:hAnsi="仿宋" w:eastAsia="仿宋" w:cs="仿宋"/>
          <w:u w:val="none"/>
        </w:rPr>
        <w:t>证明磋商标的的合格性和符合磋商文件规定的技术文件</w:t>
      </w:r>
      <w:bookmarkEnd w:id="71"/>
      <w:bookmarkEnd w:id="72"/>
      <w:bookmarkEnd w:id="73"/>
      <w:bookmarkEnd w:id="74"/>
      <w:bookmarkEnd w:id="75"/>
      <w:bookmarkEnd w:id="76"/>
      <w:bookmarkEnd w:id="77"/>
    </w:p>
    <w:p w14:paraId="279CB44A">
      <w:pPr>
        <w:spacing w:line="240" w:lineRule="atLeast"/>
        <w:ind w:left="900" w:hanging="900" w:hangingChars="375"/>
        <w:rPr>
          <w:rFonts w:ascii="仿宋" w:hAnsi="仿宋" w:eastAsia="仿宋" w:cs="仿宋"/>
          <w:sz w:val="24"/>
        </w:rPr>
      </w:pPr>
      <w:r>
        <w:rPr>
          <w:rFonts w:hint="eastAsia" w:ascii="仿宋" w:hAnsi="仿宋" w:eastAsia="仿宋" w:cs="仿宋"/>
          <w:sz w:val="24"/>
        </w:rPr>
        <w:t>10.1</w:t>
      </w:r>
      <w:r>
        <w:rPr>
          <w:rFonts w:hint="eastAsia" w:ascii="仿宋" w:hAnsi="仿宋" w:eastAsia="仿宋" w:cs="仿宋"/>
          <w:sz w:val="24"/>
        </w:rPr>
        <w:tab/>
      </w:r>
      <w:r>
        <w:rPr>
          <w:rFonts w:hint="eastAsia" w:ascii="仿宋" w:hAnsi="仿宋" w:eastAsia="仿宋" w:cs="仿宋"/>
          <w:sz w:val="24"/>
        </w:rPr>
        <w:t>供应商应提交证明文件，证明其磋商内容符合磋商文件规定。该证明文件是响应文件的一部分。</w:t>
      </w:r>
    </w:p>
    <w:p w14:paraId="17D1315D">
      <w:pPr>
        <w:spacing w:line="240" w:lineRule="atLeast"/>
        <w:ind w:left="900" w:hanging="900" w:hangingChars="375"/>
        <w:rPr>
          <w:rFonts w:ascii="仿宋" w:hAnsi="仿宋" w:eastAsia="仿宋" w:cs="仿宋"/>
          <w:sz w:val="24"/>
        </w:rPr>
      </w:pPr>
      <w:bookmarkStart w:id="78" w:name="_Ref467306244"/>
      <w:r>
        <w:rPr>
          <w:rFonts w:hint="eastAsia" w:ascii="仿宋" w:hAnsi="仿宋" w:eastAsia="仿宋" w:cs="仿宋"/>
          <w:sz w:val="24"/>
        </w:rPr>
        <w:t>10.2</w:t>
      </w:r>
      <w:r>
        <w:rPr>
          <w:rFonts w:hint="eastAsia" w:ascii="仿宋" w:hAnsi="仿宋" w:eastAsia="仿宋" w:cs="仿宋"/>
          <w:sz w:val="24"/>
        </w:rPr>
        <w:tab/>
      </w:r>
      <w:r>
        <w:rPr>
          <w:rFonts w:hint="eastAsia" w:ascii="仿宋" w:hAnsi="仿宋" w:eastAsia="仿宋" w:cs="仿宋"/>
          <w:sz w:val="24"/>
        </w:rPr>
        <w:t>上款所述的证明文件，可以是文字资料、图纸和数据，</w:t>
      </w:r>
      <w:bookmarkEnd w:id="78"/>
      <w:r>
        <w:rPr>
          <w:rFonts w:hint="eastAsia" w:ascii="仿宋" w:hAnsi="仿宋" w:eastAsia="仿宋" w:cs="仿宋"/>
          <w:sz w:val="24"/>
        </w:rPr>
        <w:t>它包括：</w:t>
      </w:r>
    </w:p>
    <w:p w14:paraId="0D695E47">
      <w:pPr>
        <w:spacing w:line="240" w:lineRule="atLeast"/>
        <w:ind w:left="900" w:hanging="900" w:hangingChars="375"/>
        <w:rPr>
          <w:rFonts w:ascii="仿宋" w:hAnsi="仿宋" w:eastAsia="仿宋" w:cs="仿宋"/>
          <w:sz w:val="24"/>
        </w:rPr>
      </w:pPr>
      <w:r>
        <w:rPr>
          <w:rFonts w:hint="eastAsia" w:ascii="仿宋" w:hAnsi="仿宋" w:eastAsia="仿宋" w:cs="仿宋"/>
          <w:sz w:val="24"/>
        </w:rPr>
        <w:t>10.2.1</w:t>
      </w:r>
      <w:r>
        <w:rPr>
          <w:rFonts w:hint="eastAsia" w:ascii="仿宋" w:hAnsi="仿宋" w:eastAsia="仿宋" w:cs="仿宋"/>
          <w:sz w:val="24"/>
        </w:rPr>
        <w:tab/>
      </w:r>
      <w:r>
        <w:rPr>
          <w:rFonts w:hint="eastAsia" w:ascii="仿宋" w:hAnsi="仿宋" w:eastAsia="仿宋" w:cs="仿宋"/>
          <w:sz w:val="24"/>
        </w:rPr>
        <w:t>服务需求的详细说明；</w:t>
      </w:r>
    </w:p>
    <w:p w14:paraId="7F5AF6A8">
      <w:pPr>
        <w:spacing w:line="240" w:lineRule="atLeast"/>
        <w:ind w:left="900" w:hanging="900" w:hangingChars="375"/>
        <w:rPr>
          <w:rFonts w:ascii="仿宋" w:hAnsi="仿宋" w:eastAsia="仿宋" w:cs="仿宋"/>
          <w:sz w:val="24"/>
        </w:rPr>
      </w:pPr>
      <w:r>
        <w:rPr>
          <w:rFonts w:hint="eastAsia" w:ascii="仿宋" w:hAnsi="仿宋" w:eastAsia="仿宋" w:cs="仿宋"/>
          <w:sz w:val="24"/>
        </w:rPr>
        <w:t>10.2.2</w:t>
      </w:r>
      <w:r>
        <w:rPr>
          <w:rFonts w:hint="eastAsia" w:ascii="仿宋" w:hAnsi="仿宋" w:eastAsia="仿宋" w:cs="仿宋"/>
          <w:sz w:val="24"/>
        </w:rPr>
        <w:tab/>
      </w:r>
      <w:r>
        <w:rPr>
          <w:rFonts w:hint="eastAsia" w:ascii="仿宋" w:hAnsi="仿宋" w:eastAsia="仿宋" w:cs="仿宋"/>
          <w:sz w:val="24"/>
        </w:rPr>
        <w:t>服务从买方开始使用至磋商文件规定的保质期内正常、连续地使用所必须的备件和专用工具清单，包括备件和专用工具的现行价格；</w:t>
      </w:r>
    </w:p>
    <w:p w14:paraId="1F43C09C">
      <w:pPr>
        <w:spacing w:line="240" w:lineRule="atLeast"/>
        <w:ind w:left="900" w:hanging="900" w:hangingChars="375"/>
        <w:rPr>
          <w:rFonts w:ascii="仿宋" w:hAnsi="仿宋" w:eastAsia="仿宋" w:cs="仿宋"/>
          <w:sz w:val="24"/>
        </w:rPr>
      </w:pPr>
      <w:r>
        <w:rPr>
          <w:rFonts w:hint="eastAsia" w:ascii="仿宋" w:hAnsi="仿宋" w:eastAsia="仿宋" w:cs="仿宋"/>
          <w:sz w:val="24"/>
        </w:rPr>
        <w:t>10.2.3</w:t>
      </w:r>
      <w:r>
        <w:rPr>
          <w:rFonts w:hint="eastAsia" w:ascii="仿宋" w:hAnsi="仿宋" w:eastAsia="仿宋" w:cs="仿宋"/>
          <w:sz w:val="24"/>
        </w:rPr>
        <w:tab/>
      </w:r>
      <w:r>
        <w:rPr>
          <w:rFonts w:hint="eastAsia" w:ascii="仿宋" w:hAnsi="仿宋" w:eastAsia="仿宋" w:cs="仿宋"/>
          <w:sz w:val="24"/>
        </w:rPr>
        <w:t>对照磋商文件服务需求，逐条说明所提供工程和服务已对磋商文件的技术规格做出了实质性的响应，或申明与服务需求条文的偏差和例外。</w:t>
      </w:r>
    </w:p>
    <w:p w14:paraId="57284C38">
      <w:pPr>
        <w:spacing w:line="240" w:lineRule="atLeast"/>
        <w:ind w:left="900" w:hanging="900" w:hangingChars="375"/>
        <w:rPr>
          <w:rFonts w:ascii="仿宋" w:hAnsi="仿宋" w:eastAsia="仿宋" w:cs="仿宋"/>
          <w:sz w:val="24"/>
        </w:rPr>
      </w:pPr>
      <w:r>
        <w:rPr>
          <w:rFonts w:hint="eastAsia" w:ascii="仿宋" w:hAnsi="仿宋" w:eastAsia="仿宋" w:cs="仿宋"/>
          <w:sz w:val="24"/>
        </w:rPr>
        <w:t>10.3</w:t>
      </w:r>
      <w:r>
        <w:rPr>
          <w:rFonts w:hint="eastAsia" w:ascii="仿宋" w:hAnsi="仿宋" w:eastAsia="仿宋" w:cs="仿宋"/>
          <w:sz w:val="24"/>
        </w:rPr>
        <w:tab/>
      </w:r>
      <w:r>
        <w:rPr>
          <w:rFonts w:hint="eastAsia" w:ascii="仿宋" w:hAnsi="仿宋" w:eastAsia="仿宋" w:cs="仿宋"/>
          <w:sz w:val="24"/>
        </w:rPr>
        <w:t>供应商应注意采购人在采购需求中提出的要求。</w:t>
      </w:r>
    </w:p>
    <w:p w14:paraId="5A70AC0B">
      <w:pPr>
        <w:pStyle w:val="7"/>
        <w:spacing w:before="0" w:after="0" w:line="240" w:lineRule="atLeast"/>
        <w:rPr>
          <w:rFonts w:ascii="仿宋" w:hAnsi="仿宋" w:eastAsia="仿宋" w:cs="仿宋"/>
          <w:u w:val="none"/>
        </w:rPr>
      </w:pPr>
      <w:bookmarkStart w:id="79" w:name="_Toc6864"/>
      <w:bookmarkStart w:id="80" w:name="_Toc2248"/>
      <w:bookmarkStart w:id="81" w:name="_Toc23231"/>
      <w:bookmarkStart w:id="82" w:name="_Toc8012"/>
      <w:bookmarkStart w:id="83" w:name="_Toc520356155"/>
      <w:bookmarkStart w:id="84" w:name="_Toc515647770"/>
      <w:r>
        <w:rPr>
          <w:rFonts w:hint="eastAsia" w:ascii="仿宋" w:hAnsi="仿宋" w:eastAsia="仿宋" w:cs="仿宋"/>
          <w:u w:val="none"/>
        </w:rPr>
        <w:t>11.磋商报价</w:t>
      </w:r>
      <w:bookmarkEnd w:id="79"/>
      <w:bookmarkEnd w:id="80"/>
      <w:bookmarkEnd w:id="81"/>
      <w:bookmarkEnd w:id="82"/>
      <w:bookmarkEnd w:id="83"/>
      <w:bookmarkEnd w:id="84"/>
    </w:p>
    <w:p w14:paraId="141BFE52">
      <w:pPr>
        <w:spacing w:line="240" w:lineRule="atLeast"/>
        <w:ind w:left="900" w:hanging="900" w:hangingChars="375"/>
        <w:rPr>
          <w:rFonts w:ascii="仿宋" w:hAnsi="仿宋" w:eastAsia="仿宋" w:cs="仿宋"/>
          <w:sz w:val="24"/>
        </w:rPr>
      </w:pPr>
      <w:r>
        <w:rPr>
          <w:rFonts w:hint="eastAsia" w:ascii="仿宋" w:hAnsi="仿宋" w:eastAsia="仿宋" w:cs="仿宋"/>
          <w:sz w:val="24"/>
        </w:rPr>
        <w:t>11.1</w:t>
      </w:r>
      <w:r>
        <w:rPr>
          <w:rFonts w:hint="eastAsia" w:ascii="仿宋" w:hAnsi="仿宋" w:eastAsia="仿宋" w:cs="仿宋"/>
          <w:sz w:val="24"/>
        </w:rPr>
        <w:tab/>
      </w:r>
      <w:r>
        <w:rPr>
          <w:rFonts w:hint="eastAsia" w:ascii="仿宋" w:hAnsi="仿宋" w:eastAsia="仿宋" w:cs="仿宋"/>
          <w:sz w:val="24"/>
        </w:rPr>
        <w:t>所有磋商均以人民币报价。供应商的磋商报价应遵守《中华人民共和国价格法》。同时，根据《中华人民共和国政府采购法》第二条的规定，为保证公平竞争，如有服务主体部分的赠与行为，其磋商将被认定为</w:t>
      </w:r>
      <w:r>
        <w:rPr>
          <w:rFonts w:hint="eastAsia" w:ascii="仿宋" w:hAnsi="仿宋" w:eastAsia="仿宋" w:cs="仿宋"/>
          <w:b/>
          <w:bCs/>
          <w:sz w:val="24"/>
        </w:rPr>
        <w:t>磋商无效</w:t>
      </w:r>
      <w:r>
        <w:rPr>
          <w:rFonts w:hint="eastAsia" w:ascii="仿宋" w:hAnsi="仿宋" w:eastAsia="仿宋" w:cs="仿宋"/>
          <w:sz w:val="24"/>
        </w:rPr>
        <w:t>。</w:t>
      </w:r>
    </w:p>
    <w:p w14:paraId="571E1CC4">
      <w:pPr>
        <w:spacing w:line="240" w:lineRule="atLeast"/>
        <w:ind w:left="900" w:hanging="900" w:hangingChars="375"/>
        <w:rPr>
          <w:rFonts w:ascii="仿宋" w:hAnsi="仿宋" w:eastAsia="仿宋" w:cs="仿宋"/>
          <w:sz w:val="24"/>
        </w:rPr>
      </w:pPr>
      <w:r>
        <w:rPr>
          <w:rFonts w:hint="eastAsia" w:ascii="仿宋" w:hAnsi="仿宋" w:eastAsia="仿宋" w:cs="仿宋"/>
          <w:sz w:val="24"/>
        </w:rPr>
        <w:t>11.2</w:t>
      </w:r>
      <w:r>
        <w:rPr>
          <w:rFonts w:hint="eastAsia" w:ascii="仿宋" w:hAnsi="仿宋" w:eastAsia="仿宋" w:cs="仿宋"/>
          <w:sz w:val="24"/>
        </w:rPr>
        <w:tab/>
      </w:r>
      <w:r>
        <w:rPr>
          <w:rFonts w:hint="eastAsia" w:ascii="仿宋" w:hAnsi="仿宋" w:eastAsia="仿宋" w:cs="仿宋"/>
          <w:sz w:val="24"/>
        </w:rPr>
        <w:t>供应商应在磋商分项报价表上标明磋商服务内容及相关服务的单价（如适用）和总价，并由法定代表人或其授权代表签署。</w:t>
      </w:r>
    </w:p>
    <w:p w14:paraId="7B8C4DC6">
      <w:pPr>
        <w:spacing w:line="240" w:lineRule="atLeast"/>
        <w:ind w:left="900" w:hanging="900" w:hangingChars="375"/>
        <w:rPr>
          <w:rFonts w:ascii="仿宋" w:hAnsi="仿宋" w:eastAsia="仿宋" w:cs="仿宋"/>
          <w:sz w:val="24"/>
        </w:rPr>
      </w:pPr>
      <w:r>
        <w:rPr>
          <w:rFonts w:hint="eastAsia" w:ascii="仿宋" w:hAnsi="仿宋" w:eastAsia="仿宋" w:cs="仿宋"/>
          <w:sz w:val="24"/>
        </w:rPr>
        <w:t>11.3</w:t>
      </w:r>
      <w:r>
        <w:rPr>
          <w:rFonts w:hint="eastAsia" w:ascii="仿宋" w:hAnsi="仿宋" w:eastAsia="仿宋" w:cs="仿宋"/>
          <w:sz w:val="24"/>
        </w:rPr>
        <w:tab/>
      </w:r>
      <w:r>
        <w:rPr>
          <w:rFonts w:hint="eastAsia" w:ascii="仿宋" w:hAnsi="仿宋" w:eastAsia="仿宋" w:cs="仿宋"/>
          <w:sz w:val="24"/>
        </w:rPr>
        <w:t>磋商分项报价表上的价格应按下列方式填写：</w:t>
      </w:r>
    </w:p>
    <w:p w14:paraId="77CA0633">
      <w:pPr>
        <w:spacing w:line="240" w:lineRule="atLeast"/>
        <w:ind w:left="900" w:hanging="900" w:hangingChars="375"/>
        <w:rPr>
          <w:rFonts w:ascii="仿宋" w:hAnsi="仿宋" w:eastAsia="仿宋" w:cs="仿宋"/>
          <w:sz w:val="24"/>
        </w:rPr>
      </w:pPr>
      <w:r>
        <w:rPr>
          <w:rFonts w:hint="eastAsia" w:ascii="仿宋" w:hAnsi="仿宋" w:eastAsia="仿宋" w:cs="仿宋"/>
          <w:sz w:val="24"/>
        </w:rPr>
        <w:t>11.3.1  磋商服务的内容；</w:t>
      </w:r>
    </w:p>
    <w:p w14:paraId="5996DD22">
      <w:pPr>
        <w:spacing w:line="240" w:lineRule="atLeast"/>
        <w:ind w:left="900" w:hanging="900" w:hangingChars="375"/>
        <w:rPr>
          <w:rFonts w:ascii="仿宋" w:hAnsi="仿宋" w:eastAsia="仿宋" w:cs="仿宋"/>
          <w:sz w:val="24"/>
        </w:rPr>
      </w:pPr>
      <w:r>
        <w:rPr>
          <w:rFonts w:hint="eastAsia" w:ascii="仿宋" w:hAnsi="仿宋" w:eastAsia="仿宋" w:cs="仿宋"/>
          <w:sz w:val="24"/>
        </w:rPr>
        <w:t>11.4</w:t>
      </w:r>
      <w:r>
        <w:rPr>
          <w:rFonts w:hint="eastAsia" w:ascii="仿宋" w:hAnsi="仿宋" w:eastAsia="仿宋" w:cs="仿宋"/>
          <w:sz w:val="24"/>
        </w:rPr>
        <w:tab/>
      </w:r>
      <w:r>
        <w:rPr>
          <w:rFonts w:hint="eastAsia" w:ascii="仿宋" w:hAnsi="仿宋" w:eastAsia="仿宋" w:cs="仿宋"/>
          <w:sz w:val="24"/>
        </w:rPr>
        <w:t>供应商所报的各分项磋商单价在合同履行过程中是固定不变的，不得以任何理由予以变更。任何包含价格调整要求的磋商，其磋商将被认定为</w:t>
      </w:r>
      <w:r>
        <w:rPr>
          <w:rFonts w:hint="eastAsia" w:ascii="仿宋" w:hAnsi="仿宋" w:eastAsia="仿宋" w:cs="仿宋"/>
          <w:b/>
          <w:bCs/>
          <w:sz w:val="24"/>
        </w:rPr>
        <w:t>磋商无效。</w:t>
      </w:r>
    </w:p>
    <w:p w14:paraId="45A83519">
      <w:pPr>
        <w:spacing w:line="240" w:lineRule="atLeast"/>
        <w:ind w:left="900" w:hanging="900" w:hangingChars="375"/>
        <w:rPr>
          <w:rFonts w:ascii="仿宋" w:hAnsi="仿宋" w:eastAsia="仿宋" w:cs="仿宋"/>
          <w:b/>
          <w:bCs/>
          <w:sz w:val="24"/>
        </w:rPr>
      </w:pPr>
      <w:r>
        <w:rPr>
          <w:rFonts w:hint="eastAsia" w:ascii="仿宋" w:hAnsi="仿宋" w:eastAsia="仿宋" w:cs="仿宋"/>
          <w:sz w:val="24"/>
        </w:rPr>
        <w:t>11.5</w:t>
      </w:r>
      <w:r>
        <w:rPr>
          <w:rFonts w:hint="eastAsia" w:ascii="仿宋" w:hAnsi="仿宋" w:eastAsia="仿宋" w:cs="仿宋"/>
          <w:sz w:val="24"/>
        </w:rPr>
        <w:tab/>
      </w:r>
      <w:r>
        <w:rPr>
          <w:rFonts w:hint="eastAsia" w:ascii="仿宋" w:hAnsi="仿宋" w:eastAsia="仿宋" w:cs="仿宋"/>
          <w:b/>
          <w:bCs/>
          <w:sz w:val="24"/>
          <w:u w:val="single"/>
        </w:rPr>
        <w:t>竞争性磋商共有两次报价，二次报价为最终报价，磋商小组所有成员集中与单一供应商分别进行磋商，并给予所有参加磋商的供应商平等的磋商机会， 磋商小组要求所有实质性响应的供应商在规定时间内提交最后报价，最后报价是供应商响应文件的有效组成部分，经磋商确定最终采购需求和提交最后报价的供应商后，由磋商小组采用综合评分法对提交最后报价的供应商的响应文件和最后报价进行综合评分。磋商小组应当从质量和服务均能满足采购文件实质性响应要求的供应商中，按照综合评分由高到低的顺序提出成交候选人，并编写评审报告，将结果通知所有参加磋商的未成交的供应商。</w:t>
      </w:r>
    </w:p>
    <w:p w14:paraId="4A0B4BC2">
      <w:pPr>
        <w:pStyle w:val="7"/>
        <w:spacing w:before="0" w:after="0" w:line="240" w:lineRule="atLeast"/>
        <w:rPr>
          <w:rFonts w:ascii="仿宋" w:hAnsi="仿宋" w:eastAsia="仿宋" w:cs="仿宋"/>
          <w:u w:val="none"/>
        </w:rPr>
      </w:pPr>
      <w:bookmarkStart w:id="85" w:name="_Ref467306513"/>
      <w:bookmarkStart w:id="86" w:name="_Toc515647771"/>
      <w:bookmarkStart w:id="87" w:name="_Toc11514"/>
      <w:bookmarkStart w:id="88" w:name="_Toc31526"/>
      <w:bookmarkStart w:id="89" w:name="_Toc12413"/>
      <w:bookmarkStart w:id="90" w:name="_Toc520356156"/>
      <w:bookmarkStart w:id="91" w:name="_Toc17788"/>
      <w:r>
        <w:rPr>
          <w:rFonts w:hint="eastAsia" w:ascii="仿宋" w:hAnsi="仿宋" w:eastAsia="仿宋" w:cs="仿宋"/>
          <w:u w:val="none"/>
        </w:rPr>
        <w:t>12.磋商保证金</w:t>
      </w:r>
      <w:bookmarkEnd w:id="85"/>
      <w:bookmarkEnd w:id="86"/>
      <w:bookmarkEnd w:id="87"/>
      <w:bookmarkEnd w:id="88"/>
      <w:bookmarkEnd w:id="89"/>
      <w:bookmarkEnd w:id="90"/>
      <w:bookmarkEnd w:id="91"/>
    </w:p>
    <w:p w14:paraId="47A6F681">
      <w:pPr>
        <w:spacing w:line="240" w:lineRule="atLeast"/>
        <w:ind w:left="900" w:hanging="900" w:hangingChars="375"/>
        <w:rPr>
          <w:rFonts w:ascii="仿宋" w:hAnsi="仿宋" w:eastAsia="仿宋" w:cs="仿宋"/>
          <w:sz w:val="24"/>
        </w:rPr>
      </w:pPr>
      <w:bookmarkStart w:id="92" w:name="_Ref467306302"/>
      <w:r>
        <w:rPr>
          <w:rFonts w:hint="eastAsia" w:ascii="仿宋" w:hAnsi="仿宋" w:eastAsia="仿宋" w:cs="仿宋"/>
          <w:sz w:val="24"/>
        </w:rPr>
        <w:t>12.1</w:t>
      </w:r>
      <w:r>
        <w:rPr>
          <w:rFonts w:hint="eastAsia" w:ascii="仿宋" w:hAnsi="仿宋" w:eastAsia="仿宋" w:cs="仿宋"/>
          <w:sz w:val="24"/>
        </w:rPr>
        <w:tab/>
      </w:r>
      <w:r>
        <w:rPr>
          <w:rFonts w:hint="eastAsia" w:ascii="仿宋" w:hAnsi="仿宋" w:eastAsia="仿宋" w:cs="仿宋"/>
          <w:sz w:val="24"/>
        </w:rPr>
        <w:t>供应商应提交</w:t>
      </w:r>
      <w:r>
        <w:rPr>
          <w:rFonts w:hint="eastAsia" w:ascii="仿宋" w:hAnsi="仿宋" w:eastAsia="仿宋" w:cs="仿宋"/>
          <w:sz w:val="24"/>
          <w:u w:val="single"/>
        </w:rPr>
        <w:t>供应商须知资料表</w:t>
      </w:r>
      <w:r>
        <w:rPr>
          <w:rFonts w:hint="eastAsia" w:ascii="仿宋" w:hAnsi="仿宋" w:eastAsia="仿宋" w:cs="仿宋"/>
          <w:sz w:val="24"/>
        </w:rPr>
        <w:t>中规定的磋商保证金</w:t>
      </w:r>
      <w:bookmarkEnd w:id="92"/>
      <w:r>
        <w:rPr>
          <w:rFonts w:hint="eastAsia" w:ascii="仿宋" w:hAnsi="仿宋" w:eastAsia="仿宋" w:cs="仿宋"/>
          <w:sz w:val="24"/>
        </w:rPr>
        <w:t>，并作为其磋商的一部分。</w:t>
      </w:r>
    </w:p>
    <w:p w14:paraId="233B387E">
      <w:pPr>
        <w:spacing w:line="240" w:lineRule="atLeast"/>
        <w:ind w:left="900" w:hanging="900" w:hangingChars="375"/>
        <w:rPr>
          <w:rFonts w:ascii="仿宋" w:hAnsi="仿宋" w:eastAsia="仿宋" w:cs="仿宋"/>
          <w:sz w:val="24"/>
        </w:rPr>
      </w:pPr>
      <w:r>
        <w:rPr>
          <w:rFonts w:hint="eastAsia" w:ascii="仿宋" w:hAnsi="仿宋" w:eastAsia="仿宋" w:cs="仿宋"/>
          <w:sz w:val="24"/>
        </w:rPr>
        <w:t>12.2</w:t>
      </w:r>
      <w:r>
        <w:rPr>
          <w:rFonts w:hint="eastAsia" w:ascii="仿宋" w:hAnsi="仿宋" w:eastAsia="仿宋" w:cs="仿宋"/>
          <w:sz w:val="24"/>
        </w:rPr>
        <w:tab/>
      </w:r>
      <w:r>
        <w:rPr>
          <w:rFonts w:hint="eastAsia" w:ascii="仿宋" w:hAnsi="仿宋" w:eastAsia="仿宋" w:cs="仿宋"/>
          <w:sz w:val="24"/>
        </w:rPr>
        <w:t>供应商存在下列情形的，磋商保证金不予退还：</w:t>
      </w:r>
    </w:p>
    <w:p w14:paraId="3990B4FC">
      <w:pPr>
        <w:pStyle w:val="13"/>
        <w:tabs>
          <w:tab w:val="left" w:pos="2240"/>
        </w:tabs>
        <w:spacing w:line="240" w:lineRule="atLeast"/>
        <w:ind w:left="1079" w:leftChars="371" w:hanging="300" w:hangingChars="125"/>
        <w:rPr>
          <w:rFonts w:ascii="仿宋" w:hAnsi="仿宋" w:eastAsia="仿宋" w:cs="仿宋"/>
          <w:sz w:val="24"/>
        </w:rPr>
      </w:pPr>
      <w:r>
        <w:rPr>
          <w:rFonts w:hint="eastAsia" w:ascii="仿宋" w:hAnsi="仿宋" w:eastAsia="仿宋" w:cs="仿宋"/>
          <w:sz w:val="24"/>
        </w:rPr>
        <w:t>（1）在磋商有效期内，撤销磋商的；</w:t>
      </w:r>
    </w:p>
    <w:p w14:paraId="0EDB0DDA">
      <w:pPr>
        <w:pStyle w:val="13"/>
        <w:tabs>
          <w:tab w:val="left" w:pos="2240"/>
        </w:tabs>
        <w:spacing w:line="240" w:lineRule="atLeast"/>
        <w:ind w:left="1079" w:leftChars="371" w:hanging="300" w:hangingChars="125"/>
        <w:rPr>
          <w:rFonts w:ascii="仿宋" w:hAnsi="仿宋" w:eastAsia="仿宋" w:cs="仿宋"/>
          <w:sz w:val="24"/>
        </w:rPr>
      </w:pPr>
      <w:r>
        <w:rPr>
          <w:rFonts w:hint="eastAsia" w:ascii="仿宋" w:hAnsi="仿宋" w:eastAsia="仿宋" w:cs="仿宋"/>
          <w:sz w:val="24"/>
        </w:rPr>
        <w:t>（2）成交后不按本须知第30条的规定与采购人签订合同的；</w:t>
      </w:r>
    </w:p>
    <w:p w14:paraId="6177B7C0">
      <w:pPr>
        <w:pStyle w:val="13"/>
        <w:tabs>
          <w:tab w:val="left" w:pos="2240"/>
        </w:tabs>
        <w:spacing w:line="240" w:lineRule="atLeast"/>
        <w:ind w:left="1079" w:leftChars="371" w:hanging="300" w:hangingChars="125"/>
        <w:rPr>
          <w:rFonts w:ascii="仿宋" w:hAnsi="仿宋" w:eastAsia="仿宋" w:cs="仿宋"/>
          <w:sz w:val="24"/>
        </w:rPr>
      </w:pPr>
      <w:r>
        <w:rPr>
          <w:rFonts w:hint="eastAsia" w:ascii="仿宋" w:hAnsi="仿宋" w:eastAsia="仿宋" w:cs="仿宋"/>
          <w:sz w:val="24"/>
        </w:rPr>
        <w:t>（3）成交后不按本须知第31条的规定提交履约保证金的；</w:t>
      </w:r>
    </w:p>
    <w:p w14:paraId="2B683263">
      <w:pPr>
        <w:pStyle w:val="13"/>
        <w:tabs>
          <w:tab w:val="left" w:pos="2240"/>
        </w:tabs>
        <w:spacing w:line="240" w:lineRule="atLeast"/>
        <w:ind w:left="1079" w:leftChars="371" w:hanging="300" w:hangingChars="125"/>
        <w:rPr>
          <w:rFonts w:ascii="仿宋" w:hAnsi="仿宋" w:eastAsia="仿宋" w:cs="仿宋"/>
          <w:sz w:val="24"/>
        </w:rPr>
      </w:pPr>
      <w:r>
        <w:rPr>
          <w:rFonts w:hint="eastAsia" w:ascii="仿宋" w:hAnsi="仿宋" w:eastAsia="仿宋" w:cs="仿宋"/>
          <w:sz w:val="24"/>
        </w:rPr>
        <w:t>（4）成交后不按本须知第32条的规定缴纳成交服务费的；</w:t>
      </w:r>
    </w:p>
    <w:p w14:paraId="6EA4A423">
      <w:pPr>
        <w:pStyle w:val="13"/>
        <w:tabs>
          <w:tab w:val="left" w:pos="2240"/>
        </w:tabs>
        <w:spacing w:line="240" w:lineRule="atLeast"/>
        <w:ind w:left="1079" w:leftChars="371" w:hanging="300" w:hangingChars="125"/>
        <w:rPr>
          <w:rFonts w:ascii="仿宋" w:hAnsi="仿宋" w:eastAsia="仿宋" w:cs="仿宋"/>
          <w:sz w:val="24"/>
        </w:rPr>
      </w:pPr>
      <w:r>
        <w:rPr>
          <w:rFonts w:hint="eastAsia" w:ascii="仿宋" w:hAnsi="仿宋" w:eastAsia="仿宋" w:cs="仿宋"/>
          <w:sz w:val="24"/>
        </w:rPr>
        <w:t>（5）存在其他违法违规行为的。</w:t>
      </w:r>
    </w:p>
    <w:p w14:paraId="4132EF4E">
      <w:pPr>
        <w:spacing w:line="240" w:lineRule="atLeast"/>
        <w:ind w:left="900" w:hanging="900" w:hangingChars="375"/>
        <w:rPr>
          <w:rFonts w:ascii="仿宋" w:hAnsi="仿宋" w:eastAsia="仿宋" w:cs="仿宋"/>
          <w:sz w:val="24"/>
        </w:rPr>
      </w:pPr>
      <w:bookmarkStart w:id="93" w:name="_Ref467306336"/>
      <w:r>
        <w:rPr>
          <w:rFonts w:hint="eastAsia" w:ascii="仿宋" w:hAnsi="仿宋" w:eastAsia="仿宋" w:cs="仿宋"/>
          <w:sz w:val="24"/>
        </w:rPr>
        <w:t>12.3</w:t>
      </w:r>
      <w:r>
        <w:rPr>
          <w:rFonts w:hint="eastAsia" w:ascii="仿宋" w:hAnsi="仿宋" w:eastAsia="仿宋" w:cs="仿宋"/>
          <w:sz w:val="24"/>
        </w:rPr>
        <w:tab/>
      </w:r>
      <w:bookmarkEnd w:id="93"/>
      <w:r>
        <w:rPr>
          <w:rFonts w:hint="eastAsia" w:ascii="仿宋" w:hAnsi="仿宋" w:eastAsia="仿宋" w:cs="仿宋"/>
          <w:sz w:val="24"/>
        </w:rPr>
        <w:t>政府采购信用担保试点范围内的项目，接受符合财政部门规定的政府采购磋商担保函原件。</w:t>
      </w:r>
    </w:p>
    <w:p w14:paraId="48CFF8E7">
      <w:pPr>
        <w:spacing w:line="240" w:lineRule="atLeast"/>
        <w:ind w:left="900" w:hanging="900" w:hangingChars="375"/>
        <w:rPr>
          <w:rFonts w:ascii="仿宋" w:hAnsi="仿宋" w:eastAsia="仿宋" w:cs="仿宋"/>
          <w:sz w:val="24"/>
        </w:rPr>
      </w:pPr>
      <w:r>
        <w:rPr>
          <w:rFonts w:hint="eastAsia" w:ascii="仿宋" w:hAnsi="仿宋" w:eastAsia="仿宋" w:cs="仿宋"/>
          <w:sz w:val="24"/>
        </w:rPr>
        <w:t>12.4</w:t>
      </w:r>
      <w:r>
        <w:rPr>
          <w:rFonts w:hint="eastAsia" w:ascii="仿宋" w:hAnsi="仿宋" w:eastAsia="仿宋" w:cs="仿宋"/>
          <w:sz w:val="24"/>
        </w:rPr>
        <w:tab/>
      </w:r>
      <w:r>
        <w:rPr>
          <w:rFonts w:hint="eastAsia" w:ascii="仿宋" w:hAnsi="仿宋" w:eastAsia="仿宋" w:cs="仿宋"/>
          <w:sz w:val="24"/>
        </w:rPr>
        <w:t>供应商未按本须知第12.1和12.3条规定提交磋商保证金的，其磋商将被认定为</w:t>
      </w:r>
      <w:r>
        <w:rPr>
          <w:rFonts w:hint="eastAsia" w:ascii="仿宋" w:hAnsi="仿宋" w:eastAsia="仿宋" w:cs="仿宋"/>
          <w:b/>
          <w:bCs/>
          <w:sz w:val="24"/>
        </w:rPr>
        <w:t>磋商无效</w:t>
      </w:r>
      <w:r>
        <w:rPr>
          <w:rFonts w:hint="eastAsia" w:ascii="仿宋" w:hAnsi="仿宋" w:eastAsia="仿宋" w:cs="仿宋"/>
          <w:sz w:val="24"/>
        </w:rPr>
        <w:t>。</w:t>
      </w:r>
    </w:p>
    <w:p w14:paraId="188A5CC5">
      <w:pPr>
        <w:spacing w:line="240" w:lineRule="atLeast"/>
        <w:rPr>
          <w:rFonts w:ascii="仿宋" w:hAnsi="仿宋" w:eastAsia="仿宋" w:cs="仿宋"/>
          <w:sz w:val="24"/>
        </w:rPr>
      </w:pPr>
      <w:r>
        <w:rPr>
          <w:rFonts w:hint="eastAsia" w:ascii="仿宋" w:hAnsi="仿宋" w:eastAsia="仿宋" w:cs="仿宋"/>
          <w:sz w:val="24"/>
        </w:rPr>
        <w:t>12.4.1  采用电汇形式的，一般可以实时入账。</w:t>
      </w:r>
    </w:p>
    <w:p w14:paraId="184C5F52">
      <w:pPr>
        <w:spacing w:line="240" w:lineRule="atLeast"/>
        <w:ind w:left="960" w:hanging="960" w:hangingChars="400"/>
        <w:jc w:val="left"/>
        <w:rPr>
          <w:rFonts w:ascii="仿宋" w:hAnsi="仿宋" w:eastAsia="仿宋" w:cs="仿宋"/>
          <w:sz w:val="24"/>
        </w:rPr>
      </w:pPr>
      <w:r>
        <w:rPr>
          <w:rFonts w:hint="eastAsia" w:ascii="仿宋" w:hAnsi="仿宋" w:eastAsia="仿宋" w:cs="仿宋"/>
          <w:sz w:val="24"/>
        </w:rPr>
        <w:t>12.4.2  采用支票形式的，供应商则应充分考虑支票入账时间，以确保磋商保证金能按时进入指定账户。根据银行信息交换和付款时间，支票从递交至实际入账一般需要4-5个工作日。如供应商未及时提交支票或支票不符合银行委托收款要求（如污损、折叠、胶装等），导致磋商保证金不能按时进入指定账户的，将按照磋商文件的第22.2条相关规定处理。</w:t>
      </w:r>
    </w:p>
    <w:p w14:paraId="193D5302">
      <w:pPr>
        <w:spacing w:line="240" w:lineRule="atLeast"/>
        <w:ind w:left="900" w:hanging="900" w:hangingChars="375"/>
        <w:rPr>
          <w:rFonts w:ascii="仿宋" w:hAnsi="仿宋" w:eastAsia="仿宋" w:cs="仿宋"/>
          <w:sz w:val="24"/>
        </w:rPr>
      </w:pPr>
      <w:r>
        <w:rPr>
          <w:rFonts w:hint="eastAsia" w:ascii="仿宋" w:hAnsi="仿宋" w:eastAsia="仿宋" w:cs="仿宋"/>
          <w:sz w:val="24"/>
        </w:rPr>
        <w:t>12.5   联合体磋商的，可以由联合体中的一方或者共同提交磋商保证金。以一方名义提交磋商保证金的，对联合体各方均具有约束力。</w:t>
      </w:r>
    </w:p>
    <w:p w14:paraId="641F74A1">
      <w:pPr>
        <w:spacing w:line="240" w:lineRule="atLeast"/>
        <w:ind w:left="900" w:hanging="900" w:hangingChars="375"/>
        <w:rPr>
          <w:rFonts w:ascii="仿宋" w:hAnsi="仿宋" w:eastAsia="仿宋" w:cs="仿宋"/>
          <w:sz w:val="24"/>
        </w:rPr>
      </w:pPr>
      <w:r>
        <w:rPr>
          <w:rFonts w:hint="eastAsia" w:ascii="仿宋" w:hAnsi="仿宋" w:eastAsia="仿宋" w:cs="仿宋"/>
          <w:sz w:val="24"/>
        </w:rPr>
        <w:t>12.6</w:t>
      </w:r>
      <w:r>
        <w:rPr>
          <w:rFonts w:hint="eastAsia" w:ascii="仿宋" w:hAnsi="仿宋" w:eastAsia="仿宋" w:cs="仿宋"/>
          <w:sz w:val="24"/>
        </w:rPr>
        <w:tab/>
      </w:r>
      <w:r>
        <w:rPr>
          <w:rFonts w:hint="eastAsia" w:ascii="仿宋" w:hAnsi="仿宋" w:eastAsia="仿宋" w:cs="仿宋"/>
          <w:sz w:val="24"/>
        </w:rPr>
        <w:t>磋商保证金的退还</w:t>
      </w:r>
    </w:p>
    <w:p w14:paraId="558A5DEF">
      <w:pPr>
        <w:spacing w:line="240" w:lineRule="atLeast"/>
        <w:ind w:left="900" w:hanging="900" w:hangingChars="375"/>
        <w:rPr>
          <w:rFonts w:ascii="仿宋" w:hAnsi="仿宋" w:eastAsia="仿宋" w:cs="仿宋"/>
          <w:sz w:val="24"/>
        </w:rPr>
      </w:pPr>
      <w:r>
        <w:rPr>
          <w:rFonts w:hint="eastAsia" w:ascii="仿宋" w:hAnsi="仿宋" w:eastAsia="仿宋" w:cs="仿宋"/>
          <w:sz w:val="24"/>
        </w:rPr>
        <w:t>12.6.1  成交人应在与采购人签订合同之日起5个工作日内，及时联系保证金收受机构办理磋商保证金无息退还手续。</w:t>
      </w:r>
    </w:p>
    <w:p w14:paraId="7C1B0B8A">
      <w:pPr>
        <w:spacing w:line="240" w:lineRule="atLeast"/>
        <w:ind w:left="960" w:hanging="960" w:hangingChars="400"/>
        <w:rPr>
          <w:rFonts w:ascii="仿宋" w:hAnsi="仿宋" w:eastAsia="仿宋" w:cs="仿宋"/>
          <w:sz w:val="24"/>
        </w:rPr>
      </w:pPr>
      <w:r>
        <w:rPr>
          <w:rFonts w:hint="eastAsia" w:ascii="仿宋" w:hAnsi="仿宋" w:eastAsia="仿宋" w:cs="仿宋"/>
          <w:sz w:val="24"/>
        </w:rPr>
        <w:t>12.6.2  未成交供应商的磋商保证金将在成交通知书发出之日暨成交结果公告公布之日起5个工作日内无息退还。供应商应及时联系保证金收受机构办理退还磋商保证金手续。</w:t>
      </w:r>
    </w:p>
    <w:p w14:paraId="290E8F44">
      <w:pPr>
        <w:spacing w:line="240" w:lineRule="atLeast"/>
        <w:rPr>
          <w:rFonts w:ascii="仿宋" w:hAnsi="仿宋" w:eastAsia="仿宋" w:cs="仿宋"/>
          <w:sz w:val="24"/>
        </w:rPr>
      </w:pPr>
      <w:r>
        <w:rPr>
          <w:rFonts w:hint="eastAsia" w:ascii="仿宋" w:hAnsi="仿宋" w:eastAsia="仿宋" w:cs="仿宋"/>
          <w:sz w:val="24"/>
        </w:rPr>
        <w:t>12.6.3  政府采购磋商担保函不予退回。</w:t>
      </w:r>
    </w:p>
    <w:p w14:paraId="3AA5992F">
      <w:pPr>
        <w:spacing w:line="240" w:lineRule="atLeast"/>
        <w:ind w:left="960" w:hanging="960" w:hangingChars="400"/>
        <w:rPr>
          <w:rFonts w:ascii="仿宋" w:hAnsi="仿宋" w:eastAsia="仿宋" w:cs="仿宋"/>
          <w:sz w:val="24"/>
        </w:rPr>
      </w:pPr>
      <w:r>
        <w:rPr>
          <w:rFonts w:hint="eastAsia" w:ascii="仿宋" w:hAnsi="仿宋" w:eastAsia="仿宋" w:cs="仿宋"/>
          <w:sz w:val="24"/>
        </w:rPr>
        <w:t>12.7    因供应商自身原因导致无法及时退还的，采购人或采购代理机构将不承担相应责任。</w:t>
      </w:r>
    </w:p>
    <w:p w14:paraId="31DB71B4">
      <w:pPr>
        <w:pStyle w:val="7"/>
        <w:spacing w:before="0" w:after="0" w:line="240" w:lineRule="atLeast"/>
        <w:rPr>
          <w:rFonts w:ascii="仿宋" w:hAnsi="仿宋" w:eastAsia="仿宋" w:cs="仿宋"/>
          <w:u w:val="none"/>
        </w:rPr>
      </w:pPr>
      <w:bookmarkStart w:id="94" w:name="_Toc520356157"/>
      <w:bookmarkStart w:id="95" w:name="_Toc32569"/>
      <w:bookmarkStart w:id="96" w:name="_Toc23590"/>
      <w:bookmarkStart w:id="97" w:name="_Toc15759"/>
      <w:bookmarkStart w:id="98" w:name="_Toc21509"/>
      <w:bookmarkStart w:id="99" w:name="_Toc515647772"/>
      <w:r>
        <w:rPr>
          <w:rFonts w:hint="eastAsia" w:ascii="仿宋" w:hAnsi="仿宋" w:eastAsia="仿宋" w:cs="仿宋"/>
          <w:u w:val="none"/>
        </w:rPr>
        <w:t>13.磋商有效期</w:t>
      </w:r>
      <w:bookmarkEnd w:id="94"/>
      <w:bookmarkEnd w:id="95"/>
      <w:bookmarkEnd w:id="96"/>
      <w:bookmarkEnd w:id="97"/>
      <w:bookmarkEnd w:id="98"/>
      <w:bookmarkEnd w:id="99"/>
    </w:p>
    <w:p w14:paraId="7155E51E">
      <w:pPr>
        <w:spacing w:line="240" w:lineRule="atLeast"/>
        <w:ind w:left="900" w:hanging="900" w:hangingChars="375"/>
        <w:rPr>
          <w:rFonts w:ascii="仿宋" w:hAnsi="仿宋" w:eastAsia="仿宋" w:cs="仿宋"/>
          <w:sz w:val="24"/>
        </w:rPr>
      </w:pPr>
      <w:r>
        <w:rPr>
          <w:rFonts w:hint="eastAsia" w:ascii="仿宋" w:hAnsi="仿宋" w:eastAsia="仿宋" w:cs="仿宋"/>
          <w:sz w:val="24"/>
        </w:rPr>
        <w:t>13.1</w:t>
      </w:r>
      <w:r>
        <w:rPr>
          <w:rFonts w:hint="eastAsia" w:ascii="仿宋" w:hAnsi="仿宋" w:eastAsia="仿宋" w:cs="仿宋"/>
          <w:sz w:val="24"/>
        </w:rPr>
        <w:tab/>
      </w:r>
      <w:r>
        <w:rPr>
          <w:rFonts w:hint="eastAsia" w:ascii="仿宋" w:hAnsi="仿宋" w:eastAsia="仿宋" w:cs="仿宋"/>
          <w:sz w:val="24"/>
        </w:rPr>
        <w:t>磋商应在</w:t>
      </w:r>
      <w:r>
        <w:rPr>
          <w:rFonts w:hint="eastAsia" w:ascii="仿宋" w:hAnsi="仿宋" w:eastAsia="仿宋" w:cs="仿宋"/>
          <w:sz w:val="24"/>
          <w:u w:val="single"/>
        </w:rPr>
        <w:t>供应商须知资料表</w:t>
      </w:r>
      <w:r>
        <w:rPr>
          <w:rFonts w:hint="eastAsia" w:ascii="仿宋" w:hAnsi="仿宋" w:eastAsia="仿宋" w:cs="仿宋"/>
          <w:sz w:val="24"/>
        </w:rPr>
        <w:t>中规定时间内保持有效。磋商有效期不满足要求的磋商，其磋商将被认定为</w:t>
      </w:r>
      <w:r>
        <w:rPr>
          <w:rFonts w:hint="eastAsia" w:ascii="仿宋" w:hAnsi="仿宋" w:eastAsia="仿宋" w:cs="仿宋"/>
          <w:b/>
          <w:bCs/>
          <w:sz w:val="24"/>
        </w:rPr>
        <w:t>磋商无效</w:t>
      </w:r>
      <w:r>
        <w:rPr>
          <w:rFonts w:hint="eastAsia" w:ascii="仿宋" w:hAnsi="仿宋" w:eastAsia="仿宋" w:cs="仿宋"/>
          <w:sz w:val="24"/>
        </w:rPr>
        <w:t>。</w:t>
      </w:r>
    </w:p>
    <w:p w14:paraId="697961AF">
      <w:pPr>
        <w:spacing w:line="240" w:lineRule="atLeast"/>
        <w:ind w:left="900" w:hanging="900" w:hangingChars="375"/>
        <w:rPr>
          <w:rFonts w:ascii="仿宋" w:hAnsi="仿宋" w:eastAsia="仿宋" w:cs="仿宋"/>
          <w:sz w:val="24"/>
        </w:rPr>
      </w:pPr>
      <w:r>
        <w:rPr>
          <w:rFonts w:hint="eastAsia" w:ascii="仿宋" w:hAnsi="仿宋" w:eastAsia="仿宋" w:cs="仿宋"/>
          <w:sz w:val="24"/>
        </w:rPr>
        <w:t>13.2</w:t>
      </w:r>
      <w:r>
        <w:rPr>
          <w:rFonts w:hint="eastAsia" w:ascii="仿宋" w:hAnsi="仿宋" w:eastAsia="仿宋" w:cs="仿宋"/>
          <w:sz w:val="24"/>
        </w:rPr>
        <w:tab/>
      </w:r>
      <w:r>
        <w:rPr>
          <w:rFonts w:hint="eastAsia" w:ascii="仿宋" w:hAnsi="仿宋" w:eastAsia="仿宋" w:cs="仿宋"/>
          <w:sz w:val="24"/>
        </w:rPr>
        <w:t>为保证有充分时间签订合同，采购人或采购代理机构可根据实际情况，在原磋商有效期截止之前，要求供应商延长响应文件的有效期。接受该要求的供应商将不会被要求和允许修正其磋商，且本须知中有关磋商保证金的要求须在延长的有效期内继续有效。供应商可以拒绝延长磋商有效期的要求，其磋商保证金将及时无息退还。上述要求和答复都应以书面形式提交。</w:t>
      </w:r>
    </w:p>
    <w:p w14:paraId="23DB141D">
      <w:pPr>
        <w:pStyle w:val="7"/>
        <w:spacing w:before="0" w:after="0" w:line="240" w:lineRule="atLeast"/>
        <w:rPr>
          <w:rFonts w:hint="eastAsia" w:ascii="仿宋" w:hAnsi="仿宋" w:eastAsia="仿宋" w:cs="仿宋"/>
          <w:color w:val="auto"/>
          <w:highlight w:val="none"/>
          <w:u w:val="none"/>
        </w:rPr>
      </w:pPr>
      <w:bookmarkStart w:id="100" w:name="_Toc29069"/>
      <w:r>
        <w:rPr>
          <w:rFonts w:hint="eastAsia" w:ascii="仿宋" w:hAnsi="仿宋" w:eastAsia="仿宋" w:cs="仿宋"/>
          <w:color w:val="auto"/>
          <w:highlight w:val="none"/>
          <w:u w:val="none"/>
        </w:rPr>
        <w:t>14.投标文件的签署及规定</w:t>
      </w:r>
      <w:bookmarkEnd w:id="100"/>
    </w:p>
    <w:p w14:paraId="30ECC3B8">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14.1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投标人应按投标人须知资料表中的规定，准备和上传投标文件资格证明文件、商务和技术文件加密电子投标文件。</w:t>
      </w:r>
    </w:p>
    <w:p w14:paraId="5771EB08">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14.2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投标文件需使用CA加密设备通过政采云电子投标客户端制作投标文件，并由投标人的法定代表人或经其正式委托代理人按招标文件规定在投标文件上电子签章。委托代理人须持有书面的“法定代表人授权委托书”（投标文件格式二），并将其附在投标文件中。</w:t>
      </w:r>
    </w:p>
    <w:p w14:paraId="1AC799CA">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14.3    开标完成后，如采购人需要提供纸质版投标文件，投标人应按照招标人要求提供相应份数的纸质投标文件，纸质版投标文件应与电子版投标文件一致，纸质投标文件采用双面打印、不可拆装的胶订方式装订。</w:t>
      </w:r>
    </w:p>
    <w:p w14:paraId="280DFF71">
      <w:pPr>
        <w:spacing w:before="0" w:line="240" w:lineRule="atLeast"/>
        <w:ind w:left="1080" w:leftChars="257" w:hanging="540"/>
        <w:rPr>
          <w:rFonts w:hint="eastAsia" w:ascii="仿宋" w:hAnsi="仿宋" w:eastAsia="仿宋" w:cs="仿宋"/>
          <w:sz w:val="24"/>
        </w:rPr>
      </w:pPr>
      <w:bookmarkStart w:id="101" w:name="_Toc216582808"/>
      <w:bookmarkStart w:id="102" w:name="_Toc16865"/>
      <w:bookmarkStart w:id="103" w:name="_Toc8711"/>
      <w:bookmarkStart w:id="104" w:name="_Toc515647774"/>
      <w:bookmarkStart w:id="105" w:name="_Toc11179"/>
      <w:bookmarkStart w:id="106" w:name="_Toc10257"/>
      <w:bookmarkStart w:id="107" w:name="_Toc520356159"/>
      <w:r>
        <w:rPr>
          <w:rFonts w:hint="eastAsia" w:ascii="仿宋" w:hAnsi="仿宋" w:eastAsia="仿宋" w:cs="仿宋"/>
          <w:sz w:val="24"/>
        </w:rPr>
        <w:br w:type="page"/>
      </w:r>
    </w:p>
    <w:p w14:paraId="1568CE43">
      <w:pPr>
        <w:pStyle w:val="6"/>
        <w:spacing w:before="0" w:line="240" w:lineRule="atLeast"/>
        <w:ind w:left="0" w:leftChars="0" w:firstLine="0"/>
        <w:rPr>
          <w:rFonts w:hint="eastAsia" w:ascii="仿宋" w:hAnsi="仿宋" w:eastAsia="仿宋" w:cs="仿宋"/>
          <w:color w:val="auto"/>
          <w:sz w:val="24"/>
          <w:highlight w:val="none"/>
        </w:rPr>
      </w:pPr>
      <w:r>
        <w:rPr>
          <w:rFonts w:hint="eastAsia" w:ascii="仿宋" w:hAnsi="仿宋" w:eastAsia="仿宋" w:cs="仿宋"/>
          <w:sz w:val="24"/>
        </w:rPr>
        <w:t xml:space="preserve">四   </w:t>
      </w:r>
      <w:r>
        <w:rPr>
          <w:rFonts w:hint="eastAsia" w:ascii="仿宋" w:hAnsi="仿宋" w:eastAsia="仿宋" w:cs="仿宋"/>
          <w:color w:val="auto"/>
          <w:sz w:val="24"/>
          <w:highlight w:val="none"/>
        </w:rPr>
        <w:t>投标文件的递交</w:t>
      </w:r>
    </w:p>
    <w:p w14:paraId="66D74807">
      <w:pPr>
        <w:pStyle w:val="9"/>
        <w:rPr>
          <w:rFonts w:hint="eastAsia" w:ascii="仿宋" w:hAnsi="仿宋" w:eastAsia="仿宋" w:cs="仿宋"/>
          <w:color w:val="auto"/>
          <w:highlight w:val="none"/>
        </w:rPr>
      </w:pPr>
    </w:p>
    <w:p w14:paraId="63EEB293">
      <w:pPr>
        <w:pStyle w:val="7"/>
        <w:spacing w:before="0" w:after="0" w:line="240" w:lineRule="atLeast"/>
        <w:rPr>
          <w:rFonts w:hint="eastAsia" w:ascii="仿宋" w:hAnsi="仿宋" w:eastAsia="仿宋" w:cs="仿宋"/>
          <w:color w:val="auto"/>
          <w:highlight w:val="none"/>
          <w:u w:val="none"/>
        </w:rPr>
      </w:pPr>
      <w:bookmarkStart w:id="108" w:name="_Toc4552"/>
      <w:r>
        <w:rPr>
          <w:rFonts w:hint="eastAsia" w:ascii="仿宋" w:hAnsi="仿宋" w:eastAsia="仿宋" w:cs="仿宋"/>
          <w:color w:val="auto"/>
          <w:highlight w:val="none"/>
          <w:u w:val="none"/>
        </w:rPr>
        <w:t>15.投标文件的密封和标记</w:t>
      </w:r>
      <w:bookmarkEnd w:id="108"/>
    </w:p>
    <w:p w14:paraId="5B916211">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15.1   </w:t>
      </w:r>
      <w:bookmarkStart w:id="109" w:name="_Toc15490"/>
      <w:r>
        <w:rPr>
          <w:rFonts w:hint="eastAsia" w:ascii="仿宋_GB2312" w:hAnsi="宋体" w:eastAsia="仿宋_GB2312"/>
          <w:b/>
          <w:bCs/>
          <w:color w:val="auto"/>
          <w:sz w:val="24"/>
        </w:rPr>
        <w:t xml:space="preserve"> </w:t>
      </w:r>
      <w:r>
        <w:rPr>
          <w:rFonts w:hint="eastAsia" w:ascii="仿宋_GB2312" w:hAnsi="宋体" w:eastAsia="仿宋_GB2312"/>
          <w:b/>
          <w:bCs/>
          <w:color w:val="auto"/>
          <w:sz w:val="24"/>
          <w:u w:val="single"/>
        </w:rPr>
        <w:t>为方便</w:t>
      </w:r>
      <w:r>
        <w:rPr>
          <w:rFonts w:hint="eastAsia" w:ascii="仿宋_GB2312" w:hAnsi="宋体" w:eastAsia="仿宋_GB2312"/>
          <w:b/>
          <w:bCs/>
          <w:color w:val="auto"/>
          <w:sz w:val="24"/>
          <w:u w:val="single"/>
          <w:lang w:val="en-US" w:eastAsia="zh-CN"/>
        </w:rPr>
        <w:t>评审</w:t>
      </w:r>
      <w:r>
        <w:rPr>
          <w:rFonts w:hint="eastAsia" w:ascii="仿宋_GB2312" w:hAnsi="宋体" w:eastAsia="仿宋_GB2312"/>
          <w:b/>
          <w:bCs/>
          <w:color w:val="auto"/>
          <w:sz w:val="24"/>
          <w:u w:val="single"/>
        </w:rPr>
        <w:t>及进行资格审查，</w:t>
      </w:r>
      <w:r>
        <w:rPr>
          <w:rFonts w:hint="eastAsia" w:ascii="仿宋_GB2312" w:hAnsi="宋体" w:eastAsia="仿宋_GB2312"/>
          <w:b/>
          <w:bCs/>
          <w:color w:val="auto"/>
          <w:sz w:val="24"/>
          <w:u w:val="single"/>
          <w:lang w:val="en-US" w:eastAsia="zh-CN"/>
        </w:rPr>
        <w:t>供应商须在响应截止时间前完成在系统上递交电子响应文件。供应商的电子响应文件是经过CA证书加密后上传提交的，任何单位或个人均无法在响应截止时间(即开标时间)之前查看或篡改，不存在泄密风险。（严格按照政采云电子投标流程制作并上传电子响应文件）</w:t>
      </w:r>
      <w:r>
        <w:rPr>
          <w:rFonts w:hint="eastAsia" w:ascii="仿宋_GB2312" w:hAnsi="宋体" w:eastAsia="仿宋_GB2312"/>
          <w:b/>
          <w:bCs/>
          <w:color w:val="auto"/>
          <w:sz w:val="24"/>
        </w:rPr>
        <w:t>。</w:t>
      </w:r>
    </w:p>
    <w:p w14:paraId="520017DB">
      <w:pPr>
        <w:pStyle w:val="7"/>
        <w:spacing w:before="0" w:after="0" w:line="240" w:lineRule="atLeast"/>
        <w:rPr>
          <w:rFonts w:hint="eastAsia" w:ascii="仿宋" w:hAnsi="仿宋" w:eastAsia="仿宋" w:cs="仿宋"/>
          <w:color w:val="auto"/>
          <w:highlight w:val="none"/>
          <w:u w:val="none"/>
        </w:rPr>
      </w:pPr>
      <w:r>
        <w:rPr>
          <w:rFonts w:hint="eastAsia" w:ascii="仿宋" w:hAnsi="仿宋" w:eastAsia="仿宋" w:cs="仿宋"/>
          <w:color w:val="auto"/>
          <w:highlight w:val="none"/>
          <w:u w:val="none"/>
        </w:rPr>
        <w:t>16.投标截止</w:t>
      </w:r>
      <w:bookmarkEnd w:id="109"/>
    </w:p>
    <w:p w14:paraId="58DEB87D">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16.1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投标人应在</w:t>
      </w:r>
      <w:r>
        <w:rPr>
          <w:rFonts w:hint="eastAsia" w:ascii="仿宋" w:hAnsi="仿宋" w:eastAsia="仿宋" w:cs="仿宋"/>
          <w:color w:val="auto"/>
          <w:sz w:val="24"/>
          <w:highlight w:val="none"/>
          <w:u w:val="single"/>
        </w:rPr>
        <w:t>投标人须知资料表中</w:t>
      </w:r>
      <w:r>
        <w:rPr>
          <w:rFonts w:hint="eastAsia" w:ascii="仿宋" w:hAnsi="仿宋" w:eastAsia="仿宋" w:cs="仿宋"/>
          <w:color w:val="auto"/>
          <w:sz w:val="24"/>
          <w:highlight w:val="none"/>
        </w:rPr>
        <w:t>规定的截止时间前，将投标文件上传至新疆维吾尔自治区政府采购网。</w:t>
      </w:r>
    </w:p>
    <w:p w14:paraId="4D6FA8D9">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16.2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采购人和采购代理机构有权按本须知的规定，延迟投标截止时间。在此情况下，采购人、采购代理机构和投标人受投标截止时间制约的所有权利和义务均应延长至新的截止时间。</w:t>
      </w:r>
    </w:p>
    <w:p w14:paraId="6FE8A37E">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16.3</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采购人和采购代理机构将拒绝接收在投标截止时间后送达的投标文件。</w:t>
      </w:r>
    </w:p>
    <w:bookmarkEnd w:id="101"/>
    <w:bookmarkEnd w:id="102"/>
    <w:bookmarkEnd w:id="103"/>
    <w:bookmarkEnd w:id="104"/>
    <w:bookmarkEnd w:id="105"/>
    <w:bookmarkEnd w:id="106"/>
    <w:bookmarkEnd w:id="107"/>
    <w:p w14:paraId="08D11114">
      <w:pPr>
        <w:pStyle w:val="7"/>
        <w:spacing w:before="0" w:after="0" w:line="240" w:lineRule="auto"/>
        <w:rPr>
          <w:rFonts w:hint="eastAsia" w:ascii="仿宋" w:hAnsi="仿宋" w:eastAsia="仿宋" w:cs="仿宋"/>
          <w:color w:val="auto"/>
          <w:highlight w:val="none"/>
          <w:u w:val="none"/>
        </w:rPr>
      </w:pPr>
      <w:bookmarkStart w:id="110" w:name="_Toc3653"/>
      <w:bookmarkStart w:id="111" w:name="_Toc520356162"/>
      <w:bookmarkStart w:id="112" w:name="_Toc29943"/>
      <w:bookmarkStart w:id="113" w:name="_Toc515647777"/>
      <w:bookmarkStart w:id="114" w:name="_Toc18537"/>
      <w:bookmarkStart w:id="115" w:name="_Toc24275"/>
      <w:r>
        <w:rPr>
          <w:rFonts w:hint="eastAsia" w:ascii="仿宋" w:hAnsi="仿宋" w:eastAsia="仿宋" w:cs="仿宋"/>
          <w:color w:val="auto"/>
          <w:highlight w:val="none"/>
          <w:u w:val="none"/>
        </w:rPr>
        <w:t>17.响应文件的接收、修改与撤回</w:t>
      </w:r>
      <w:bookmarkEnd w:id="110"/>
      <w:bookmarkEnd w:id="111"/>
      <w:bookmarkEnd w:id="112"/>
      <w:bookmarkEnd w:id="113"/>
      <w:bookmarkEnd w:id="114"/>
      <w:bookmarkEnd w:id="115"/>
    </w:p>
    <w:p w14:paraId="365C9F0B">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17.1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在投标截止时间后投标人将无法上传投标文件。</w:t>
      </w:r>
    </w:p>
    <w:p w14:paraId="7FF13F56">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17.2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上传投标文件以后，在投标截止时间前投标人可随时进行修改或撤回投标文件。</w:t>
      </w:r>
    </w:p>
    <w:p w14:paraId="37665B23">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17.3</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在投标截止时间之后，采购人和采购代理机构不接受投标人主动对其投标文件做任何修改。</w:t>
      </w:r>
    </w:p>
    <w:p w14:paraId="7D144129">
      <w:pPr>
        <w:spacing w:line="240" w:lineRule="atLeast"/>
        <w:ind w:left="900" w:hanging="900" w:hangingChars="375"/>
        <w:rPr>
          <w:rFonts w:hint="eastAsia" w:ascii="仿宋" w:hAnsi="仿宋" w:eastAsia="仿宋" w:cs="仿宋"/>
          <w:color w:val="auto"/>
          <w:sz w:val="24"/>
          <w:highlight w:val="none"/>
        </w:rPr>
      </w:pPr>
      <w:r>
        <w:rPr>
          <w:rFonts w:hint="eastAsia" w:ascii="仿宋" w:hAnsi="仿宋" w:eastAsia="仿宋" w:cs="仿宋"/>
          <w:color w:val="auto"/>
          <w:sz w:val="24"/>
          <w:highlight w:val="none"/>
        </w:rPr>
        <w:t>17.4</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采购人和采购代理机构对所接收电子投标文件概不退回。</w:t>
      </w:r>
    </w:p>
    <w:p w14:paraId="46540D54">
      <w:pPr>
        <w:spacing w:line="240" w:lineRule="atLeast"/>
        <w:ind w:left="900" w:hanging="787" w:hangingChars="375"/>
        <w:rPr>
          <w:rFonts w:ascii="仿宋" w:hAnsi="仿宋" w:eastAsia="仿宋" w:cs="仿宋"/>
        </w:rPr>
      </w:pPr>
    </w:p>
    <w:p w14:paraId="36C1B405">
      <w:pPr>
        <w:pStyle w:val="6"/>
        <w:spacing w:before="0" w:line="240" w:lineRule="atLeast"/>
        <w:ind w:left="1080" w:leftChars="257" w:hanging="540"/>
        <w:rPr>
          <w:rFonts w:ascii="仿宋" w:hAnsi="仿宋" w:eastAsia="仿宋" w:cs="仿宋"/>
          <w:sz w:val="24"/>
        </w:rPr>
      </w:pPr>
      <w:bookmarkStart w:id="116" w:name="_Toc28398"/>
      <w:bookmarkStart w:id="117" w:name="_Toc2874"/>
      <w:bookmarkStart w:id="118" w:name="_Toc12436"/>
      <w:bookmarkStart w:id="119" w:name="_Toc216582809"/>
      <w:bookmarkStart w:id="120" w:name="_Toc27283"/>
      <w:bookmarkStart w:id="121" w:name="_Toc520356163"/>
      <w:bookmarkStart w:id="122" w:name="_Toc515647778"/>
      <w:r>
        <w:rPr>
          <w:rFonts w:hint="eastAsia" w:ascii="仿宋" w:hAnsi="仿宋" w:eastAsia="仿宋" w:cs="仿宋"/>
          <w:sz w:val="24"/>
        </w:rPr>
        <w:t>五   开标及评标</w:t>
      </w:r>
      <w:bookmarkEnd w:id="116"/>
      <w:bookmarkEnd w:id="117"/>
      <w:bookmarkEnd w:id="118"/>
      <w:bookmarkEnd w:id="119"/>
      <w:bookmarkEnd w:id="120"/>
      <w:bookmarkEnd w:id="121"/>
      <w:bookmarkEnd w:id="122"/>
    </w:p>
    <w:p w14:paraId="5B0ECCBF">
      <w:pPr>
        <w:pStyle w:val="7"/>
        <w:numPr>
          <w:ilvl w:val="0"/>
          <w:numId w:val="2"/>
        </w:numPr>
        <w:spacing w:line="240" w:lineRule="atLeast"/>
        <w:rPr>
          <w:rFonts w:ascii="仿宋" w:hAnsi="仿宋" w:eastAsia="仿宋" w:cs="仿宋"/>
        </w:rPr>
      </w:pPr>
      <w:bookmarkStart w:id="123" w:name="_Toc1390"/>
      <w:bookmarkStart w:id="124" w:name="_Toc515647779"/>
      <w:bookmarkStart w:id="125" w:name="_Toc7186"/>
      <w:bookmarkStart w:id="126" w:name="_Toc520356164"/>
      <w:bookmarkStart w:id="127" w:name="_Toc27235"/>
      <w:bookmarkStart w:id="128" w:name="_Toc25345"/>
      <w:r>
        <w:rPr>
          <w:rFonts w:hint="eastAsia" w:ascii="仿宋" w:hAnsi="仿宋" w:eastAsia="仿宋" w:cs="仿宋"/>
          <w:u w:val="none"/>
        </w:rPr>
        <w:t>开标</w:t>
      </w:r>
      <w:bookmarkEnd w:id="123"/>
      <w:bookmarkEnd w:id="124"/>
      <w:bookmarkEnd w:id="125"/>
      <w:bookmarkEnd w:id="126"/>
      <w:bookmarkEnd w:id="127"/>
      <w:bookmarkEnd w:id="128"/>
    </w:p>
    <w:p w14:paraId="517CEE8A">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18.1  </w:t>
      </w:r>
      <w:r>
        <w:rPr>
          <w:rFonts w:hint="eastAsia" w:ascii="仿宋" w:hAnsi="仿宋" w:eastAsia="仿宋" w:cs="仿宋"/>
          <w:color w:val="auto"/>
          <w:sz w:val="24"/>
          <w:highlight w:val="none"/>
        </w:rPr>
        <w:t>采购人和采购代理机构将按投标人须知资料表中规定的开标时间和地点组织公开开标。</w:t>
      </w:r>
    </w:p>
    <w:p w14:paraId="3EF02938">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18.2  </w:t>
      </w:r>
      <w:r>
        <w:rPr>
          <w:rFonts w:hint="eastAsia" w:ascii="仿宋" w:hAnsi="仿宋" w:eastAsia="仿宋" w:cs="仿宋"/>
          <w:color w:val="auto"/>
          <w:sz w:val="24"/>
          <w:highlight w:val="none"/>
        </w:rPr>
        <w:t>在线签收投标文件，投标人不足3家的，不得开标。</w:t>
      </w:r>
    </w:p>
    <w:p w14:paraId="6B9E5FFE">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投标人解密投标文件，解密时长为30分钟，供应商应使用与加密时使用的同一把CA锁进行解密操作，如出现非供应商自身原因造成的无法解密，</w:t>
      </w:r>
      <w:r>
        <w:rPr>
          <w:rFonts w:hint="eastAsia" w:ascii="仿宋" w:hAnsi="仿宋" w:eastAsia="仿宋" w:cs="仿宋"/>
          <w:color w:val="auto"/>
          <w:sz w:val="24"/>
          <w:highlight w:val="none"/>
          <w:lang w:eastAsia="zh-CN"/>
        </w:rPr>
        <w:t>由</w:t>
      </w:r>
      <w:r>
        <w:rPr>
          <w:rFonts w:hint="eastAsia" w:ascii="仿宋" w:hAnsi="仿宋" w:eastAsia="仿宋" w:cs="仿宋"/>
          <w:color w:val="auto"/>
          <w:sz w:val="24"/>
          <w:highlight w:val="none"/>
        </w:rPr>
        <w:t>采购代理机构使用备用投标文件进行解密操作。</w:t>
      </w:r>
    </w:p>
    <w:p w14:paraId="139F0398">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 xml:space="preserve">  组织评审委员会以不记名投票的形式选定评审委员会主任，并宣读评标会纪律，对评标委员会进行通讯工具管制及宣读相关法律法规。</w:t>
      </w:r>
    </w:p>
    <w:p w14:paraId="692DB55F">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 xml:space="preserve">  由代理公司工作人员开启报价文件并由供应商代表在线CA签字确认，报价确认时段限制为10分钟，由评审委员会进行报价评审及政策价格认定。</w:t>
      </w:r>
    </w:p>
    <w:p w14:paraId="7E2B6812">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18.6  采购代理机构将对开标过程进行记录，由参加开标的相关工作人员签字确认，并存档备查。</w:t>
      </w:r>
    </w:p>
    <w:p w14:paraId="07D10E64">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18.7  投标人代表对开标过程和开标记录有疑义，以及认为采购人、采购代理机构相关工作人员有需要回避的情形的，应当场提出询问或者回避申请。</w:t>
      </w:r>
    </w:p>
    <w:p w14:paraId="642EAD38">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18.8</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电子开标的相关注意事项：</w:t>
      </w:r>
    </w:p>
    <w:p w14:paraId="3412AD3E">
      <w:pPr>
        <w:spacing w:line="240" w:lineRule="atLeast"/>
        <w:ind w:left="960" w:hanging="960" w:hangingChars="4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18.8.1本项目为电子招投标，供应商需要使用CA加密设备，凡参加本项目可自主通过新疆CA申领渠道“新疆政务通”申请政采云平台可使用的CA设备</w:t>
      </w:r>
      <w:r>
        <w:rPr>
          <w:rFonts w:hint="eastAsia" w:ascii="仿宋" w:hAnsi="仿宋" w:eastAsia="仿宋" w:cs="仿宋"/>
          <w:color w:val="auto"/>
          <w:sz w:val="24"/>
          <w:highlight w:val="none"/>
          <w:lang w:eastAsia="zh-CN"/>
        </w:rPr>
        <w:t>。</w:t>
      </w:r>
    </w:p>
    <w:p w14:paraId="40F45DC1">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18.8.2本项目实行网上投标，采用电子投标文件(供应商须使用CA加密设备通过政采云电子投标客户端制作投标文件)。若供应商参与投标，自行承担投标一切费用。</w:t>
      </w:r>
    </w:p>
    <w:p w14:paraId="472D1D38">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18.8.3各供应商应在开标前确保成为新疆维吾尔自治区政府采购网正式注册入库供应商，并完成CA数字证书申领。因未注册入库、未办理CA数字证书等原因造成无法投标或投标失败等后果由供应商自行承担。</w:t>
      </w:r>
    </w:p>
    <w:p w14:paraId="4BEB0785">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18.8.4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w:t>
      </w:r>
      <w:r>
        <w:rPr>
          <w:rFonts w:hint="eastAsia" w:ascii="仿宋" w:hAnsi="仿宋" w:eastAsia="仿宋" w:cs="仿宋"/>
          <w:color w:val="auto"/>
          <w:sz w:val="24"/>
          <w:highlight w:val="none"/>
          <w:lang w:eastAsia="zh-CN"/>
        </w:rPr>
        <w:t>95763</w:t>
      </w:r>
      <w:r>
        <w:rPr>
          <w:rFonts w:hint="eastAsia" w:ascii="仿宋" w:hAnsi="仿宋" w:eastAsia="仿宋" w:cs="仿宋"/>
          <w:color w:val="auto"/>
          <w:sz w:val="24"/>
          <w:highlight w:val="none"/>
        </w:rPr>
        <w:t>进行咨询。</w:t>
      </w:r>
    </w:p>
    <w:p w14:paraId="738937EA">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18.8.5供应商在开标时须使用制作加密电子投标文件所使用的CA锁及电脑，电脑须提前配置好浏览器（建议使用谷歌浏览器），以便开标时解锁。</w:t>
      </w:r>
    </w:p>
    <w:p w14:paraId="5AA6CDCC">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18.8.6投标保证金缴纳及确认时间：凡拟参加本次招标项目的供应商，必须在开标前将投标保证金汇入指定账户。投标保证金汇款凭证上用途栏应注明:招标项目名称+标项号+投标保证金。</w:t>
      </w:r>
    </w:p>
    <w:p w14:paraId="630B6728">
      <w:pPr>
        <w:spacing w:line="240" w:lineRule="atLeast"/>
        <w:ind w:left="960" w:hanging="960" w:hanging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18.8.7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供应商服务1号群：30349928（如已加入1-11群，无需重复加入，十一个群联动直播），钉钉工具软件具有回放功能，直播培训结束后可在钉钉群中回放观看学习。</w:t>
      </w:r>
    </w:p>
    <w:p w14:paraId="62400795">
      <w:pPr>
        <w:spacing w:line="240" w:lineRule="atLeast"/>
        <w:ind w:left="960" w:hanging="960" w:hangingChars="400"/>
        <w:rPr>
          <w:rFonts w:ascii="仿宋" w:hAnsi="仿宋" w:eastAsia="仿宋" w:cs="仿宋"/>
          <w:sz w:val="24"/>
        </w:rPr>
      </w:pPr>
      <w:r>
        <w:rPr>
          <w:rFonts w:hint="eastAsia" w:ascii="仿宋" w:hAnsi="仿宋" w:eastAsia="仿宋" w:cs="仿宋"/>
          <w:color w:val="auto"/>
          <w:sz w:val="24"/>
          <w:highlight w:val="none"/>
        </w:rPr>
        <w:t>18.8.8政采云线上获取招标文件方法：供应商登陆政采云平台http://www.zcygov.cn/，在线申请获取采购文件（登录政府采购云平台 → 项目采购 → 获取采购文件 → 申请，审核通过后可下载招标文件，如有操作性问题，可与政采云在线客服进行咨询，咨询电话：</w:t>
      </w:r>
      <w:r>
        <w:rPr>
          <w:rFonts w:hint="eastAsia" w:ascii="仿宋" w:hAnsi="仿宋" w:eastAsia="仿宋" w:cs="仿宋"/>
          <w:color w:val="auto"/>
          <w:sz w:val="24"/>
          <w:highlight w:val="none"/>
          <w:lang w:eastAsia="zh-CN"/>
        </w:rPr>
        <w:t>95763</w:t>
      </w:r>
      <w:r>
        <w:rPr>
          <w:rFonts w:hint="eastAsia" w:ascii="仿宋" w:hAnsi="仿宋" w:eastAsia="仿宋" w:cs="仿宋"/>
          <w:color w:val="auto"/>
          <w:sz w:val="24"/>
          <w:highlight w:val="none"/>
        </w:rPr>
        <w:t>）</w:t>
      </w:r>
      <w:bookmarkStart w:id="129" w:name="_Toc520356165"/>
    </w:p>
    <w:p w14:paraId="649D1103">
      <w:pPr>
        <w:pStyle w:val="7"/>
        <w:spacing w:before="0" w:after="0" w:line="400" w:lineRule="exact"/>
        <w:rPr>
          <w:rFonts w:ascii="仿宋" w:hAnsi="仿宋" w:eastAsia="仿宋" w:cs="仿宋"/>
          <w:u w:val="none"/>
        </w:rPr>
      </w:pPr>
      <w:bookmarkStart w:id="130" w:name="_Toc21372"/>
      <w:bookmarkStart w:id="131" w:name="_Toc515647780"/>
      <w:bookmarkStart w:id="132" w:name="_Toc5428"/>
      <w:bookmarkStart w:id="133" w:name="_Toc19296"/>
      <w:bookmarkStart w:id="134" w:name="_Toc17677"/>
      <w:r>
        <w:rPr>
          <w:rFonts w:hint="eastAsia" w:ascii="仿宋" w:hAnsi="仿宋" w:eastAsia="仿宋" w:cs="仿宋"/>
          <w:u w:val="none"/>
        </w:rPr>
        <w:t>19.</w:t>
      </w:r>
      <w:bookmarkEnd w:id="129"/>
      <w:r>
        <w:rPr>
          <w:rFonts w:hint="eastAsia" w:ascii="仿宋" w:hAnsi="仿宋" w:eastAsia="仿宋" w:cs="仿宋"/>
          <w:u w:val="none"/>
        </w:rPr>
        <w:t>资格审查及组建</w:t>
      </w:r>
      <w:bookmarkEnd w:id="130"/>
      <w:bookmarkEnd w:id="131"/>
      <w:bookmarkEnd w:id="132"/>
      <w:bookmarkEnd w:id="133"/>
      <w:r>
        <w:rPr>
          <w:rFonts w:hint="eastAsia" w:ascii="仿宋" w:hAnsi="仿宋" w:eastAsia="仿宋" w:cs="仿宋"/>
          <w:u w:val="none"/>
        </w:rPr>
        <w:t>磋商小组</w:t>
      </w:r>
      <w:bookmarkEnd w:id="134"/>
    </w:p>
    <w:p w14:paraId="7B9FA84F">
      <w:pPr>
        <w:spacing w:line="400" w:lineRule="exact"/>
        <w:ind w:left="960" w:hanging="960" w:hangingChars="400"/>
        <w:rPr>
          <w:rFonts w:hint="eastAsia" w:ascii="仿宋" w:hAnsi="仿宋" w:eastAsia="仿宋" w:cs="仿宋"/>
          <w:sz w:val="24"/>
        </w:rPr>
      </w:pPr>
      <w:r>
        <w:rPr>
          <w:rFonts w:hint="eastAsia" w:ascii="仿宋" w:hAnsi="仿宋" w:eastAsia="仿宋" w:cs="仿宋"/>
          <w:sz w:val="24"/>
        </w:rPr>
        <w:t>19.1    采购人或采购代理机构依据法律法规和磋商文件中规定的内容，对供应商及其服务的资格进行审查，未通过资格审查的供应商不进入评标。</w:t>
      </w:r>
    </w:p>
    <w:p w14:paraId="1C1F1BDB">
      <w:pPr>
        <w:pStyle w:val="9"/>
      </w:pPr>
    </w:p>
    <w:p w14:paraId="2D73B36D">
      <w:pPr>
        <w:widowControl/>
        <w:spacing w:line="400" w:lineRule="exact"/>
        <w:jc w:val="left"/>
        <w:rPr>
          <w:rFonts w:ascii="仿宋" w:hAnsi="仿宋" w:eastAsia="仿宋" w:cs="仿宋"/>
          <w:b/>
          <w:bCs/>
          <w:sz w:val="24"/>
        </w:rPr>
      </w:pPr>
      <w:r>
        <w:rPr>
          <w:rFonts w:hint="eastAsia" w:ascii="仿宋" w:hAnsi="仿宋" w:eastAsia="仿宋" w:cs="仿宋"/>
          <w:b/>
          <w:bCs/>
          <w:sz w:val="24"/>
        </w:rPr>
        <w:t xml:space="preserve">  本项目的资格要求：</w:t>
      </w:r>
    </w:p>
    <w:p w14:paraId="4483B81A">
      <w:pPr>
        <w:pStyle w:val="11"/>
        <w:spacing w:line="360" w:lineRule="auto"/>
        <w:jc w:val="left"/>
        <w:rPr>
          <w:rFonts w:hint="eastAsia" w:ascii="仿宋" w:hAnsi="仿宋" w:eastAsia="仿宋" w:cs="Times New Roman"/>
          <w:b/>
          <w:bCs/>
          <w:kern w:val="2"/>
          <w:sz w:val="24"/>
          <w:szCs w:val="24"/>
          <w:u w:val="none"/>
          <w:lang w:val="en-US" w:eastAsia="zh-CN" w:bidi="ar-SA"/>
        </w:rPr>
      </w:pPr>
      <w:r>
        <w:rPr>
          <w:rFonts w:hint="eastAsia" w:ascii="仿宋" w:hAnsi="仿宋" w:eastAsia="仿宋" w:cs="Times New Roman"/>
          <w:b/>
          <w:bCs/>
          <w:kern w:val="2"/>
          <w:sz w:val="24"/>
          <w:szCs w:val="24"/>
          <w:u w:val="none"/>
          <w:lang w:val="en-US" w:eastAsia="zh-CN" w:bidi="ar-SA"/>
        </w:rPr>
        <w:t>1、合格有效的营业执照（三证合一）副本（原件、复印件、影印件均可）或电子营业执照打印件（需加盖公章）或同等法律效力的证明文件（发证机关或公证机关出具的证明材料原件）；法人或者非法人组织营业执照等证明文件复印件（须加盖本单位章）或自然人的身份证明复印件;</w:t>
      </w:r>
    </w:p>
    <w:p w14:paraId="36C57B86">
      <w:pPr>
        <w:pStyle w:val="11"/>
        <w:spacing w:line="360" w:lineRule="auto"/>
        <w:jc w:val="left"/>
        <w:rPr>
          <w:rFonts w:hint="eastAsia" w:ascii="仿宋" w:hAnsi="仿宋" w:eastAsia="仿宋" w:cs="Times New Roman"/>
          <w:b/>
          <w:bCs/>
          <w:kern w:val="2"/>
          <w:sz w:val="24"/>
          <w:szCs w:val="24"/>
          <w:u w:val="none"/>
          <w:lang w:val="en-US" w:eastAsia="zh-CN" w:bidi="ar-SA"/>
        </w:rPr>
      </w:pPr>
      <w:r>
        <w:rPr>
          <w:rFonts w:hint="eastAsia" w:ascii="仿宋" w:hAnsi="仿宋" w:eastAsia="仿宋" w:cs="Times New Roman"/>
          <w:b/>
          <w:bCs/>
          <w:kern w:val="2"/>
          <w:sz w:val="24"/>
          <w:szCs w:val="24"/>
          <w:u w:val="none"/>
          <w:lang w:val="en-US" w:eastAsia="zh-CN" w:bidi="ar-SA"/>
        </w:rPr>
        <w:t>2、法定代表人身份证明或法定代表人授权委托书及被授权人身份证；</w:t>
      </w:r>
    </w:p>
    <w:p w14:paraId="79683C81">
      <w:pPr>
        <w:pStyle w:val="11"/>
        <w:spacing w:line="360" w:lineRule="auto"/>
        <w:jc w:val="left"/>
        <w:rPr>
          <w:rFonts w:hint="eastAsia" w:ascii="仿宋" w:hAnsi="仿宋" w:eastAsia="仿宋" w:cs="Times New Roman"/>
          <w:b/>
          <w:bCs/>
          <w:kern w:val="2"/>
          <w:sz w:val="24"/>
          <w:szCs w:val="24"/>
          <w:u w:val="none"/>
          <w:lang w:val="en-US" w:eastAsia="zh-CN" w:bidi="ar-SA"/>
        </w:rPr>
      </w:pPr>
      <w:r>
        <w:rPr>
          <w:rFonts w:hint="eastAsia" w:ascii="仿宋" w:hAnsi="仿宋" w:eastAsia="仿宋" w:cs="Times New Roman"/>
          <w:b/>
          <w:bCs/>
          <w:kern w:val="2"/>
          <w:sz w:val="24"/>
          <w:szCs w:val="24"/>
          <w:u w:val="none"/>
          <w:lang w:val="en-US" w:eastAsia="zh-CN" w:bidi="ar-SA"/>
        </w:rPr>
        <w:t>3、近期（投标截止日期前六个月内任意一个月）依法缴纳社会保障金的缴费证明或银行出具的“银行电子缴纳社会保障金付款凭证”（新成立公司提供相关证明文件）；</w:t>
      </w:r>
    </w:p>
    <w:p w14:paraId="3859B07C">
      <w:pPr>
        <w:pStyle w:val="11"/>
        <w:spacing w:line="360" w:lineRule="auto"/>
        <w:jc w:val="left"/>
        <w:rPr>
          <w:rFonts w:hint="eastAsia" w:ascii="仿宋" w:hAnsi="仿宋" w:eastAsia="仿宋" w:cs="Times New Roman"/>
          <w:b/>
          <w:bCs/>
          <w:kern w:val="2"/>
          <w:sz w:val="24"/>
          <w:szCs w:val="24"/>
          <w:u w:val="none"/>
          <w:lang w:val="en-US" w:eastAsia="zh-CN" w:bidi="ar-SA"/>
        </w:rPr>
      </w:pPr>
      <w:r>
        <w:rPr>
          <w:rFonts w:hint="eastAsia" w:ascii="仿宋" w:hAnsi="仿宋" w:eastAsia="仿宋" w:cs="Times New Roman"/>
          <w:b/>
          <w:bCs/>
          <w:kern w:val="2"/>
          <w:sz w:val="24"/>
          <w:szCs w:val="24"/>
          <w:u w:val="none"/>
          <w:lang w:val="en-US" w:eastAsia="zh-CN" w:bidi="ar-SA"/>
        </w:rPr>
        <w:t>4、近期（投标截止日期前六个月内任意一个月）依法缴纳税收的证明材料（税务部门出具的完税凭证或缴税证明或银行出具的“银行电子缴税付款凭证”；新成立公司提供相关证明文件）；注：①若为零申报企业，需提供无欠税证明或国家税务总局电子税务局“申报结果查询截图”。②“税种”非社会保险；</w:t>
      </w:r>
    </w:p>
    <w:p w14:paraId="4DD37FFA">
      <w:pPr>
        <w:pStyle w:val="11"/>
        <w:spacing w:line="360" w:lineRule="auto"/>
        <w:jc w:val="left"/>
        <w:rPr>
          <w:rFonts w:hint="eastAsia" w:ascii="仿宋" w:hAnsi="仿宋" w:eastAsia="仿宋" w:cs="Times New Roman"/>
          <w:b/>
          <w:bCs/>
          <w:kern w:val="2"/>
          <w:sz w:val="24"/>
          <w:szCs w:val="24"/>
          <w:u w:val="none"/>
          <w:lang w:val="en-US" w:eastAsia="zh-CN" w:bidi="ar-SA"/>
        </w:rPr>
      </w:pPr>
      <w:r>
        <w:rPr>
          <w:rFonts w:hint="eastAsia" w:ascii="仿宋" w:hAnsi="仿宋" w:eastAsia="仿宋" w:cs="Times New Roman"/>
          <w:b/>
          <w:bCs/>
          <w:kern w:val="2"/>
          <w:sz w:val="24"/>
          <w:szCs w:val="24"/>
          <w:u w:val="none"/>
          <w:lang w:val="en-US" w:eastAsia="zh-CN" w:bidi="ar-SA"/>
        </w:rPr>
        <w:t>5、具有良好的商业信誉和健全的财务会计制度(2023年或2024年的年度财务审计报告书，2025年成立公司提供银行资信证明)；</w:t>
      </w:r>
    </w:p>
    <w:p w14:paraId="4E19BE9B">
      <w:pPr>
        <w:pStyle w:val="11"/>
        <w:spacing w:line="360" w:lineRule="auto"/>
        <w:jc w:val="left"/>
        <w:rPr>
          <w:rFonts w:hint="eastAsia" w:ascii="仿宋" w:hAnsi="仿宋" w:eastAsia="仿宋" w:cs="Times New Roman"/>
          <w:b/>
          <w:bCs/>
          <w:kern w:val="2"/>
          <w:sz w:val="24"/>
          <w:szCs w:val="24"/>
          <w:u w:val="none"/>
          <w:lang w:val="en-US" w:eastAsia="zh-CN" w:bidi="ar-SA"/>
        </w:rPr>
      </w:pPr>
      <w:r>
        <w:rPr>
          <w:rFonts w:hint="eastAsia" w:ascii="仿宋" w:hAnsi="仿宋" w:eastAsia="仿宋" w:cs="Times New Roman"/>
          <w:b/>
          <w:bCs/>
          <w:kern w:val="2"/>
          <w:sz w:val="24"/>
          <w:szCs w:val="24"/>
          <w:u w:val="none"/>
          <w:lang w:val="en-US" w:eastAsia="zh-CN" w:bidi="ar-SA"/>
        </w:rPr>
        <w:t>6、凡拟参加本次采购项目的供应商，如在“信用中国”网站（ www.creditchina.gov.cn） 被列入失信被执行人、重大税收违法案件当事人名单(信用服务-重点领域严重失信主体名单查询-搜索栏输入单位全称-截图)、中国政府采购网（http://www.ccgp.gov.cn/search/cr/）严重违法失信行为记录名单的（尚在处罚期内的），“国家企业信用信息公示系（http://www.gsxt.gov.cn）”列入严重违法失信企业名单（黑名单）信息及企业信用信息公示报告；将拒绝其参加本次采购活动；（以招标代理或采购人查询为准）；</w:t>
      </w:r>
    </w:p>
    <w:p w14:paraId="698FAE3D">
      <w:pPr>
        <w:pStyle w:val="11"/>
        <w:spacing w:line="360" w:lineRule="auto"/>
        <w:jc w:val="left"/>
        <w:rPr>
          <w:rFonts w:hint="eastAsia" w:ascii="仿宋" w:hAnsi="仿宋" w:eastAsia="仿宋" w:cs="Times New Roman"/>
          <w:b/>
          <w:bCs/>
          <w:kern w:val="2"/>
          <w:sz w:val="24"/>
          <w:szCs w:val="24"/>
          <w:u w:val="none"/>
          <w:lang w:val="en-US" w:eastAsia="zh-CN" w:bidi="ar-SA"/>
        </w:rPr>
      </w:pPr>
      <w:r>
        <w:rPr>
          <w:rFonts w:hint="eastAsia" w:ascii="仿宋" w:hAnsi="仿宋" w:eastAsia="仿宋" w:cs="Times New Roman"/>
          <w:b/>
          <w:bCs/>
          <w:kern w:val="2"/>
          <w:sz w:val="24"/>
          <w:szCs w:val="24"/>
          <w:u w:val="none"/>
          <w:lang w:val="en-US" w:eastAsia="zh-CN" w:bidi="ar-SA"/>
        </w:rPr>
        <w:t>7、参加政府采购活动前3年内在经营活动中没有重大违法记录的书面声明；</w:t>
      </w:r>
    </w:p>
    <w:p w14:paraId="68F3E3CD">
      <w:pPr>
        <w:pStyle w:val="11"/>
        <w:spacing w:line="360" w:lineRule="auto"/>
        <w:jc w:val="left"/>
        <w:rPr>
          <w:rFonts w:hint="eastAsia" w:ascii="仿宋" w:hAnsi="仿宋" w:eastAsia="仿宋" w:cs="Times New Roman"/>
          <w:b/>
          <w:bCs/>
          <w:kern w:val="2"/>
          <w:sz w:val="24"/>
          <w:szCs w:val="24"/>
          <w:u w:val="none"/>
          <w:lang w:val="en-US" w:eastAsia="zh-CN" w:bidi="ar-SA"/>
        </w:rPr>
      </w:pPr>
      <w:r>
        <w:rPr>
          <w:rFonts w:hint="eastAsia" w:ascii="仿宋" w:hAnsi="仿宋" w:eastAsia="仿宋" w:cs="Times New Roman"/>
          <w:b/>
          <w:bCs/>
          <w:kern w:val="2"/>
          <w:sz w:val="24"/>
          <w:szCs w:val="24"/>
          <w:u w:val="none"/>
          <w:lang w:val="en-US" w:eastAsia="zh-CN" w:bidi="ar-SA"/>
        </w:rPr>
        <w:t>8、具有履行合同所必需的设备和专业技术能力的证明材料；</w:t>
      </w:r>
    </w:p>
    <w:p w14:paraId="7C8F4FFC">
      <w:pPr>
        <w:pStyle w:val="11"/>
        <w:spacing w:line="360" w:lineRule="auto"/>
        <w:jc w:val="left"/>
        <w:rPr>
          <w:rFonts w:hint="eastAsia" w:ascii="仿宋" w:hAnsi="仿宋" w:eastAsia="仿宋" w:cs="Times New Roman"/>
          <w:b/>
          <w:bCs/>
          <w:kern w:val="2"/>
          <w:sz w:val="24"/>
          <w:szCs w:val="24"/>
          <w:u w:val="none"/>
          <w:lang w:val="en-US" w:eastAsia="zh-CN" w:bidi="ar-SA"/>
        </w:rPr>
      </w:pPr>
      <w:r>
        <w:rPr>
          <w:rFonts w:hint="eastAsia" w:ascii="仿宋" w:hAnsi="仿宋" w:eastAsia="仿宋" w:cs="Times New Roman"/>
          <w:b/>
          <w:bCs/>
          <w:kern w:val="2"/>
          <w:sz w:val="24"/>
          <w:szCs w:val="24"/>
          <w:u w:val="none"/>
          <w:lang w:val="en-US" w:eastAsia="zh-CN" w:bidi="ar-SA"/>
        </w:rPr>
        <w:t>9、提供针对本次项目《反商业贿赂承诺书》；</w:t>
      </w:r>
    </w:p>
    <w:p w14:paraId="196F3174">
      <w:pPr>
        <w:pStyle w:val="11"/>
        <w:spacing w:line="360" w:lineRule="auto"/>
        <w:jc w:val="left"/>
        <w:rPr>
          <w:rFonts w:hint="eastAsia" w:ascii="仿宋" w:hAnsi="仿宋" w:eastAsia="仿宋" w:cs="Times New Roman"/>
          <w:b/>
          <w:bCs/>
          <w:kern w:val="2"/>
          <w:sz w:val="24"/>
          <w:szCs w:val="24"/>
          <w:u w:val="none"/>
          <w:lang w:val="en-US" w:eastAsia="zh-CN" w:bidi="ar-SA"/>
        </w:rPr>
      </w:pPr>
      <w:r>
        <w:rPr>
          <w:rFonts w:hint="eastAsia" w:ascii="仿宋" w:hAnsi="仿宋" w:eastAsia="仿宋" w:cs="Times New Roman"/>
          <w:b/>
          <w:bCs/>
          <w:kern w:val="2"/>
          <w:sz w:val="24"/>
          <w:szCs w:val="24"/>
          <w:u w:val="none"/>
          <w:lang w:val="en-US" w:eastAsia="zh-CN" w:bidi="ar-SA"/>
        </w:rPr>
        <w:t>10、本项目不接受联合体投标。</w:t>
      </w:r>
    </w:p>
    <w:p w14:paraId="569D788C">
      <w:pPr>
        <w:widowControl/>
        <w:spacing w:line="360" w:lineRule="exact"/>
        <w:jc w:val="left"/>
        <w:rPr>
          <w:rFonts w:ascii="仿宋" w:hAnsi="仿宋" w:eastAsia="仿宋" w:cs="仿宋"/>
          <w:b/>
          <w:bCs/>
          <w:sz w:val="24"/>
          <w:highlight w:val="none"/>
        </w:rPr>
      </w:pPr>
      <w:r>
        <w:rPr>
          <w:rFonts w:hint="eastAsia" w:ascii="仿宋" w:hAnsi="仿宋" w:eastAsia="仿宋" w:cs="仿宋"/>
          <w:b/>
          <w:bCs/>
          <w:sz w:val="24"/>
          <w:highlight w:val="none"/>
        </w:rPr>
        <w:t>提示：上述资质开标现场能够通过官方网络查证的，均视为合格供应商。</w:t>
      </w:r>
    </w:p>
    <w:p w14:paraId="0A44E04D">
      <w:pPr>
        <w:spacing w:line="240" w:lineRule="atLeast"/>
        <w:ind w:left="857" w:leftChars="2" w:hanging="853"/>
        <w:rPr>
          <w:rFonts w:ascii="仿宋" w:hAnsi="仿宋" w:eastAsia="仿宋" w:cs="仿宋"/>
          <w:sz w:val="24"/>
        </w:rPr>
      </w:pPr>
      <w:r>
        <w:rPr>
          <w:rFonts w:hint="eastAsia" w:ascii="仿宋" w:hAnsi="仿宋" w:eastAsia="仿宋" w:cs="仿宋"/>
          <w:sz w:val="24"/>
        </w:rPr>
        <w:t>19.2   采购人或采购代理机构将在开标前1个工作日至磋商截止后1小时的期间内查询供应商的信用记录。供应商存在不良信用记录的，其磋商将被认定为</w:t>
      </w:r>
      <w:r>
        <w:rPr>
          <w:rFonts w:hint="eastAsia" w:ascii="仿宋" w:hAnsi="仿宋" w:eastAsia="仿宋" w:cs="仿宋"/>
          <w:b/>
          <w:bCs/>
          <w:sz w:val="24"/>
        </w:rPr>
        <w:t>磋商无效</w:t>
      </w:r>
      <w:r>
        <w:rPr>
          <w:rFonts w:hint="eastAsia" w:ascii="仿宋" w:hAnsi="仿宋" w:eastAsia="仿宋" w:cs="仿宋"/>
          <w:sz w:val="24"/>
        </w:rPr>
        <w:t>。</w:t>
      </w:r>
    </w:p>
    <w:p w14:paraId="1F5DC87A">
      <w:pPr>
        <w:spacing w:line="240" w:lineRule="atLeast"/>
        <w:ind w:left="857" w:leftChars="2" w:hanging="853" w:firstLineChars="0"/>
        <w:rPr>
          <w:rFonts w:ascii="仿宋" w:hAnsi="仿宋" w:eastAsia="仿宋" w:cs="仿宋"/>
          <w:sz w:val="24"/>
        </w:rPr>
      </w:pPr>
      <w:r>
        <w:rPr>
          <w:rFonts w:hint="eastAsia" w:ascii="仿宋" w:hAnsi="仿宋" w:eastAsia="仿宋" w:cs="仿宋"/>
          <w:sz w:val="24"/>
        </w:rPr>
        <w:t>19.2.1 不良信用记录指：如在</w:t>
      </w:r>
      <w:r>
        <w:rPr>
          <w:rFonts w:hint="eastAsia" w:ascii="仿宋" w:hAnsi="仿宋" w:eastAsia="仿宋" w:cs="Times New Roman"/>
          <w:kern w:val="2"/>
          <w:sz w:val="24"/>
          <w:szCs w:val="24"/>
          <w:u w:val="none"/>
          <w:lang w:val="en-US" w:eastAsia="zh-CN" w:bidi="ar-SA"/>
        </w:rPr>
        <w:t>“信用中国”网站(www.creditchina.gov.cn)、中国政府采购网(www.ccgp.gov.cn)、国家企业公示信息系统（www.gsxt.gov.cn）等渠道信用记录失信被执行人、重大税收违法案件当事人名单、政府采购严重违法失信行为记录名单、经营异常名录信息名单的供应商，如有严重行政处罚信息以及存在《中华人民共和国政府采购法实施条例》第十九条规定的行政处罚记录</w:t>
      </w:r>
      <w:r>
        <w:rPr>
          <w:rFonts w:hint="eastAsia" w:ascii="仿宋" w:hAnsi="仿宋" w:eastAsia="仿宋" w:cs="仿宋"/>
          <w:b w:val="0"/>
          <w:bCs w:val="0"/>
          <w:sz w:val="24"/>
          <w:highlight w:val="none"/>
          <w:lang w:val="en-US" w:eastAsia="zh-CN"/>
        </w:rPr>
        <w:t>，将被认定为投标无效</w:t>
      </w:r>
      <w:r>
        <w:rPr>
          <w:rFonts w:hint="eastAsia" w:ascii="仿宋" w:hAnsi="仿宋" w:eastAsia="仿宋" w:cs="仿宋"/>
          <w:sz w:val="24"/>
        </w:rPr>
        <w:t>的将拒绝其参加本次政府采购活动以联合体形式参加磋商的，联合体任何成员存在以上不良信用记录的，联合体磋商将被认定为</w:t>
      </w:r>
      <w:r>
        <w:rPr>
          <w:rFonts w:hint="eastAsia" w:ascii="仿宋" w:hAnsi="仿宋" w:eastAsia="仿宋" w:cs="仿宋"/>
          <w:b/>
          <w:bCs/>
          <w:sz w:val="24"/>
        </w:rPr>
        <w:t>磋商无效</w:t>
      </w:r>
      <w:r>
        <w:rPr>
          <w:rFonts w:hint="eastAsia" w:ascii="仿宋" w:hAnsi="仿宋" w:eastAsia="仿宋" w:cs="仿宋"/>
          <w:sz w:val="24"/>
        </w:rPr>
        <w:t>。</w:t>
      </w:r>
    </w:p>
    <w:p w14:paraId="282A2745">
      <w:pPr>
        <w:pStyle w:val="9"/>
        <w:ind w:left="850" w:hanging="849" w:hangingChars="354"/>
        <w:jc w:val="both"/>
        <w:rPr>
          <w:rFonts w:ascii="仿宋" w:hAnsi="仿宋" w:eastAsia="仿宋" w:cs="仿宋"/>
        </w:rPr>
      </w:pPr>
      <w:r>
        <w:rPr>
          <w:rFonts w:hint="eastAsia" w:ascii="仿宋" w:hAnsi="仿宋" w:eastAsia="仿宋" w:cs="仿宋"/>
        </w:rPr>
        <w:t>19.2.2 查询及记录方式：采购人或采购代理机构经办人将查询网页打印、签字并存档备查。供应商不良信用记录以采购人或采购代理机构查询结果为准。在本磋商文件规定的查询时间之后，网站信息发生的任何变更均不再作为评标依据。</w:t>
      </w:r>
    </w:p>
    <w:p w14:paraId="10D80DA6">
      <w:pPr>
        <w:pStyle w:val="9"/>
        <w:ind w:left="850" w:leftChars="405" w:firstLine="0"/>
        <w:jc w:val="both"/>
        <w:rPr>
          <w:rFonts w:ascii="仿宋" w:hAnsi="仿宋" w:eastAsia="仿宋" w:cs="仿宋"/>
        </w:rPr>
      </w:pPr>
      <w:r>
        <w:rPr>
          <w:rFonts w:hint="eastAsia" w:ascii="仿宋" w:hAnsi="仿宋" w:eastAsia="仿宋" w:cs="仿宋"/>
        </w:rPr>
        <w:t>供应商自行提供的与网站信息不一致的其他证明材料亦不作为资格审查依据。</w:t>
      </w:r>
    </w:p>
    <w:p w14:paraId="74C4CDA1">
      <w:pPr>
        <w:spacing w:line="240" w:lineRule="atLeast"/>
        <w:ind w:left="850" w:hanging="849" w:hangingChars="354"/>
        <w:rPr>
          <w:rFonts w:ascii="仿宋" w:hAnsi="仿宋" w:eastAsia="仿宋" w:cs="仿宋"/>
          <w:sz w:val="24"/>
        </w:rPr>
      </w:pPr>
      <w:r>
        <w:rPr>
          <w:rFonts w:hint="eastAsia" w:ascii="仿宋" w:hAnsi="仿宋" w:eastAsia="仿宋" w:cs="仿宋"/>
          <w:sz w:val="24"/>
        </w:rPr>
        <w:t>19.3   按照《中华人民共和国政府采购法》、《中华人民共和国政府采购法实施条例》及本项目本级和上级财政部门的有关规定依法组建的磋商小组，负责评标工作。</w:t>
      </w:r>
      <w:bookmarkStart w:id="135" w:name="_Toc520356166"/>
    </w:p>
    <w:p w14:paraId="0FE12D14">
      <w:pPr>
        <w:pStyle w:val="7"/>
        <w:spacing w:before="0" w:after="0" w:line="240" w:lineRule="atLeast"/>
        <w:rPr>
          <w:rFonts w:ascii="仿宋" w:hAnsi="仿宋" w:eastAsia="仿宋" w:cs="仿宋"/>
          <w:b w:val="0"/>
          <w:bCs/>
          <w:bdr w:val="single" w:color="auto" w:sz="4" w:space="0"/>
        </w:rPr>
      </w:pPr>
      <w:bookmarkStart w:id="136" w:name="_Toc28479"/>
      <w:bookmarkStart w:id="137" w:name="_Toc29043"/>
      <w:bookmarkStart w:id="138" w:name="_Toc515647781"/>
      <w:bookmarkStart w:id="139" w:name="_Toc14127"/>
      <w:bookmarkStart w:id="140" w:name="_Toc19949"/>
      <w:r>
        <w:rPr>
          <w:rFonts w:hint="eastAsia" w:ascii="仿宋" w:hAnsi="仿宋" w:eastAsia="仿宋" w:cs="仿宋"/>
          <w:u w:val="none"/>
        </w:rPr>
        <w:t>20.</w:t>
      </w:r>
      <w:bookmarkEnd w:id="135"/>
      <w:r>
        <w:rPr>
          <w:rFonts w:hint="eastAsia" w:ascii="仿宋" w:hAnsi="仿宋" w:eastAsia="仿宋" w:cs="仿宋"/>
          <w:u w:val="none"/>
        </w:rPr>
        <w:t>响应文件符合性审查与澄清</w:t>
      </w:r>
      <w:bookmarkEnd w:id="136"/>
      <w:bookmarkEnd w:id="137"/>
      <w:bookmarkEnd w:id="138"/>
      <w:bookmarkEnd w:id="139"/>
      <w:bookmarkEnd w:id="140"/>
    </w:p>
    <w:p w14:paraId="66BE93D4">
      <w:pPr>
        <w:spacing w:line="240" w:lineRule="atLeast"/>
        <w:ind w:left="900" w:hanging="900" w:hangingChars="375"/>
        <w:rPr>
          <w:rFonts w:ascii="仿宋" w:hAnsi="仿宋" w:eastAsia="仿宋" w:cs="仿宋"/>
          <w:sz w:val="24"/>
        </w:rPr>
      </w:pPr>
      <w:r>
        <w:rPr>
          <w:rFonts w:hint="eastAsia" w:ascii="仿宋" w:hAnsi="仿宋" w:eastAsia="仿宋" w:cs="仿宋"/>
          <w:sz w:val="24"/>
        </w:rPr>
        <w:t>20.1   符合性审查是指依据磋商文件的规定，从响应文件的有效性和完整性对磋商文件的响应程度进行审查，以确定是否对磋商文件的实质性要求做出响应。</w:t>
      </w:r>
      <w:bookmarkStart w:id="141" w:name="_Hlt522424701"/>
      <w:bookmarkEnd w:id="141"/>
      <w:bookmarkStart w:id="142" w:name="_Toc520356167"/>
    </w:p>
    <w:p w14:paraId="51E5E1AC">
      <w:pPr>
        <w:spacing w:line="240" w:lineRule="atLeast"/>
        <w:ind w:left="900" w:hanging="900" w:hangingChars="375"/>
        <w:rPr>
          <w:rFonts w:ascii="仿宋" w:hAnsi="仿宋" w:eastAsia="仿宋" w:cs="仿宋"/>
          <w:sz w:val="24"/>
        </w:rPr>
      </w:pPr>
      <w:r>
        <w:rPr>
          <w:rFonts w:hint="eastAsia" w:ascii="仿宋" w:hAnsi="仿宋" w:eastAsia="仿宋" w:cs="仿宋"/>
          <w:sz w:val="24"/>
        </w:rPr>
        <w:t>20.2</w:t>
      </w:r>
      <w:r>
        <w:rPr>
          <w:rFonts w:hint="eastAsia" w:ascii="仿宋" w:hAnsi="仿宋" w:eastAsia="仿宋" w:cs="仿宋"/>
          <w:sz w:val="24"/>
        </w:rPr>
        <w:tab/>
      </w:r>
      <w:r>
        <w:rPr>
          <w:rFonts w:hint="eastAsia" w:ascii="仿宋" w:hAnsi="仿宋" w:eastAsia="仿宋" w:cs="仿宋"/>
          <w:sz w:val="24"/>
        </w:rPr>
        <w:t>响应文件的澄清</w:t>
      </w:r>
    </w:p>
    <w:p w14:paraId="5FBAA17C">
      <w:pPr>
        <w:spacing w:line="240" w:lineRule="atLeast"/>
        <w:ind w:left="900" w:hanging="900" w:hangingChars="375"/>
        <w:rPr>
          <w:rFonts w:ascii="仿宋" w:hAnsi="仿宋" w:eastAsia="仿宋" w:cs="仿宋"/>
          <w:sz w:val="24"/>
        </w:rPr>
      </w:pPr>
      <w:r>
        <w:rPr>
          <w:rFonts w:hint="eastAsia" w:ascii="仿宋" w:hAnsi="仿宋" w:eastAsia="仿宋" w:cs="仿宋"/>
          <w:sz w:val="24"/>
        </w:rPr>
        <w:t>20.2.1  在评标期间，磋商小组将以书面方式要求供应商对其响应文件中含义不明确、对同类问题表述不一致或者有明显文字和计算错误的内容，以及磋商小组认为供应商的报价明显低于其他通过符合性检查供应商的报价，有可能影响履约的情况作必要的澄清、说明或补正。供应商的澄清、说明或补正应在磋商小组规定的时间内以书面方式进行，并不得超出响应文件范围或者改变响应文件的实质性内容。</w:t>
      </w:r>
    </w:p>
    <w:p w14:paraId="7FDEBB76">
      <w:pPr>
        <w:spacing w:line="240" w:lineRule="atLeast"/>
        <w:ind w:left="900" w:hanging="900" w:hangingChars="375"/>
        <w:rPr>
          <w:rFonts w:ascii="仿宋" w:hAnsi="仿宋" w:eastAsia="仿宋" w:cs="仿宋"/>
          <w:sz w:val="24"/>
        </w:rPr>
      </w:pPr>
      <w:r>
        <w:rPr>
          <w:rFonts w:hint="eastAsia" w:ascii="仿宋" w:hAnsi="仿宋" w:eastAsia="仿宋" w:cs="仿宋"/>
          <w:sz w:val="24"/>
        </w:rPr>
        <w:t>20.2.2  供应商的的澄清、说明或补正将作为响应文件的一部分。</w:t>
      </w:r>
    </w:p>
    <w:p w14:paraId="23AF868B">
      <w:pPr>
        <w:spacing w:line="240" w:lineRule="atLeast"/>
        <w:ind w:left="900" w:hanging="900" w:hangingChars="375"/>
        <w:rPr>
          <w:rFonts w:ascii="仿宋" w:hAnsi="仿宋" w:eastAsia="仿宋" w:cs="仿宋"/>
          <w:sz w:val="24"/>
        </w:rPr>
      </w:pPr>
      <w:r>
        <w:rPr>
          <w:rFonts w:hint="eastAsia" w:ascii="仿宋" w:hAnsi="仿宋" w:eastAsia="仿宋" w:cs="仿宋"/>
          <w:sz w:val="24"/>
        </w:rPr>
        <w:t>20.3  响应文件报价出现前后不一致的，按照下列规定修正：</w:t>
      </w:r>
    </w:p>
    <w:p w14:paraId="2AAAAD78">
      <w:pPr>
        <w:spacing w:line="240" w:lineRule="atLeast"/>
        <w:ind w:left="1020" w:hanging="1020" w:hangingChars="425"/>
        <w:rPr>
          <w:rFonts w:ascii="仿宋" w:hAnsi="仿宋" w:eastAsia="仿宋" w:cs="仿宋"/>
          <w:sz w:val="24"/>
        </w:rPr>
      </w:pPr>
      <w:r>
        <w:rPr>
          <w:rFonts w:hint="eastAsia" w:ascii="仿宋" w:hAnsi="仿宋" w:eastAsia="仿宋" w:cs="仿宋"/>
          <w:sz w:val="24"/>
        </w:rPr>
        <w:t>　　   （一）响应文件中开标一览表（报价表）内容与响应文件中相应内容不一致的，以开标一览表（报价表）为准；</w:t>
      </w:r>
    </w:p>
    <w:p w14:paraId="405E3900">
      <w:pPr>
        <w:spacing w:line="240" w:lineRule="atLeast"/>
        <w:ind w:left="900" w:hanging="900" w:hangingChars="375"/>
        <w:rPr>
          <w:rFonts w:ascii="仿宋" w:hAnsi="仿宋" w:eastAsia="仿宋" w:cs="仿宋"/>
          <w:sz w:val="24"/>
        </w:rPr>
      </w:pPr>
      <w:r>
        <w:rPr>
          <w:rFonts w:hint="eastAsia" w:ascii="仿宋" w:hAnsi="仿宋" w:eastAsia="仿宋" w:cs="仿宋"/>
          <w:sz w:val="24"/>
        </w:rPr>
        <w:t>　　   （二）大写金额和小写金额不一致的，以大写金额为准；</w:t>
      </w:r>
    </w:p>
    <w:p w14:paraId="6160E41E">
      <w:pPr>
        <w:spacing w:line="240" w:lineRule="atLeast"/>
        <w:ind w:left="1020" w:hanging="1020" w:hangingChars="425"/>
        <w:rPr>
          <w:rFonts w:ascii="仿宋" w:hAnsi="仿宋" w:eastAsia="仿宋" w:cs="仿宋"/>
          <w:sz w:val="24"/>
        </w:rPr>
      </w:pPr>
      <w:r>
        <w:rPr>
          <w:rFonts w:hint="eastAsia" w:ascii="仿宋" w:hAnsi="仿宋" w:eastAsia="仿宋" w:cs="仿宋"/>
          <w:sz w:val="24"/>
        </w:rPr>
        <w:t>　   　（三）单价金额小数点或者百分比有明显错位的，以开标一览表的总价为准，并修改单价；</w:t>
      </w:r>
    </w:p>
    <w:p w14:paraId="1A63F63D">
      <w:pPr>
        <w:spacing w:line="240" w:lineRule="atLeast"/>
        <w:ind w:left="900" w:hanging="900" w:hangingChars="375"/>
        <w:rPr>
          <w:rFonts w:ascii="仿宋" w:hAnsi="仿宋" w:eastAsia="仿宋" w:cs="仿宋"/>
          <w:sz w:val="24"/>
        </w:rPr>
      </w:pPr>
      <w:r>
        <w:rPr>
          <w:rFonts w:hint="eastAsia" w:ascii="仿宋" w:hAnsi="仿宋" w:eastAsia="仿宋" w:cs="仿宋"/>
          <w:sz w:val="24"/>
        </w:rPr>
        <w:t>　   　（四）总价金额与按单价汇总金额不一致的，以单价金额计算结果为准。</w:t>
      </w:r>
    </w:p>
    <w:p w14:paraId="1ABFE865">
      <w:pPr>
        <w:spacing w:line="240" w:lineRule="atLeast"/>
        <w:ind w:left="900" w:hanging="900" w:hangingChars="375"/>
        <w:rPr>
          <w:rFonts w:ascii="仿宋" w:hAnsi="仿宋" w:eastAsia="仿宋" w:cs="仿宋"/>
          <w:sz w:val="24"/>
        </w:rPr>
      </w:pPr>
      <w:r>
        <w:rPr>
          <w:rFonts w:hint="eastAsia" w:ascii="仿宋" w:hAnsi="仿宋" w:eastAsia="仿宋" w:cs="仿宋"/>
          <w:sz w:val="24"/>
        </w:rPr>
        <w:t>　　    同时出现两种以上不一致的，按照前款规定的顺序修正。修正后的报价按照第20.2条的规定经供应商确认后产生约束力，供应商不确认的，其磋商将被认定为</w:t>
      </w:r>
      <w:r>
        <w:rPr>
          <w:rFonts w:hint="eastAsia" w:ascii="仿宋" w:hAnsi="仿宋" w:eastAsia="仿宋" w:cs="仿宋"/>
          <w:b/>
          <w:bCs/>
          <w:sz w:val="24"/>
        </w:rPr>
        <w:t>磋商无效</w:t>
      </w:r>
      <w:r>
        <w:rPr>
          <w:rFonts w:hint="eastAsia" w:ascii="仿宋" w:hAnsi="仿宋" w:eastAsia="仿宋" w:cs="仿宋"/>
          <w:sz w:val="24"/>
        </w:rPr>
        <w:t>。</w:t>
      </w:r>
    </w:p>
    <w:p w14:paraId="30293BB1">
      <w:pPr>
        <w:spacing w:line="240" w:lineRule="atLeast"/>
        <w:ind w:left="735" w:leftChars="350" w:firstLine="120" w:firstLineChars="50"/>
        <w:rPr>
          <w:rFonts w:ascii="仿宋" w:hAnsi="仿宋" w:eastAsia="仿宋" w:cs="仿宋"/>
          <w:sz w:val="24"/>
        </w:rPr>
      </w:pPr>
      <w:r>
        <w:rPr>
          <w:rFonts w:hint="eastAsia" w:ascii="仿宋" w:hAnsi="仿宋" w:eastAsia="仿宋" w:cs="仿宋"/>
          <w:sz w:val="24"/>
        </w:rPr>
        <w:t>对不同文字文本响应文件的解释发生异议的，以中文文本为准。</w:t>
      </w:r>
    </w:p>
    <w:p w14:paraId="3D17D3EC">
      <w:pPr>
        <w:spacing w:line="240" w:lineRule="atLeast"/>
        <w:ind w:left="900" w:hanging="900" w:hangingChars="375"/>
        <w:rPr>
          <w:rFonts w:ascii="仿宋" w:hAnsi="仿宋" w:eastAsia="仿宋" w:cs="仿宋"/>
          <w:sz w:val="24"/>
        </w:rPr>
      </w:pPr>
      <w:r>
        <w:rPr>
          <w:rFonts w:hint="eastAsia" w:ascii="仿宋" w:hAnsi="仿宋" w:eastAsia="仿宋" w:cs="仿宋"/>
          <w:sz w:val="24"/>
        </w:rPr>
        <w:t>20.4   如一个分包内只有一种产品，不同供应商所投产品为同一品牌的，按如下方式处理：</w:t>
      </w:r>
    </w:p>
    <w:p w14:paraId="6AC9DB43">
      <w:pPr>
        <w:spacing w:line="240" w:lineRule="atLeast"/>
        <w:ind w:left="900" w:hanging="900" w:hangingChars="375"/>
        <w:rPr>
          <w:rFonts w:ascii="仿宋" w:hAnsi="仿宋" w:eastAsia="仿宋" w:cs="仿宋"/>
          <w:sz w:val="24"/>
        </w:rPr>
      </w:pPr>
      <w:r>
        <w:rPr>
          <w:rFonts w:hint="eastAsia" w:ascii="仿宋" w:hAnsi="仿宋" w:eastAsia="仿宋" w:cs="仿宋"/>
          <w:sz w:val="24"/>
        </w:rPr>
        <w:t>20.4.1  本项目使用综合评分法，提供相同品牌产品且通过资格审查、符合性审查的不同供应商，按一家供应商计算，评审后得分最高的同品牌供应商获得成交人推荐资格；评审得分相同的，由采购人或者采购人委托磋商小组按照磋商文件中评标办法规定的方式确定一个供应商获得成交人推荐资格；未规定的采取随机抽取方式确定，其他同品牌供应商不作为成交候选人。</w:t>
      </w:r>
    </w:p>
    <w:p w14:paraId="279952CE">
      <w:pPr>
        <w:spacing w:line="240" w:lineRule="atLeast"/>
        <w:ind w:left="900" w:hanging="900" w:hangingChars="375"/>
        <w:rPr>
          <w:rFonts w:ascii="仿宋" w:hAnsi="仿宋" w:eastAsia="仿宋" w:cs="仿宋"/>
          <w:sz w:val="24"/>
        </w:rPr>
      </w:pPr>
      <w:r>
        <w:rPr>
          <w:rFonts w:hint="eastAsia" w:ascii="仿宋" w:hAnsi="仿宋" w:eastAsia="仿宋" w:cs="仿宋"/>
          <w:sz w:val="24"/>
        </w:rPr>
        <w:t>20.5   如一个分包内包含多种产品的，采购人或采购代理机构将在</w:t>
      </w:r>
      <w:r>
        <w:rPr>
          <w:rFonts w:hint="eastAsia" w:ascii="仿宋" w:hAnsi="仿宋" w:eastAsia="仿宋" w:cs="仿宋"/>
          <w:sz w:val="24"/>
          <w:u w:val="single"/>
        </w:rPr>
        <w:t>供应商须知资料表</w:t>
      </w:r>
      <w:r>
        <w:rPr>
          <w:rFonts w:hint="eastAsia" w:ascii="仿宋" w:hAnsi="仿宋" w:eastAsia="仿宋" w:cs="仿宋"/>
          <w:sz w:val="24"/>
        </w:rPr>
        <w:t>中载明核心产品，多家供应商提供的核心产品品牌相同的，按第20.4条规定处理。</w:t>
      </w:r>
    </w:p>
    <w:p w14:paraId="464305E0">
      <w:pPr>
        <w:spacing w:line="240" w:lineRule="atLeast"/>
        <w:ind w:left="900" w:hanging="900" w:hangingChars="375"/>
        <w:rPr>
          <w:rFonts w:ascii="仿宋" w:hAnsi="仿宋" w:eastAsia="仿宋" w:cs="仿宋"/>
          <w:sz w:val="24"/>
        </w:rPr>
      </w:pPr>
      <w:r>
        <w:rPr>
          <w:rFonts w:hint="eastAsia" w:ascii="仿宋" w:hAnsi="仿宋" w:eastAsia="仿宋" w:cs="仿宋"/>
          <w:sz w:val="24"/>
        </w:rPr>
        <w:t>20.6   供应商所投产品如被列入财政部与国家主管部门颁发的节能产品目录或环境标志产品目录或无线局域网产品目录，应提供相关证明，在评标时予以优先采购，具体优先采购办法见第六章评标方法和标准。</w:t>
      </w:r>
    </w:p>
    <w:p w14:paraId="7A392F9B">
      <w:pPr>
        <w:spacing w:line="240" w:lineRule="atLeast"/>
        <w:ind w:left="900" w:hanging="900" w:hangingChars="375"/>
        <w:rPr>
          <w:rFonts w:ascii="仿宋" w:hAnsi="仿宋" w:eastAsia="仿宋" w:cs="仿宋"/>
          <w:sz w:val="24"/>
        </w:rPr>
      </w:pPr>
      <w:r>
        <w:rPr>
          <w:rFonts w:hint="eastAsia" w:ascii="仿宋" w:hAnsi="仿宋" w:eastAsia="仿宋" w:cs="仿宋"/>
          <w:sz w:val="24"/>
        </w:rPr>
        <w:t xml:space="preserve">        如采购人所采购产品为政府强制采购的节能产品，供应商所投产品的品牌及型号必须为清单中有效期内产品并提供证明文件，否则其磋商将被认定为</w:t>
      </w:r>
      <w:r>
        <w:rPr>
          <w:rFonts w:hint="eastAsia" w:ascii="仿宋" w:hAnsi="仿宋" w:eastAsia="仿宋" w:cs="仿宋"/>
          <w:b/>
          <w:bCs/>
          <w:sz w:val="24"/>
        </w:rPr>
        <w:t>磋商无效</w:t>
      </w:r>
      <w:r>
        <w:rPr>
          <w:rFonts w:hint="eastAsia" w:ascii="仿宋" w:hAnsi="仿宋" w:eastAsia="仿宋" w:cs="仿宋"/>
          <w:sz w:val="24"/>
        </w:rPr>
        <w:t>。</w:t>
      </w:r>
    </w:p>
    <w:p w14:paraId="15846562">
      <w:pPr>
        <w:pStyle w:val="7"/>
        <w:spacing w:before="0" w:after="0" w:line="240" w:lineRule="atLeast"/>
        <w:rPr>
          <w:rFonts w:ascii="仿宋" w:hAnsi="仿宋" w:eastAsia="仿宋" w:cs="仿宋"/>
          <w:u w:val="none"/>
        </w:rPr>
      </w:pPr>
      <w:bookmarkStart w:id="143" w:name="_Toc515647782"/>
      <w:bookmarkStart w:id="144" w:name="_Toc23229"/>
      <w:bookmarkStart w:id="145" w:name="_Toc6364"/>
      <w:bookmarkStart w:id="146" w:name="_Toc9469"/>
      <w:bookmarkStart w:id="147" w:name="_Toc29782"/>
      <w:r>
        <w:rPr>
          <w:rFonts w:hint="eastAsia" w:ascii="仿宋" w:hAnsi="仿宋" w:eastAsia="仿宋" w:cs="仿宋"/>
          <w:u w:val="none"/>
        </w:rPr>
        <w:t>21.磋商偏离</w:t>
      </w:r>
      <w:bookmarkEnd w:id="143"/>
      <w:bookmarkEnd w:id="144"/>
      <w:bookmarkEnd w:id="145"/>
      <w:bookmarkEnd w:id="146"/>
      <w:bookmarkEnd w:id="147"/>
    </w:p>
    <w:p w14:paraId="54F304BE">
      <w:pPr>
        <w:spacing w:line="240" w:lineRule="atLeast"/>
        <w:ind w:left="848" w:leftChars="99" w:hanging="640" w:hangingChars="267"/>
        <w:rPr>
          <w:rFonts w:ascii="仿宋" w:hAnsi="仿宋" w:eastAsia="仿宋" w:cs="仿宋"/>
          <w:sz w:val="24"/>
        </w:rPr>
      </w:pPr>
      <w:r>
        <w:rPr>
          <w:rFonts w:hint="eastAsia" w:ascii="仿宋" w:hAnsi="仿宋" w:eastAsia="仿宋" w:cs="仿宋"/>
          <w:sz w:val="24"/>
        </w:rPr>
        <w:t xml:space="preserve">     磋商小组可以接受响应文件中不构成实质性偏离的不正规或不一致。</w:t>
      </w:r>
    </w:p>
    <w:p w14:paraId="78783346">
      <w:pPr>
        <w:pStyle w:val="7"/>
        <w:spacing w:before="0" w:after="0" w:line="240" w:lineRule="atLeast"/>
        <w:rPr>
          <w:rFonts w:ascii="仿宋" w:hAnsi="仿宋" w:eastAsia="仿宋" w:cs="仿宋"/>
          <w:u w:val="none"/>
        </w:rPr>
      </w:pPr>
      <w:bookmarkStart w:id="148" w:name="_Toc515647783"/>
      <w:bookmarkStart w:id="149" w:name="_Toc4950"/>
      <w:bookmarkStart w:id="150" w:name="_Toc7012"/>
      <w:bookmarkStart w:id="151" w:name="_Toc23480"/>
      <w:bookmarkStart w:id="152" w:name="_Toc6092"/>
      <w:r>
        <w:rPr>
          <w:rFonts w:hint="eastAsia" w:ascii="仿宋" w:hAnsi="仿宋" w:eastAsia="仿宋" w:cs="仿宋"/>
          <w:u w:val="none"/>
        </w:rPr>
        <w:t>22.</w:t>
      </w:r>
      <w:bookmarkEnd w:id="148"/>
      <w:r>
        <w:rPr>
          <w:rFonts w:hint="eastAsia" w:ascii="仿宋" w:hAnsi="仿宋" w:eastAsia="仿宋" w:cs="仿宋"/>
          <w:u w:val="none"/>
        </w:rPr>
        <w:t>磋商无效</w:t>
      </w:r>
      <w:bookmarkEnd w:id="149"/>
      <w:bookmarkEnd w:id="150"/>
      <w:bookmarkEnd w:id="151"/>
      <w:bookmarkEnd w:id="152"/>
    </w:p>
    <w:p w14:paraId="092D95D1">
      <w:pPr>
        <w:spacing w:line="240" w:lineRule="atLeast"/>
        <w:ind w:left="852" w:leftChars="-23" w:hanging="900" w:hangingChars="375"/>
        <w:rPr>
          <w:rFonts w:ascii="仿宋" w:hAnsi="仿宋" w:eastAsia="仿宋" w:cs="仿宋"/>
          <w:sz w:val="24"/>
        </w:rPr>
      </w:pPr>
      <w:r>
        <w:rPr>
          <w:rFonts w:hint="eastAsia" w:ascii="仿宋" w:hAnsi="仿宋" w:eastAsia="仿宋" w:cs="仿宋"/>
          <w:sz w:val="24"/>
        </w:rPr>
        <w:t>22.1   在比较与评价之前，根据本须知的规定，磋商小组要审查每份响应文件是否实质上响应了磋商文件的要求。实质上响应的磋商应该是与磋商文件要求的全部条款、条件和规格相符，没有重大偏离的磋商。对关键条款的偏离，将被认定为</w:t>
      </w:r>
      <w:r>
        <w:rPr>
          <w:rFonts w:hint="eastAsia" w:ascii="仿宋" w:hAnsi="仿宋" w:eastAsia="仿宋" w:cs="仿宋"/>
          <w:b/>
          <w:bCs/>
          <w:sz w:val="24"/>
        </w:rPr>
        <w:t>磋商无效</w:t>
      </w:r>
      <w:r>
        <w:rPr>
          <w:rFonts w:hint="eastAsia" w:ascii="仿宋" w:hAnsi="仿宋" w:eastAsia="仿宋" w:cs="仿宋"/>
          <w:sz w:val="24"/>
        </w:rPr>
        <w:t>。供应商不得通过修正或撤销不符合要求的偏离，从而使其磋商成为实质上响应的磋商。</w:t>
      </w:r>
    </w:p>
    <w:p w14:paraId="4D0A3BE8">
      <w:pPr>
        <w:spacing w:line="240" w:lineRule="atLeast"/>
        <w:ind w:left="792" w:leftChars="377"/>
        <w:rPr>
          <w:rFonts w:ascii="仿宋" w:hAnsi="仿宋" w:eastAsia="仿宋" w:cs="仿宋"/>
          <w:sz w:val="24"/>
        </w:rPr>
      </w:pPr>
      <w:r>
        <w:rPr>
          <w:rFonts w:hint="eastAsia" w:ascii="仿宋" w:hAnsi="仿宋" w:eastAsia="仿宋" w:cs="仿宋"/>
          <w:sz w:val="24"/>
        </w:rPr>
        <w:t>磋商小组决定磋商的响应性只根据磋商文件要求、响应文件内容及财政主管部门指定相关信息发布媒体。</w:t>
      </w:r>
    </w:p>
    <w:p w14:paraId="47606258">
      <w:pPr>
        <w:spacing w:line="240" w:lineRule="atLeast"/>
        <w:ind w:left="900" w:hanging="900" w:hangingChars="375"/>
        <w:rPr>
          <w:rFonts w:ascii="仿宋" w:hAnsi="仿宋" w:eastAsia="仿宋" w:cs="仿宋"/>
          <w:sz w:val="24"/>
        </w:rPr>
      </w:pPr>
      <w:r>
        <w:rPr>
          <w:rFonts w:hint="eastAsia" w:ascii="仿宋" w:hAnsi="仿宋" w:eastAsia="仿宋" w:cs="仿宋"/>
          <w:sz w:val="24"/>
        </w:rPr>
        <w:t>22.2</w:t>
      </w:r>
      <w:r>
        <w:rPr>
          <w:rFonts w:hint="eastAsia" w:ascii="仿宋" w:hAnsi="仿宋" w:eastAsia="仿宋" w:cs="仿宋"/>
          <w:sz w:val="24"/>
        </w:rPr>
        <w:tab/>
      </w:r>
      <w:r>
        <w:rPr>
          <w:rFonts w:hint="eastAsia" w:ascii="仿宋" w:hAnsi="仿宋" w:eastAsia="仿宋" w:cs="仿宋"/>
          <w:sz w:val="24"/>
        </w:rPr>
        <w:t>如发现下列情况之一的，其磋商将被认定为</w:t>
      </w:r>
      <w:r>
        <w:rPr>
          <w:rFonts w:hint="eastAsia" w:ascii="仿宋" w:hAnsi="仿宋" w:eastAsia="仿宋" w:cs="仿宋"/>
          <w:b/>
          <w:bCs/>
          <w:sz w:val="24"/>
        </w:rPr>
        <w:t>磋商无效</w:t>
      </w:r>
      <w:r>
        <w:rPr>
          <w:rFonts w:hint="eastAsia" w:ascii="仿宋" w:hAnsi="仿宋" w:eastAsia="仿宋" w:cs="仿宋"/>
          <w:sz w:val="24"/>
        </w:rPr>
        <w:t>：（</w:t>
      </w:r>
      <w:r>
        <w:rPr>
          <w:rFonts w:hint="eastAsia" w:ascii="仿宋" w:hAnsi="仿宋" w:eastAsia="仿宋" w:cs="仿宋"/>
          <w:b/>
          <w:sz w:val="24"/>
        </w:rPr>
        <w:t>以下情形应当在磋商文件中规定，并以醒目的方式标明</w:t>
      </w:r>
      <w:r>
        <w:rPr>
          <w:rFonts w:hint="eastAsia" w:ascii="仿宋" w:hAnsi="仿宋" w:eastAsia="仿宋" w:cs="仿宋"/>
          <w:sz w:val="24"/>
        </w:rPr>
        <w:t>）</w:t>
      </w:r>
    </w:p>
    <w:p w14:paraId="341FFF10">
      <w:pPr>
        <w:numPr>
          <w:ilvl w:val="0"/>
          <w:numId w:val="3"/>
        </w:numPr>
        <w:spacing w:line="240" w:lineRule="atLeast"/>
        <w:ind w:left="1081" w:leftChars="429" w:hanging="180"/>
        <w:rPr>
          <w:rFonts w:ascii="仿宋" w:hAnsi="仿宋" w:eastAsia="仿宋" w:cs="仿宋"/>
          <w:b/>
          <w:bCs/>
          <w:sz w:val="24"/>
        </w:rPr>
      </w:pPr>
      <w:r>
        <w:rPr>
          <w:rFonts w:hint="eastAsia" w:ascii="仿宋" w:hAnsi="仿宋" w:eastAsia="仿宋" w:cs="仿宋"/>
          <w:b/>
          <w:bCs/>
          <w:sz w:val="24"/>
        </w:rPr>
        <w:t>未按磋商文件规定的形式和金额提交磋商保证金的；</w:t>
      </w:r>
    </w:p>
    <w:p w14:paraId="5CFB03C9">
      <w:pPr>
        <w:numPr>
          <w:ilvl w:val="0"/>
          <w:numId w:val="3"/>
        </w:numPr>
        <w:spacing w:line="240" w:lineRule="atLeast"/>
        <w:ind w:left="1081" w:leftChars="429" w:hanging="180"/>
        <w:rPr>
          <w:rFonts w:ascii="仿宋" w:hAnsi="仿宋" w:eastAsia="仿宋" w:cs="仿宋"/>
          <w:b/>
          <w:bCs/>
          <w:sz w:val="24"/>
        </w:rPr>
      </w:pPr>
      <w:r>
        <w:rPr>
          <w:rFonts w:hint="eastAsia" w:ascii="仿宋" w:hAnsi="仿宋" w:eastAsia="仿宋" w:cs="仿宋"/>
          <w:b/>
          <w:bCs/>
          <w:sz w:val="24"/>
        </w:rPr>
        <w:t>未按照磋商文件规定要求签署、盖章的；</w:t>
      </w:r>
    </w:p>
    <w:p w14:paraId="49ED965C">
      <w:pPr>
        <w:numPr>
          <w:ilvl w:val="0"/>
          <w:numId w:val="3"/>
        </w:numPr>
        <w:spacing w:line="240" w:lineRule="atLeast"/>
        <w:ind w:left="1081" w:leftChars="429" w:hanging="180"/>
        <w:rPr>
          <w:rFonts w:ascii="仿宋" w:hAnsi="仿宋" w:eastAsia="仿宋" w:cs="仿宋"/>
          <w:b/>
          <w:bCs/>
          <w:sz w:val="24"/>
        </w:rPr>
      </w:pPr>
      <w:r>
        <w:rPr>
          <w:rFonts w:hint="eastAsia" w:ascii="仿宋" w:hAnsi="仿宋" w:eastAsia="仿宋" w:cs="仿宋"/>
          <w:b/>
          <w:bCs/>
          <w:sz w:val="24"/>
        </w:rPr>
        <w:t>未满足磋商文件中技术条款的实质性要求；</w:t>
      </w:r>
    </w:p>
    <w:p w14:paraId="391F18B1">
      <w:pPr>
        <w:numPr>
          <w:ilvl w:val="0"/>
          <w:numId w:val="3"/>
        </w:numPr>
        <w:spacing w:line="240" w:lineRule="atLeast"/>
        <w:ind w:left="1081" w:leftChars="429" w:hanging="180"/>
        <w:rPr>
          <w:rFonts w:ascii="仿宋" w:hAnsi="仿宋" w:eastAsia="仿宋" w:cs="仿宋"/>
          <w:b/>
          <w:bCs/>
          <w:sz w:val="24"/>
        </w:rPr>
      </w:pPr>
      <w:r>
        <w:rPr>
          <w:rFonts w:hint="eastAsia" w:ascii="仿宋" w:hAnsi="仿宋" w:eastAsia="仿宋" w:cs="仿宋"/>
          <w:b/>
          <w:bCs/>
          <w:sz w:val="24"/>
        </w:rPr>
        <w:t>与其他供应商串通磋商，或者与招标人串通磋商；</w:t>
      </w:r>
    </w:p>
    <w:p w14:paraId="7ED13915">
      <w:pPr>
        <w:numPr>
          <w:ilvl w:val="0"/>
          <w:numId w:val="3"/>
        </w:numPr>
        <w:spacing w:line="240" w:lineRule="atLeast"/>
        <w:ind w:left="1081" w:leftChars="429" w:hanging="180"/>
        <w:rPr>
          <w:rFonts w:ascii="仿宋" w:hAnsi="仿宋" w:eastAsia="仿宋" w:cs="仿宋"/>
          <w:b/>
          <w:bCs/>
          <w:sz w:val="24"/>
        </w:rPr>
      </w:pPr>
      <w:r>
        <w:rPr>
          <w:rFonts w:hint="eastAsia" w:ascii="仿宋" w:hAnsi="仿宋" w:eastAsia="仿宋" w:cs="仿宋"/>
          <w:b/>
          <w:bCs/>
          <w:sz w:val="24"/>
        </w:rPr>
        <w:t>属于磋商文件规定的其他磋商无效情形；</w:t>
      </w:r>
    </w:p>
    <w:p w14:paraId="2B61146A">
      <w:pPr>
        <w:numPr>
          <w:ilvl w:val="0"/>
          <w:numId w:val="3"/>
        </w:numPr>
        <w:spacing w:line="240" w:lineRule="atLeast"/>
        <w:ind w:left="1081" w:leftChars="429" w:hanging="180"/>
        <w:rPr>
          <w:rFonts w:ascii="仿宋" w:hAnsi="仿宋" w:eastAsia="仿宋" w:cs="仿宋"/>
          <w:b/>
          <w:bCs/>
          <w:sz w:val="24"/>
        </w:rPr>
      </w:pPr>
      <w:r>
        <w:rPr>
          <w:rFonts w:hint="eastAsia" w:ascii="仿宋" w:hAnsi="仿宋" w:eastAsia="仿宋" w:cs="仿宋"/>
          <w:b/>
          <w:bCs/>
          <w:sz w:val="24"/>
        </w:rPr>
        <w:t>磋商小组认为供应商的报价明显低于其他通过符合性检查供应商的报价，有可能影响履约的，且供应商未按照规定证明其报价合理性的；</w:t>
      </w:r>
    </w:p>
    <w:p w14:paraId="69DC9835">
      <w:pPr>
        <w:numPr>
          <w:ilvl w:val="0"/>
          <w:numId w:val="3"/>
        </w:numPr>
        <w:spacing w:line="240" w:lineRule="atLeast"/>
        <w:ind w:left="1081" w:leftChars="429" w:hanging="180"/>
        <w:rPr>
          <w:rFonts w:ascii="仿宋" w:hAnsi="仿宋" w:eastAsia="仿宋" w:cs="仿宋"/>
          <w:b/>
          <w:bCs/>
          <w:sz w:val="24"/>
        </w:rPr>
      </w:pPr>
      <w:r>
        <w:rPr>
          <w:rFonts w:hint="eastAsia" w:ascii="仿宋" w:hAnsi="仿宋" w:eastAsia="仿宋" w:cs="仿宋"/>
          <w:b/>
          <w:bCs/>
          <w:sz w:val="24"/>
        </w:rPr>
        <w:t>响应文件含有采购人不能接受的附加条件的；</w:t>
      </w:r>
    </w:p>
    <w:p w14:paraId="7DB0850F">
      <w:pPr>
        <w:numPr>
          <w:ilvl w:val="0"/>
          <w:numId w:val="3"/>
        </w:numPr>
        <w:tabs>
          <w:tab w:val="left" w:pos="0"/>
        </w:tabs>
        <w:spacing w:line="240" w:lineRule="atLeast"/>
        <w:ind w:left="1081" w:leftChars="429" w:hanging="180"/>
        <w:rPr>
          <w:rFonts w:ascii="仿宋" w:hAnsi="仿宋" w:eastAsia="仿宋" w:cs="仿宋"/>
          <w:sz w:val="24"/>
        </w:rPr>
      </w:pPr>
      <w:r>
        <w:rPr>
          <w:rFonts w:hint="eastAsia" w:ascii="仿宋" w:hAnsi="仿宋" w:eastAsia="仿宋" w:cs="仿宋"/>
          <w:b/>
          <w:bCs/>
          <w:sz w:val="24"/>
        </w:rPr>
        <w:t>不符合法规和磋商文件中规定的其他实质性要求的</w:t>
      </w:r>
      <w:r>
        <w:rPr>
          <w:rFonts w:hint="eastAsia" w:ascii="仿宋" w:hAnsi="仿宋" w:eastAsia="仿宋" w:cs="仿宋"/>
          <w:sz w:val="24"/>
        </w:rPr>
        <w:t>。</w:t>
      </w:r>
    </w:p>
    <w:p w14:paraId="5217097E">
      <w:pPr>
        <w:pStyle w:val="7"/>
        <w:spacing w:before="0" w:after="0" w:line="240" w:lineRule="atLeast"/>
        <w:rPr>
          <w:rFonts w:ascii="仿宋" w:hAnsi="仿宋" w:eastAsia="仿宋" w:cs="仿宋"/>
          <w:u w:val="none"/>
        </w:rPr>
      </w:pPr>
      <w:bookmarkStart w:id="153" w:name="_Toc28827"/>
      <w:bookmarkStart w:id="154" w:name="_Toc19433"/>
      <w:bookmarkStart w:id="155" w:name="_Toc515647784"/>
      <w:bookmarkStart w:id="156" w:name="_Toc22941"/>
      <w:bookmarkStart w:id="157" w:name="_Toc13652"/>
      <w:r>
        <w:rPr>
          <w:rFonts w:hint="eastAsia" w:ascii="仿宋" w:hAnsi="仿宋" w:eastAsia="仿宋" w:cs="仿宋"/>
          <w:u w:val="none"/>
        </w:rPr>
        <w:t>23.</w:t>
      </w:r>
      <w:bookmarkEnd w:id="142"/>
      <w:r>
        <w:rPr>
          <w:rFonts w:hint="eastAsia" w:ascii="仿宋" w:hAnsi="仿宋" w:eastAsia="仿宋" w:cs="仿宋"/>
          <w:u w:val="none"/>
        </w:rPr>
        <w:t>比较与评价</w:t>
      </w:r>
      <w:bookmarkEnd w:id="153"/>
      <w:bookmarkEnd w:id="154"/>
      <w:bookmarkEnd w:id="155"/>
      <w:bookmarkEnd w:id="156"/>
      <w:bookmarkEnd w:id="157"/>
    </w:p>
    <w:p w14:paraId="529BF232">
      <w:pPr>
        <w:spacing w:line="240" w:lineRule="atLeast"/>
        <w:ind w:left="900" w:hanging="900" w:hangingChars="375"/>
        <w:rPr>
          <w:rFonts w:ascii="仿宋" w:hAnsi="仿宋" w:eastAsia="仿宋" w:cs="仿宋"/>
          <w:sz w:val="24"/>
        </w:rPr>
      </w:pPr>
      <w:r>
        <w:rPr>
          <w:rFonts w:hint="eastAsia" w:ascii="仿宋" w:hAnsi="仿宋" w:eastAsia="仿宋" w:cs="仿宋"/>
          <w:sz w:val="24"/>
        </w:rPr>
        <w:t>23.1</w:t>
      </w:r>
      <w:r>
        <w:rPr>
          <w:rFonts w:hint="eastAsia" w:ascii="仿宋" w:hAnsi="仿宋" w:eastAsia="仿宋" w:cs="仿宋"/>
          <w:sz w:val="24"/>
        </w:rPr>
        <w:tab/>
      </w:r>
      <w:r>
        <w:rPr>
          <w:rFonts w:hint="eastAsia" w:ascii="仿宋" w:hAnsi="仿宋" w:eastAsia="仿宋" w:cs="仿宋"/>
          <w:sz w:val="24"/>
        </w:rPr>
        <w:t>经符合性审查合格的响应文件，磋商小组将根据磋商文件确定的评标方法和标准，对其技术部分和商务部分作进一步的比较和评价。</w:t>
      </w:r>
    </w:p>
    <w:p w14:paraId="57E1E86F">
      <w:pPr>
        <w:spacing w:line="240" w:lineRule="atLeast"/>
        <w:ind w:left="958" w:leftChars="456"/>
        <w:rPr>
          <w:rFonts w:ascii="仿宋" w:hAnsi="仿宋" w:eastAsia="仿宋" w:cs="仿宋"/>
          <w:b/>
          <w:bCs/>
          <w:sz w:val="24"/>
          <w:u w:val="single"/>
        </w:rPr>
      </w:pPr>
      <w:r>
        <w:rPr>
          <w:rFonts w:hint="eastAsia" w:ascii="仿宋" w:hAnsi="仿宋" w:eastAsia="仿宋" w:cs="仿宋"/>
          <w:b/>
          <w:bCs/>
          <w:sz w:val="24"/>
          <w:u w:val="single"/>
        </w:rPr>
        <w:t>竞争性磋商共有两次报价，二次报价为最终报价，磋商小组所有成员集中与单一供应商分别进行磋商，并给予所有参加磋商的供应商平等的磋商机会，磋商小组要求所有实质性响应的供应商在规定时间内提交最后报价，最后报价是供应商响应文件的有效组成部分，经磋商确定最终采购需求和提交最后报价的供应商后，由磋商小组采用综合评分法对提交最后报价的供应商的响应文件和最后报价进行综合评分。磋商小组各成员应当独立对每个有效响应的文件进行评价、打分，汇总每个供应商每项评分因素的得分。磋商小组应当从质量和服务均能满足采购文件实质性响应要求的供应商中，按照综合评分由低到高的顺序提出成交候选人，并编写评审报告，将结果通知所有参加磋商的未成交的供应商；</w:t>
      </w:r>
    </w:p>
    <w:p w14:paraId="6032FA97">
      <w:pPr>
        <w:pStyle w:val="13"/>
        <w:spacing w:line="420" w:lineRule="exact"/>
        <w:ind w:left="898" w:leftChars="342" w:hanging="180" w:hangingChars="75"/>
        <w:rPr>
          <w:rFonts w:ascii="仿宋" w:hAnsi="仿宋" w:eastAsia="仿宋" w:cs="仿宋"/>
          <w:sz w:val="24"/>
          <w:szCs w:val="24"/>
        </w:rPr>
      </w:pPr>
      <w:r>
        <w:rPr>
          <w:rFonts w:hint="eastAsia" w:ascii="仿宋" w:hAnsi="仿宋" w:eastAsia="仿宋" w:cs="仿宋"/>
          <w:sz w:val="24"/>
        </w:rPr>
        <w:t xml:space="preserve">23.2 </w:t>
      </w:r>
      <w:r>
        <w:rPr>
          <w:rFonts w:hint="eastAsia" w:ascii="仿宋" w:hAnsi="仿宋" w:eastAsia="仿宋" w:cs="仿宋"/>
          <w:sz w:val="24"/>
          <w:szCs w:val="24"/>
        </w:rPr>
        <w:t xml:space="preserve"> 评标严格按照招标文件的要求和条件进行。根据实际情况，在投标人须知资料表中规定采用下列评标方法，详细评标标准见招标文件第六章：</w:t>
      </w:r>
    </w:p>
    <w:p w14:paraId="55A7F187">
      <w:pPr>
        <w:pStyle w:val="13"/>
        <w:spacing w:line="420" w:lineRule="exact"/>
        <w:ind w:left="898" w:leftChars="342" w:hanging="180" w:hangingChars="75"/>
        <w:rPr>
          <w:rFonts w:ascii="仿宋" w:hAnsi="仿宋" w:eastAsia="仿宋" w:cs="仿宋"/>
          <w:sz w:val="24"/>
          <w:szCs w:val="24"/>
        </w:rPr>
      </w:pPr>
      <w:r>
        <w:rPr>
          <w:rFonts w:hint="eastAsia" w:ascii="仿宋" w:hAnsi="仿宋" w:eastAsia="仿宋" w:cs="仿宋"/>
          <w:sz w:val="24"/>
          <w:szCs w:val="24"/>
        </w:rPr>
        <w:t>（1）最低评标价法，是指投标文件满足招标文件全部实质性要求，且投标报价最低的投标人为中标候选人的评标方法。</w:t>
      </w:r>
    </w:p>
    <w:p w14:paraId="3B996D94">
      <w:pPr>
        <w:pStyle w:val="13"/>
        <w:spacing w:line="420" w:lineRule="exact"/>
        <w:ind w:left="898" w:leftChars="342" w:hanging="180" w:hangingChars="75"/>
        <w:rPr>
          <w:rFonts w:hint="eastAsia" w:ascii="仿宋" w:hAnsi="仿宋" w:eastAsia="仿宋" w:cs="仿宋"/>
          <w:sz w:val="24"/>
          <w:szCs w:val="24"/>
          <w:highlight w:val="none"/>
        </w:rPr>
      </w:pPr>
      <w:r>
        <w:rPr>
          <w:rFonts w:hint="eastAsia" w:ascii="仿宋" w:hAnsi="仿宋" w:eastAsia="仿宋" w:cs="仿宋"/>
          <w:sz w:val="24"/>
          <w:szCs w:val="24"/>
        </w:rPr>
        <w:t>（2） 综合评分法，是指投标文件满足招标文件全部实质性要求，且按照</w:t>
      </w:r>
      <w:r>
        <w:rPr>
          <w:rFonts w:hint="eastAsia" w:ascii="仿宋" w:hAnsi="仿宋" w:eastAsia="仿宋" w:cs="仿宋"/>
          <w:sz w:val="24"/>
          <w:szCs w:val="24"/>
          <w:highlight w:val="none"/>
        </w:rPr>
        <w:t>评审因素的量化指标评审得分最高的投标人为中标候选人的评标方法。本次评标采用</w:t>
      </w:r>
      <w:r>
        <w:rPr>
          <w:rFonts w:hint="eastAsia" w:ascii="仿宋" w:hAnsi="仿宋" w:eastAsia="仿宋" w:cs="仿宋"/>
          <w:b/>
          <w:bCs/>
          <w:sz w:val="24"/>
          <w:szCs w:val="24"/>
          <w:highlight w:val="none"/>
        </w:rPr>
        <w:t>综合评分法</w:t>
      </w:r>
      <w:r>
        <w:rPr>
          <w:rFonts w:hint="eastAsia" w:ascii="仿宋" w:hAnsi="仿宋" w:eastAsia="仿宋" w:cs="仿宋"/>
          <w:b/>
          <w:bCs/>
          <w:sz w:val="24"/>
          <w:szCs w:val="24"/>
          <w:highlight w:val="none"/>
          <w:lang w:eastAsia="zh-CN"/>
        </w:rPr>
        <w:t>，</w:t>
      </w:r>
      <w:r>
        <w:rPr>
          <w:rFonts w:hint="eastAsia" w:ascii="仿宋" w:hAnsi="仿宋" w:eastAsia="仿宋" w:cs="仿宋"/>
          <w:sz w:val="24"/>
          <w:szCs w:val="24"/>
          <w:highlight w:val="none"/>
        </w:rPr>
        <w:t>详细评分标准详见综合评分法评分标准。</w:t>
      </w:r>
    </w:p>
    <w:p w14:paraId="48A8FBAD">
      <w:pPr>
        <w:spacing w:line="360" w:lineRule="auto"/>
        <w:ind w:firstLine="720" w:firstLineChars="300"/>
        <w:rPr>
          <w:rFonts w:hint="eastAsia" w:ascii="仿宋" w:hAnsi="仿宋" w:eastAsia="仿宋" w:cs="仿宋"/>
          <w:sz w:val="24"/>
          <w:lang w:eastAsia="zh-CN"/>
        </w:rPr>
      </w:pPr>
      <w:r>
        <w:rPr>
          <w:rFonts w:hint="eastAsia" w:ascii="仿宋" w:hAnsi="仿宋" w:eastAsia="仿宋" w:cs="仿宋"/>
          <w:sz w:val="24"/>
          <w:highlight w:val="none"/>
        </w:rPr>
        <w:t>23.3   根据《政府采购促进中小企业发展管理办法》（财库[2020]46号）、</w:t>
      </w:r>
      <w:r>
        <w:rPr>
          <w:rFonts w:hint="eastAsia" w:ascii="仿宋" w:hAnsi="仿宋" w:eastAsia="仿宋" w:cs="仿宋"/>
          <w:sz w:val="24"/>
          <w:szCs w:val="24"/>
          <w:lang w:eastAsia="zh-CN"/>
        </w:rPr>
        <w:t>《关于进一步加大政府采购支持中小企业力度的通知》</w:t>
      </w:r>
      <w:r>
        <w:rPr>
          <w:rFonts w:hint="eastAsia" w:ascii="仿宋" w:hAnsi="仿宋" w:eastAsia="仿宋" w:cs="仿宋"/>
          <w:sz w:val="24"/>
          <w:szCs w:val="24"/>
        </w:rPr>
        <w:t>（财库[20</w:t>
      </w:r>
      <w:r>
        <w:rPr>
          <w:rFonts w:hint="eastAsia" w:ascii="仿宋" w:hAnsi="仿宋" w:eastAsia="仿宋" w:cs="仿宋"/>
          <w:sz w:val="24"/>
          <w:szCs w:val="24"/>
          <w:lang w:val="en-US" w:eastAsia="zh-CN"/>
        </w:rPr>
        <w:t>22</w:t>
      </w:r>
      <w:r>
        <w:rPr>
          <w:rFonts w:hint="eastAsia" w:ascii="仿宋" w:hAnsi="仿宋" w:eastAsia="仿宋" w:cs="仿宋"/>
          <w:sz w:val="24"/>
          <w:szCs w:val="24"/>
        </w:rPr>
        <w:t>]</w:t>
      </w:r>
      <w:r>
        <w:rPr>
          <w:rFonts w:hint="eastAsia" w:ascii="仿宋" w:hAnsi="仿宋" w:eastAsia="仿宋" w:cs="仿宋"/>
          <w:sz w:val="24"/>
          <w:szCs w:val="24"/>
          <w:lang w:val="en-US" w:eastAsia="zh-CN"/>
        </w:rPr>
        <w:t>19</w:t>
      </w:r>
      <w:r>
        <w:rPr>
          <w:rFonts w:hint="eastAsia" w:ascii="仿宋" w:hAnsi="仿宋" w:eastAsia="仿宋" w:cs="仿宋"/>
          <w:sz w:val="24"/>
          <w:szCs w:val="24"/>
        </w:rPr>
        <w:t>号）</w:t>
      </w:r>
      <w:r>
        <w:rPr>
          <w:rFonts w:hint="eastAsia" w:ascii="仿宋" w:hAnsi="仿宋" w:eastAsia="仿宋" w:cs="仿宋"/>
          <w:sz w:val="24"/>
          <w:szCs w:val="24"/>
          <w:lang w:eastAsia="zh-CN"/>
        </w:rPr>
        <w:t>、</w:t>
      </w:r>
      <w:r>
        <w:rPr>
          <w:rFonts w:hint="eastAsia" w:ascii="仿宋" w:hAnsi="仿宋" w:eastAsia="仿宋" w:cs="仿宋"/>
          <w:sz w:val="24"/>
        </w:rPr>
        <w:t>【财政部关于印发《政府采购竞争性磋商采购方式管理暂行办法》</w:t>
      </w:r>
      <w:r>
        <w:rPr>
          <w:rFonts w:hint="eastAsia" w:ascii="仿宋" w:hAnsi="仿宋" w:eastAsia="仿宋" w:cs="仿宋"/>
          <w:sz w:val="24"/>
          <w:lang w:eastAsia="zh-CN"/>
        </w:rPr>
        <w:t>、</w:t>
      </w:r>
    </w:p>
    <w:p w14:paraId="240776DF">
      <w:pPr>
        <w:pStyle w:val="13"/>
        <w:spacing w:line="360" w:lineRule="auto"/>
        <w:ind w:left="898" w:leftChars="342" w:hanging="180" w:hangingChars="75"/>
        <w:rPr>
          <w:rFonts w:ascii="仿宋" w:hAnsi="仿宋" w:eastAsia="仿宋" w:cs="仿宋"/>
          <w:sz w:val="24"/>
          <w:szCs w:val="24"/>
        </w:rPr>
      </w:pPr>
      <w:r>
        <w:rPr>
          <w:rFonts w:hint="eastAsia" w:ascii="仿宋" w:hAnsi="仿宋" w:eastAsia="仿宋" w:cs="仿宋"/>
          <w:sz w:val="24"/>
          <w:szCs w:val="24"/>
        </w:rPr>
        <w:t>《财政部 司法部关于政府采购支持监狱企业发展有关问题的通知》（财库〔2014〕68号）和《三部门联合发布关于促进残疾人就业政府采购政策的通知》（</w:t>
      </w:r>
      <w:r>
        <w:rPr>
          <w:rFonts w:hint="eastAsia" w:ascii="仿宋" w:hAnsi="仿宋" w:eastAsia="仿宋" w:cs="仿宋"/>
          <w:bCs/>
          <w:sz w:val="24"/>
          <w:szCs w:val="24"/>
        </w:rPr>
        <w:t>财库〔2017〕141号</w:t>
      </w:r>
      <w:r>
        <w:rPr>
          <w:rFonts w:hint="eastAsia" w:ascii="仿宋" w:hAnsi="仿宋" w:eastAsia="仿宋" w:cs="仿宋"/>
          <w:sz w:val="24"/>
          <w:szCs w:val="24"/>
        </w:rPr>
        <w:t>）的规定</w:t>
      </w:r>
      <w:r>
        <w:rPr>
          <w:rFonts w:hint="eastAsia" w:ascii="仿宋" w:hAnsi="仿宋" w:eastAsia="仿宋" w:cs="仿宋"/>
          <w:sz w:val="24"/>
          <w:szCs w:val="24"/>
          <w:lang w:eastAsia="zh-CN"/>
        </w:rPr>
        <w:t>、财政部关于印发《政府采购需求管理办法》的通知（财库〔2021〕22号）</w:t>
      </w:r>
      <w:r>
        <w:rPr>
          <w:rFonts w:hint="eastAsia" w:ascii="仿宋" w:hAnsi="仿宋" w:eastAsia="仿宋" w:cs="仿宋"/>
          <w:sz w:val="24"/>
          <w:szCs w:val="24"/>
        </w:rPr>
        <w:t>，对满足价格扣除条件且在响应文件中提交了《供应商企业类型声明函》或省级以上监狱管理局、戒毒管理局（含新疆生产建设兵团）出具的属于监狱企业的证明文件的供应商，其磋商报价扣除</w:t>
      </w:r>
      <w:r>
        <w:rPr>
          <w:rFonts w:hint="eastAsia" w:ascii="仿宋" w:hAnsi="仿宋" w:eastAsia="仿宋" w:cs="仿宋"/>
          <w:sz w:val="24"/>
          <w:szCs w:val="24"/>
          <w:u w:val="single"/>
        </w:rPr>
        <w:t>6-10%</w:t>
      </w:r>
      <w:r>
        <w:rPr>
          <w:rFonts w:hint="eastAsia" w:ascii="仿宋" w:hAnsi="仿宋" w:eastAsia="仿宋" w:cs="仿宋"/>
          <w:sz w:val="24"/>
          <w:szCs w:val="24"/>
        </w:rPr>
        <w:t>后参与评审。具体办法详见磋商文件第6章。</w:t>
      </w:r>
    </w:p>
    <w:p w14:paraId="3E41588F">
      <w:pPr>
        <w:pStyle w:val="7"/>
        <w:spacing w:before="0" w:after="0" w:line="420" w:lineRule="exact"/>
        <w:rPr>
          <w:rFonts w:ascii="仿宋" w:hAnsi="仿宋" w:eastAsia="仿宋" w:cs="仿宋"/>
          <w:u w:val="none"/>
        </w:rPr>
      </w:pPr>
      <w:bookmarkStart w:id="158" w:name="_Toc520356168"/>
      <w:bookmarkStart w:id="159" w:name="_Toc16201"/>
      <w:bookmarkStart w:id="160" w:name="_Toc9378"/>
      <w:bookmarkStart w:id="161" w:name="_Toc515647785"/>
      <w:bookmarkStart w:id="162" w:name="_Toc17823"/>
      <w:bookmarkStart w:id="163" w:name="_Toc20227"/>
      <w:r>
        <w:rPr>
          <w:rFonts w:hint="eastAsia" w:ascii="仿宋" w:hAnsi="仿宋" w:eastAsia="仿宋" w:cs="仿宋"/>
          <w:u w:val="none"/>
        </w:rPr>
        <w:t>24</w:t>
      </w:r>
      <w:bookmarkEnd w:id="158"/>
      <w:r>
        <w:rPr>
          <w:rFonts w:hint="eastAsia" w:ascii="仿宋" w:hAnsi="仿宋" w:eastAsia="仿宋" w:cs="仿宋"/>
          <w:u w:val="none"/>
        </w:rPr>
        <w:t>.废标</w:t>
      </w:r>
      <w:bookmarkEnd w:id="159"/>
      <w:bookmarkEnd w:id="160"/>
      <w:bookmarkEnd w:id="161"/>
      <w:bookmarkEnd w:id="162"/>
      <w:bookmarkEnd w:id="163"/>
    </w:p>
    <w:p w14:paraId="0ECA444C">
      <w:pPr>
        <w:spacing w:line="420" w:lineRule="exact"/>
        <w:ind w:left="898" w:leftChars="399" w:hanging="60" w:hangingChars="25"/>
        <w:rPr>
          <w:rFonts w:ascii="仿宋" w:hAnsi="仿宋" w:eastAsia="仿宋" w:cs="仿宋"/>
          <w:sz w:val="24"/>
        </w:rPr>
      </w:pPr>
      <w:r>
        <w:rPr>
          <w:rFonts w:hint="eastAsia" w:ascii="仿宋" w:hAnsi="仿宋" w:eastAsia="仿宋" w:cs="仿宋"/>
          <w:sz w:val="24"/>
        </w:rPr>
        <w:t xml:space="preserve">出现下列情形之一，将导致项目废标： </w:t>
      </w:r>
    </w:p>
    <w:p w14:paraId="08E0DBD0">
      <w:pPr>
        <w:spacing w:line="420" w:lineRule="exact"/>
        <w:ind w:left="900" w:hanging="900" w:hangingChars="375"/>
        <w:rPr>
          <w:rFonts w:ascii="仿宋" w:hAnsi="仿宋" w:eastAsia="仿宋" w:cs="仿宋"/>
          <w:sz w:val="24"/>
        </w:rPr>
      </w:pPr>
      <w:r>
        <w:rPr>
          <w:rFonts w:hint="eastAsia" w:ascii="仿宋" w:hAnsi="仿宋" w:eastAsia="仿宋" w:cs="仿宋"/>
          <w:sz w:val="24"/>
        </w:rPr>
        <w:tab/>
      </w:r>
      <w:r>
        <w:rPr>
          <w:rFonts w:hint="eastAsia" w:ascii="仿宋" w:hAnsi="仿宋" w:eastAsia="仿宋" w:cs="仿宋"/>
          <w:sz w:val="24"/>
        </w:rPr>
        <w:t>（1）出现影响采购公正的违法、违规行为的；</w:t>
      </w:r>
    </w:p>
    <w:p w14:paraId="2DA26A1D">
      <w:pPr>
        <w:spacing w:line="420" w:lineRule="exact"/>
        <w:ind w:firstLine="840" w:firstLineChars="350"/>
        <w:rPr>
          <w:rFonts w:ascii="仿宋" w:hAnsi="仿宋" w:eastAsia="仿宋" w:cs="仿宋"/>
          <w:sz w:val="24"/>
        </w:rPr>
      </w:pPr>
      <w:r>
        <w:rPr>
          <w:rFonts w:hint="eastAsia" w:ascii="仿宋" w:hAnsi="仿宋" w:eastAsia="仿宋" w:cs="仿宋"/>
          <w:sz w:val="24"/>
        </w:rPr>
        <w:t>（2）供应商的报价均超过了采购预算，采购人不能支付的；</w:t>
      </w:r>
    </w:p>
    <w:p w14:paraId="3C24412D">
      <w:pPr>
        <w:spacing w:line="420" w:lineRule="exact"/>
        <w:ind w:firstLine="840" w:firstLineChars="350"/>
        <w:rPr>
          <w:rFonts w:ascii="仿宋" w:hAnsi="仿宋" w:eastAsia="仿宋" w:cs="仿宋"/>
          <w:sz w:val="24"/>
        </w:rPr>
      </w:pPr>
      <w:r>
        <w:rPr>
          <w:rFonts w:hint="eastAsia" w:ascii="仿宋" w:hAnsi="仿宋" w:eastAsia="仿宋" w:cs="仿宋"/>
          <w:sz w:val="24"/>
        </w:rPr>
        <w:t xml:space="preserve">（3）因重大变故，采购任务取消的。   </w:t>
      </w:r>
    </w:p>
    <w:p w14:paraId="690549B3">
      <w:pPr>
        <w:pStyle w:val="7"/>
        <w:spacing w:before="0" w:after="0" w:line="420" w:lineRule="exact"/>
        <w:rPr>
          <w:rFonts w:ascii="仿宋" w:hAnsi="仿宋" w:eastAsia="仿宋" w:cs="仿宋"/>
          <w:u w:val="none"/>
        </w:rPr>
      </w:pPr>
      <w:bookmarkStart w:id="164" w:name="_Toc8176"/>
      <w:bookmarkStart w:id="165" w:name="_Toc20126"/>
      <w:bookmarkStart w:id="166" w:name="_Toc515647786"/>
      <w:bookmarkStart w:id="167" w:name="_Toc24972"/>
      <w:bookmarkStart w:id="168" w:name="_Toc31289"/>
      <w:bookmarkStart w:id="169" w:name="_Toc520356169"/>
      <w:r>
        <w:rPr>
          <w:rFonts w:hint="eastAsia" w:ascii="仿宋" w:hAnsi="仿宋" w:eastAsia="仿宋" w:cs="仿宋"/>
          <w:u w:val="none"/>
        </w:rPr>
        <w:t>25.保密原则</w:t>
      </w:r>
      <w:bookmarkEnd w:id="164"/>
      <w:bookmarkEnd w:id="165"/>
      <w:bookmarkEnd w:id="166"/>
      <w:bookmarkEnd w:id="167"/>
      <w:bookmarkEnd w:id="168"/>
    </w:p>
    <w:p w14:paraId="5761E681">
      <w:pPr>
        <w:spacing w:line="420" w:lineRule="exact"/>
        <w:ind w:left="900" w:hanging="900" w:hangingChars="375"/>
        <w:rPr>
          <w:rFonts w:ascii="仿宋" w:hAnsi="仿宋" w:eastAsia="仿宋" w:cs="仿宋"/>
          <w:sz w:val="24"/>
        </w:rPr>
      </w:pPr>
      <w:r>
        <w:rPr>
          <w:rFonts w:hint="eastAsia" w:ascii="仿宋" w:hAnsi="仿宋" w:eastAsia="仿宋" w:cs="仿宋"/>
          <w:sz w:val="24"/>
        </w:rPr>
        <w:t>25.1</w:t>
      </w:r>
      <w:r>
        <w:rPr>
          <w:rFonts w:hint="eastAsia" w:ascii="仿宋" w:hAnsi="仿宋" w:eastAsia="仿宋" w:cs="仿宋"/>
          <w:sz w:val="24"/>
        </w:rPr>
        <w:tab/>
      </w:r>
      <w:r>
        <w:rPr>
          <w:rFonts w:hint="eastAsia" w:ascii="仿宋" w:hAnsi="仿宋" w:eastAsia="仿宋" w:cs="仿宋"/>
          <w:sz w:val="24"/>
        </w:rPr>
        <w:t>评标将在严格保密的情况下进行。</w:t>
      </w:r>
    </w:p>
    <w:p w14:paraId="33AB5539">
      <w:pPr>
        <w:spacing w:line="420" w:lineRule="exact"/>
        <w:ind w:left="900" w:hanging="900" w:hangingChars="375"/>
        <w:rPr>
          <w:rFonts w:ascii="仿宋" w:hAnsi="仿宋" w:eastAsia="仿宋" w:cs="仿宋"/>
        </w:rPr>
      </w:pPr>
      <w:r>
        <w:rPr>
          <w:rFonts w:hint="eastAsia" w:ascii="仿宋" w:hAnsi="仿宋" w:eastAsia="仿宋" w:cs="仿宋"/>
          <w:sz w:val="24"/>
        </w:rPr>
        <w:t>25.2</w:t>
      </w:r>
      <w:r>
        <w:rPr>
          <w:rFonts w:hint="eastAsia" w:ascii="仿宋" w:hAnsi="仿宋" w:eastAsia="仿宋" w:cs="仿宋"/>
          <w:sz w:val="24"/>
        </w:rPr>
        <w:tab/>
      </w:r>
      <w:r>
        <w:rPr>
          <w:rFonts w:hint="eastAsia" w:ascii="仿宋" w:hAnsi="仿宋" w:eastAsia="仿宋" w:cs="仿宋"/>
          <w:sz w:val="24"/>
        </w:rPr>
        <w:t>政府采购评审专家应当遵守评审工作纪律，不得泄露评审文件、评审情况和评审中获悉的商业秘密。</w:t>
      </w:r>
    </w:p>
    <w:p w14:paraId="31469114">
      <w:pPr>
        <w:pStyle w:val="6"/>
        <w:spacing w:before="0" w:line="420" w:lineRule="exact"/>
        <w:ind w:left="1080" w:leftChars="257" w:hanging="540"/>
        <w:rPr>
          <w:rFonts w:ascii="仿宋" w:hAnsi="仿宋" w:eastAsia="仿宋" w:cs="仿宋"/>
          <w:sz w:val="24"/>
        </w:rPr>
      </w:pPr>
      <w:bookmarkStart w:id="170" w:name="_Toc216582810"/>
      <w:bookmarkStart w:id="171" w:name="_Toc23904"/>
      <w:bookmarkStart w:id="172" w:name="_Toc12143"/>
      <w:bookmarkStart w:id="173" w:name="_Toc31195"/>
      <w:bookmarkStart w:id="174" w:name="_Toc515647787"/>
      <w:bookmarkStart w:id="175" w:name="_Toc18799"/>
      <w:r>
        <w:rPr>
          <w:rFonts w:hint="eastAsia" w:ascii="仿宋" w:hAnsi="仿宋" w:eastAsia="仿宋" w:cs="仿宋"/>
          <w:sz w:val="24"/>
        </w:rPr>
        <w:t xml:space="preserve">六   </w:t>
      </w:r>
      <w:bookmarkEnd w:id="169"/>
      <w:r>
        <w:rPr>
          <w:rFonts w:hint="eastAsia" w:ascii="仿宋" w:hAnsi="仿宋" w:eastAsia="仿宋" w:cs="仿宋"/>
          <w:sz w:val="24"/>
        </w:rPr>
        <w:t>确定</w:t>
      </w:r>
      <w:bookmarkEnd w:id="170"/>
      <w:bookmarkEnd w:id="171"/>
      <w:bookmarkEnd w:id="172"/>
      <w:bookmarkEnd w:id="173"/>
      <w:bookmarkEnd w:id="174"/>
      <w:r>
        <w:rPr>
          <w:rFonts w:hint="eastAsia" w:ascii="仿宋" w:hAnsi="仿宋" w:eastAsia="仿宋" w:cs="仿宋"/>
          <w:sz w:val="24"/>
        </w:rPr>
        <w:t>成交</w:t>
      </w:r>
      <w:bookmarkEnd w:id="175"/>
    </w:p>
    <w:p w14:paraId="39E7ECCE">
      <w:pPr>
        <w:pStyle w:val="9"/>
        <w:spacing w:line="420" w:lineRule="exact"/>
        <w:ind w:firstLine="0"/>
        <w:rPr>
          <w:rFonts w:ascii="仿宋" w:hAnsi="仿宋" w:eastAsia="仿宋" w:cs="仿宋"/>
        </w:rPr>
      </w:pPr>
    </w:p>
    <w:p w14:paraId="7F6CAAD9">
      <w:pPr>
        <w:pStyle w:val="7"/>
        <w:spacing w:before="0" w:after="0" w:line="420" w:lineRule="exact"/>
        <w:rPr>
          <w:rFonts w:ascii="仿宋" w:hAnsi="仿宋" w:eastAsia="仿宋" w:cs="仿宋"/>
          <w:u w:val="none"/>
        </w:rPr>
      </w:pPr>
      <w:bookmarkStart w:id="176" w:name="_Toc515647788"/>
      <w:bookmarkStart w:id="177" w:name="_Toc23762"/>
      <w:bookmarkStart w:id="178" w:name="_Toc23617"/>
      <w:bookmarkStart w:id="179" w:name="_Toc520356170"/>
      <w:bookmarkStart w:id="180" w:name="_Ref467307010"/>
      <w:bookmarkStart w:id="181" w:name="_Toc28416"/>
      <w:bookmarkStart w:id="182" w:name="_Toc4774"/>
      <w:r>
        <w:rPr>
          <w:rFonts w:hint="eastAsia" w:ascii="仿宋" w:hAnsi="仿宋" w:eastAsia="仿宋" w:cs="仿宋"/>
          <w:u w:val="none"/>
        </w:rPr>
        <w:t>26.成交候选人的确定原则及标准</w:t>
      </w:r>
      <w:bookmarkEnd w:id="176"/>
      <w:bookmarkEnd w:id="177"/>
      <w:bookmarkEnd w:id="178"/>
      <w:bookmarkEnd w:id="179"/>
      <w:bookmarkEnd w:id="180"/>
      <w:bookmarkEnd w:id="181"/>
      <w:bookmarkEnd w:id="182"/>
    </w:p>
    <w:p w14:paraId="679C7C15">
      <w:pPr>
        <w:spacing w:line="420" w:lineRule="exact"/>
        <w:ind w:left="900" w:hanging="900" w:hangingChars="375"/>
        <w:rPr>
          <w:rFonts w:ascii="仿宋" w:hAnsi="仿宋" w:eastAsia="仿宋" w:cs="仿宋"/>
          <w:sz w:val="24"/>
        </w:rPr>
      </w:pPr>
      <w:r>
        <w:rPr>
          <w:rFonts w:hint="eastAsia" w:ascii="仿宋" w:hAnsi="仿宋" w:eastAsia="仿宋" w:cs="仿宋"/>
          <w:sz w:val="24"/>
        </w:rPr>
        <w:tab/>
      </w:r>
      <w:r>
        <w:rPr>
          <w:rFonts w:hint="eastAsia" w:ascii="仿宋" w:hAnsi="仿宋" w:eastAsia="仿宋" w:cs="仿宋"/>
          <w:sz w:val="24"/>
        </w:rPr>
        <w:t>除第28条规定外，对实质上响应磋商文件的供应商按下列方法进行排序，确定磋商候选人：</w:t>
      </w:r>
    </w:p>
    <w:p w14:paraId="1006A232">
      <w:pPr>
        <w:spacing w:line="380" w:lineRule="exact"/>
        <w:ind w:left="901"/>
        <w:rPr>
          <w:rFonts w:ascii="仿宋" w:hAnsi="仿宋" w:eastAsia="仿宋" w:cs="仿宋"/>
          <w:b/>
          <w:bCs/>
          <w:sz w:val="24"/>
          <w:u w:val="single"/>
        </w:rPr>
      </w:pPr>
      <w:bookmarkStart w:id="183" w:name="_Toc520356171"/>
      <w:bookmarkStart w:id="184" w:name="_Toc515647789"/>
      <w:r>
        <w:rPr>
          <w:rFonts w:hint="eastAsia" w:ascii="仿宋" w:hAnsi="仿宋" w:eastAsia="仿宋" w:cs="仿宋"/>
          <w:b/>
          <w:bCs/>
          <w:sz w:val="24"/>
          <w:u w:val="single"/>
        </w:rPr>
        <w:t>采用综合评分法的，评标结果按评审后得分由高到低顺序排列。得分相同的，按修正和扣除后的磋商报价由低到高顺序排列。得分与磋商报价均相同的处理方式详见磋商文件第6章。</w:t>
      </w:r>
    </w:p>
    <w:p w14:paraId="0AC386C0">
      <w:pPr>
        <w:pStyle w:val="7"/>
        <w:tabs>
          <w:tab w:val="left" w:pos="900"/>
        </w:tabs>
        <w:spacing w:before="0" w:after="0" w:line="240" w:lineRule="atLeast"/>
        <w:rPr>
          <w:rFonts w:ascii="仿宋" w:hAnsi="仿宋" w:eastAsia="仿宋" w:cs="仿宋"/>
          <w:u w:val="none"/>
        </w:rPr>
      </w:pPr>
      <w:bookmarkStart w:id="185" w:name="_Toc23951"/>
      <w:bookmarkStart w:id="186" w:name="_Toc17933"/>
      <w:bookmarkStart w:id="187" w:name="_Toc9653"/>
      <w:bookmarkStart w:id="188" w:name="_Toc30196"/>
      <w:r>
        <w:rPr>
          <w:rFonts w:hint="eastAsia" w:ascii="仿宋" w:hAnsi="仿宋" w:eastAsia="仿宋" w:cs="仿宋"/>
          <w:u w:val="none"/>
        </w:rPr>
        <w:t>27</w:t>
      </w:r>
      <w:bookmarkEnd w:id="183"/>
      <w:r>
        <w:rPr>
          <w:rFonts w:hint="eastAsia" w:ascii="仿宋" w:hAnsi="仿宋" w:eastAsia="仿宋" w:cs="仿宋"/>
          <w:u w:val="none"/>
        </w:rPr>
        <w:t>.确定成交候选人和</w:t>
      </w:r>
      <w:bookmarkEnd w:id="184"/>
      <w:bookmarkEnd w:id="185"/>
      <w:bookmarkEnd w:id="186"/>
      <w:bookmarkEnd w:id="187"/>
      <w:r>
        <w:rPr>
          <w:rFonts w:hint="eastAsia" w:ascii="仿宋" w:hAnsi="仿宋" w:eastAsia="仿宋" w:cs="仿宋"/>
          <w:u w:val="none"/>
        </w:rPr>
        <w:t>成交人</w:t>
      </w:r>
      <w:bookmarkEnd w:id="188"/>
    </w:p>
    <w:p w14:paraId="26E56FFA">
      <w:pPr>
        <w:spacing w:line="240" w:lineRule="atLeast"/>
        <w:ind w:left="900" w:hanging="900" w:hangingChars="375"/>
        <w:rPr>
          <w:rFonts w:ascii="仿宋" w:hAnsi="仿宋" w:eastAsia="仿宋" w:cs="仿宋"/>
          <w:sz w:val="24"/>
        </w:rPr>
      </w:pPr>
      <w:r>
        <w:rPr>
          <w:rFonts w:hint="eastAsia" w:ascii="仿宋" w:hAnsi="仿宋" w:eastAsia="仿宋" w:cs="仿宋"/>
          <w:sz w:val="24"/>
        </w:rPr>
        <w:tab/>
      </w:r>
      <w:r>
        <w:rPr>
          <w:rFonts w:hint="eastAsia" w:ascii="仿宋" w:hAnsi="仿宋" w:eastAsia="仿宋" w:cs="仿宋"/>
          <w:sz w:val="24"/>
        </w:rPr>
        <w:t>磋商小组将根据评标标准，按</w:t>
      </w:r>
      <w:r>
        <w:rPr>
          <w:rFonts w:hint="eastAsia" w:ascii="仿宋" w:hAnsi="仿宋" w:eastAsia="仿宋" w:cs="仿宋"/>
          <w:sz w:val="24"/>
          <w:u w:val="single"/>
        </w:rPr>
        <w:t>供应商须知资料表中</w:t>
      </w:r>
      <w:r>
        <w:rPr>
          <w:rFonts w:hint="eastAsia" w:ascii="仿宋" w:hAnsi="仿宋" w:eastAsia="仿宋" w:cs="仿宋"/>
          <w:sz w:val="24"/>
        </w:rPr>
        <w:t>规定数量推荐成交候选人；</w:t>
      </w:r>
      <w:r>
        <w:rPr>
          <w:rFonts w:hint="eastAsia" w:ascii="仿宋" w:hAnsi="仿宋" w:eastAsia="仿宋" w:cs="仿宋"/>
          <w:b/>
          <w:bCs/>
          <w:sz w:val="24"/>
          <w:u w:val="single"/>
        </w:rPr>
        <w:t>磋商小组应当根据综合评分情况，按照评审得分由高到低顺序推荐3名成交候选供应商</w:t>
      </w:r>
      <w:r>
        <w:rPr>
          <w:rFonts w:hint="eastAsia" w:ascii="仿宋" w:hAnsi="仿宋" w:eastAsia="仿宋" w:cs="仿宋"/>
          <w:sz w:val="24"/>
        </w:rPr>
        <w:t>或根据采购人的委托，直接确定成交人。</w:t>
      </w:r>
    </w:p>
    <w:p w14:paraId="68952EB4">
      <w:pPr>
        <w:pStyle w:val="7"/>
        <w:tabs>
          <w:tab w:val="left" w:pos="900"/>
        </w:tabs>
        <w:spacing w:before="0" w:after="0" w:line="240" w:lineRule="atLeast"/>
        <w:rPr>
          <w:rFonts w:ascii="仿宋" w:hAnsi="仿宋" w:eastAsia="仿宋" w:cs="仿宋"/>
          <w:u w:val="none"/>
        </w:rPr>
      </w:pPr>
      <w:bookmarkStart w:id="189" w:name="_Toc520356173"/>
      <w:bookmarkStart w:id="190" w:name="_Ref467306874"/>
      <w:bookmarkStart w:id="191" w:name="_Toc7729"/>
      <w:bookmarkStart w:id="192" w:name="_Toc8389"/>
      <w:bookmarkStart w:id="193" w:name="_Toc28562"/>
      <w:bookmarkStart w:id="194" w:name="_Toc3345"/>
      <w:bookmarkStart w:id="195" w:name="_Toc515647790"/>
      <w:r>
        <w:rPr>
          <w:rFonts w:hint="eastAsia" w:ascii="仿宋" w:hAnsi="仿宋" w:eastAsia="仿宋" w:cs="仿宋"/>
          <w:u w:val="none"/>
        </w:rPr>
        <w:t>28.</w:t>
      </w:r>
      <w:bookmarkEnd w:id="189"/>
      <w:bookmarkEnd w:id="190"/>
      <w:r>
        <w:rPr>
          <w:rFonts w:hint="eastAsia" w:ascii="仿宋" w:hAnsi="仿宋" w:eastAsia="仿宋" w:cs="仿宋"/>
          <w:u w:val="none"/>
        </w:rPr>
        <w:t>采购任务取消</w:t>
      </w:r>
      <w:bookmarkEnd w:id="191"/>
      <w:bookmarkEnd w:id="192"/>
      <w:bookmarkEnd w:id="193"/>
      <w:bookmarkEnd w:id="194"/>
      <w:bookmarkEnd w:id="195"/>
    </w:p>
    <w:p w14:paraId="63FB9C28">
      <w:pPr>
        <w:spacing w:line="240" w:lineRule="atLeast"/>
        <w:ind w:left="900" w:hanging="900" w:hangingChars="375"/>
        <w:rPr>
          <w:rFonts w:ascii="仿宋" w:hAnsi="仿宋" w:eastAsia="仿宋" w:cs="仿宋"/>
          <w:sz w:val="24"/>
        </w:rPr>
      </w:pPr>
      <w:r>
        <w:rPr>
          <w:rFonts w:hint="eastAsia" w:ascii="仿宋" w:hAnsi="仿宋" w:eastAsia="仿宋" w:cs="仿宋"/>
          <w:sz w:val="24"/>
        </w:rPr>
        <w:tab/>
      </w:r>
      <w:r>
        <w:rPr>
          <w:rFonts w:hint="eastAsia" w:ascii="仿宋" w:hAnsi="仿宋" w:eastAsia="仿宋" w:cs="仿宋"/>
          <w:sz w:val="24"/>
        </w:rPr>
        <w:t>因重大变故采购任务取消时，采购人有权拒绝任何供应商成交，且对受影响的供应商不承担任何责任。</w:t>
      </w:r>
      <w:bookmarkStart w:id="196" w:name="_Toc520356174"/>
    </w:p>
    <w:p w14:paraId="29C12FD8">
      <w:pPr>
        <w:pStyle w:val="7"/>
        <w:spacing w:before="0" w:after="0" w:line="240" w:lineRule="atLeast"/>
        <w:rPr>
          <w:rFonts w:ascii="仿宋" w:hAnsi="仿宋" w:eastAsia="仿宋" w:cs="仿宋"/>
          <w:u w:val="none"/>
        </w:rPr>
      </w:pPr>
      <w:bookmarkStart w:id="197" w:name="_Toc31099"/>
      <w:bookmarkStart w:id="198" w:name="_Toc19201"/>
      <w:bookmarkStart w:id="199" w:name="_Toc15270"/>
      <w:bookmarkStart w:id="200" w:name="_Toc515647791"/>
      <w:bookmarkStart w:id="201" w:name="_Toc30170"/>
      <w:r>
        <w:rPr>
          <w:rFonts w:hint="eastAsia" w:ascii="仿宋" w:hAnsi="仿宋" w:eastAsia="仿宋" w:cs="仿宋"/>
          <w:u w:val="none"/>
        </w:rPr>
        <w:t>29.</w:t>
      </w:r>
      <w:bookmarkEnd w:id="196"/>
      <w:r>
        <w:rPr>
          <w:rFonts w:hint="eastAsia" w:ascii="仿宋" w:hAnsi="仿宋" w:eastAsia="仿宋" w:cs="仿宋"/>
          <w:u w:val="none"/>
        </w:rPr>
        <w:t>成交通知书和招标结果通知书</w:t>
      </w:r>
      <w:bookmarkEnd w:id="197"/>
      <w:bookmarkEnd w:id="198"/>
      <w:bookmarkEnd w:id="199"/>
      <w:bookmarkEnd w:id="200"/>
      <w:bookmarkEnd w:id="201"/>
    </w:p>
    <w:p w14:paraId="79089493">
      <w:pPr>
        <w:spacing w:line="240" w:lineRule="atLeast"/>
        <w:ind w:left="900" w:hanging="900" w:hangingChars="375"/>
        <w:rPr>
          <w:rFonts w:ascii="仿宋" w:hAnsi="仿宋" w:eastAsia="仿宋" w:cs="仿宋"/>
          <w:sz w:val="24"/>
        </w:rPr>
      </w:pPr>
      <w:r>
        <w:rPr>
          <w:rFonts w:hint="eastAsia" w:ascii="仿宋" w:hAnsi="仿宋" w:eastAsia="仿宋" w:cs="仿宋"/>
          <w:sz w:val="24"/>
        </w:rPr>
        <w:t>29.1</w:t>
      </w:r>
      <w:r>
        <w:rPr>
          <w:rFonts w:hint="eastAsia" w:ascii="仿宋" w:hAnsi="仿宋" w:eastAsia="仿宋" w:cs="仿宋"/>
          <w:sz w:val="24"/>
        </w:rPr>
        <w:tab/>
      </w:r>
      <w:r>
        <w:rPr>
          <w:rFonts w:hint="eastAsia" w:ascii="仿宋" w:hAnsi="仿宋" w:eastAsia="仿宋" w:cs="仿宋"/>
          <w:sz w:val="24"/>
        </w:rPr>
        <w:t>在磋商有效期内，成交人确定后，采购人或者采购代理机构发布成交公告，同时以书面形式向成交人发出成交通知书。</w:t>
      </w:r>
    </w:p>
    <w:p w14:paraId="337DF6A3">
      <w:pPr>
        <w:spacing w:line="240" w:lineRule="atLeast"/>
        <w:ind w:left="900" w:hanging="900" w:hangingChars="375"/>
        <w:rPr>
          <w:rFonts w:ascii="仿宋" w:hAnsi="仿宋" w:eastAsia="仿宋" w:cs="仿宋"/>
          <w:sz w:val="24"/>
        </w:rPr>
      </w:pPr>
      <w:r>
        <w:rPr>
          <w:rFonts w:hint="eastAsia" w:ascii="仿宋" w:hAnsi="仿宋" w:eastAsia="仿宋" w:cs="仿宋"/>
          <w:sz w:val="24"/>
        </w:rPr>
        <w:t>29.2</w:t>
      </w:r>
      <w:r>
        <w:rPr>
          <w:rFonts w:hint="eastAsia" w:ascii="仿宋" w:hAnsi="仿宋" w:eastAsia="仿宋" w:cs="仿宋"/>
          <w:sz w:val="24"/>
        </w:rPr>
        <w:tab/>
      </w:r>
      <w:r>
        <w:rPr>
          <w:rFonts w:hint="eastAsia" w:ascii="仿宋" w:hAnsi="仿宋" w:eastAsia="仿宋" w:cs="仿宋"/>
          <w:sz w:val="24"/>
        </w:rPr>
        <w:t>成交通知书是合同的组成部分。</w:t>
      </w:r>
    </w:p>
    <w:p w14:paraId="3D0B4BFA">
      <w:pPr>
        <w:spacing w:line="240" w:lineRule="atLeast"/>
        <w:ind w:left="900" w:hanging="900" w:hangingChars="375"/>
        <w:rPr>
          <w:rFonts w:ascii="仿宋" w:hAnsi="仿宋" w:eastAsia="仿宋" w:cs="仿宋"/>
          <w:sz w:val="24"/>
        </w:rPr>
      </w:pPr>
      <w:r>
        <w:rPr>
          <w:rFonts w:hint="eastAsia" w:ascii="仿宋" w:hAnsi="仿宋" w:eastAsia="仿宋" w:cs="仿宋"/>
          <w:sz w:val="24"/>
        </w:rPr>
        <w:t>29.3    招标结果通知书和成交通知书同时发出。招标结果通知书中将告知未通过资格审查的供应商未通过的原因；采用综合评分法评审的，还将告知未成交人本人的评审得分和排序。</w:t>
      </w:r>
    </w:p>
    <w:p w14:paraId="2C714BFF">
      <w:pPr>
        <w:pStyle w:val="7"/>
        <w:spacing w:before="0" w:after="0" w:line="240" w:lineRule="atLeast"/>
        <w:rPr>
          <w:rFonts w:ascii="仿宋" w:hAnsi="仿宋" w:eastAsia="仿宋" w:cs="仿宋"/>
          <w:u w:val="none"/>
        </w:rPr>
      </w:pPr>
      <w:bookmarkStart w:id="202" w:name="_Toc790"/>
      <w:bookmarkStart w:id="203" w:name="_Toc7779"/>
      <w:bookmarkStart w:id="204" w:name="_Ref467306377"/>
      <w:bookmarkStart w:id="205" w:name="_Toc15063"/>
      <w:bookmarkStart w:id="206" w:name="_Ref467306978"/>
      <w:bookmarkStart w:id="207" w:name="_Toc12744"/>
      <w:bookmarkStart w:id="208" w:name="_Ref467307062"/>
      <w:bookmarkStart w:id="209" w:name="_Ref467307204"/>
      <w:bookmarkStart w:id="210" w:name="_Toc520356175"/>
      <w:bookmarkStart w:id="211" w:name="_Toc515647792"/>
      <w:r>
        <w:rPr>
          <w:rFonts w:hint="eastAsia" w:ascii="仿宋" w:hAnsi="仿宋" w:eastAsia="仿宋" w:cs="仿宋"/>
          <w:u w:val="none"/>
        </w:rPr>
        <w:t>30.签订合同</w:t>
      </w:r>
      <w:bookmarkEnd w:id="202"/>
      <w:bookmarkEnd w:id="203"/>
      <w:bookmarkEnd w:id="204"/>
      <w:bookmarkEnd w:id="205"/>
      <w:bookmarkEnd w:id="206"/>
      <w:bookmarkEnd w:id="207"/>
      <w:bookmarkEnd w:id="208"/>
      <w:bookmarkEnd w:id="209"/>
      <w:bookmarkEnd w:id="210"/>
      <w:bookmarkEnd w:id="211"/>
    </w:p>
    <w:p w14:paraId="6E095A17">
      <w:pPr>
        <w:spacing w:line="240" w:lineRule="atLeast"/>
        <w:ind w:left="900" w:hanging="900" w:hangingChars="375"/>
        <w:rPr>
          <w:rFonts w:ascii="仿宋" w:hAnsi="仿宋" w:eastAsia="仿宋" w:cs="仿宋"/>
          <w:sz w:val="24"/>
        </w:rPr>
      </w:pPr>
      <w:r>
        <w:rPr>
          <w:rFonts w:hint="eastAsia" w:ascii="仿宋" w:hAnsi="仿宋" w:eastAsia="仿宋" w:cs="仿宋"/>
          <w:sz w:val="24"/>
        </w:rPr>
        <w:t>30.1</w:t>
      </w:r>
      <w:r>
        <w:rPr>
          <w:rFonts w:hint="eastAsia" w:ascii="仿宋" w:hAnsi="仿宋" w:eastAsia="仿宋" w:cs="仿宋"/>
          <w:sz w:val="24"/>
        </w:rPr>
        <w:tab/>
      </w:r>
      <w:r>
        <w:rPr>
          <w:rFonts w:hint="eastAsia" w:ascii="仿宋" w:hAnsi="仿宋" w:eastAsia="仿宋" w:cs="仿宋"/>
          <w:sz w:val="24"/>
        </w:rPr>
        <w:t>成交人应当自发出成交通知书之日起30日内，与采购人签订合同。</w:t>
      </w:r>
    </w:p>
    <w:p w14:paraId="3A50D18C">
      <w:pPr>
        <w:spacing w:line="300" w:lineRule="exact"/>
        <w:ind w:left="900" w:hanging="900" w:hangingChars="375"/>
        <w:rPr>
          <w:rFonts w:ascii="仿宋" w:hAnsi="仿宋" w:eastAsia="仿宋" w:cs="仿宋"/>
          <w:sz w:val="24"/>
        </w:rPr>
      </w:pPr>
      <w:r>
        <w:rPr>
          <w:rFonts w:hint="eastAsia" w:ascii="仿宋" w:hAnsi="仿宋" w:eastAsia="仿宋" w:cs="仿宋"/>
          <w:sz w:val="24"/>
        </w:rPr>
        <w:t>30.2</w:t>
      </w:r>
      <w:r>
        <w:rPr>
          <w:rFonts w:hint="eastAsia" w:ascii="仿宋" w:hAnsi="仿宋" w:eastAsia="仿宋" w:cs="仿宋"/>
          <w:sz w:val="24"/>
        </w:rPr>
        <w:tab/>
      </w:r>
      <w:bookmarkStart w:id="212" w:name="_Toc520356176"/>
      <w:bookmarkStart w:id="213" w:name="_Ref467307090"/>
      <w:bookmarkStart w:id="214" w:name="_Ref467306425"/>
      <w:r>
        <w:rPr>
          <w:rFonts w:hint="eastAsia" w:ascii="仿宋" w:hAnsi="仿宋" w:eastAsia="仿宋" w:cs="仿宋"/>
          <w:sz w:val="24"/>
        </w:rPr>
        <w:t>磋商文件、成交人的响应文件及其澄清文件等，均为签订合同的依据。</w:t>
      </w:r>
    </w:p>
    <w:p w14:paraId="0B9BF4D8">
      <w:pPr>
        <w:spacing w:line="300" w:lineRule="exact"/>
        <w:ind w:left="900" w:hanging="900" w:hangingChars="375"/>
        <w:rPr>
          <w:rFonts w:ascii="仿宋" w:hAnsi="仿宋" w:eastAsia="仿宋" w:cs="仿宋"/>
          <w:sz w:val="24"/>
        </w:rPr>
      </w:pPr>
      <w:r>
        <w:rPr>
          <w:rFonts w:hint="eastAsia" w:ascii="仿宋" w:hAnsi="仿宋" w:eastAsia="仿宋" w:cs="仿宋"/>
          <w:sz w:val="24"/>
        </w:rPr>
        <w:t>30.3   成交人拒绝与采购人签订合同的，采购人可以按照评审报告推荐的成交</w:t>
      </w:r>
    </w:p>
    <w:p w14:paraId="23919357">
      <w:pPr>
        <w:spacing w:line="300" w:lineRule="exact"/>
        <w:ind w:left="958" w:leftChars="456" w:firstLine="60" w:firstLineChars="25"/>
        <w:rPr>
          <w:rFonts w:ascii="仿宋" w:hAnsi="仿宋" w:eastAsia="仿宋" w:cs="仿宋"/>
          <w:sz w:val="24"/>
        </w:rPr>
      </w:pPr>
      <w:r>
        <w:rPr>
          <w:rFonts w:hint="eastAsia" w:ascii="仿宋" w:hAnsi="仿宋" w:eastAsia="仿宋" w:cs="仿宋"/>
          <w:sz w:val="24"/>
        </w:rPr>
        <w:t>候选人名单排序，确定下一成交候选人为成交人，也可以重新开展政府采购活动。</w:t>
      </w:r>
    </w:p>
    <w:p w14:paraId="28DBF7F1">
      <w:pPr>
        <w:spacing w:line="300" w:lineRule="exact"/>
        <w:ind w:left="900" w:hanging="900" w:hangingChars="375"/>
        <w:rPr>
          <w:rFonts w:ascii="仿宋" w:hAnsi="仿宋" w:eastAsia="仿宋" w:cs="仿宋"/>
          <w:sz w:val="24"/>
        </w:rPr>
      </w:pPr>
      <w:r>
        <w:rPr>
          <w:rFonts w:hint="eastAsia" w:ascii="仿宋" w:hAnsi="仿宋" w:eastAsia="仿宋" w:cs="仿宋"/>
          <w:sz w:val="24"/>
        </w:rPr>
        <w:t>30.4   当出现法规规定的</w:t>
      </w:r>
      <w:r>
        <w:rPr>
          <w:rFonts w:hint="eastAsia" w:ascii="仿宋" w:hAnsi="仿宋" w:eastAsia="仿宋" w:cs="仿宋"/>
          <w:b/>
          <w:sz w:val="24"/>
        </w:rPr>
        <w:t>成交无效或成交结果无效</w:t>
      </w:r>
      <w:r>
        <w:rPr>
          <w:rFonts w:hint="eastAsia" w:ascii="仿宋" w:hAnsi="仿宋" w:eastAsia="仿宋" w:cs="仿宋"/>
          <w:sz w:val="24"/>
        </w:rPr>
        <w:t>情形时，采购人可与排名下一位的成交候选人另行签订合同，或依法重新开展采购活动。</w:t>
      </w:r>
    </w:p>
    <w:p w14:paraId="389D594F">
      <w:pPr>
        <w:pStyle w:val="7"/>
        <w:spacing w:before="0" w:after="0" w:line="240" w:lineRule="atLeast"/>
        <w:rPr>
          <w:rFonts w:ascii="仿宋" w:hAnsi="仿宋" w:eastAsia="仿宋" w:cs="仿宋"/>
          <w:u w:val="none"/>
        </w:rPr>
      </w:pPr>
      <w:bookmarkStart w:id="215" w:name="_Toc515647793"/>
      <w:bookmarkStart w:id="216" w:name="_Toc22555"/>
      <w:bookmarkStart w:id="217" w:name="_Toc23643"/>
      <w:bookmarkStart w:id="218" w:name="_Toc6921"/>
      <w:bookmarkStart w:id="219" w:name="_Toc14080"/>
      <w:r>
        <w:rPr>
          <w:rFonts w:hint="eastAsia" w:ascii="仿宋" w:hAnsi="仿宋" w:eastAsia="仿宋" w:cs="仿宋"/>
          <w:u w:val="none"/>
        </w:rPr>
        <w:t>31.履约保证金</w:t>
      </w:r>
      <w:bookmarkEnd w:id="212"/>
      <w:bookmarkEnd w:id="213"/>
      <w:bookmarkEnd w:id="214"/>
      <w:bookmarkEnd w:id="215"/>
      <w:bookmarkEnd w:id="216"/>
      <w:bookmarkEnd w:id="217"/>
      <w:bookmarkEnd w:id="218"/>
      <w:bookmarkEnd w:id="219"/>
    </w:p>
    <w:p w14:paraId="1763A591">
      <w:pPr>
        <w:spacing w:line="240" w:lineRule="atLeast"/>
        <w:ind w:left="900" w:hanging="900" w:hangingChars="375"/>
        <w:rPr>
          <w:rFonts w:ascii="仿宋" w:hAnsi="仿宋" w:eastAsia="仿宋" w:cs="仿宋"/>
          <w:sz w:val="24"/>
        </w:rPr>
      </w:pPr>
      <w:r>
        <w:rPr>
          <w:rFonts w:hint="eastAsia" w:ascii="仿宋" w:hAnsi="仿宋" w:eastAsia="仿宋" w:cs="仿宋"/>
          <w:sz w:val="24"/>
        </w:rPr>
        <w:t>31.1</w:t>
      </w:r>
      <w:r>
        <w:rPr>
          <w:rFonts w:hint="eastAsia" w:ascii="仿宋" w:hAnsi="仿宋" w:eastAsia="仿宋" w:cs="仿宋"/>
          <w:sz w:val="24"/>
        </w:rPr>
        <w:tab/>
      </w:r>
      <w:r>
        <w:rPr>
          <w:rFonts w:hint="eastAsia" w:ascii="仿宋" w:hAnsi="仿宋" w:eastAsia="仿宋" w:cs="仿宋"/>
          <w:sz w:val="24"/>
        </w:rPr>
        <w:t>成交人应按照</w:t>
      </w:r>
      <w:r>
        <w:rPr>
          <w:rFonts w:hint="eastAsia" w:ascii="仿宋" w:hAnsi="仿宋" w:eastAsia="仿宋" w:cs="仿宋"/>
          <w:sz w:val="24"/>
          <w:u w:val="single"/>
        </w:rPr>
        <w:t>供应商须知资料表</w:t>
      </w:r>
      <w:r>
        <w:rPr>
          <w:rFonts w:hint="eastAsia" w:ascii="仿宋" w:hAnsi="仿宋" w:eastAsia="仿宋" w:cs="仿宋"/>
          <w:sz w:val="24"/>
        </w:rPr>
        <w:t>规定向采购人缴纳履约保证金（如采用保函形式，格式见本章附件1）。</w:t>
      </w:r>
    </w:p>
    <w:p w14:paraId="321EB5E6">
      <w:pPr>
        <w:spacing w:line="240" w:lineRule="atLeast"/>
        <w:ind w:left="900" w:hanging="900" w:hangingChars="375"/>
        <w:rPr>
          <w:rFonts w:ascii="仿宋" w:hAnsi="仿宋" w:eastAsia="仿宋" w:cs="仿宋"/>
          <w:sz w:val="24"/>
        </w:rPr>
      </w:pPr>
      <w:r>
        <w:rPr>
          <w:rFonts w:hint="eastAsia" w:ascii="仿宋" w:hAnsi="仿宋" w:eastAsia="仿宋" w:cs="仿宋"/>
          <w:sz w:val="24"/>
        </w:rPr>
        <w:t>31.2</w:t>
      </w:r>
      <w:r>
        <w:rPr>
          <w:rFonts w:hint="eastAsia" w:ascii="仿宋" w:hAnsi="仿宋" w:eastAsia="仿宋" w:cs="仿宋"/>
          <w:sz w:val="24"/>
        </w:rPr>
        <w:tab/>
      </w:r>
      <w:r>
        <w:rPr>
          <w:rFonts w:hint="eastAsia" w:ascii="仿宋" w:hAnsi="仿宋" w:eastAsia="仿宋" w:cs="仿宋"/>
          <w:sz w:val="24"/>
        </w:rPr>
        <w:t>政府采购利用担保试点范围内的项目，除31.1规定的情形外，成交人也可以按照财政部门的规定，向采购人提供合格的履约担保函（格式见本章附件2）。</w:t>
      </w:r>
    </w:p>
    <w:p w14:paraId="2E0170ED">
      <w:pPr>
        <w:spacing w:line="240" w:lineRule="atLeast"/>
        <w:ind w:left="900" w:hanging="900" w:hangingChars="375"/>
        <w:rPr>
          <w:rFonts w:ascii="仿宋" w:hAnsi="仿宋" w:eastAsia="仿宋" w:cs="仿宋"/>
          <w:sz w:val="24"/>
        </w:rPr>
      </w:pPr>
      <w:r>
        <w:rPr>
          <w:rFonts w:hint="eastAsia" w:ascii="仿宋" w:hAnsi="仿宋" w:eastAsia="仿宋" w:cs="仿宋"/>
          <w:sz w:val="24"/>
        </w:rPr>
        <w:t>31.3   如果成交人没有按照上述履约保证金的规定执行，将视为放弃成交资格，成交人的磋商保证金将不予退还。在此情况下，采购人可确定下一候选人为成交人，也可以重新开展采购活动。</w:t>
      </w:r>
    </w:p>
    <w:p w14:paraId="4FFCFDB0">
      <w:pPr>
        <w:pStyle w:val="7"/>
        <w:spacing w:before="0" w:after="0" w:line="240" w:lineRule="atLeast"/>
        <w:rPr>
          <w:rFonts w:ascii="仿宋" w:hAnsi="仿宋" w:eastAsia="仿宋" w:cs="仿宋"/>
          <w:u w:val="none"/>
        </w:rPr>
      </w:pPr>
      <w:bookmarkStart w:id="220" w:name="_Toc15839"/>
      <w:bookmarkStart w:id="221" w:name="_Toc515647794"/>
      <w:bookmarkStart w:id="222" w:name="_Toc29652"/>
      <w:bookmarkStart w:id="223" w:name="_Toc3090"/>
      <w:bookmarkStart w:id="224" w:name="_Toc29408"/>
      <w:r>
        <w:rPr>
          <w:rFonts w:hint="eastAsia" w:ascii="仿宋" w:hAnsi="仿宋" w:eastAsia="仿宋" w:cs="仿宋"/>
          <w:u w:val="none"/>
        </w:rPr>
        <w:t>32.成交服务费</w:t>
      </w:r>
      <w:bookmarkEnd w:id="220"/>
      <w:bookmarkEnd w:id="221"/>
      <w:bookmarkEnd w:id="222"/>
      <w:bookmarkEnd w:id="223"/>
      <w:bookmarkEnd w:id="224"/>
    </w:p>
    <w:p w14:paraId="27F0CFA3">
      <w:pPr>
        <w:spacing w:line="240" w:lineRule="atLeast"/>
        <w:ind w:left="840" w:leftChars="200" w:hanging="420" w:hangingChars="175"/>
        <w:rPr>
          <w:rFonts w:ascii="仿宋" w:hAnsi="仿宋" w:eastAsia="仿宋" w:cs="仿宋"/>
          <w:sz w:val="24"/>
        </w:rPr>
      </w:pPr>
      <w:r>
        <w:rPr>
          <w:rFonts w:hint="eastAsia" w:ascii="仿宋" w:hAnsi="仿宋" w:eastAsia="仿宋" w:cs="仿宋"/>
          <w:sz w:val="24"/>
        </w:rPr>
        <w:t xml:space="preserve">   成交人须按照</w:t>
      </w:r>
      <w:r>
        <w:rPr>
          <w:rFonts w:hint="eastAsia" w:ascii="仿宋" w:hAnsi="仿宋" w:eastAsia="仿宋" w:cs="仿宋"/>
          <w:sz w:val="24"/>
          <w:u w:val="single"/>
        </w:rPr>
        <w:t>磋商须知资料表</w:t>
      </w:r>
      <w:r>
        <w:rPr>
          <w:rFonts w:hint="eastAsia" w:ascii="仿宋" w:hAnsi="仿宋" w:eastAsia="仿宋" w:cs="仿宋"/>
          <w:sz w:val="24"/>
        </w:rPr>
        <w:t>规定，向采购代理机构支付成交服务费。</w:t>
      </w:r>
    </w:p>
    <w:p w14:paraId="03B98F2E">
      <w:pPr>
        <w:pStyle w:val="7"/>
        <w:spacing w:before="0" w:after="0" w:line="240" w:lineRule="atLeast"/>
        <w:rPr>
          <w:rFonts w:ascii="仿宋" w:hAnsi="仿宋" w:eastAsia="仿宋" w:cs="仿宋"/>
          <w:u w:val="none"/>
        </w:rPr>
      </w:pPr>
      <w:bookmarkStart w:id="225" w:name="_Toc6923"/>
      <w:bookmarkStart w:id="226" w:name="_Toc15312"/>
      <w:bookmarkStart w:id="227" w:name="_Toc7049"/>
      <w:bookmarkStart w:id="228" w:name="_Toc1343"/>
      <w:bookmarkStart w:id="229" w:name="_Toc515647795"/>
      <w:r>
        <w:rPr>
          <w:rFonts w:hint="eastAsia" w:ascii="仿宋" w:hAnsi="仿宋" w:eastAsia="仿宋" w:cs="仿宋"/>
          <w:u w:val="none"/>
        </w:rPr>
        <w:t>33.政府采购信用担保</w:t>
      </w:r>
      <w:bookmarkEnd w:id="225"/>
      <w:bookmarkEnd w:id="226"/>
      <w:bookmarkEnd w:id="227"/>
      <w:bookmarkEnd w:id="228"/>
      <w:bookmarkEnd w:id="229"/>
    </w:p>
    <w:p w14:paraId="7A4253D6">
      <w:pPr>
        <w:spacing w:line="240" w:lineRule="atLeast"/>
        <w:ind w:left="900" w:hanging="900" w:hangingChars="375"/>
        <w:rPr>
          <w:rFonts w:ascii="仿宋" w:hAnsi="仿宋" w:eastAsia="仿宋" w:cs="仿宋"/>
          <w:sz w:val="24"/>
        </w:rPr>
      </w:pPr>
      <w:r>
        <w:rPr>
          <w:rFonts w:hint="eastAsia" w:ascii="仿宋" w:hAnsi="仿宋" w:eastAsia="仿宋" w:cs="仿宋"/>
          <w:sz w:val="24"/>
        </w:rPr>
        <w:t>33.1   本项目是否属于信用担保试点范围见</w:t>
      </w:r>
      <w:r>
        <w:rPr>
          <w:rFonts w:hint="eastAsia" w:ascii="仿宋" w:hAnsi="仿宋" w:eastAsia="仿宋" w:cs="仿宋"/>
          <w:sz w:val="24"/>
          <w:u w:val="single"/>
        </w:rPr>
        <w:t>供应商须知资料表</w:t>
      </w:r>
      <w:r>
        <w:rPr>
          <w:rFonts w:hint="eastAsia" w:ascii="仿宋" w:hAnsi="仿宋" w:eastAsia="仿宋" w:cs="仿宋"/>
          <w:sz w:val="24"/>
        </w:rPr>
        <w:t>。</w:t>
      </w:r>
    </w:p>
    <w:p w14:paraId="28B5C5A5">
      <w:pPr>
        <w:spacing w:line="320" w:lineRule="exact"/>
        <w:ind w:left="850" w:hanging="849" w:hangingChars="354"/>
        <w:rPr>
          <w:rFonts w:ascii="仿宋" w:hAnsi="仿宋" w:eastAsia="仿宋" w:cs="仿宋"/>
          <w:sz w:val="24"/>
        </w:rPr>
      </w:pPr>
      <w:r>
        <w:rPr>
          <w:rFonts w:hint="eastAsia" w:ascii="仿宋" w:hAnsi="仿宋" w:eastAsia="仿宋" w:cs="仿宋"/>
          <w:sz w:val="24"/>
        </w:rPr>
        <w:t>33.2   如属于政府采购信用担保试点范围内，中小型企业供应商可以自由按照财政部门的规定，采用磋商担保、履约担保和融资担保。</w:t>
      </w:r>
    </w:p>
    <w:p w14:paraId="69B1BFB0">
      <w:pPr>
        <w:spacing w:line="320" w:lineRule="exact"/>
        <w:ind w:left="900" w:hanging="900" w:hangingChars="375"/>
        <w:rPr>
          <w:rFonts w:ascii="仿宋" w:hAnsi="仿宋" w:eastAsia="仿宋" w:cs="仿宋"/>
          <w:sz w:val="24"/>
        </w:rPr>
      </w:pPr>
      <w:r>
        <w:rPr>
          <w:rFonts w:hint="eastAsia" w:ascii="仿宋" w:hAnsi="仿宋" w:eastAsia="仿宋" w:cs="仿宋"/>
          <w:sz w:val="24"/>
        </w:rPr>
        <w:t>33.2.1 供应商递交的磋商担保函和履约担保函应符合本磋商文件的规定。</w:t>
      </w:r>
    </w:p>
    <w:p w14:paraId="07C8E207">
      <w:pPr>
        <w:spacing w:line="240" w:lineRule="atLeast"/>
        <w:ind w:left="900" w:hanging="900" w:hangingChars="375"/>
        <w:rPr>
          <w:rFonts w:ascii="仿宋" w:hAnsi="仿宋" w:eastAsia="仿宋" w:cs="仿宋"/>
          <w:sz w:val="24"/>
        </w:rPr>
      </w:pPr>
      <w:r>
        <w:rPr>
          <w:rFonts w:hint="eastAsia" w:ascii="仿宋" w:hAnsi="仿宋" w:eastAsia="仿宋" w:cs="仿宋"/>
          <w:sz w:val="24"/>
        </w:rPr>
        <w:t>33.2.2 成交人可以采取融资担保的形式为政府采购项目履约进行融资。</w:t>
      </w:r>
    </w:p>
    <w:p w14:paraId="202DED3B">
      <w:pPr>
        <w:spacing w:line="240" w:lineRule="atLeast"/>
        <w:ind w:left="900" w:hanging="900" w:hangingChars="375"/>
        <w:rPr>
          <w:rFonts w:ascii="仿宋" w:hAnsi="仿宋" w:eastAsia="仿宋" w:cs="仿宋"/>
          <w:sz w:val="24"/>
        </w:rPr>
      </w:pPr>
      <w:r>
        <w:rPr>
          <w:rFonts w:hint="eastAsia" w:ascii="仿宋" w:hAnsi="仿宋" w:eastAsia="仿宋" w:cs="仿宋"/>
          <w:sz w:val="24"/>
        </w:rPr>
        <w:t>33.2.3 合格的政府采购专业信用担保机构名单见</w:t>
      </w:r>
      <w:r>
        <w:rPr>
          <w:rFonts w:hint="eastAsia" w:ascii="仿宋" w:hAnsi="仿宋" w:eastAsia="仿宋" w:cs="仿宋"/>
          <w:sz w:val="24"/>
          <w:u w:val="single"/>
        </w:rPr>
        <w:t>供应商须知资料表</w:t>
      </w:r>
      <w:r>
        <w:rPr>
          <w:rFonts w:hint="eastAsia" w:ascii="仿宋" w:hAnsi="仿宋" w:eastAsia="仿宋" w:cs="仿宋"/>
          <w:sz w:val="24"/>
        </w:rPr>
        <w:t>。</w:t>
      </w:r>
    </w:p>
    <w:p w14:paraId="503F910C">
      <w:pPr>
        <w:pStyle w:val="7"/>
        <w:spacing w:before="0" w:after="0" w:line="240" w:lineRule="atLeast"/>
        <w:rPr>
          <w:rFonts w:ascii="仿宋" w:hAnsi="仿宋" w:eastAsia="仿宋" w:cs="仿宋"/>
          <w:u w:val="none"/>
        </w:rPr>
      </w:pPr>
      <w:bookmarkStart w:id="230" w:name="_Toc515647796"/>
      <w:bookmarkStart w:id="231" w:name="_Toc18423"/>
      <w:bookmarkStart w:id="232" w:name="_Toc23999"/>
      <w:bookmarkStart w:id="233" w:name="_Toc2133"/>
      <w:bookmarkStart w:id="234" w:name="_Toc9673"/>
      <w:r>
        <w:rPr>
          <w:rFonts w:hint="eastAsia" w:ascii="仿宋" w:hAnsi="仿宋" w:eastAsia="仿宋" w:cs="仿宋"/>
          <w:u w:val="none"/>
        </w:rPr>
        <w:t>34.廉洁自律规定</w:t>
      </w:r>
      <w:bookmarkEnd w:id="230"/>
      <w:bookmarkEnd w:id="231"/>
      <w:bookmarkEnd w:id="232"/>
      <w:bookmarkEnd w:id="233"/>
      <w:bookmarkEnd w:id="234"/>
    </w:p>
    <w:p w14:paraId="59EBEF85">
      <w:pPr>
        <w:spacing w:line="240" w:lineRule="atLeast"/>
        <w:ind w:left="900" w:hanging="900" w:hangingChars="375"/>
        <w:rPr>
          <w:rFonts w:ascii="仿宋" w:hAnsi="仿宋" w:eastAsia="仿宋" w:cs="仿宋"/>
          <w:sz w:val="24"/>
        </w:rPr>
      </w:pPr>
      <w:r>
        <w:rPr>
          <w:rFonts w:hint="eastAsia" w:ascii="仿宋" w:hAnsi="仿宋" w:eastAsia="仿宋" w:cs="仿宋"/>
          <w:sz w:val="24"/>
        </w:rPr>
        <w:t>34.1   采购代理机构工作人员不得以不正当手段获取政府采购代理业务，不得与采购人、供应商恶意串通操纵政府采购活动。</w:t>
      </w:r>
    </w:p>
    <w:p w14:paraId="50B9B5C0">
      <w:pPr>
        <w:spacing w:line="240" w:lineRule="atLeast"/>
        <w:ind w:left="900" w:hanging="900" w:hangingChars="375"/>
        <w:rPr>
          <w:rFonts w:ascii="仿宋" w:hAnsi="仿宋" w:eastAsia="仿宋" w:cs="仿宋"/>
          <w:sz w:val="24"/>
        </w:rPr>
      </w:pPr>
      <w:r>
        <w:rPr>
          <w:rFonts w:hint="eastAsia" w:ascii="仿宋" w:hAnsi="仿宋" w:eastAsia="仿宋" w:cs="仿宋"/>
          <w:sz w:val="24"/>
        </w:rPr>
        <w:t>34.2   采购代理机构工作人员不得接受采购人或者供应商组织的宴请、旅游、娱乐，不得收受礼品、现金、有价证券等，不得向采购人或者供应商报销应当由个人承担的费用。</w:t>
      </w:r>
    </w:p>
    <w:p w14:paraId="36D5CB93">
      <w:pPr>
        <w:spacing w:line="240" w:lineRule="atLeast"/>
        <w:ind w:left="900" w:hanging="900" w:hangingChars="375"/>
        <w:rPr>
          <w:rFonts w:ascii="仿宋" w:hAnsi="仿宋" w:eastAsia="仿宋" w:cs="仿宋"/>
          <w:sz w:val="24"/>
        </w:rPr>
      </w:pPr>
      <w:r>
        <w:rPr>
          <w:rFonts w:hint="eastAsia" w:ascii="仿宋" w:hAnsi="仿宋" w:eastAsia="仿宋" w:cs="仿宋"/>
          <w:sz w:val="24"/>
        </w:rPr>
        <w:t>34.3   为强化采购代理机构内部监督机制，供应商可按</w:t>
      </w:r>
      <w:r>
        <w:rPr>
          <w:rFonts w:hint="eastAsia" w:ascii="仿宋" w:hAnsi="仿宋" w:eastAsia="仿宋" w:cs="仿宋"/>
          <w:sz w:val="24"/>
          <w:u w:val="single"/>
        </w:rPr>
        <w:t>供应商须知资料表中的</w:t>
      </w:r>
      <w:r>
        <w:rPr>
          <w:rFonts w:hint="eastAsia" w:ascii="仿宋" w:hAnsi="仿宋" w:eastAsia="仿宋" w:cs="仿宋"/>
          <w:sz w:val="24"/>
        </w:rPr>
        <w:t>监督电话和邮箱，反映采购代理机构的廉洁自律等问题。</w:t>
      </w:r>
    </w:p>
    <w:p w14:paraId="05122B72">
      <w:pPr>
        <w:pStyle w:val="7"/>
        <w:spacing w:before="0" w:after="0" w:line="240" w:lineRule="atLeast"/>
        <w:rPr>
          <w:rFonts w:ascii="仿宋" w:hAnsi="仿宋" w:eastAsia="仿宋" w:cs="仿宋"/>
          <w:u w:val="none"/>
        </w:rPr>
      </w:pPr>
      <w:bookmarkStart w:id="235" w:name="_Toc11586"/>
      <w:bookmarkStart w:id="236" w:name="_Toc25480"/>
      <w:bookmarkStart w:id="237" w:name="_Toc2371"/>
      <w:bookmarkStart w:id="238" w:name="_Toc515647797"/>
      <w:bookmarkStart w:id="239" w:name="_Toc3386"/>
      <w:r>
        <w:rPr>
          <w:rFonts w:hint="eastAsia" w:ascii="仿宋" w:hAnsi="仿宋" w:eastAsia="仿宋" w:cs="仿宋"/>
          <w:u w:val="none"/>
        </w:rPr>
        <w:t>35.人员回避</w:t>
      </w:r>
      <w:bookmarkEnd w:id="235"/>
      <w:bookmarkEnd w:id="236"/>
      <w:bookmarkEnd w:id="237"/>
      <w:bookmarkEnd w:id="238"/>
      <w:bookmarkEnd w:id="239"/>
    </w:p>
    <w:p w14:paraId="61D12277">
      <w:pPr>
        <w:spacing w:line="240" w:lineRule="atLeast"/>
        <w:ind w:left="900" w:hanging="900" w:hangingChars="375"/>
        <w:rPr>
          <w:rFonts w:ascii="仿宋" w:hAnsi="仿宋" w:eastAsia="仿宋" w:cs="仿宋"/>
          <w:sz w:val="24"/>
        </w:rPr>
      </w:pPr>
      <w:r>
        <w:rPr>
          <w:rFonts w:hint="eastAsia" w:ascii="仿宋" w:hAnsi="仿宋" w:eastAsia="仿宋" w:cs="仿宋"/>
          <w:sz w:val="24"/>
        </w:rPr>
        <w:t xml:space="preserve">       供应商认为采购人员及其相关人员有法律法规所列与其他供应商有利害关系的，可以向采购人或采购代理机构书面提出回避申请，并说明理由。</w:t>
      </w:r>
    </w:p>
    <w:p w14:paraId="6D7BDA63">
      <w:pPr>
        <w:pStyle w:val="7"/>
        <w:spacing w:before="0" w:after="0" w:line="240" w:lineRule="atLeast"/>
        <w:rPr>
          <w:rFonts w:ascii="仿宋" w:hAnsi="仿宋" w:eastAsia="仿宋" w:cs="仿宋"/>
          <w:u w:val="none"/>
        </w:rPr>
      </w:pPr>
      <w:bookmarkStart w:id="240" w:name="_Toc25962"/>
      <w:bookmarkStart w:id="241" w:name="_Toc1148"/>
      <w:bookmarkStart w:id="242" w:name="_Toc11115"/>
      <w:bookmarkStart w:id="243" w:name="_Toc27914"/>
      <w:bookmarkStart w:id="244" w:name="_Toc515647798"/>
      <w:r>
        <w:rPr>
          <w:rFonts w:hint="eastAsia" w:ascii="仿宋" w:hAnsi="仿宋" w:eastAsia="仿宋" w:cs="仿宋"/>
          <w:u w:val="none"/>
        </w:rPr>
        <w:t>36.质疑与接收</w:t>
      </w:r>
      <w:bookmarkEnd w:id="240"/>
      <w:bookmarkEnd w:id="241"/>
      <w:bookmarkEnd w:id="242"/>
      <w:bookmarkEnd w:id="243"/>
      <w:bookmarkEnd w:id="244"/>
    </w:p>
    <w:p w14:paraId="47254427">
      <w:pPr>
        <w:spacing w:line="240" w:lineRule="atLeast"/>
        <w:ind w:left="851" w:leftChars="68" w:hanging="708" w:hangingChars="295"/>
        <w:rPr>
          <w:rFonts w:ascii="仿宋" w:hAnsi="仿宋" w:eastAsia="仿宋" w:cs="仿宋"/>
          <w:sz w:val="24"/>
        </w:rPr>
      </w:pPr>
      <w:r>
        <w:rPr>
          <w:rFonts w:hint="eastAsia" w:ascii="仿宋" w:hAnsi="仿宋" w:eastAsia="仿宋" w:cs="仿宋"/>
          <w:sz w:val="24"/>
        </w:rPr>
        <w:t>36.1  供应商认为磋商文件、招标过程和成交结果使自己的权益受到损害的，可以根据《中华人民共和国政府采购法》、《中华人民共和国政府采购法实施条例》和《政府采购质疑和投诉办法》的有关规定，依法向采购人或其委托的采购代理机构提出质疑。</w:t>
      </w:r>
    </w:p>
    <w:p w14:paraId="13029DD4">
      <w:pPr>
        <w:spacing w:line="240" w:lineRule="atLeast"/>
        <w:ind w:left="851" w:leftChars="68" w:hanging="708" w:hangingChars="295"/>
        <w:rPr>
          <w:rFonts w:ascii="仿宋" w:hAnsi="仿宋" w:eastAsia="仿宋" w:cs="仿宋"/>
          <w:sz w:val="24"/>
        </w:rPr>
      </w:pPr>
      <w:r>
        <w:rPr>
          <w:rFonts w:hint="eastAsia" w:ascii="仿宋" w:hAnsi="仿宋" w:eastAsia="仿宋" w:cs="仿宋"/>
          <w:sz w:val="24"/>
        </w:rPr>
        <w:t>36.2  质疑供应商应按照财政部制定的《政府采购质疑函范本》格式（可从财政部官方网站下载）和《政府采购质疑和投诉办法》的要求，在法定质疑期内以纸质形式提出质疑，针对同一采购程序环节的质疑应一次性提出。</w:t>
      </w:r>
    </w:p>
    <w:p w14:paraId="3BBF8DB6">
      <w:pPr>
        <w:spacing w:line="240" w:lineRule="atLeast"/>
        <w:ind w:left="851" w:leftChars="405" w:hanging="1"/>
        <w:rPr>
          <w:rFonts w:ascii="仿宋" w:hAnsi="仿宋" w:eastAsia="仿宋" w:cs="仿宋"/>
          <w:sz w:val="24"/>
        </w:rPr>
      </w:pPr>
      <w:r>
        <w:rPr>
          <w:rFonts w:hint="eastAsia" w:ascii="仿宋" w:hAnsi="仿宋" w:eastAsia="仿宋" w:cs="仿宋"/>
          <w:sz w:val="24"/>
        </w:rPr>
        <w:t>超出法定质疑期的、重复提出的、分次提出的或内容、形式不符合《政府采购质疑和投诉办法》的，质疑供应商将依法承担不利后果。</w:t>
      </w:r>
    </w:p>
    <w:p w14:paraId="050F2D3E">
      <w:pPr>
        <w:spacing w:line="240" w:lineRule="atLeast"/>
        <w:ind w:left="851" w:leftChars="68" w:hanging="708" w:hangingChars="295"/>
        <w:rPr>
          <w:rFonts w:ascii="仿宋" w:hAnsi="仿宋" w:eastAsia="仿宋" w:cs="仿宋"/>
          <w:sz w:val="24"/>
        </w:rPr>
      </w:pPr>
      <w:r>
        <w:rPr>
          <w:rFonts w:hint="eastAsia" w:ascii="仿宋" w:hAnsi="仿宋" w:eastAsia="仿宋" w:cs="仿宋"/>
          <w:sz w:val="24"/>
        </w:rPr>
        <w:t>36.3  采购代理机构质疑函接收部门、联系电话和通讯地址, 见</w:t>
      </w:r>
      <w:r>
        <w:rPr>
          <w:rFonts w:hint="eastAsia" w:ascii="仿宋" w:hAnsi="仿宋" w:eastAsia="仿宋" w:cs="仿宋"/>
          <w:sz w:val="24"/>
          <w:u w:val="single"/>
        </w:rPr>
        <w:t>供应商须知资料表。</w:t>
      </w:r>
    </w:p>
    <w:p w14:paraId="444EC083">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35.4   质疑的提出</w:t>
      </w:r>
    </w:p>
    <w:p w14:paraId="071694A4">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35.5   本采购文件中所称质疑及答复，是指参加本次采购活动的供应商对政府采购活动中的采购文件、采购过程和成交结果向采购方提出质疑，采购方答复质疑的行为。</w:t>
      </w:r>
    </w:p>
    <w:p w14:paraId="58FA2B83">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35.6   供应商认为采购文件、采购过程和成交结果使自己的权益受到损害的，可以在知道或者应知其权益受到损害之日起7个工作日内，以书面形式向采购方提出质疑。供应商应知其权益受到损害之日，是指：</w:t>
      </w:r>
    </w:p>
    <w:p w14:paraId="3312BB23">
      <w:pPr>
        <w:spacing w:line="400" w:lineRule="exact"/>
        <w:ind w:left="898" w:leftChars="342" w:hanging="180" w:hangingChars="75"/>
        <w:jc w:val="left"/>
        <w:rPr>
          <w:rFonts w:ascii="仿宋" w:hAnsi="仿宋" w:eastAsia="仿宋" w:cs="仿宋"/>
          <w:sz w:val="24"/>
        </w:rPr>
      </w:pPr>
      <w:r>
        <w:rPr>
          <w:rFonts w:hint="eastAsia" w:ascii="仿宋" w:hAnsi="仿宋" w:eastAsia="仿宋" w:cs="仿宋"/>
          <w:sz w:val="24"/>
        </w:rPr>
        <w:t>（一）对可以质疑的采购文件提出质疑的，为收到采购文件之日或者采购文件公告期限届满之日；</w:t>
      </w:r>
    </w:p>
    <w:p w14:paraId="69A18E0A">
      <w:pPr>
        <w:spacing w:line="400" w:lineRule="exact"/>
        <w:ind w:left="898" w:leftChars="342" w:hanging="180" w:hangingChars="75"/>
        <w:jc w:val="left"/>
        <w:rPr>
          <w:rFonts w:ascii="仿宋" w:hAnsi="仿宋" w:eastAsia="仿宋" w:cs="仿宋"/>
          <w:sz w:val="24"/>
        </w:rPr>
      </w:pPr>
      <w:r>
        <w:rPr>
          <w:rFonts w:hint="eastAsia" w:ascii="仿宋" w:hAnsi="仿宋" w:eastAsia="仿宋" w:cs="仿宋"/>
          <w:sz w:val="24"/>
        </w:rPr>
        <w:t>（二）对采购过程提出质疑的，为各采购程序环节结束之日；</w:t>
      </w:r>
    </w:p>
    <w:p w14:paraId="6A4F8D50">
      <w:pPr>
        <w:spacing w:line="400" w:lineRule="exact"/>
        <w:ind w:firstLine="720" w:firstLineChars="300"/>
        <w:jc w:val="left"/>
        <w:rPr>
          <w:rFonts w:ascii="仿宋" w:hAnsi="仿宋" w:eastAsia="仿宋" w:cs="仿宋"/>
          <w:sz w:val="24"/>
        </w:rPr>
      </w:pPr>
      <w:r>
        <w:rPr>
          <w:rFonts w:hint="eastAsia" w:ascii="仿宋" w:hAnsi="仿宋" w:eastAsia="仿宋" w:cs="仿宋"/>
          <w:sz w:val="24"/>
        </w:rPr>
        <w:t>（三）对成交结果提出质疑的，为成交结果公告期限届满之日。</w:t>
      </w:r>
    </w:p>
    <w:p w14:paraId="6E01E9B8">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35.7   对可以质疑的采购文件提出质疑的，质疑人为参与本项目的报价方或潜在报价方。可质疑的文件为采购公告以及采购文件（包括属于其组成部分的澄清、修改、补充文件和评审标准、合同文本等）。</w:t>
      </w:r>
    </w:p>
    <w:p w14:paraId="6261400D">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35.8   对采购过程和成交结果提出质疑的，质疑人为直接参与本项目的报价方。采购过程,即从采购项目信息公告发布起到成交结果公告止，包括采购文件的发出、提交响应文件、响应文件开启、评审等各个采购程序环节。</w:t>
      </w:r>
    </w:p>
    <w:p w14:paraId="03C76D34">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35.9   提出质疑应当符合下列条件：</w:t>
      </w:r>
    </w:p>
    <w:p w14:paraId="0B38D1F8">
      <w:pPr>
        <w:spacing w:line="400" w:lineRule="exact"/>
        <w:ind w:left="898" w:leftChars="342" w:hanging="180" w:hangingChars="75"/>
        <w:jc w:val="left"/>
        <w:rPr>
          <w:rFonts w:ascii="仿宋" w:hAnsi="仿宋" w:eastAsia="仿宋" w:cs="仿宋"/>
          <w:sz w:val="24"/>
        </w:rPr>
      </w:pPr>
      <w:r>
        <w:rPr>
          <w:rFonts w:hint="eastAsia" w:ascii="仿宋" w:hAnsi="仿宋" w:eastAsia="仿宋" w:cs="仿宋"/>
          <w:sz w:val="24"/>
        </w:rPr>
        <w:t>（一）质疑主体应当符合有关规定；</w:t>
      </w:r>
    </w:p>
    <w:p w14:paraId="65B4B4C6">
      <w:pPr>
        <w:spacing w:line="400" w:lineRule="exact"/>
        <w:ind w:left="898" w:leftChars="342" w:hanging="180" w:hangingChars="75"/>
        <w:jc w:val="left"/>
        <w:rPr>
          <w:rFonts w:ascii="仿宋" w:hAnsi="仿宋" w:eastAsia="仿宋" w:cs="仿宋"/>
          <w:sz w:val="24"/>
        </w:rPr>
      </w:pPr>
      <w:r>
        <w:rPr>
          <w:rFonts w:hint="eastAsia" w:ascii="仿宋" w:hAnsi="仿宋" w:eastAsia="仿宋" w:cs="仿宋"/>
          <w:sz w:val="24"/>
        </w:rPr>
        <w:t>（二）在质疑法定期限内提出；</w:t>
      </w:r>
    </w:p>
    <w:p w14:paraId="05C740F6">
      <w:pPr>
        <w:spacing w:line="400" w:lineRule="exact"/>
        <w:ind w:left="898" w:leftChars="342" w:hanging="180" w:hangingChars="75"/>
        <w:jc w:val="left"/>
        <w:rPr>
          <w:rFonts w:ascii="仿宋" w:hAnsi="仿宋" w:eastAsia="仿宋" w:cs="仿宋"/>
          <w:sz w:val="24"/>
        </w:rPr>
      </w:pPr>
      <w:r>
        <w:rPr>
          <w:rFonts w:hint="eastAsia" w:ascii="仿宋" w:hAnsi="仿宋" w:eastAsia="仿宋" w:cs="仿宋"/>
          <w:sz w:val="24"/>
        </w:rPr>
        <w:t>（三）属于可以提出质疑的政府采购事项受理范围和本项目采购人的管辖权范围；</w:t>
      </w:r>
    </w:p>
    <w:p w14:paraId="1B9F27F9">
      <w:pPr>
        <w:spacing w:line="400" w:lineRule="exact"/>
        <w:ind w:left="898" w:leftChars="342" w:hanging="180" w:hangingChars="75"/>
        <w:jc w:val="left"/>
        <w:rPr>
          <w:rFonts w:ascii="仿宋" w:hAnsi="仿宋" w:eastAsia="仿宋" w:cs="仿宋"/>
          <w:sz w:val="24"/>
        </w:rPr>
      </w:pPr>
      <w:r>
        <w:rPr>
          <w:rFonts w:hint="eastAsia" w:ascii="仿宋" w:hAnsi="仿宋" w:eastAsia="仿宋" w:cs="仿宋"/>
          <w:sz w:val="24"/>
        </w:rPr>
        <w:t>（四）政府采购法律、法规、规章规定的其他条件。</w:t>
      </w:r>
    </w:p>
    <w:p w14:paraId="313A0940">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35.10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6C29B293">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35.11  质疑人所提供的证明材料应当具有真实性、合法性以及与质疑事项的关联性和证明力，否则不能作为认定该质疑事项成立的依据。</w:t>
      </w:r>
    </w:p>
    <w:p w14:paraId="417DEE7B">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35.12  质疑人提出质疑时应当提交质疑函。质疑函包括下列内容：</w:t>
      </w:r>
    </w:p>
    <w:p w14:paraId="37D1CB10">
      <w:pPr>
        <w:spacing w:line="400" w:lineRule="exact"/>
        <w:ind w:left="898" w:leftChars="342" w:hanging="180" w:hangingChars="75"/>
        <w:jc w:val="left"/>
        <w:rPr>
          <w:rFonts w:ascii="仿宋" w:hAnsi="仿宋" w:eastAsia="仿宋" w:cs="仿宋"/>
          <w:sz w:val="24"/>
        </w:rPr>
      </w:pPr>
      <w:r>
        <w:rPr>
          <w:rFonts w:hint="eastAsia" w:ascii="仿宋" w:hAnsi="仿宋" w:eastAsia="仿宋" w:cs="仿宋"/>
          <w:sz w:val="24"/>
        </w:rPr>
        <w:t>（一）提出质疑的质疑人的名称、地址、邮编、联系人及联系电话等；</w:t>
      </w:r>
    </w:p>
    <w:p w14:paraId="0A2231AF">
      <w:pPr>
        <w:spacing w:line="400" w:lineRule="exact"/>
        <w:ind w:left="898" w:leftChars="342" w:hanging="180" w:hangingChars="75"/>
        <w:jc w:val="left"/>
        <w:rPr>
          <w:rFonts w:ascii="仿宋" w:hAnsi="仿宋" w:eastAsia="仿宋" w:cs="仿宋"/>
          <w:sz w:val="24"/>
        </w:rPr>
      </w:pPr>
      <w:r>
        <w:rPr>
          <w:rFonts w:hint="eastAsia" w:ascii="仿宋" w:hAnsi="仿宋" w:eastAsia="仿宋" w:cs="仿宋"/>
          <w:sz w:val="24"/>
        </w:rPr>
        <w:t>（二）质疑项目的名称、编号；</w:t>
      </w:r>
    </w:p>
    <w:p w14:paraId="214B821D">
      <w:pPr>
        <w:spacing w:line="400" w:lineRule="exact"/>
        <w:ind w:left="898" w:leftChars="342" w:hanging="180" w:hangingChars="75"/>
        <w:jc w:val="left"/>
        <w:rPr>
          <w:rFonts w:ascii="仿宋" w:hAnsi="仿宋" w:eastAsia="仿宋" w:cs="仿宋"/>
          <w:sz w:val="24"/>
        </w:rPr>
      </w:pPr>
      <w:r>
        <w:rPr>
          <w:rFonts w:hint="eastAsia" w:ascii="仿宋" w:hAnsi="仿宋" w:eastAsia="仿宋" w:cs="仿宋"/>
          <w:sz w:val="24"/>
        </w:rPr>
        <w:t>（三）质疑事项；</w:t>
      </w:r>
    </w:p>
    <w:p w14:paraId="767EB858">
      <w:pPr>
        <w:spacing w:line="400" w:lineRule="exact"/>
        <w:ind w:left="898" w:leftChars="342" w:hanging="180" w:hangingChars="75"/>
        <w:jc w:val="left"/>
        <w:rPr>
          <w:rFonts w:ascii="仿宋" w:hAnsi="仿宋" w:eastAsia="仿宋" w:cs="仿宋"/>
          <w:sz w:val="24"/>
        </w:rPr>
      </w:pPr>
      <w:r>
        <w:rPr>
          <w:rFonts w:hint="eastAsia" w:ascii="仿宋" w:hAnsi="仿宋" w:eastAsia="仿宋" w:cs="仿宋"/>
          <w:sz w:val="24"/>
        </w:rPr>
        <w:t>（四）事实依据和证明材料；</w:t>
      </w:r>
    </w:p>
    <w:p w14:paraId="07D8B394">
      <w:pPr>
        <w:spacing w:line="400" w:lineRule="exact"/>
        <w:ind w:left="898" w:leftChars="342" w:hanging="180" w:hangingChars="75"/>
        <w:jc w:val="left"/>
        <w:rPr>
          <w:rFonts w:ascii="仿宋" w:hAnsi="仿宋" w:eastAsia="仿宋" w:cs="仿宋"/>
          <w:sz w:val="24"/>
        </w:rPr>
      </w:pPr>
      <w:r>
        <w:rPr>
          <w:rFonts w:hint="eastAsia" w:ascii="仿宋" w:hAnsi="仿宋" w:eastAsia="仿宋" w:cs="仿宋"/>
          <w:sz w:val="24"/>
        </w:rPr>
        <w:t>（五）法律依据；</w:t>
      </w:r>
    </w:p>
    <w:p w14:paraId="618C28F3">
      <w:pPr>
        <w:spacing w:line="400" w:lineRule="exact"/>
        <w:ind w:left="898" w:leftChars="342" w:hanging="180" w:hangingChars="75"/>
        <w:jc w:val="left"/>
        <w:rPr>
          <w:rFonts w:ascii="仿宋" w:hAnsi="仿宋" w:eastAsia="仿宋" w:cs="仿宋"/>
          <w:sz w:val="24"/>
        </w:rPr>
      </w:pPr>
      <w:r>
        <w:rPr>
          <w:rFonts w:hint="eastAsia" w:ascii="仿宋" w:hAnsi="仿宋" w:eastAsia="仿宋" w:cs="仿宋"/>
          <w:sz w:val="24"/>
        </w:rPr>
        <w:t>（六）提出质疑的日期。</w:t>
      </w:r>
    </w:p>
    <w:p w14:paraId="6E9BB2E5">
      <w:pPr>
        <w:spacing w:line="400" w:lineRule="exact"/>
        <w:ind w:left="958" w:leftChars="456" w:firstLine="60" w:firstLineChars="25"/>
        <w:jc w:val="left"/>
        <w:rPr>
          <w:rFonts w:ascii="仿宋" w:hAnsi="仿宋" w:eastAsia="仿宋" w:cs="仿宋"/>
          <w:sz w:val="24"/>
        </w:rPr>
      </w:pPr>
      <w:r>
        <w:rPr>
          <w:rFonts w:hint="eastAsia" w:ascii="仿宋" w:hAnsi="仿宋" w:eastAsia="仿宋" w:cs="仿宋"/>
          <w:sz w:val="24"/>
        </w:rPr>
        <w:t>质疑函采用实名制。质疑人为自然人的应当由本人签字，并附有效身份证明文件；质疑人为法人或者非法人组织的应当由法定代表人或者负责人签字并加盖公章，并附有效身份证明文件。</w:t>
      </w:r>
    </w:p>
    <w:p w14:paraId="7752043E">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35.13  质疑人可以委托代理人进行质疑。代理人应当提交授权委托书。授权委托书应当载明委托代理的具体权限、期限和相关事项。</w:t>
      </w:r>
    </w:p>
    <w:p w14:paraId="2269CA85">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35.14  质疑的审查和受理</w:t>
      </w:r>
    </w:p>
    <w:p w14:paraId="5667F14C">
      <w:pPr>
        <w:spacing w:line="400" w:lineRule="exact"/>
        <w:ind w:left="840" w:leftChars="400"/>
        <w:jc w:val="left"/>
        <w:rPr>
          <w:rFonts w:ascii="仿宋" w:hAnsi="仿宋" w:eastAsia="仿宋" w:cs="仿宋"/>
          <w:sz w:val="24"/>
        </w:rPr>
      </w:pPr>
      <w:r>
        <w:rPr>
          <w:rFonts w:hint="eastAsia" w:ascii="仿宋" w:hAnsi="仿宋" w:eastAsia="仿宋" w:cs="仿宋"/>
          <w:sz w:val="24"/>
        </w:rPr>
        <w:t>采购方在收到质疑函后应当及时审查是否符合质疑受理条件，对符合质疑受理条件的，及时予以受理。</w:t>
      </w:r>
    </w:p>
    <w:p w14:paraId="43367038">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35.15  对不符合质疑受理条件的，分别按照下列不同情形予以处理：</w:t>
      </w:r>
    </w:p>
    <w:p w14:paraId="0A2EE97C">
      <w:pPr>
        <w:spacing w:line="400" w:lineRule="exact"/>
        <w:ind w:left="898" w:leftChars="342" w:hanging="180" w:hangingChars="75"/>
        <w:jc w:val="left"/>
        <w:rPr>
          <w:rFonts w:ascii="仿宋" w:hAnsi="仿宋" w:eastAsia="仿宋" w:cs="仿宋"/>
          <w:sz w:val="24"/>
        </w:rPr>
      </w:pPr>
      <w:r>
        <w:rPr>
          <w:rFonts w:hint="eastAsia" w:ascii="仿宋" w:hAnsi="仿宋" w:eastAsia="仿宋" w:cs="仿宋"/>
          <w:sz w:val="24"/>
        </w:rPr>
        <w:t>（一）质疑函内容不符合规定的，告知质疑人进行修改并重新提出质疑。修改后质疑事项仍不具体、不明确或者最终递交质疑函的时间超过质疑法定期限的，不予受理；</w:t>
      </w:r>
    </w:p>
    <w:p w14:paraId="7B127762">
      <w:pPr>
        <w:spacing w:line="400" w:lineRule="exact"/>
        <w:ind w:left="898" w:leftChars="342" w:hanging="180" w:hangingChars="75"/>
        <w:jc w:val="left"/>
        <w:rPr>
          <w:rFonts w:ascii="仿宋" w:hAnsi="仿宋" w:eastAsia="仿宋" w:cs="仿宋"/>
          <w:sz w:val="24"/>
        </w:rPr>
      </w:pPr>
      <w:r>
        <w:rPr>
          <w:rFonts w:hint="eastAsia" w:ascii="仿宋" w:hAnsi="仿宋" w:eastAsia="仿宋" w:cs="仿宋"/>
          <w:sz w:val="24"/>
        </w:rPr>
        <w:t>（二）质疑主体不符合有关规定的，告知质疑人不予受理；</w:t>
      </w:r>
    </w:p>
    <w:p w14:paraId="19E133E7">
      <w:pPr>
        <w:spacing w:line="400" w:lineRule="exact"/>
        <w:ind w:left="898" w:leftChars="342" w:hanging="180" w:hangingChars="75"/>
        <w:jc w:val="left"/>
        <w:rPr>
          <w:rFonts w:ascii="仿宋" w:hAnsi="仿宋" w:eastAsia="仿宋" w:cs="仿宋"/>
          <w:sz w:val="24"/>
        </w:rPr>
      </w:pPr>
      <w:r>
        <w:rPr>
          <w:rFonts w:hint="eastAsia" w:ascii="仿宋" w:hAnsi="仿宋" w:eastAsia="仿宋" w:cs="仿宋"/>
          <w:sz w:val="24"/>
        </w:rPr>
        <w:t>（三）超过质疑法定期限提出质疑的，告知质疑人不予受理；</w:t>
      </w:r>
    </w:p>
    <w:p w14:paraId="1A41514E">
      <w:pPr>
        <w:spacing w:line="400" w:lineRule="exact"/>
        <w:ind w:left="898" w:leftChars="342" w:hanging="180" w:hangingChars="75"/>
        <w:jc w:val="left"/>
        <w:rPr>
          <w:rFonts w:ascii="仿宋" w:hAnsi="仿宋" w:eastAsia="仿宋" w:cs="仿宋"/>
          <w:sz w:val="24"/>
        </w:rPr>
      </w:pPr>
      <w:r>
        <w:rPr>
          <w:rFonts w:hint="eastAsia" w:ascii="仿宋" w:hAnsi="仿宋" w:eastAsia="仿宋" w:cs="仿宋"/>
          <w:sz w:val="24"/>
        </w:rPr>
        <w:t>（四）对不属于可以提出质疑的政府采购事项提出质疑的，告知质疑人不予受理；</w:t>
      </w:r>
    </w:p>
    <w:p w14:paraId="2DCF8828">
      <w:pPr>
        <w:spacing w:line="400" w:lineRule="exact"/>
        <w:ind w:left="898" w:leftChars="342" w:hanging="180" w:hangingChars="75"/>
        <w:jc w:val="left"/>
        <w:rPr>
          <w:rFonts w:ascii="仿宋" w:hAnsi="仿宋" w:eastAsia="仿宋" w:cs="仿宋"/>
          <w:sz w:val="24"/>
        </w:rPr>
      </w:pPr>
      <w:r>
        <w:rPr>
          <w:rFonts w:hint="eastAsia" w:ascii="仿宋" w:hAnsi="仿宋" w:eastAsia="仿宋" w:cs="仿宋"/>
          <w:sz w:val="24"/>
        </w:rPr>
        <w:t>（五）质疑不属于本项目采购方管辖的，告知质疑人向有管辖权的采购人提出质疑；</w:t>
      </w:r>
    </w:p>
    <w:p w14:paraId="4CAF7DDC">
      <w:pPr>
        <w:spacing w:line="400" w:lineRule="exact"/>
        <w:ind w:left="898" w:leftChars="342" w:hanging="180" w:hangingChars="75"/>
        <w:jc w:val="left"/>
        <w:rPr>
          <w:rFonts w:ascii="仿宋" w:hAnsi="仿宋" w:eastAsia="仿宋" w:cs="仿宋"/>
          <w:sz w:val="24"/>
        </w:rPr>
      </w:pPr>
      <w:r>
        <w:rPr>
          <w:rFonts w:hint="eastAsia" w:ascii="仿宋" w:hAnsi="仿宋" w:eastAsia="仿宋" w:cs="仿宋"/>
          <w:sz w:val="24"/>
        </w:rPr>
        <w:t>（六）质疑不符合其他条件的，告知质疑人不予受理。</w:t>
      </w:r>
    </w:p>
    <w:p w14:paraId="30AE517D">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35.16  质疑的处理和答复</w:t>
      </w:r>
    </w:p>
    <w:p w14:paraId="4F7BC5D2">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35.17  采购方受理质疑后，将及时把质疑函发送给被质疑人，并要求其在一定限期内提交书面答复，同时提供有关证据、依据和相关材料。</w:t>
      </w:r>
    </w:p>
    <w:p w14:paraId="12F4DD08">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35.18  对于质疑事项中涉及的问题较多、情况比较复杂的，为了全面查清事实、取得充分的证据，采购方认为有必要时，可以进行调查取证或者组织质证。</w:t>
      </w:r>
    </w:p>
    <w:p w14:paraId="78FF761B">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35.19  对评审过程、成交结果提出质疑的，采购方可以组织原评审委员会协助答复质疑。</w:t>
      </w:r>
    </w:p>
    <w:p w14:paraId="51AC3C80">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35.20  质疑处理过程中，质疑人书面申请撤回质疑的，将终止质疑处理程序。</w:t>
      </w:r>
    </w:p>
    <w:p w14:paraId="2D5C3726">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35.21  质疑人拒绝配合采购方依法对质疑进行调查处理的，采购方将按质疑人自动撤回质疑处理；被质疑人拒绝配合采购方依法对质疑进行调查处理的，采购方将视同其认可质疑事项。</w:t>
      </w:r>
    </w:p>
    <w:p w14:paraId="1D53E822">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35.22  质疑人拒绝配合采购方依法对质疑进行调查处理的，采购方将按质疑人自动撤回质疑处理；被质疑人拒绝配合采购方依法对质疑进行调查处理的，采购方将视同其认可质疑事项。</w:t>
      </w:r>
    </w:p>
    <w:p w14:paraId="41C5D149">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35.23  采购方将在正式受理质疑后7个工作日内作出答复。</w:t>
      </w:r>
    </w:p>
    <w:p w14:paraId="6775E191">
      <w:pPr>
        <w:pStyle w:val="32"/>
        <w:spacing w:line="400" w:lineRule="exact"/>
        <w:rPr>
          <w:rFonts w:ascii="仿宋" w:hAnsi="仿宋" w:eastAsia="仿宋" w:cs="仿宋"/>
          <w:color w:val="auto"/>
        </w:rPr>
      </w:pPr>
      <w:r>
        <w:rPr>
          <w:rFonts w:hint="eastAsia" w:ascii="仿宋" w:hAnsi="仿宋" w:eastAsia="仿宋" w:cs="仿宋"/>
          <w:color w:val="auto"/>
        </w:rPr>
        <w:t>35.24  质疑答复应当包括下列内容：</w:t>
      </w:r>
    </w:p>
    <w:p w14:paraId="45DEC087">
      <w:pPr>
        <w:pStyle w:val="32"/>
        <w:spacing w:line="400" w:lineRule="exact"/>
        <w:ind w:left="840" w:leftChars="400"/>
        <w:rPr>
          <w:rFonts w:ascii="仿宋" w:hAnsi="仿宋" w:eastAsia="仿宋" w:cs="仿宋"/>
          <w:color w:val="auto"/>
        </w:rPr>
      </w:pPr>
      <w:r>
        <w:rPr>
          <w:rFonts w:hint="eastAsia" w:ascii="仿宋" w:hAnsi="仿宋" w:eastAsia="仿宋" w:cs="仿宋"/>
          <w:color w:val="auto"/>
        </w:rPr>
        <w:t>（一）质疑人的姓名或者名称；</w:t>
      </w:r>
    </w:p>
    <w:p w14:paraId="72E066D5">
      <w:pPr>
        <w:pStyle w:val="32"/>
        <w:spacing w:line="400" w:lineRule="exact"/>
        <w:ind w:left="840" w:leftChars="400"/>
        <w:rPr>
          <w:rFonts w:ascii="仿宋" w:hAnsi="仿宋" w:eastAsia="仿宋" w:cs="仿宋"/>
          <w:color w:val="auto"/>
        </w:rPr>
      </w:pPr>
      <w:r>
        <w:rPr>
          <w:rFonts w:hint="eastAsia" w:ascii="仿宋" w:hAnsi="仿宋" w:eastAsia="仿宋" w:cs="仿宋"/>
          <w:color w:val="auto"/>
        </w:rPr>
        <w:t>（二）收到质疑函的日期、质疑项目名称及编号；</w:t>
      </w:r>
    </w:p>
    <w:p w14:paraId="4D304243">
      <w:pPr>
        <w:pStyle w:val="32"/>
        <w:spacing w:line="400" w:lineRule="exact"/>
        <w:ind w:left="840" w:leftChars="400"/>
        <w:rPr>
          <w:rFonts w:ascii="仿宋" w:hAnsi="仿宋" w:eastAsia="仿宋" w:cs="仿宋"/>
          <w:color w:val="auto"/>
        </w:rPr>
      </w:pPr>
      <w:r>
        <w:rPr>
          <w:rFonts w:hint="eastAsia" w:ascii="仿宋" w:hAnsi="仿宋" w:eastAsia="仿宋" w:cs="仿宋"/>
          <w:color w:val="auto"/>
        </w:rPr>
        <w:t>（三）质疑事项、质疑答复的具体内容、事实依据和法律依据；</w:t>
      </w:r>
    </w:p>
    <w:p w14:paraId="55879BF3">
      <w:pPr>
        <w:pStyle w:val="32"/>
        <w:spacing w:line="400" w:lineRule="exact"/>
        <w:ind w:left="840" w:leftChars="400"/>
        <w:rPr>
          <w:rFonts w:ascii="仿宋" w:hAnsi="仿宋" w:eastAsia="仿宋" w:cs="仿宋"/>
          <w:color w:val="auto"/>
        </w:rPr>
      </w:pPr>
      <w:r>
        <w:rPr>
          <w:rFonts w:hint="eastAsia" w:ascii="仿宋" w:hAnsi="仿宋" w:eastAsia="仿宋" w:cs="仿宋"/>
          <w:color w:val="auto"/>
        </w:rPr>
        <w:t>（四）告知质疑供应商依法投诉的权利；</w:t>
      </w:r>
    </w:p>
    <w:p w14:paraId="3A97042C">
      <w:pPr>
        <w:pStyle w:val="32"/>
        <w:spacing w:line="400" w:lineRule="exact"/>
        <w:ind w:left="840" w:leftChars="400"/>
        <w:rPr>
          <w:rFonts w:ascii="仿宋" w:hAnsi="仿宋" w:eastAsia="仿宋" w:cs="仿宋"/>
          <w:color w:val="auto"/>
        </w:rPr>
      </w:pPr>
      <w:r>
        <w:rPr>
          <w:rFonts w:hint="eastAsia" w:ascii="仿宋" w:hAnsi="仿宋" w:eastAsia="仿宋" w:cs="仿宋"/>
          <w:color w:val="auto"/>
        </w:rPr>
        <w:t>（五）质疑答复人名称；</w:t>
      </w:r>
    </w:p>
    <w:p w14:paraId="1B49B115">
      <w:pPr>
        <w:pStyle w:val="32"/>
        <w:spacing w:line="400" w:lineRule="exact"/>
        <w:ind w:left="840" w:leftChars="400"/>
        <w:rPr>
          <w:rFonts w:hint="eastAsia" w:ascii="仿宋" w:hAnsi="仿宋" w:eastAsia="仿宋" w:cs="仿宋"/>
          <w:color w:val="auto"/>
        </w:rPr>
      </w:pPr>
      <w:r>
        <w:rPr>
          <w:rFonts w:hint="eastAsia" w:ascii="仿宋" w:hAnsi="仿宋" w:eastAsia="仿宋" w:cs="仿宋"/>
          <w:color w:val="auto"/>
        </w:rPr>
        <w:t>（六）答复质疑的日期。</w:t>
      </w:r>
    </w:p>
    <w:p w14:paraId="2AB27E4F">
      <w:pPr>
        <w:rPr>
          <w:rFonts w:hint="eastAsia" w:ascii="仿宋" w:hAnsi="仿宋" w:eastAsia="仿宋" w:cs="仿宋"/>
          <w:color w:val="auto"/>
        </w:rPr>
      </w:pPr>
      <w:r>
        <w:rPr>
          <w:rFonts w:hint="eastAsia" w:ascii="仿宋" w:hAnsi="仿宋" w:eastAsia="仿宋" w:cs="仿宋"/>
          <w:color w:val="auto"/>
        </w:rPr>
        <w:br w:type="page"/>
      </w:r>
    </w:p>
    <w:p w14:paraId="740AD474">
      <w:pPr>
        <w:spacing w:line="400" w:lineRule="exact"/>
        <w:outlineLvl w:val="2"/>
        <w:rPr>
          <w:rFonts w:ascii="仿宋" w:hAnsi="仿宋" w:eastAsia="仿宋" w:cs="仿宋"/>
          <w:b/>
          <w:bCs/>
          <w:sz w:val="24"/>
        </w:rPr>
      </w:pPr>
      <w:bookmarkStart w:id="245" w:name="_Toc32737"/>
      <w:bookmarkStart w:id="246" w:name="_Toc24577"/>
      <w:r>
        <w:rPr>
          <w:rFonts w:hint="eastAsia" w:ascii="仿宋" w:hAnsi="仿宋" w:eastAsia="仿宋" w:cs="仿宋"/>
          <w:b/>
          <w:bCs/>
          <w:sz w:val="24"/>
        </w:rPr>
        <w:t>质疑函范本</w:t>
      </w:r>
      <w:bookmarkEnd w:id="245"/>
      <w:bookmarkEnd w:id="246"/>
    </w:p>
    <w:p w14:paraId="1808B30E">
      <w:pPr>
        <w:adjustRightInd w:val="0"/>
        <w:snapToGrid w:val="0"/>
        <w:spacing w:before="240" w:beforeLines="100" w:line="400" w:lineRule="exact"/>
        <w:rPr>
          <w:rFonts w:ascii="仿宋" w:hAnsi="仿宋" w:eastAsia="仿宋" w:cs="仿宋"/>
          <w:bCs/>
          <w:sz w:val="24"/>
        </w:rPr>
      </w:pPr>
      <w:r>
        <w:rPr>
          <w:rFonts w:hint="eastAsia" w:ascii="仿宋" w:hAnsi="仿宋" w:eastAsia="仿宋" w:cs="仿宋"/>
          <w:bCs/>
          <w:sz w:val="24"/>
        </w:rPr>
        <w:t>一、质疑供应商基本信息</w:t>
      </w:r>
    </w:p>
    <w:p w14:paraId="7D576270">
      <w:pPr>
        <w:adjustRightInd w:val="0"/>
        <w:snapToGrid w:val="0"/>
        <w:spacing w:line="400" w:lineRule="exact"/>
        <w:rPr>
          <w:rFonts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14:paraId="7F85FF91">
      <w:pPr>
        <w:adjustRightInd w:val="0"/>
        <w:snapToGrid w:val="0"/>
        <w:spacing w:line="400" w:lineRule="exact"/>
        <w:rPr>
          <w:rFonts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21FA3CC9">
      <w:pPr>
        <w:adjustRightInd w:val="0"/>
        <w:snapToGrid w:val="0"/>
        <w:spacing w:line="400" w:lineRule="exact"/>
        <w:rPr>
          <w:rFonts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4BB667FB">
      <w:pPr>
        <w:adjustRightInd w:val="0"/>
        <w:snapToGrid w:val="0"/>
        <w:spacing w:line="400" w:lineRule="exact"/>
        <w:rPr>
          <w:rFonts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14:paraId="0502F8DC">
      <w:pPr>
        <w:adjustRightInd w:val="0"/>
        <w:snapToGrid w:val="0"/>
        <w:spacing w:line="400" w:lineRule="exact"/>
        <w:rPr>
          <w:rFonts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5D1D53F1">
      <w:pPr>
        <w:adjustRightInd w:val="0"/>
        <w:snapToGrid w:val="0"/>
        <w:spacing w:line="400" w:lineRule="exact"/>
        <w:rPr>
          <w:rFonts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79DA07B6">
      <w:pPr>
        <w:adjustRightInd w:val="0"/>
        <w:snapToGrid w:val="0"/>
        <w:spacing w:before="240" w:beforeLines="100" w:line="400" w:lineRule="exact"/>
        <w:rPr>
          <w:rFonts w:ascii="仿宋" w:hAnsi="仿宋" w:eastAsia="仿宋" w:cs="仿宋"/>
          <w:bCs/>
          <w:sz w:val="24"/>
        </w:rPr>
      </w:pPr>
      <w:r>
        <w:rPr>
          <w:rFonts w:hint="eastAsia" w:ascii="仿宋" w:hAnsi="仿宋" w:eastAsia="仿宋" w:cs="仿宋"/>
          <w:bCs/>
          <w:sz w:val="24"/>
        </w:rPr>
        <w:t>二、质疑项目基本情况</w:t>
      </w:r>
    </w:p>
    <w:p w14:paraId="17BD7B4D">
      <w:pPr>
        <w:adjustRightInd w:val="0"/>
        <w:snapToGrid w:val="0"/>
        <w:spacing w:line="400" w:lineRule="exact"/>
        <w:rPr>
          <w:rFonts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14:paraId="3778519E">
      <w:pPr>
        <w:adjustRightInd w:val="0"/>
        <w:snapToGrid w:val="0"/>
        <w:spacing w:line="400" w:lineRule="exact"/>
        <w:rPr>
          <w:rFonts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33CB49F6">
      <w:pPr>
        <w:adjustRightInd w:val="0"/>
        <w:snapToGrid w:val="0"/>
        <w:spacing w:line="400" w:lineRule="exact"/>
        <w:rPr>
          <w:rFonts w:ascii="仿宋" w:hAnsi="仿宋" w:eastAsia="仿宋" w:cs="仿宋"/>
          <w:sz w:val="24"/>
          <w:u w:val="dotted"/>
        </w:rPr>
      </w:pPr>
      <w:r>
        <w:rPr>
          <w:rFonts w:hint="eastAsia" w:ascii="仿宋" w:hAnsi="仿宋" w:eastAsia="仿宋" w:cs="仿宋"/>
          <w:sz w:val="24"/>
        </w:rPr>
        <w:t>采购人名称：</w:t>
      </w:r>
      <w:r>
        <w:rPr>
          <w:rFonts w:hint="eastAsia" w:ascii="仿宋" w:hAnsi="仿宋" w:eastAsia="仿宋" w:cs="仿宋"/>
          <w:sz w:val="24"/>
          <w:u w:val="dotted"/>
        </w:rPr>
        <w:t xml:space="preserve">                                         </w:t>
      </w:r>
    </w:p>
    <w:p w14:paraId="3F375816">
      <w:pPr>
        <w:adjustRightInd w:val="0"/>
        <w:snapToGrid w:val="0"/>
        <w:spacing w:line="400" w:lineRule="exact"/>
        <w:rPr>
          <w:rFonts w:ascii="仿宋" w:hAnsi="仿宋" w:eastAsia="仿宋" w:cs="仿宋"/>
          <w:sz w:val="24"/>
        </w:rPr>
      </w:pPr>
      <w:r>
        <w:rPr>
          <w:rFonts w:hint="eastAsia" w:ascii="仿宋" w:hAnsi="仿宋" w:eastAsia="仿宋" w:cs="仿宋"/>
          <w:sz w:val="24"/>
        </w:rPr>
        <w:t>采购文件获取日期：</w:t>
      </w:r>
      <w:r>
        <w:rPr>
          <w:rFonts w:hint="eastAsia" w:ascii="仿宋" w:hAnsi="仿宋" w:eastAsia="仿宋" w:cs="仿宋"/>
          <w:sz w:val="24"/>
          <w:u w:val="dotted"/>
        </w:rPr>
        <w:t xml:space="preserve">                                           </w:t>
      </w:r>
    </w:p>
    <w:p w14:paraId="0951D5C1">
      <w:pPr>
        <w:adjustRightInd w:val="0"/>
        <w:snapToGrid w:val="0"/>
        <w:spacing w:before="240" w:beforeLines="100" w:line="400" w:lineRule="exact"/>
        <w:rPr>
          <w:rFonts w:ascii="仿宋" w:hAnsi="仿宋" w:eastAsia="仿宋" w:cs="仿宋"/>
          <w:bCs/>
          <w:sz w:val="24"/>
        </w:rPr>
      </w:pPr>
      <w:r>
        <w:rPr>
          <w:rFonts w:hint="eastAsia" w:ascii="仿宋" w:hAnsi="仿宋" w:eastAsia="仿宋" w:cs="仿宋"/>
          <w:bCs/>
          <w:sz w:val="24"/>
        </w:rPr>
        <w:t>三、质疑事项具体内容</w:t>
      </w:r>
    </w:p>
    <w:p w14:paraId="0E7EC778">
      <w:pPr>
        <w:adjustRightInd w:val="0"/>
        <w:snapToGrid w:val="0"/>
        <w:spacing w:line="400" w:lineRule="exact"/>
        <w:rPr>
          <w:rFonts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14:paraId="2AD09EAE">
      <w:pPr>
        <w:adjustRightInd w:val="0"/>
        <w:snapToGrid w:val="0"/>
        <w:spacing w:line="400" w:lineRule="exact"/>
        <w:rPr>
          <w:rFonts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6C7A5B06">
      <w:pPr>
        <w:adjustRightInd w:val="0"/>
        <w:snapToGrid w:val="0"/>
        <w:spacing w:line="400" w:lineRule="exact"/>
        <w:rPr>
          <w:rFonts w:ascii="仿宋" w:hAnsi="仿宋" w:eastAsia="仿宋" w:cs="仿宋"/>
          <w:sz w:val="24"/>
        </w:rPr>
      </w:pPr>
      <w:r>
        <w:rPr>
          <w:rFonts w:hint="eastAsia" w:ascii="仿宋" w:hAnsi="仿宋" w:eastAsia="仿宋" w:cs="仿宋"/>
          <w:sz w:val="24"/>
          <w:u w:val="dotted"/>
        </w:rPr>
        <w:t xml:space="preserve">                                                       </w:t>
      </w:r>
    </w:p>
    <w:p w14:paraId="122C16BB">
      <w:pPr>
        <w:adjustRightInd w:val="0"/>
        <w:snapToGrid w:val="0"/>
        <w:spacing w:line="400" w:lineRule="exact"/>
        <w:rPr>
          <w:rFonts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12798AB5">
      <w:pPr>
        <w:adjustRightInd w:val="0"/>
        <w:snapToGrid w:val="0"/>
        <w:spacing w:line="400" w:lineRule="exact"/>
        <w:rPr>
          <w:rFonts w:ascii="仿宋" w:hAnsi="仿宋" w:eastAsia="仿宋" w:cs="仿宋"/>
          <w:sz w:val="24"/>
          <w:u w:val="dotted"/>
        </w:rPr>
      </w:pPr>
      <w:r>
        <w:rPr>
          <w:rFonts w:hint="eastAsia" w:ascii="仿宋" w:hAnsi="仿宋" w:eastAsia="仿宋" w:cs="仿宋"/>
          <w:sz w:val="24"/>
          <w:u w:val="dotted"/>
        </w:rPr>
        <w:t xml:space="preserve">                                                     </w:t>
      </w:r>
    </w:p>
    <w:p w14:paraId="49349792">
      <w:pPr>
        <w:adjustRightInd w:val="0"/>
        <w:snapToGrid w:val="0"/>
        <w:spacing w:line="400" w:lineRule="exact"/>
        <w:rPr>
          <w:rFonts w:ascii="仿宋" w:hAnsi="仿宋" w:eastAsia="仿宋" w:cs="仿宋"/>
          <w:sz w:val="24"/>
          <w:u w:val="dotted"/>
        </w:rPr>
      </w:pPr>
      <w:r>
        <w:rPr>
          <w:rFonts w:hint="eastAsia" w:ascii="仿宋" w:hAnsi="仿宋" w:eastAsia="仿宋" w:cs="仿宋"/>
          <w:sz w:val="24"/>
        </w:rPr>
        <w:t>质疑事项2</w:t>
      </w:r>
    </w:p>
    <w:p w14:paraId="63B2D071">
      <w:pPr>
        <w:adjustRightInd w:val="0"/>
        <w:snapToGrid w:val="0"/>
        <w:spacing w:line="400" w:lineRule="exact"/>
        <w:rPr>
          <w:rFonts w:ascii="仿宋" w:hAnsi="仿宋" w:eastAsia="仿宋" w:cs="仿宋"/>
          <w:sz w:val="24"/>
        </w:rPr>
      </w:pPr>
      <w:r>
        <w:rPr>
          <w:rFonts w:hint="eastAsia" w:ascii="仿宋" w:hAnsi="仿宋" w:eastAsia="仿宋" w:cs="仿宋"/>
          <w:sz w:val="24"/>
        </w:rPr>
        <w:t>……</w:t>
      </w:r>
    </w:p>
    <w:p w14:paraId="5EB43A96">
      <w:pPr>
        <w:adjustRightInd w:val="0"/>
        <w:snapToGrid w:val="0"/>
        <w:spacing w:before="240" w:beforeLines="100" w:line="400" w:lineRule="exact"/>
        <w:rPr>
          <w:rFonts w:ascii="仿宋" w:hAnsi="仿宋" w:eastAsia="仿宋" w:cs="仿宋"/>
          <w:bCs/>
          <w:sz w:val="24"/>
        </w:rPr>
      </w:pPr>
      <w:r>
        <w:rPr>
          <w:rFonts w:hint="eastAsia" w:ascii="仿宋" w:hAnsi="仿宋" w:eastAsia="仿宋" w:cs="仿宋"/>
          <w:bCs/>
          <w:sz w:val="24"/>
        </w:rPr>
        <w:t>四、与质疑事项相关的质疑请求</w:t>
      </w:r>
    </w:p>
    <w:p w14:paraId="5A989F12">
      <w:pPr>
        <w:adjustRightInd w:val="0"/>
        <w:snapToGrid w:val="0"/>
        <w:spacing w:line="400" w:lineRule="exact"/>
        <w:rPr>
          <w:rFonts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14:paraId="714506DA">
      <w:pPr>
        <w:spacing w:line="400" w:lineRule="exact"/>
        <w:rPr>
          <w:rFonts w:ascii="仿宋" w:hAnsi="仿宋" w:eastAsia="仿宋" w:cs="仿宋"/>
          <w:sz w:val="24"/>
        </w:rPr>
      </w:pPr>
      <w:r>
        <w:rPr>
          <w:rFonts w:hint="eastAsia" w:ascii="仿宋" w:hAnsi="仿宋" w:eastAsia="仿宋" w:cs="仿宋"/>
          <w:sz w:val="24"/>
        </w:rPr>
        <w:t xml:space="preserve">签字(签章)：                   公章：                      </w:t>
      </w:r>
    </w:p>
    <w:p w14:paraId="4E211895">
      <w:pPr>
        <w:spacing w:line="400" w:lineRule="exact"/>
        <w:rPr>
          <w:rFonts w:ascii="仿宋" w:hAnsi="仿宋" w:eastAsia="仿宋" w:cs="仿宋"/>
          <w:sz w:val="24"/>
        </w:rPr>
      </w:pPr>
      <w:r>
        <w:rPr>
          <w:rFonts w:hint="eastAsia" w:ascii="仿宋" w:hAnsi="仿宋" w:eastAsia="仿宋" w:cs="仿宋"/>
          <w:sz w:val="24"/>
        </w:rPr>
        <w:t xml:space="preserve">日期：    </w:t>
      </w:r>
    </w:p>
    <w:p w14:paraId="6E0FD1A9">
      <w:pPr>
        <w:spacing w:line="400" w:lineRule="exact"/>
        <w:rPr>
          <w:rFonts w:ascii="仿宋" w:hAnsi="仿宋" w:eastAsia="仿宋" w:cs="仿宋"/>
          <w:b/>
          <w:sz w:val="24"/>
        </w:rPr>
      </w:pPr>
    </w:p>
    <w:p w14:paraId="678E1B8E">
      <w:pPr>
        <w:rPr>
          <w:rFonts w:hint="eastAsia" w:ascii="仿宋" w:hAnsi="仿宋" w:eastAsia="仿宋" w:cs="仿宋"/>
          <w:b/>
          <w:sz w:val="24"/>
        </w:rPr>
      </w:pPr>
      <w:r>
        <w:rPr>
          <w:rFonts w:hint="eastAsia" w:ascii="仿宋" w:hAnsi="仿宋" w:eastAsia="仿宋" w:cs="仿宋"/>
          <w:b/>
          <w:sz w:val="24"/>
        </w:rPr>
        <w:br w:type="page"/>
      </w:r>
    </w:p>
    <w:p w14:paraId="4716A417">
      <w:pPr>
        <w:spacing w:line="400" w:lineRule="exact"/>
        <w:rPr>
          <w:rFonts w:ascii="仿宋" w:hAnsi="仿宋" w:eastAsia="仿宋" w:cs="仿宋"/>
          <w:b/>
          <w:sz w:val="24"/>
        </w:rPr>
      </w:pPr>
      <w:r>
        <w:rPr>
          <w:rFonts w:hint="eastAsia" w:ascii="仿宋" w:hAnsi="仿宋" w:eastAsia="仿宋" w:cs="仿宋"/>
          <w:b/>
          <w:sz w:val="24"/>
        </w:rPr>
        <w:t>质疑函制作说明：</w:t>
      </w:r>
    </w:p>
    <w:p w14:paraId="7586FE2A">
      <w:pPr>
        <w:widowControl/>
        <w:spacing w:line="400" w:lineRule="exact"/>
        <w:ind w:firstLine="480" w:firstLineChars="200"/>
        <w:jc w:val="left"/>
        <w:rPr>
          <w:rFonts w:ascii="仿宋" w:hAnsi="仿宋" w:eastAsia="仿宋" w:cs="仿宋"/>
          <w:sz w:val="24"/>
        </w:rPr>
      </w:pPr>
      <w:r>
        <w:rPr>
          <w:rFonts w:hint="eastAsia" w:ascii="仿宋" w:hAnsi="仿宋" w:eastAsia="仿宋" w:cs="仿宋"/>
          <w:sz w:val="24"/>
        </w:rPr>
        <w:t>1.供应商提出质疑时，应提交质疑函和必要的证明材料。</w:t>
      </w:r>
    </w:p>
    <w:p w14:paraId="0EDFBB0C">
      <w:pPr>
        <w:widowControl/>
        <w:spacing w:line="400" w:lineRule="exact"/>
        <w:ind w:firstLine="480" w:firstLineChars="200"/>
        <w:jc w:val="left"/>
        <w:rPr>
          <w:rFonts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w:t>
      </w:r>
      <w:r>
        <w:rPr>
          <w:rFonts w:hint="eastAsia" w:ascii="仿宋" w:hAnsi="仿宋" w:eastAsia="仿宋" w:cs="仿宋"/>
          <w:kern w:val="0"/>
          <w:sz w:val="24"/>
        </w:rPr>
        <w:t>供应商签署的授权委托书。授权委托书应载明代理人的姓名或者名称、代理事项、具体权限、期限和相关事项。</w:t>
      </w:r>
    </w:p>
    <w:p w14:paraId="4D67101F">
      <w:pPr>
        <w:widowControl/>
        <w:spacing w:line="400" w:lineRule="exact"/>
        <w:ind w:firstLine="480" w:firstLineChars="200"/>
        <w:jc w:val="left"/>
        <w:rPr>
          <w:rFonts w:ascii="仿宋" w:hAnsi="仿宋" w:eastAsia="仿宋" w:cs="仿宋"/>
          <w:sz w:val="24"/>
        </w:rPr>
      </w:pPr>
      <w:r>
        <w:rPr>
          <w:rFonts w:hint="eastAsia" w:ascii="仿宋" w:hAnsi="仿宋" w:eastAsia="仿宋" w:cs="仿宋"/>
          <w:sz w:val="24"/>
        </w:rPr>
        <w:t>3.质疑供应商若对项目的某一分包进行质疑，质疑函中应列明具体分包号。</w:t>
      </w:r>
    </w:p>
    <w:p w14:paraId="0876424B">
      <w:pPr>
        <w:widowControl/>
        <w:spacing w:line="400" w:lineRule="exact"/>
        <w:ind w:firstLine="480" w:firstLineChars="200"/>
        <w:jc w:val="left"/>
        <w:rPr>
          <w:rFonts w:ascii="仿宋" w:hAnsi="仿宋" w:eastAsia="仿宋" w:cs="仿宋"/>
          <w:sz w:val="24"/>
        </w:rPr>
      </w:pPr>
      <w:r>
        <w:rPr>
          <w:rFonts w:hint="eastAsia" w:ascii="仿宋" w:hAnsi="仿宋" w:eastAsia="仿宋" w:cs="仿宋"/>
          <w:sz w:val="24"/>
        </w:rPr>
        <w:t>4.质疑函的质疑事项应具体、明确，并有必要的事实依据和法律依据。</w:t>
      </w:r>
    </w:p>
    <w:p w14:paraId="6445C4E9">
      <w:pPr>
        <w:widowControl/>
        <w:spacing w:line="400" w:lineRule="exact"/>
        <w:ind w:firstLine="480" w:firstLineChars="200"/>
        <w:jc w:val="left"/>
        <w:rPr>
          <w:rFonts w:ascii="仿宋" w:hAnsi="仿宋" w:eastAsia="仿宋" w:cs="仿宋"/>
          <w:sz w:val="24"/>
        </w:rPr>
      </w:pPr>
      <w:r>
        <w:rPr>
          <w:rFonts w:hint="eastAsia" w:ascii="仿宋" w:hAnsi="仿宋" w:eastAsia="仿宋" w:cs="仿宋"/>
          <w:sz w:val="24"/>
        </w:rPr>
        <w:t>5.质疑函的质疑请求应与质疑事项相关。</w:t>
      </w:r>
    </w:p>
    <w:p w14:paraId="1D376EB0">
      <w:pPr>
        <w:widowControl/>
        <w:spacing w:line="400" w:lineRule="exact"/>
        <w:ind w:firstLine="480" w:firstLineChars="200"/>
        <w:jc w:val="left"/>
        <w:rPr>
          <w:rFonts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14:paraId="1E237AFA">
      <w:pPr>
        <w:spacing w:line="240" w:lineRule="auto"/>
        <w:rPr>
          <w:rFonts w:ascii="仿宋" w:hAnsi="仿宋" w:eastAsia="仿宋" w:cs="仿宋"/>
          <w:sz w:val="24"/>
        </w:rPr>
      </w:pPr>
      <w:r>
        <w:rPr>
          <w:rFonts w:ascii="仿宋" w:hAnsi="仿宋" w:eastAsia="仿宋" w:cs="仿宋"/>
          <w:sz w:val="24"/>
        </w:rPr>
        <w:br w:type="page"/>
      </w:r>
    </w:p>
    <w:p w14:paraId="68EC144B">
      <w:pPr>
        <w:pStyle w:val="6"/>
        <w:spacing w:before="0" w:line="240" w:lineRule="atLeast"/>
        <w:ind w:left="1080" w:leftChars="257" w:hanging="540"/>
        <w:rPr>
          <w:rFonts w:hint="eastAsia" w:ascii="仿宋" w:hAnsi="仿宋" w:eastAsia="仿宋" w:cs="仿宋"/>
          <w:color w:val="auto"/>
          <w:szCs w:val="24"/>
          <w:highlight w:val="none"/>
        </w:rPr>
      </w:pPr>
      <w:bookmarkStart w:id="247" w:name="_Toc24908"/>
      <w:bookmarkStart w:id="248" w:name="_Toc515647799"/>
      <w:bookmarkStart w:id="249" w:name="_Toc9814"/>
      <w:bookmarkStart w:id="250" w:name="_Toc16186"/>
      <w:bookmarkStart w:id="251" w:name="_Toc21748"/>
      <w:r>
        <w:rPr>
          <w:rFonts w:hint="eastAsia" w:ascii="仿宋" w:hAnsi="仿宋" w:eastAsia="仿宋" w:cs="仿宋"/>
          <w:color w:val="auto"/>
          <w:szCs w:val="24"/>
          <w:highlight w:val="none"/>
        </w:rPr>
        <w:t>附件1：履约保证金保函（格式）</w:t>
      </w:r>
      <w:bookmarkEnd w:id="247"/>
      <w:bookmarkEnd w:id="248"/>
      <w:bookmarkEnd w:id="249"/>
      <w:bookmarkEnd w:id="250"/>
      <w:bookmarkEnd w:id="251"/>
    </w:p>
    <w:p w14:paraId="15B52B1D">
      <w:pPr>
        <w:spacing w:line="240" w:lineRule="atLeast"/>
        <w:ind w:left="900" w:hanging="787" w:hangingChars="375"/>
        <w:rPr>
          <w:rFonts w:hint="eastAsia" w:ascii="仿宋" w:hAnsi="仿宋" w:eastAsia="仿宋" w:cs="仿宋"/>
          <w:color w:val="auto"/>
          <w:szCs w:val="24"/>
          <w:highlight w:val="none"/>
        </w:rPr>
      </w:pPr>
    </w:p>
    <w:p w14:paraId="66272429">
      <w:pPr>
        <w:pStyle w:val="13"/>
        <w:spacing w:line="240" w:lineRule="atLeast"/>
        <w:ind w:left="1080" w:leftChars="257" w:hanging="54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                         （中标后开具）</w:t>
      </w:r>
    </w:p>
    <w:p w14:paraId="2C8CA1EF">
      <w:pPr>
        <w:pStyle w:val="13"/>
        <w:spacing w:line="240" w:lineRule="atLeast"/>
        <w:ind w:left="1080" w:leftChars="257" w:hanging="540"/>
        <w:rPr>
          <w:rFonts w:hint="eastAsia" w:ascii="仿宋" w:hAnsi="仿宋" w:eastAsia="仿宋" w:cs="仿宋"/>
          <w:b/>
          <w:color w:val="auto"/>
          <w:sz w:val="24"/>
          <w:highlight w:val="none"/>
        </w:rPr>
      </w:pPr>
    </w:p>
    <w:p w14:paraId="1BE9616F">
      <w:pPr>
        <w:pStyle w:val="13"/>
        <w:spacing w:line="240" w:lineRule="atLeast"/>
        <w:rPr>
          <w:rFonts w:hint="eastAsia" w:ascii="仿宋" w:hAnsi="仿宋" w:eastAsia="仿宋" w:cs="仿宋"/>
          <w:color w:val="auto"/>
          <w:sz w:val="24"/>
          <w:highlight w:val="none"/>
        </w:rPr>
      </w:pPr>
      <w:r>
        <w:rPr>
          <w:rFonts w:hint="eastAsia" w:ascii="仿宋" w:hAnsi="仿宋" w:eastAsia="仿宋" w:cs="仿宋"/>
          <w:color w:val="auto"/>
          <w:sz w:val="24"/>
          <w:highlight w:val="none"/>
        </w:rPr>
        <w:t>致: (</w:t>
      </w:r>
      <w:r>
        <w:rPr>
          <w:rFonts w:hint="eastAsia" w:ascii="仿宋" w:hAnsi="仿宋" w:eastAsia="仿宋" w:cs="仿宋"/>
          <w:i/>
          <w:color w:val="auto"/>
          <w:sz w:val="24"/>
          <w:highlight w:val="none"/>
          <w:u w:val="single"/>
        </w:rPr>
        <w:t>买方名称</w:t>
      </w:r>
      <w:r>
        <w:rPr>
          <w:rFonts w:hint="eastAsia" w:ascii="仿宋" w:hAnsi="仿宋" w:eastAsia="仿宋" w:cs="仿宋"/>
          <w:color w:val="auto"/>
          <w:sz w:val="24"/>
          <w:highlight w:val="none"/>
        </w:rPr>
        <w:t>)</w:t>
      </w:r>
    </w:p>
    <w:p w14:paraId="25BB7755">
      <w:pPr>
        <w:pStyle w:val="13"/>
        <w:spacing w:line="240" w:lineRule="atLeast"/>
        <w:ind w:left="1080" w:leftChars="257" w:hanging="54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号合同履约保函</w:t>
      </w:r>
    </w:p>
    <w:p w14:paraId="716F552F">
      <w:pPr>
        <w:pStyle w:val="13"/>
        <w:spacing w:line="240" w:lineRule="atLeast"/>
        <w:ind w:left="1080" w:leftChars="257" w:hanging="540"/>
        <w:jc w:val="center"/>
        <w:rPr>
          <w:rFonts w:hint="eastAsia" w:ascii="仿宋" w:hAnsi="仿宋" w:eastAsia="仿宋" w:cs="仿宋"/>
          <w:color w:val="auto"/>
          <w:sz w:val="24"/>
          <w:highlight w:val="none"/>
        </w:rPr>
      </w:pPr>
    </w:p>
    <w:p w14:paraId="2B9E904D">
      <w:pPr>
        <w:pStyle w:val="13"/>
        <w:spacing w:line="240" w:lineRule="atLeast"/>
        <w:ind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本保函作为贵方与(</w:t>
      </w:r>
      <w:r>
        <w:rPr>
          <w:rFonts w:hint="eastAsia" w:ascii="仿宋" w:hAnsi="仿宋" w:eastAsia="仿宋" w:cs="仿宋"/>
          <w:i/>
          <w:color w:val="auto"/>
          <w:sz w:val="24"/>
          <w:highlight w:val="none"/>
          <w:u w:val="single"/>
        </w:rPr>
        <w:t>卖方名称</w:t>
      </w:r>
      <w:r>
        <w:rPr>
          <w:rFonts w:hint="eastAsia" w:ascii="仿宋" w:hAnsi="仿宋" w:eastAsia="仿宋" w:cs="仿宋"/>
          <w:color w:val="auto"/>
          <w:sz w:val="24"/>
          <w:highlight w:val="none"/>
        </w:rPr>
        <w:t>)(以下简称卖方)于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日就</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项目(以下简称项目)项下提供(</w:t>
      </w:r>
      <w:r>
        <w:rPr>
          <w:rFonts w:hint="eastAsia" w:ascii="仿宋" w:hAnsi="仿宋" w:eastAsia="仿宋" w:cs="仿宋"/>
          <w:i/>
          <w:color w:val="auto"/>
          <w:sz w:val="24"/>
          <w:highlight w:val="none"/>
          <w:u w:val="single"/>
        </w:rPr>
        <w:t>货物名称</w:t>
      </w:r>
      <w:r>
        <w:rPr>
          <w:rFonts w:hint="eastAsia" w:ascii="仿宋" w:hAnsi="仿宋" w:eastAsia="仿宋" w:cs="仿宋"/>
          <w:color w:val="auto"/>
          <w:sz w:val="24"/>
          <w:highlight w:val="none"/>
        </w:rPr>
        <w:t>)(以下简称货物)签订的(</w:t>
      </w:r>
      <w:r>
        <w:rPr>
          <w:rFonts w:hint="eastAsia" w:ascii="仿宋" w:hAnsi="仿宋" w:eastAsia="仿宋" w:cs="仿宋"/>
          <w:i/>
          <w:color w:val="auto"/>
          <w:sz w:val="24"/>
          <w:highlight w:val="none"/>
          <w:u w:val="single"/>
        </w:rPr>
        <w:t>合同号</w:t>
      </w:r>
      <w:r>
        <w:rPr>
          <w:rFonts w:hint="eastAsia" w:ascii="仿宋" w:hAnsi="仿宋" w:eastAsia="仿宋" w:cs="仿宋"/>
          <w:color w:val="auto"/>
          <w:sz w:val="24"/>
          <w:highlight w:val="none"/>
        </w:rPr>
        <w:t>)号合同的履约保函。</w:t>
      </w:r>
    </w:p>
    <w:p w14:paraId="124FCD3E">
      <w:pPr>
        <w:pStyle w:val="13"/>
        <w:spacing w:line="240" w:lineRule="atLeast"/>
        <w:ind w:firstLine="540" w:firstLineChars="225"/>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i/>
          <w:color w:val="auto"/>
          <w:sz w:val="24"/>
          <w:highlight w:val="none"/>
          <w:u w:val="single"/>
        </w:rPr>
        <w:t>出具保函的银行名称</w:t>
      </w:r>
      <w:r>
        <w:rPr>
          <w:rFonts w:hint="eastAsia" w:ascii="仿宋" w:hAnsi="仿宋" w:eastAsia="仿宋" w:cs="仿宋"/>
          <w:color w:val="auto"/>
          <w:sz w:val="24"/>
          <w:highlight w:val="none"/>
        </w:rPr>
        <w:t>)(以下简称银行)无条件地、不可撤销地具结保证本行、其继承人和受让人无追索地向贵方以(</w:t>
      </w:r>
      <w:r>
        <w:rPr>
          <w:rFonts w:hint="eastAsia" w:ascii="仿宋" w:hAnsi="仿宋" w:eastAsia="仿宋" w:cs="仿宋"/>
          <w:i/>
          <w:color w:val="auto"/>
          <w:sz w:val="24"/>
          <w:highlight w:val="none"/>
          <w:u w:val="single"/>
        </w:rPr>
        <w:t>货币名称</w:t>
      </w:r>
      <w:r>
        <w:rPr>
          <w:rFonts w:hint="eastAsia" w:ascii="仿宋" w:hAnsi="仿宋" w:eastAsia="仿宋" w:cs="仿宋"/>
          <w:color w:val="auto"/>
          <w:sz w:val="24"/>
          <w:highlight w:val="none"/>
        </w:rPr>
        <w:t>)支付总额不超过(</w:t>
      </w:r>
      <w:r>
        <w:rPr>
          <w:rFonts w:hint="eastAsia" w:ascii="仿宋" w:hAnsi="仿宋" w:eastAsia="仿宋" w:cs="仿宋"/>
          <w:i/>
          <w:color w:val="auto"/>
          <w:sz w:val="24"/>
          <w:highlight w:val="none"/>
          <w:u w:val="single"/>
        </w:rPr>
        <w:t>货币数量</w:t>
      </w:r>
      <w:r>
        <w:rPr>
          <w:rFonts w:hint="eastAsia" w:ascii="仿宋" w:hAnsi="仿宋" w:eastAsia="仿宋" w:cs="仿宋"/>
          <w:color w:val="auto"/>
          <w:sz w:val="24"/>
          <w:highlight w:val="none"/>
        </w:rPr>
        <w:t>),即相当于合同价格的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%,并以此约定如下:</w:t>
      </w:r>
    </w:p>
    <w:p w14:paraId="3C663095">
      <w:pPr>
        <w:pStyle w:val="13"/>
        <w:spacing w:line="240" w:lineRule="atLeast"/>
        <w:ind w:left="540" w:leftChars="257"/>
        <w:rPr>
          <w:rFonts w:hint="eastAsia" w:ascii="仿宋" w:hAnsi="仿宋" w:eastAsia="仿宋" w:cs="仿宋"/>
          <w:color w:val="auto"/>
          <w:sz w:val="24"/>
          <w:highlight w:val="none"/>
        </w:rPr>
      </w:pPr>
      <w:r>
        <w:rPr>
          <w:rFonts w:hint="eastAsia" w:ascii="仿宋" w:hAnsi="仿宋" w:eastAsia="仿宋" w:cs="仿宋"/>
          <w:color w:val="auto"/>
          <w:sz w:val="24"/>
          <w:highlight w:val="none"/>
        </w:rPr>
        <w:t>1.只要贵方确定卖方未能忠实地履行所有合同文件的规定和双方此后一致 同意的修改、补充和变动,包括更改和/或修补贵方认为有缺陷的货物(以下简称违约),无论卖方有任何反对,本行将凭贵方关于卖方违约说明的书面通知,立即按贵方提出的累计总额不超过上述金额的款项和按贵方通知规定的方式付给贵方。</w:t>
      </w:r>
    </w:p>
    <w:p w14:paraId="661DD24E">
      <w:pPr>
        <w:pStyle w:val="13"/>
        <w:spacing w:line="240" w:lineRule="atLeast"/>
        <w:ind w:left="540"/>
        <w:rPr>
          <w:rFonts w:hint="eastAsia" w:ascii="仿宋" w:hAnsi="仿宋" w:eastAsia="仿宋" w:cs="仿宋"/>
          <w:color w:val="auto"/>
          <w:sz w:val="24"/>
          <w:highlight w:val="none"/>
        </w:rPr>
      </w:pPr>
      <w:r>
        <w:rPr>
          <w:rFonts w:hint="eastAsia" w:ascii="仿宋" w:hAnsi="仿宋" w:eastAsia="仿宋" w:cs="仿宋"/>
          <w:color w:val="auto"/>
          <w:sz w:val="24"/>
          <w:highlight w:val="none"/>
        </w:rPr>
        <w:t>2.本保函项下的任何支付应为免税和净值。对于现有或将来的税收、关税、收费、费用扣减或预提税款，不论这些款项是何种性质和由谁征收，都不应从本保函项下的支付中扣除。</w:t>
      </w:r>
    </w:p>
    <w:p w14:paraId="153E8729">
      <w:pPr>
        <w:pStyle w:val="13"/>
        <w:spacing w:line="240" w:lineRule="atLeast"/>
        <w:ind w:left="540"/>
        <w:rPr>
          <w:rFonts w:hint="eastAsia" w:ascii="仿宋" w:hAnsi="仿宋" w:eastAsia="仿宋" w:cs="仿宋"/>
          <w:color w:val="auto"/>
          <w:sz w:val="24"/>
          <w:highlight w:val="none"/>
        </w:rPr>
      </w:pPr>
      <w:r>
        <w:rPr>
          <w:rFonts w:hint="eastAsia" w:ascii="仿宋" w:hAnsi="仿宋" w:eastAsia="仿宋" w:cs="仿宋"/>
          <w:color w:val="auto"/>
          <w:sz w:val="24"/>
          <w:highlight w:val="none"/>
        </w:rPr>
        <w:t>3.本保函的条款构成本行无条件的、不可撤销的直接责任。对即将履行的合同条款的任何变更、贵方在时间上的宽限、或由贵方采取的如果没有本款可能免除本行责任的任何其它行为，均不能解除或免除本行在本保函项下的责任。</w:t>
      </w:r>
    </w:p>
    <w:p w14:paraId="7C8A8487">
      <w:pPr>
        <w:pStyle w:val="13"/>
        <w:spacing w:line="240" w:lineRule="atLeas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4.本保函在本合同规定的保证期期满前完全有效。</w:t>
      </w:r>
    </w:p>
    <w:p w14:paraId="0C11F2BC">
      <w:pPr>
        <w:pStyle w:val="13"/>
        <w:spacing w:line="240" w:lineRule="atLeast"/>
        <w:ind w:left="1080" w:leftChars="257" w:hanging="540"/>
        <w:rPr>
          <w:rFonts w:hint="eastAsia" w:ascii="仿宋" w:hAnsi="仿宋" w:eastAsia="仿宋" w:cs="仿宋"/>
          <w:color w:val="auto"/>
          <w:sz w:val="24"/>
          <w:highlight w:val="none"/>
        </w:rPr>
      </w:pPr>
    </w:p>
    <w:p w14:paraId="3C2EEAD0">
      <w:pPr>
        <w:pStyle w:val="13"/>
        <w:spacing w:line="240" w:lineRule="atLeas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谨启</w:t>
      </w:r>
    </w:p>
    <w:p w14:paraId="37046ECC">
      <w:pPr>
        <w:pStyle w:val="13"/>
        <w:spacing w:line="240" w:lineRule="atLeas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出具保函银行名称：</w:t>
      </w:r>
      <w:r>
        <w:rPr>
          <w:rFonts w:hint="eastAsia" w:ascii="仿宋" w:hAnsi="仿宋" w:eastAsia="仿宋" w:cs="仿宋"/>
          <w:color w:val="auto"/>
          <w:sz w:val="24"/>
          <w:highlight w:val="none"/>
          <w:u w:val="single"/>
        </w:rPr>
        <w:t xml:space="preserve">                             </w:t>
      </w:r>
    </w:p>
    <w:p w14:paraId="1F8827C1">
      <w:pPr>
        <w:pStyle w:val="13"/>
        <w:spacing w:line="240" w:lineRule="atLeast"/>
        <w:ind w:left="1080" w:leftChars="257" w:hanging="54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签字人姓名和职务：</w:t>
      </w:r>
      <w:r>
        <w:rPr>
          <w:rFonts w:hint="eastAsia" w:ascii="仿宋" w:hAnsi="仿宋" w:eastAsia="仿宋" w:cs="仿宋"/>
          <w:color w:val="auto"/>
          <w:sz w:val="24"/>
          <w:highlight w:val="none"/>
          <w:u w:val="single"/>
        </w:rPr>
        <w:t xml:space="preserve">                             </w:t>
      </w:r>
    </w:p>
    <w:p w14:paraId="42F4E8DE">
      <w:pPr>
        <w:pStyle w:val="13"/>
        <w:spacing w:line="240" w:lineRule="atLeas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签字人签名：</w:t>
      </w:r>
      <w:r>
        <w:rPr>
          <w:rFonts w:hint="eastAsia" w:ascii="仿宋" w:hAnsi="仿宋" w:eastAsia="仿宋" w:cs="仿宋"/>
          <w:color w:val="auto"/>
          <w:sz w:val="24"/>
          <w:highlight w:val="none"/>
          <w:u w:val="single"/>
        </w:rPr>
        <w:t xml:space="preserve">                                   </w:t>
      </w:r>
    </w:p>
    <w:p w14:paraId="09B2F7BB">
      <w:pPr>
        <w:pStyle w:val="13"/>
        <w:spacing w:line="240" w:lineRule="atLeast"/>
        <w:ind w:left="1080" w:leftChars="257" w:hanging="54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公章：</w:t>
      </w:r>
      <w:r>
        <w:rPr>
          <w:rFonts w:hint="eastAsia" w:ascii="仿宋" w:hAnsi="仿宋" w:eastAsia="仿宋" w:cs="仿宋"/>
          <w:color w:val="auto"/>
          <w:sz w:val="24"/>
          <w:highlight w:val="none"/>
          <w:u w:val="single"/>
        </w:rPr>
        <w:t xml:space="preserve">                                         </w:t>
      </w:r>
    </w:p>
    <w:p w14:paraId="356CBD9C">
      <w:pPr>
        <w:pStyle w:val="6"/>
        <w:spacing w:before="0" w:line="240" w:lineRule="atLeast"/>
        <w:ind w:left="1080" w:leftChars="257" w:hanging="540"/>
        <w:rPr>
          <w:rFonts w:hint="eastAsia" w:ascii="仿宋" w:hAnsi="仿宋" w:eastAsia="仿宋" w:cs="仿宋"/>
          <w:color w:val="auto"/>
          <w:szCs w:val="24"/>
          <w:highlight w:val="none"/>
        </w:rPr>
      </w:pPr>
      <w:r>
        <w:rPr>
          <w:rFonts w:hint="eastAsia" w:ascii="仿宋" w:hAnsi="仿宋" w:eastAsia="仿宋" w:cs="仿宋"/>
          <w:color w:val="auto"/>
          <w:highlight w:val="none"/>
        </w:rPr>
        <w:br w:type="page"/>
      </w:r>
      <w:bookmarkStart w:id="252" w:name="_Toc6548"/>
      <w:bookmarkStart w:id="253" w:name="_Toc515647800"/>
      <w:bookmarkStart w:id="254" w:name="_Toc10951"/>
      <w:bookmarkStart w:id="255" w:name="_Toc7875"/>
      <w:r>
        <w:rPr>
          <w:rFonts w:hint="eastAsia" w:ascii="仿宋" w:hAnsi="仿宋" w:eastAsia="仿宋" w:cs="仿宋"/>
          <w:color w:val="auto"/>
          <w:szCs w:val="24"/>
          <w:highlight w:val="none"/>
        </w:rPr>
        <w:t>附件2：履约担保函格式</w:t>
      </w:r>
      <w:bookmarkEnd w:id="252"/>
      <w:bookmarkEnd w:id="253"/>
      <w:bookmarkEnd w:id="254"/>
      <w:bookmarkEnd w:id="255"/>
    </w:p>
    <w:p w14:paraId="7936981F">
      <w:pPr>
        <w:pStyle w:val="6"/>
        <w:spacing w:before="0" w:line="240" w:lineRule="atLeast"/>
        <w:ind w:left="1080" w:leftChars="257" w:hanging="540"/>
        <w:rPr>
          <w:rFonts w:hint="eastAsia" w:ascii="仿宋" w:hAnsi="仿宋" w:eastAsia="仿宋" w:cs="仿宋"/>
          <w:b w:val="0"/>
          <w:color w:val="auto"/>
          <w:highlight w:val="none"/>
        </w:rPr>
      </w:pPr>
      <w:bookmarkStart w:id="256" w:name="_Toc162"/>
      <w:bookmarkStart w:id="257" w:name="_Toc10760"/>
      <w:bookmarkStart w:id="258" w:name="_Toc13962"/>
      <w:bookmarkStart w:id="259" w:name="_Toc515647801"/>
      <w:r>
        <w:rPr>
          <w:rFonts w:hint="eastAsia" w:ascii="仿宋" w:hAnsi="仿宋" w:eastAsia="仿宋" w:cs="仿宋"/>
          <w:color w:val="auto"/>
          <w:szCs w:val="24"/>
          <w:highlight w:val="none"/>
        </w:rPr>
        <w:t>（采用政府采购信用担保形式时使用）</w:t>
      </w:r>
      <w:bookmarkEnd w:id="256"/>
      <w:bookmarkEnd w:id="257"/>
      <w:bookmarkEnd w:id="258"/>
      <w:bookmarkEnd w:id="259"/>
    </w:p>
    <w:p w14:paraId="3AAD27B2">
      <w:pPr>
        <w:spacing w:line="240" w:lineRule="atLeast"/>
        <w:ind w:left="1080" w:leftChars="257" w:hanging="540"/>
        <w:rPr>
          <w:rFonts w:hint="eastAsia" w:ascii="仿宋" w:hAnsi="仿宋" w:eastAsia="仿宋" w:cs="仿宋"/>
          <w:b/>
          <w:color w:val="auto"/>
          <w:kern w:val="0"/>
          <w:sz w:val="24"/>
          <w:szCs w:val="20"/>
          <w:highlight w:val="none"/>
        </w:rPr>
      </w:pPr>
    </w:p>
    <w:p w14:paraId="7B10CB51">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政府采购履约担保函（项目用）</w:t>
      </w:r>
    </w:p>
    <w:p w14:paraId="4D19A04F">
      <w:pP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编号：</w:t>
      </w:r>
    </w:p>
    <w:p w14:paraId="7ED6A096">
      <w:pPr>
        <w:rPr>
          <w:rFonts w:hint="eastAsia" w:ascii="仿宋" w:hAnsi="仿宋" w:eastAsia="仿宋" w:cs="仿宋"/>
          <w:color w:val="auto"/>
          <w:sz w:val="24"/>
          <w:highlight w:val="none"/>
        </w:rPr>
      </w:pPr>
    </w:p>
    <w:p w14:paraId="3C42926F">
      <w:pPr>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（采购人）：</w:t>
      </w:r>
    </w:p>
    <w:p w14:paraId="4E3BE038">
      <w:pPr>
        <w:rPr>
          <w:rFonts w:hint="eastAsia" w:ascii="仿宋" w:hAnsi="仿宋" w:eastAsia="仿宋" w:cs="仿宋"/>
          <w:color w:val="auto"/>
          <w:sz w:val="24"/>
          <w:highlight w:val="none"/>
        </w:rPr>
      </w:pPr>
    </w:p>
    <w:p w14:paraId="5F67BE84">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鉴于你方与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（以下简称供应商）于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日签定编号为   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政府采购合同》（以下简称主合同），且依据该合同的约定，供应商应在</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p>
    <w:p w14:paraId="7E619EB3">
      <w:pPr>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日前向你方交纳履约保证金，且可以履约担保函的形式交纳履约保证金。应供应商的申请，我方以保证的方式向你方提供如下履约保证金担保：</w:t>
      </w:r>
    </w:p>
    <w:p w14:paraId="2A0F0728">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一、保证责任的情形及保证金额</w:t>
      </w:r>
    </w:p>
    <w:p w14:paraId="422D15FD">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（一）在供应商出现下列情形之一时，我方承担保证责任：</w:t>
      </w:r>
    </w:p>
    <w:p w14:paraId="1ED99710">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1．将中标项目转让给他人，或者在投标文件中未说明，且未经采购招标机构人同意，将中标项目分包给他人的；</w:t>
      </w:r>
    </w:p>
    <w:p w14:paraId="068C6765">
      <w:pP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2．主合同约定的应当缴纳履约保证金的情形: </w:t>
      </w:r>
    </w:p>
    <w:p w14:paraId="7D20E46B">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（1）未按主合同约定的质量、数量和期限供应货物/提供服务/完成工程的；</w:t>
      </w:r>
    </w:p>
    <w:p w14:paraId="3251C486">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0ED9EB85">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（二）我方的保证范围是主合同约定的合同价款总额的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%数额为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），币种为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。（即主合同履约保证金金额）</w:t>
      </w:r>
    </w:p>
    <w:p w14:paraId="1C4A0CAF">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二、保证的方式及保证期间</w:t>
      </w:r>
    </w:p>
    <w:p w14:paraId="63966911">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我方保证的方式为：连带责任保证。</w:t>
      </w:r>
    </w:p>
    <w:p w14:paraId="1F44730D">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我方保证的期间为：自本合同生效之日起至供应商按照主合同约定的供货/完工期限届满后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日内。</w:t>
      </w:r>
    </w:p>
    <w:p w14:paraId="06C9DB11">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如果供应商未按主合同约定向贵方供应货物/提供服务/完成工程的，由我方在保证金额内向你方支付上述款项。</w:t>
      </w:r>
    </w:p>
    <w:p w14:paraId="1806DDD9">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三、承担保证责任的程序</w:t>
      </w:r>
    </w:p>
    <w:p w14:paraId="4F37A926">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1．你方要求我方承担保证责任的，应在本保函保证期间内向我方发出书面索赔通知。索赔通知应写明要求索赔的金额，支付款项应到达的帐号。并附有证明供应商违约事实的证明材料。</w:t>
      </w:r>
    </w:p>
    <w:p w14:paraId="7DD9F23E">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如果你方与供应商因货物质量问题产生争议，你方还需同时提供</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部门出具的质量检测报告，或经诉讼（仲裁）程序裁决后的裁决书、调解书，本保证人即按照检测结果或裁决书、调解书决定是否承担保证责任。</w:t>
      </w:r>
    </w:p>
    <w:p w14:paraId="54DB62AD">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 我方收到你方的书面索赔通知及相应证明材料，在</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工作日内进行核定后按照本保函的承诺承担保证责任。</w:t>
      </w:r>
    </w:p>
    <w:p w14:paraId="37D25ACF">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四、保证责任的终止</w:t>
      </w:r>
    </w:p>
    <w:p w14:paraId="0A174714">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1．保证期间届满你方未向我方书面主张保证责任的，自保证期间届满次日起，我方保证责任自动终止。保证期间届满前，主合同约定的货物\工程\服务全部验收合格的，自验收合格日起，我方保证责任自动终止。</w:t>
      </w:r>
    </w:p>
    <w:p w14:paraId="463AD134">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2．我方按照本保函向你方履行了保证责任后，自我方向你方支付款项（支付款项从我方账户划出）之日起，保证责任即终止。</w:t>
      </w:r>
    </w:p>
    <w:p w14:paraId="41AF0F63">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3．按照法律法规的规定或出现应终止我方保证责任的其它情形的，我方在本保函项下的保证责任亦终止。</w:t>
      </w:r>
    </w:p>
    <w:p w14:paraId="6A07C0ED">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14:paraId="49E74050">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五、免责条款</w:t>
      </w:r>
    </w:p>
    <w:p w14:paraId="0A2B0436">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1．因你方违反主合同约定致使供应商不能履行义务的，我方不承担保证责任。</w:t>
      </w:r>
    </w:p>
    <w:p w14:paraId="4D440EAB">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2．依照法律法规的规定或你方与供应商的另行约定，全部或者部分免除供应商应缴纳的保证金义务的，我方亦免除相应的保证责任。</w:t>
      </w:r>
    </w:p>
    <w:p w14:paraId="7D690AF6">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3．因不可抗力造成供应商不能履行供货义务的，我方不承担保证责任。</w:t>
      </w:r>
    </w:p>
    <w:p w14:paraId="072A945C">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六、争议的解决</w:t>
      </w:r>
    </w:p>
    <w:p w14:paraId="4D6CBE56">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因本保函发生的纠纷，由你我双方协商解决，协商不成的，通过诉讼程序解决，诉讼管辖地法院为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法院。</w:t>
      </w:r>
    </w:p>
    <w:p w14:paraId="61C92394">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七、保函的生效</w:t>
      </w:r>
    </w:p>
    <w:p w14:paraId="3D412876">
      <w:pPr>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本保函自我方加盖公章之日起生效。</w:t>
      </w:r>
    </w:p>
    <w:p w14:paraId="5D0CEC87">
      <w:pPr>
        <w:rPr>
          <w:rFonts w:hint="eastAsia" w:ascii="仿宋" w:hAnsi="仿宋" w:eastAsia="仿宋" w:cs="仿宋"/>
          <w:color w:val="auto"/>
          <w:sz w:val="24"/>
          <w:highlight w:val="none"/>
        </w:rPr>
      </w:pPr>
    </w:p>
    <w:p w14:paraId="0EED0D4E">
      <w:pP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71BCE735">
      <w:pPr>
        <w:ind w:firstLine="5400" w:firstLineChars="2250"/>
        <w:rPr>
          <w:rFonts w:hint="eastAsia" w:ascii="仿宋" w:hAnsi="仿宋" w:eastAsia="仿宋" w:cs="仿宋"/>
          <w:color w:val="auto"/>
          <w:sz w:val="24"/>
          <w:highlight w:val="none"/>
        </w:rPr>
      </w:pPr>
      <w:r>
        <w:rPr>
          <w:rFonts w:hint="eastAsia" w:ascii="仿宋" w:hAnsi="仿宋" w:eastAsia="仿宋" w:cs="仿宋"/>
          <w:color w:val="auto"/>
          <w:sz w:val="24"/>
          <w:highlight w:val="none"/>
        </w:rPr>
        <w:t>保证人：（公章）</w:t>
      </w:r>
    </w:p>
    <w:p w14:paraId="2B294D3C">
      <w:pP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1DB3BBB8">
      <w:pP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年     月      日</w:t>
      </w:r>
    </w:p>
    <w:p w14:paraId="44660BED">
      <w:pPr>
        <w:pStyle w:val="16"/>
      </w:pPr>
      <w:r>
        <w:rPr>
          <w:rFonts w:hint="eastAsia" w:ascii="仿宋" w:hAnsi="仿宋" w:eastAsia="仿宋" w:cs="仿宋"/>
          <w:b/>
          <w:color w:val="auto"/>
          <w:highlight w:val="none"/>
        </w:rPr>
        <w:br w:type="page"/>
      </w:r>
    </w:p>
    <w:p w14:paraId="1ED9DB00">
      <w:pPr>
        <w:rPr>
          <w:rFonts w:ascii="仿宋" w:hAnsi="仿宋" w:eastAsia="仿宋" w:cs="仿宋"/>
          <w:sz w:val="24"/>
        </w:rPr>
      </w:pPr>
      <w:bookmarkStart w:id="260" w:name="_Toc515647802"/>
      <w:bookmarkStart w:id="261" w:name="_Toc8372"/>
      <w:bookmarkStart w:id="262" w:name="_Toc728"/>
      <w:bookmarkStart w:id="263" w:name="_Toc11589"/>
      <w:bookmarkStart w:id="264" w:name="_Toc216582812"/>
      <w:bookmarkStart w:id="265" w:name="_Toc702"/>
    </w:p>
    <w:bookmarkEnd w:id="260"/>
    <w:bookmarkEnd w:id="261"/>
    <w:bookmarkEnd w:id="262"/>
    <w:bookmarkEnd w:id="263"/>
    <w:bookmarkEnd w:id="264"/>
    <w:bookmarkEnd w:id="265"/>
    <w:p w14:paraId="78BE1575">
      <w:pPr>
        <w:pStyle w:val="5"/>
        <w:spacing w:before="0" w:after="0" w:line="240" w:lineRule="atLeast"/>
        <w:rPr>
          <w:rFonts w:ascii="仿宋" w:hAnsi="仿宋" w:eastAsia="仿宋" w:cs="仿宋"/>
          <w:b/>
          <w:bCs w:val="0"/>
          <w:sz w:val="24"/>
        </w:rPr>
      </w:pPr>
      <w:r>
        <w:rPr>
          <w:rFonts w:hint="eastAsia" w:ascii="仿宋" w:hAnsi="仿宋" w:eastAsia="仿宋" w:cs="仿宋"/>
          <w:b/>
          <w:bCs w:val="0"/>
          <w:sz w:val="24"/>
          <w:szCs w:val="24"/>
        </w:rPr>
        <w:t>第2章 响应文件格式</w:t>
      </w:r>
    </w:p>
    <w:p w14:paraId="6BDAFF8A">
      <w:pPr>
        <w:pStyle w:val="6"/>
        <w:spacing w:before="0" w:line="240" w:lineRule="atLeast"/>
        <w:ind w:left="1080" w:leftChars="257" w:hanging="540"/>
        <w:rPr>
          <w:rFonts w:hint="eastAsia" w:ascii="仿宋" w:hAnsi="仿宋" w:eastAsia="仿宋" w:cs="仿宋"/>
          <w:b/>
          <w:bCs w:val="0"/>
          <w:sz w:val="24"/>
          <w:szCs w:val="24"/>
        </w:rPr>
      </w:pPr>
      <w:bookmarkStart w:id="266" w:name="_Toc1126"/>
      <w:bookmarkStart w:id="267" w:name="_Toc19961"/>
      <w:bookmarkStart w:id="268" w:name="_Toc3315"/>
      <w:bookmarkStart w:id="269" w:name="_Toc18974"/>
      <w:bookmarkStart w:id="270" w:name="_Toc26489"/>
      <w:bookmarkStart w:id="271" w:name="_Toc515647803"/>
      <w:bookmarkStart w:id="272" w:name="_Toc21009"/>
      <w:bookmarkStart w:id="273" w:name="_Toc18694"/>
      <w:r>
        <w:rPr>
          <w:rFonts w:hint="eastAsia" w:ascii="仿宋" w:hAnsi="仿宋" w:eastAsia="仿宋" w:cs="仿宋"/>
          <w:b/>
          <w:bCs w:val="0"/>
          <w:sz w:val="24"/>
          <w:szCs w:val="24"/>
        </w:rPr>
        <w:t>第一部分 磋商开启一览表及资格证明文件</w:t>
      </w:r>
      <w:bookmarkEnd w:id="266"/>
      <w:bookmarkEnd w:id="267"/>
      <w:bookmarkEnd w:id="268"/>
      <w:bookmarkEnd w:id="269"/>
      <w:bookmarkEnd w:id="270"/>
      <w:bookmarkEnd w:id="271"/>
      <w:bookmarkEnd w:id="272"/>
      <w:bookmarkEnd w:id="273"/>
    </w:p>
    <w:p w14:paraId="5DAC7E8F">
      <w:pPr>
        <w:tabs>
          <w:tab w:val="left" w:pos="5580"/>
        </w:tabs>
        <w:spacing w:line="360" w:lineRule="auto"/>
        <w:ind w:firstLine="480" w:firstLineChars="200"/>
        <w:jc w:val="left"/>
        <w:rPr>
          <w:rFonts w:ascii="仿宋" w:hAnsi="仿宋" w:eastAsia="仿宋" w:cs="仿宋"/>
          <w:sz w:val="24"/>
        </w:rPr>
      </w:pPr>
      <w:r>
        <w:rPr>
          <w:rFonts w:hint="eastAsia" w:ascii="仿宋" w:hAnsi="仿宋" w:eastAsia="仿宋" w:cs="仿宋"/>
          <w:sz w:val="24"/>
        </w:rPr>
        <w:t>1.磋商报价一览表;</w:t>
      </w:r>
    </w:p>
    <w:p w14:paraId="51A1BE8D">
      <w:pPr>
        <w:tabs>
          <w:tab w:val="left" w:pos="5580"/>
        </w:tabs>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2、法人或者非法人组织的营业执照等证明文件或自然人的身份证明；</w:t>
      </w:r>
    </w:p>
    <w:p w14:paraId="5B9634BB">
      <w:pPr>
        <w:tabs>
          <w:tab w:val="left" w:pos="5580"/>
        </w:tabs>
        <w:spacing w:line="360" w:lineRule="auto"/>
        <w:ind w:firstLine="480" w:firstLineChars="200"/>
        <w:jc w:val="left"/>
        <w:rPr>
          <w:rFonts w:hint="eastAsia" w:ascii="仿宋" w:hAnsi="仿宋" w:eastAsia="仿宋" w:cs="仿宋"/>
          <w:kern w:val="0"/>
          <w:sz w:val="24"/>
          <w:lang w:eastAsia="zh-CN"/>
        </w:rPr>
      </w:pPr>
      <w:r>
        <w:rPr>
          <w:rFonts w:hint="eastAsia" w:ascii="仿宋" w:hAnsi="仿宋" w:eastAsia="仿宋" w:cs="仿宋"/>
          <w:kern w:val="0"/>
          <w:sz w:val="24"/>
        </w:rPr>
        <w:t>3、法定代表人资格证明书或法人授权委托书及被授权人身份证(投标文件格式二，自然人投标的无需提供)</w:t>
      </w:r>
      <w:r>
        <w:rPr>
          <w:rFonts w:hint="eastAsia" w:ascii="仿宋" w:hAnsi="仿宋" w:eastAsia="仿宋" w:cs="仿宋"/>
          <w:kern w:val="0"/>
          <w:sz w:val="24"/>
          <w:lang w:eastAsia="zh-CN"/>
        </w:rPr>
        <w:t>；</w:t>
      </w:r>
    </w:p>
    <w:p w14:paraId="7062D166">
      <w:pPr>
        <w:tabs>
          <w:tab w:val="left" w:pos="5580"/>
        </w:tabs>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4、社会保障资金的缴纳记录及依法缴纳税收良好记录证明;</w:t>
      </w:r>
    </w:p>
    <w:p w14:paraId="31906CE4">
      <w:pPr>
        <w:tabs>
          <w:tab w:val="left" w:pos="5580"/>
        </w:tabs>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5、具有良好的商业信誉和健全的财务会计制度的证明文件；</w:t>
      </w:r>
    </w:p>
    <w:p w14:paraId="23BE579D">
      <w:pPr>
        <w:tabs>
          <w:tab w:val="left" w:pos="5580"/>
        </w:tabs>
        <w:spacing w:line="360" w:lineRule="auto"/>
        <w:ind w:firstLine="480" w:firstLineChars="200"/>
        <w:jc w:val="left"/>
        <w:rPr>
          <w:rFonts w:hint="eastAsia" w:ascii="仿宋" w:hAnsi="仿宋" w:eastAsia="仿宋" w:cs="仿宋"/>
          <w:kern w:val="0"/>
          <w:sz w:val="24"/>
          <w:lang w:eastAsia="zh-CN"/>
        </w:rPr>
      </w:pPr>
      <w:r>
        <w:rPr>
          <w:rFonts w:hint="eastAsia" w:ascii="仿宋" w:hAnsi="仿宋" w:eastAsia="仿宋" w:cs="仿宋"/>
          <w:kern w:val="0"/>
          <w:sz w:val="24"/>
        </w:rPr>
        <w:t>6、投标保证金缴纳凭证或投标担保函</w:t>
      </w:r>
      <w:r>
        <w:rPr>
          <w:rFonts w:hint="eastAsia" w:ascii="仿宋" w:hAnsi="仿宋" w:eastAsia="仿宋" w:cs="仿宋"/>
          <w:kern w:val="0"/>
          <w:sz w:val="24"/>
          <w:lang w:eastAsia="zh-CN"/>
        </w:rPr>
        <w:t>；</w:t>
      </w:r>
    </w:p>
    <w:p w14:paraId="4034BA19">
      <w:pPr>
        <w:tabs>
          <w:tab w:val="left" w:pos="5580"/>
        </w:tabs>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7、参加政府采购活动前3年内在经营活动中没有重大违法记录的书面声明;</w:t>
      </w:r>
    </w:p>
    <w:p w14:paraId="7DB9AF25">
      <w:pPr>
        <w:tabs>
          <w:tab w:val="left" w:pos="5580"/>
        </w:tabs>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8、具有履行合同所必需的设备和专业技术能力的证明材料（详见格式）；</w:t>
      </w:r>
    </w:p>
    <w:p w14:paraId="706C1571">
      <w:pPr>
        <w:tabs>
          <w:tab w:val="left" w:pos="5580"/>
        </w:tabs>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9、针对本次项目《反商业贿赂承诺书》；</w:t>
      </w:r>
    </w:p>
    <w:p w14:paraId="391CD610">
      <w:pPr>
        <w:tabs>
          <w:tab w:val="left" w:pos="5580"/>
        </w:tabs>
        <w:spacing w:line="360" w:lineRule="auto"/>
        <w:ind w:firstLine="480" w:firstLineChars="200"/>
        <w:jc w:val="left"/>
        <w:rPr>
          <w:rFonts w:hint="eastAsia" w:ascii="仿宋" w:hAnsi="仿宋" w:eastAsia="仿宋" w:cs="仿宋"/>
          <w:kern w:val="0"/>
          <w:sz w:val="24"/>
          <w:lang w:eastAsia="zh-CN"/>
        </w:rPr>
      </w:pPr>
      <w:r>
        <w:rPr>
          <w:rFonts w:hint="eastAsia" w:ascii="仿宋" w:hAnsi="仿宋" w:eastAsia="仿宋" w:cs="仿宋"/>
          <w:kern w:val="0"/>
          <w:sz w:val="24"/>
        </w:rPr>
        <w:t>10、投标人须知资料表要求的其他资格证明文件</w:t>
      </w:r>
      <w:r>
        <w:rPr>
          <w:rFonts w:hint="eastAsia" w:ascii="仿宋" w:hAnsi="仿宋" w:eastAsia="仿宋" w:cs="仿宋"/>
          <w:kern w:val="0"/>
          <w:sz w:val="24"/>
          <w:lang w:eastAsia="zh-CN"/>
        </w:rPr>
        <w:t>。</w:t>
      </w:r>
    </w:p>
    <w:p w14:paraId="571D576F">
      <w:pPr>
        <w:tabs>
          <w:tab w:val="left" w:pos="5580"/>
        </w:tabs>
        <w:spacing w:line="360" w:lineRule="exact"/>
        <w:ind w:left="1" w:firstLine="564" w:firstLineChars="235"/>
        <w:jc w:val="left"/>
        <w:rPr>
          <w:rFonts w:ascii="仿宋" w:hAnsi="仿宋" w:eastAsia="仿宋" w:cs="仿宋"/>
          <w:sz w:val="24"/>
        </w:rPr>
      </w:pPr>
    </w:p>
    <w:p w14:paraId="17FCFD6A">
      <w:pPr>
        <w:pStyle w:val="22"/>
        <w:ind w:firstLine="480"/>
        <w:rPr>
          <w:rFonts w:ascii="仿宋" w:hAnsi="仿宋" w:eastAsia="仿宋" w:cs="仿宋"/>
        </w:rPr>
      </w:pPr>
    </w:p>
    <w:p w14:paraId="7959A6FA">
      <w:pPr>
        <w:pStyle w:val="22"/>
        <w:ind w:firstLine="480"/>
        <w:rPr>
          <w:rFonts w:ascii="仿宋" w:hAnsi="仿宋" w:eastAsia="仿宋" w:cs="仿宋"/>
        </w:rPr>
      </w:pPr>
    </w:p>
    <w:p w14:paraId="2013829E">
      <w:pPr>
        <w:pStyle w:val="22"/>
        <w:ind w:firstLine="480"/>
        <w:rPr>
          <w:rFonts w:ascii="仿宋" w:hAnsi="仿宋" w:eastAsia="仿宋" w:cs="仿宋"/>
        </w:rPr>
      </w:pPr>
    </w:p>
    <w:p w14:paraId="2419205C">
      <w:pPr>
        <w:rPr>
          <w:rFonts w:ascii="仿宋" w:hAnsi="仿宋" w:eastAsia="仿宋" w:cs="仿宋"/>
          <w:b/>
        </w:rPr>
      </w:pPr>
      <w:bookmarkStart w:id="274" w:name="_Toc18477"/>
      <w:bookmarkStart w:id="275" w:name="_Toc11138"/>
      <w:bookmarkStart w:id="276" w:name="_Toc16568"/>
      <w:bookmarkStart w:id="277" w:name="_Toc3620"/>
      <w:bookmarkStart w:id="278" w:name="_Toc31089"/>
      <w:bookmarkStart w:id="279" w:name="_Toc16750"/>
      <w:bookmarkStart w:id="280" w:name="_Toc30524"/>
      <w:bookmarkStart w:id="281" w:name="_Toc30630"/>
      <w:bookmarkStart w:id="282" w:name="_Toc21484"/>
      <w:bookmarkStart w:id="283" w:name="_Toc180"/>
      <w:bookmarkStart w:id="284" w:name="_Toc14118"/>
      <w:bookmarkStart w:id="285" w:name="_Toc4431"/>
      <w:bookmarkStart w:id="286" w:name="_Toc17198"/>
      <w:bookmarkStart w:id="287" w:name="_Toc21614"/>
      <w:bookmarkStart w:id="288" w:name="_Toc515647804"/>
      <w:bookmarkStart w:id="289" w:name="_Toc26846"/>
      <w:bookmarkStart w:id="290" w:name="_Toc22539"/>
      <w:bookmarkStart w:id="291" w:name="_Ref467988698"/>
      <w:bookmarkStart w:id="292" w:name="_Toc480942349"/>
      <w:bookmarkStart w:id="293" w:name="_Toc520356217"/>
      <w:bookmarkStart w:id="294" w:name="_Toc216582813"/>
      <w:r>
        <w:rPr>
          <w:rFonts w:hint="eastAsia" w:ascii="仿宋" w:hAnsi="仿宋" w:eastAsia="仿宋" w:cs="仿宋"/>
          <w:sz w:val="24"/>
        </w:rPr>
        <w:br w:type="page"/>
      </w:r>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Start w:id="295" w:name="_Hlt520356241"/>
      <w:bookmarkEnd w:id="295"/>
      <w:bookmarkStart w:id="296" w:name="_Toc494296984"/>
    </w:p>
    <w:p w14:paraId="1C3D96DD">
      <w:pPr>
        <w:pStyle w:val="6"/>
        <w:spacing w:before="0"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1、磋商报价一览表</w:t>
      </w:r>
    </w:p>
    <w:p w14:paraId="259C92A7">
      <w:pPr>
        <w:tabs>
          <w:tab w:val="left" w:pos="1800"/>
          <w:tab w:val="left" w:pos="5580"/>
        </w:tabs>
        <w:spacing w:line="240" w:lineRule="atLeast"/>
        <w:ind w:left="1080" w:leftChars="257" w:right="-867" w:rightChars="-413" w:hanging="540"/>
        <w:rPr>
          <w:rFonts w:ascii="仿宋" w:hAnsi="仿宋" w:eastAsia="仿宋" w:cs="仿宋"/>
          <w:sz w:val="24"/>
        </w:rPr>
      </w:pPr>
      <w:r>
        <w:rPr>
          <w:rFonts w:hint="eastAsia" w:ascii="仿宋" w:hAnsi="仿宋" w:eastAsia="仿宋" w:cs="仿宋"/>
          <w:sz w:val="24"/>
        </w:rPr>
        <w:t xml:space="preserve">项目名称：　                  项目编号：                 包号：         </w:t>
      </w:r>
    </w:p>
    <w:p w14:paraId="5A92D8DF">
      <w:pPr>
        <w:tabs>
          <w:tab w:val="left" w:pos="1800"/>
          <w:tab w:val="left" w:pos="5580"/>
        </w:tabs>
        <w:spacing w:line="240" w:lineRule="atLeast"/>
        <w:ind w:left="1080" w:leftChars="257" w:right="-867" w:rightChars="-413" w:hanging="540"/>
        <w:rPr>
          <w:rFonts w:ascii="仿宋" w:hAnsi="仿宋" w:eastAsia="仿宋" w:cs="仿宋"/>
          <w:sz w:val="24"/>
        </w:rPr>
      </w:pPr>
      <w:r>
        <w:rPr>
          <w:rFonts w:hint="eastAsia" w:ascii="仿宋" w:hAnsi="仿宋" w:eastAsia="仿宋" w:cs="仿宋"/>
          <w:sz w:val="24"/>
        </w:rPr>
        <w:t>报价单位：人民币  万元</w:t>
      </w:r>
    </w:p>
    <w:tbl>
      <w:tblPr>
        <w:tblStyle w:val="23"/>
        <w:tblW w:w="10137" w:type="dxa"/>
        <w:tblInd w:w="-1051" w:type="dxa"/>
        <w:tblLayout w:type="fixed"/>
        <w:tblCellMar>
          <w:top w:w="0" w:type="dxa"/>
          <w:left w:w="0" w:type="dxa"/>
          <w:bottom w:w="0" w:type="dxa"/>
          <w:right w:w="0" w:type="dxa"/>
        </w:tblCellMar>
      </w:tblPr>
      <w:tblGrid>
        <w:gridCol w:w="1866"/>
        <w:gridCol w:w="2247"/>
        <w:gridCol w:w="1866"/>
        <w:gridCol w:w="1542"/>
        <w:gridCol w:w="1498"/>
        <w:gridCol w:w="1118"/>
      </w:tblGrid>
      <w:tr w14:paraId="591A8FB4">
        <w:tblPrEx>
          <w:tblCellMar>
            <w:top w:w="0" w:type="dxa"/>
            <w:left w:w="0" w:type="dxa"/>
            <w:bottom w:w="0" w:type="dxa"/>
            <w:right w:w="0" w:type="dxa"/>
          </w:tblCellMar>
        </w:tblPrEx>
        <w:trPr>
          <w:trHeight w:val="847" w:hRule="atLeast"/>
        </w:trPr>
        <w:tc>
          <w:tcPr>
            <w:tcW w:w="1866" w:type="dxa"/>
            <w:tcBorders>
              <w:top w:val="single" w:color="auto" w:sz="4" w:space="0"/>
              <w:left w:val="single" w:color="auto" w:sz="4" w:space="0"/>
              <w:bottom w:val="single" w:color="auto" w:sz="8" w:space="0"/>
              <w:right w:val="single" w:color="auto" w:sz="4" w:space="0"/>
            </w:tcBorders>
            <w:vAlign w:val="center"/>
          </w:tcPr>
          <w:p w14:paraId="428DF1D4">
            <w:pPr>
              <w:tabs>
                <w:tab w:val="left" w:pos="5580"/>
              </w:tabs>
              <w:spacing w:line="240" w:lineRule="atLeast"/>
              <w:ind w:right="-199"/>
              <w:jc w:val="center"/>
              <w:rPr>
                <w:rFonts w:ascii="仿宋" w:hAnsi="仿宋" w:eastAsia="仿宋" w:cs="仿宋"/>
                <w:sz w:val="24"/>
              </w:rPr>
            </w:pPr>
            <w:r>
              <w:rPr>
                <w:rFonts w:hint="eastAsia" w:ascii="仿宋" w:hAnsi="仿宋" w:eastAsia="仿宋" w:cs="仿宋"/>
                <w:sz w:val="24"/>
              </w:rPr>
              <w:t>服务名称</w:t>
            </w:r>
          </w:p>
        </w:tc>
        <w:tc>
          <w:tcPr>
            <w:tcW w:w="2247" w:type="dxa"/>
            <w:tcBorders>
              <w:top w:val="single" w:color="auto" w:sz="4" w:space="0"/>
              <w:left w:val="single" w:color="auto" w:sz="8" w:space="0"/>
              <w:bottom w:val="single" w:color="auto" w:sz="8" w:space="0"/>
              <w:right w:val="single" w:color="auto" w:sz="4" w:space="0"/>
            </w:tcBorders>
            <w:vAlign w:val="center"/>
          </w:tcPr>
          <w:p w14:paraId="1F1D0CEF">
            <w:pPr>
              <w:tabs>
                <w:tab w:val="left" w:pos="5580"/>
              </w:tabs>
              <w:spacing w:line="240" w:lineRule="atLeast"/>
              <w:jc w:val="center"/>
              <w:rPr>
                <w:rFonts w:ascii="仿宋" w:hAnsi="仿宋" w:eastAsia="仿宋" w:cs="仿宋"/>
                <w:sz w:val="24"/>
              </w:rPr>
            </w:pPr>
            <w:r>
              <w:rPr>
                <w:rFonts w:hint="eastAsia" w:ascii="仿宋" w:hAnsi="仿宋" w:eastAsia="仿宋" w:cs="仿宋"/>
                <w:sz w:val="24"/>
              </w:rPr>
              <w:t>磋商总价</w:t>
            </w:r>
          </w:p>
        </w:tc>
        <w:tc>
          <w:tcPr>
            <w:tcW w:w="1866" w:type="dxa"/>
            <w:tcBorders>
              <w:top w:val="single" w:color="auto" w:sz="8" w:space="0"/>
              <w:left w:val="nil"/>
              <w:bottom w:val="single" w:color="auto" w:sz="8" w:space="0"/>
              <w:right w:val="single" w:color="auto" w:sz="4" w:space="0"/>
            </w:tcBorders>
            <w:vAlign w:val="center"/>
          </w:tcPr>
          <w:p w14:paraId="53A11607">
            <w:pPr>
              <w:tabs>
                <w:tab w:val="left" w:pos="5580"/>
              </w:tabs>
              <w:spacing w:line="240" w:lineRule="atLeast"/>
              <w:jc w:val="center"/>
              <w:rPr>
                <w:rFonts w:ascii="仿宋" w:hAnsi="仿宋" w:eastAsia="仿宋" w:cs="仿宋"/>
                <w:sz w:val="24"/>
              </w:rPr>
            </w:pPr>
            <w:r>
              <w:rPr>
                <w:rFonts w:hint="eastAsia" w:ascii="仿宋" w:hAnsi="仿宋" w:eastAsia="仿宋" w:cs="仿宋"/>
                <w:sz w:val="24"/>
              </w:rPr>
              <w:t>磋商保证金</w:t>
            </w:r>
          </w:p>
        </w:tc>
        <w:tc>
          <w:tcPr>
            <w:tcW w:w="1542" w:type="dxa"/>
            <w:tcBorders>
              <w:top w:val="single" w:color="auto" w:sz="8" w:space="0"/>
              <w:left w:val="nil"/>
              <w:bottom w:val="single" w:color="auto" w:sz="8" w:space="0"/>
              <w:right w:val="single" w:color="auto" w:sz="4" w:space="0"/>
            </w:tcBorders>
            <w:vAlign w:val="center"/>
          </w:tcPr>
          <w:p w14:paraId="42B656DA">
            <w:pPr>
              <w:tabs>
                <w:tab w:val="left" w:pos="5580"/>
              </w:tabs>
              <w:spacing w:line="240" w:lineRule="atLeast"/>
              <w:jc w:val="center"/>
              <w:rPr>
                <w:rFonts w:ascii="仿宋" w:hAnsi="仿宋" w:eastAsia="仿宋" w:cs="仿宋"/>
                <w:sz w:val="24"/>
              </w:rPr>
            </w:pPr>
            <w:r>
              <w:rPr>
                <w:rFonts w:hint="eastAsia" w:ascii="仿宋" w:hAnsi="仿宋" w:eastAsia="仿宋" w:cs="仿宋"/>
                <w:sz w:val="24"/>
              </w:rPr>
              <w:t>服务期限</w:t>
            </w:r>
          </w:p>
        </w:tc>
        <w:tc>
          <w:tcPr>
            <w:tcW w:w="1498" w:type="dxa"/>
            <w:tcBorders>
              <w:top w:val="single" w:color="auto" w:sz="8" w:space="0"/>
              <w:left w:val="nil"/>
              <w:bottom w:val="single" w:color="auto" w:sz="8" w:space="0"/>
              <w:right w:val="single" w:color="auto" w:sz="4" w:space="0"/>
            </w:tcBorders>
            <w:vAlign w:val="center"/>
          </w:tcPr>
          <w:p w14:paraId="1575705E">
            <w:pPr>
              <w:tabs>
                <w:tab w:val="left" w:pos="5580"/>
              </w:tabs>
              <w:spacing w:line="240" w:lineRule="atLeast"/>
              <w:jc w:val="center"/>
              <w:rPr>
                <w:rFonts w:ascii="仿宋" w:hAnsi="仿宋" w:eastAsia="仿宋" w:cs="仿宋"/>
                <w:sz w:val="24"/>
              </w:rPr>
            </w:pPr>
            <w:r>
              <w:rPr>
                <w:rFonts w:hint="eastAsia" w:ascii="仿宋" w:hAnsi="仿宋" w:eastAsia="仿宋" w:cs="仿宋"/>
                <w:sz w:val="24"/>
              </w:rPr>
              <w:t>服务地点</w:t>
            </w:r>
          </w:p>
        </w:tc>
        <w:tc>
          <w:tcPr>
            <w:tcW w:w="1118" w:type="dxa"/>
            <w:tcBorders>
              <w:top w:val="single" w:color="auto" w:sz="8" w:space="0"/>
              <w:left w:val="single" w:color="auto" w:sz="4" w:space="0"/>
              <w:bottom w:val="single" w:color="auto" w:sz="8" w:space="0"/>
              <w:right w:val="single" w:color="auto" w:sz="8" w:space="0"/>
            </w:tcBorders>
            <w:vAlign w:val="center"/>
          </w:tcPr>
          <w:p w14:paraId="3B454050">
            <w:pPr>
              <w:tabs>
                <w:tab w:val="left" w:pos="5580"/>
              </w:tabs>
              <w:spacing w:line="240" w:lineRule="atLeast"/>
              <w:jc w:val="center"/>
              <w:rPr>
                <w:rFonts w:ascii="仿宋" w:hAnsi="仿宋" w:eastAsia="仿宋" w:cs="仿宋"/>
                <w:sz w:val="24"/>
              </w:rPr>
            </w:pPr>
            <w:r>
              <w:rPr>
                <w:rFonts w:hint="eastAsia" w:ascii="仿宋" w:hAnsi="仿宋" w:eastAsia="仿宋" w:cs="仿宋"/>
                <w:sz w:val="24"/>
              </w:rPr>
              <w:t>备注</w:t>
            </w:r>
          </w:p>
        </w:tc>
      </w:tr>
      <w:tr w14:paraId="429541E8">
        <w:tblPrEx>
          <w:tblCellMar>
            <w:top w:w="0" w:type="dxa"/>
            <w:left w:w="0" w:type="dxa"/>
            <w:bottom w:w="0" w:type="dxa"/>
            <w:right w:w="0" w:type="dxa"/>
          </w:tblCellMar>
        </w:tblPrEx>
        <w:trPr>
          <w:cantSplit/>
          <w:trHeight w:val="1666" w:hRule="atLeast"/>
        </w:trPr>
        <w:tc>
          <w:tcPr>
            <w:tcW w:w="1866" w:type="dxa"/>
            <w:tcBorders>
              <w:top w:val="single" w:color="auto" w:sz="8" w:space="0"/>
              <w:left w:val="single" w:color="auto" w:sz="4" w:space="0"/>
              <w:bottom w:val="single" w:color="auto" w:sz="4" w:space="0"/>
              <w:right w:val="single" w:color="auto" w:sz="4" w:space="0"/>
            </w:tcBorders>
            <w:vAlign w:val="center"/>
          </w:tcPr>
          <w:p w14:paraId="5B6688DC">
            <w:pPr>
              <w:tabs>
                <w:tab w:val="left" w:pos="5580"/>
              </w:tabs>
              <w:spacing w:line="240" w:lineRule="atLeast"/>
              <w:ind w:left="1080" w:leftChars="257" w:hanging="540"/>
              <w:jc w:val="center"/>
              <w:rPr>
                <w:rFonts w:ascii="仿宋" w:hAnsi="仿宋" w:eastAsia="仿宋" w:cs="仿宋"/>
                <w:sz w:val="24"/>
              </w:rPr>
            </w:pPr>
          </w:p>
        </w:tc>
        <w:tc>
          <w:tcPr>
            <w:tcW w:w="2247" w:type="dxa"/>
            <w:tcBorders>
              <w:top w:val="single" w:color="auto" w:sz="8" w:space="0"/>
              <w:left w:val="single" w:color="auto" w:sz="8" w:space="0"/>
              <w:bottom w:val="single" w:color="auto" w:sz="4" w:space="0"/>
              <w:right w:val="single" w:color="auto" w:sz="4" w:space="0"/>
            </w:tcBorders>
            <w:vAlign w:val="center"/>
          </w:tcPr>
          <w:p w14:paraId="40F7AC74">
            <w:pPr>
              <w:tabs>
                <w:tab w:val="left" w:pos="5580"/>
              </w:tabs>
              <w:spacing w:line="240" w:lineRule="atLeast"/>
              <w:jc w:val="left"/>
              <w:rPr>
                <w:rFonts w:ascii="仿宋" w:hAnsi="仿宋" w:eastAsia="仿宋" w:cs="仿宋"/>
                <w:sz w:val="24"/>
              </w:rPr>
            </w:pPr>
            <w:r>
              <w:rPr>
                <w:rFonts w:hint="eastAsia" w:ascii="仿宋" w:hAnsi="仿宋" w:eastAsia="仿宋" w:cs="仿宋"/>
                <w:sz w:val="24"/>
              </w:rPr>
              <w:t>大写：</w:t>
            </w:r>
          </w:p>
          <w:p w14:paraId="2D4F510C">
            <w:pPr>
              <w:tabs>
                <w:tab w:val="left" w:pos="5580"/>
              </w:tabs>
              <w:spacing w:line="240" w:lineRule="atLeast"/>
              <w:jc w:val="left"/>
              <w:rPr>
                <w:rFonts w:ascii="仿宋" w:hAnsi="仿宋" w:eastAsia="仿宋" w:cs="仿宋"/>
                <w:sz w:val="24"/>
              </w:rPr>
            </w:pPr>
            <w:r>
              <w:rPr>
                <w:rFonts w:hint="eastAsia" w:ascii="仿宋" w:hAnsi="仿宋" w:eastAsia="仿宋" w:cs="仿宋"/>
                <w:sz w:val="24"/>
              </w:rPr>
              <w:t>小写：</w:t>
            </w:r>
          </w:p>
        </w:tc>
        <w:tc>
          <w:tcPr>
            <w:tcW w:w="1866" w:type="dxa"/>
            <w:tcBorders>
              <w:top w:val="single" w:color="auto" w:sz="8" w:space="0"/>
              <w:left w:val="nil"/>
              <w:bottom w:val="single" w:color="auto" w:sz="4" w:space="0"/>
              <w:right w:val="single" w:color="auto" w:sz="4" w:space="0"/>
            </w:tcBorders>
            <w:vAlign w:val="center"/>
          </w:tcPr>
          <w:p w14:paraId="4A8F244C">
            <w:pPr>
              <w:tabs>
                <w:tab w:val="left" w:pos="5580"/>
              </w:tabs>
              <w:spacing w:line="240" w:lineRule="atLeast"/>
              <w:ind w:left="1080" w:leftChars="257" w:hanging="540"/>
              <w:jc w:val="center"/>
              <w:rPr>
                <w:rFonts w:ascii="仿宋" w:hAnsi="仿宋" w:eastAsia="仿宋" w:cs="仿宋"/>
                <w:sz w:val="24"/>
              </w:rPr>
            </w:pPr>
          </w:p>
        </w:tc>
        <w:tc>
          <w:tcPr>
            <w:tcW w:w="1542" w:type="dxa"/>
            <w:tcBorders>
              <w:top w:val="single" w:color="auto" w:sz="8" w:space="0"/>
              <w:left w:val="nil"/>
              <w:bottom w:val="single" w:color="auto" w:sz="4" w:space="0"/>
              <w:right w:val="single" w:color="auto" w:sz="4" w:space="0"/>
            </w:tcBorders>
            <w:vAlign w:val="center"/>
          </w:tcPr>
          <w:p w14:paraId="7298CD96">
            <w:pPr>
              <w:tabs>
                <w:tab w:val="left" w:pos="5580"/>
              </w:tabs>
              <w:spacing w:line="240" w:lineRule="atLeast"/>
              <w:ind w:left="1080" w:leftChars="257" w:hanging="540"/>
              <w:jc w:val="center"/>
              <w:rPr>
                <w:rFonts w:ascii="仿宋" w:hAnsi="仿宋" w:eastAsia="仿宋" w:cs="仿宋"/>
                <w:sz w:val="24"/>
              </w:rPr>
            </w:pPr>
          </w:p>
        </w:tc>
        <w:tc>
          <w:tcPr>
            <w:tcW w:w="1498" w:type="dxa"/>
            <w:tcBorders>
              <w:top w:val="single" w:color="auto" w:sz="8" w:space="0"/>
              <w:left w:val="nil"/>
              <w:bottom w:val="single" w:color="auto" w:sz="4" w:space="0"/>
              <w:right w:val="single" w:color="auto" w:sz="4" w:space="0"/>
            </w:tcBorders>
            <w:vAlign w:val="center"/>
          </w:tcPr>
          <w:p w14:paraId="7745E86F">
            <w:pPr>
              <w:tabs>
                <w:tab w:val="left" w:pos="5580"/>
              </w:tabs>
              <w:spacing w:line="240" w:lineRule="atLeast"/>
              <w:ind w:left="1080" w:leftChars="257" w:hanging="540"/>
              <w:jc w:val="center"/>
              <w:rPr>
                <w:rFonts w:ascii="仿宋" w:hAnsi="仿宋" w:eastAsia="仿宋" w:cs="仿宋"/>
                <w:sz w:val="24"/>
              </w:rPr>
            </w:pPr>
          </w:p>
        </w:tc>
        <w:tc>
          <w:tcPr>
            <w:tcW w:w="1118" w:type="dxa"/>
            <w:tcBorders>
              <w:top w:val="single" w:color="auto" w:sz="8" w:space="0"/>
              <w:left w:val="single" w:color="auto" w:sz="4" w:space="0"/>
              <w:bottom w:val="single" w:color="auto" w:sz="4" w:space="0"/>
              <w:right w:val="single" w:color="auto" w:sz="8" w:space="0"/>
            </w:tcBorders>
            <w:vAlign w:val="center"/>
          </w:tcPr>
          <w:p w14:paraId="37C6D46C">
            <w:pPr>
              <w:tabs>
                <w:tab w:val="left" w:pos="5580"/>
              </w:tabs>
              <w:spacing w:line="240" w:lineRule="atLeast"/>
              <w:ind w:left="1080" w:leftChars="257" w:hanging="540"/>
              <w:jc w:val="center"/>
              <w:rPr>
                <w:rFonts w:ascii="仿宋" w:hAnsi="仿宋" w:eastAsia="仿宋" w:cs="仿宋"/>
                <w:sz w:val="24"/>
              </w:rPr>
            </w:pPr>
          </w:p>
        </w:tc>
      </w:tr>
    </w:tbl>
    <w:p w14:paraId="58660189">
      <w:pPr>
        <w:pStyle w:val="13"/>
        <w:tabs>
          <w:tab w:val="left" w:pos="5580"/>
        </w:tabs>
        <w:spacing w:line="240" w:lineRule="atLeast"/>
        <w:rPr>
          <w:rFonts w:ascii="仿宋" w:hAnsi="仿宋" w:eastAsia="仿宋" w:cs="仿宋"/>
          <w:sz w:val="24"/>
          <w:szCs w:val="24"/>
          <w:u w:val="single"/>
        </w:rPr>
      </w:pPr>
    </w:p>
    <w:p w14:paraId="06BA4C6A">
      <w:pPr>
        <w:pStyle w:val="13"/>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供应商名称（</w:t>
      </w:r>
      <w:r>
        <w:rPr>
          <w:rFonts w:hint="eastAsia" w:ascii="仿宋" w:hAnsi="仿宋" w:eastAsia="仿宋" w:cs="仿宋"/>
          <w:sz w:val="24"/>
          <w:szCs w:val="24"/>
          <w:lang w:eastAsia="zh-CN"/>
        </w:rPr>
        <w:t>电子签章</w:t>
      </w:r>
      <w:r>
        <w:rPr>
          <w:rFonts w:hint="eastAsia" w:ascii="仿宋" w:hAnsi="仿宋" w:eastAsia="仿宋" w:cs="仿宋"/>
          <w:sz w:val="24"/>
          <w:szCs w:val="24"/>
        </w:rPr>
        <w:t>）：</w:t>
      </w:r>
      <w:r>
        <w:rPr>
          <w:rFonts w:hint="eastAsia" w:ascii="仿宋" w:hAnsi="仿宋" w:eastAsia="仿宋" w:cs="仿宋"/>
          <w:sz w:val="24"/>
          <w:szCs w:val="24"/>
          <w:u w:val="single"/>
        </w:rPr>
        <w:t xml:space="preserve">                       </w:t>
      </w:r>
    </w:p>
    <w:p w14:paraId="5EBDBB9B">
      <w:pPr>
        <w:pStyle w:val="13"/>
        <w:tabs>
          <w:tab w:val="left" w:pos="5580"/>
        </w:tabs>
        <w:spacing w:line="240" w:lineRule="atLeast"/>
        <w:ind w:left="1080" w:leftChars="257" w:hanging="540"/>
        <w:rPr>
          <w:rFonts w:ascii="仿宋" w:hAnsi="仿宋" w:eastAsia="仿宋" w:cs="仿宋"/>
          <w:sz w:val="24"/>
          <w:szCs w:val="24"/>
          <w:u w:val="single"/>
        </w:rPr>
      </w:pPr>
      <w:r>
        <w:rPr>
          <w:rFonts w:hint="eastAsia" w:ascii="仿宋" w:hAnsi="仿宋" w:eastAsia="仿宋" w:cs="仿宋"/>
          <w:sz w:val="24"/>
          <w:szCs w:val="24"/>
        </w:rPr>
        <w:t>法定代表人或委托代理(</w:t>
      </w:r>
      <w:r>
        <w:rPr>
          <w:rFonts w:hint="eastAsia" w:ascii="仿宋" w:hAnsi="仿宋" w:eastAsia="仿宋" w:cs="仿宋"/>
          <w:sz w:val="24"/>
          <w:szCs w:val="24"/>
          <w:lang w:val="en-US" w:eastAsia="zh-CN"/>
        </w:rPr>
        <w:t>CA</w:t>
      </w:r>
      <w:r>
        <w:rPr>
          <w:rFonts w:hint="eastAsia" w:ascii="仿宋" w:hAnsi="仿宋" w:eastAsia="仿宋" w:cs="仿宋"/>
          <w:sz w:val="24"/>
          <w:szCs w:val="24"/>
        </w:rPr>
        <w:t>签字):</w:t>
      </w:r>
      <w:r>
        <w:rPr>
          <w:rFonts w:hint="eastAsia" w:ascii="仿宋" w:hAnsi="仿宋" w:eastAsia="仿宋" w:cs="仿宋"/>
          <w:sz w:val="24"/>
          <w:szCs w:val="24"/>
          <w:u w:val="single"/>
        </w:rPr>
        <w:tab/>
      </w:r>
    </w:p>
    <w:p w14:paraId="6ADE597C">
      <w:pPr>
        <w:pStyle w:val="13"/>
        <w:tabs>
          <w:tab w:val="left" w:pos="5580"/>
        </w:tabs>
        <w:spacing w:line="240" w:lineRule="atLeast"/>
        <w:ind w:left="1080" w:leftChars="257" w:hanging="540"/>
        <w:rPr>
          <w:rFonts w:ascii="仿宋" w:hAnsi="仿宋" w:eastAsia="仿宋" w:cs="仿宋"/>
          <w:sz w:val="24"/>
          <w:szCs w:val="24"/>
        </w:rPr>
      </w:pPr>
    </w:p>
    <w:p w14:paraId="38DF343E">
      <w:pPr>
        <w:pStyle w:val="13"/>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注: 1、此表应按供应商须知的规定装订密封。</w:t>
      </w:r>
    </w:p>
    <w:p w14:paraId="0558EF90">
      <w:pPr>
        <w:pStyle w:val="13"/>
        <w:numPr>
          <w:ilvl w:val="0"/>
          <w:numId w:val="4"/>
        </w:numPr>
        <w:tabs>
          <w:tab w:val="left" w:pos="5580"/>
        </w:tabs>
        <w:spacing w:line="240" w:lineRule="atLeast"/>
        <w:ind w:left="1079" w:leftChars="428" w:hanging="180" w:hangingChars="75"/>
        <w:rPr>
          <w:rFonts w:ascii="仿宋" w:hAnsi="仿宋" w:eastAsia="仿宋" w:cs="仿宋"/>
          <w:sz w:val="24"/>
          <w:szCs w:val="24"/>
        </w:rPr>
      </w:pPr>
      <w:r>
        <w:rPr>
          <w:rFonts w:hint="eastAsia" w:ascii="仿宋" w:hAnsi="仿宋" w:eastAsia="仿宋" w:cs="仿宋"/>
          <w:sz w:val="24"/>
          <w:szCs w:val="24"/>
        </w:rPr>
        <w:t>此表中，磋商总价应和磋商分项报价表的总价相一致。</w:t>
      </w:r>
    </w:p>
    <w:p w14:paraId="21703BDE">
      <w:pPr>
        <w:pStyle w:val="13"/>
        <w:numPr>
          <w:ilvl w:val="0"/>
          <w:numId w:val="4"/>
        </w:numPr>
        <w:tabs>
          <w:tab w:val="left" w:pos="5580"/>
        </w:tabs>
        <w:spacing w:line="240" w:lineRule="atLeast"/>
        <w:ind w:left="1079" w:leftChars="428" w:hanging="180" w:hangingChars="75"/>
        <w:rPr>
          <w:rFonts w:ascii="仿宋" w:hAnsi="仿宋" w:eastAsia="仿宋" w:cs="仿宋"/>
          <w:sz w:val="24"/>
          <w:szCs w:val="24"/>
        </w:rPr>
      </w:pPr>
      <w:r>
        <w:rPr>
          <w:rFonts w:hint="eastAsia" w:ascii="仿宋" w:hAnsi="仿宋" w:eastAsia="仿宋" w:cs="仿宋"/>
          <w:sz w:val="24"/>
          <w:szCs w:val="24"/>
        </w:rPr>
        <w:t>磋商商报价时包含税费等一切与本次项目相关的费用。</w:t>
      </w:r>
    </w:p>
    <w:bookmarkEnd w:id="296"/>
    <w:p w14:paraId="20645749">
      <w:pPr>
        <w:pStyle w:val="13"/>
        <w:tabs>
          <w:tab w:val="left" w:pos="5580"/>
        </w:tabs>
        <w:spacing w:line="240" w:lineRule="atLeast"/>
        <w:rPr>
          <w:rFonts w:ascii="仿宋" w:hAnsi="仿宋" w:eastAsia="仿宋" w:cs="仿宋"/>
          <w:b/>
          <w:sz w:val="24"/>
          <w:szCs w:val="24"/>
        </w:rPr>
      </w:pPr>
    </w:p>
    <w:p w14:paraId="26E9F0E2">
      <w:pPr>
        <w:pStyle w:val="16"/>
        <w:rPr>
          <w:rFonts w:ascii="仿宋" w:hAnsi="仿宋" w:eastAsia="仿宋" w:cs="仿宋"/>
        </w:rPr>
      </w:pPr>
      <w:bookmarkStart w:id="297" w:name="_Toc8241"/>
      <w:bookmarkStart w:id="298" w:name="_Toc22089"/>
      <w:bookmarkStart w:id="299" w:name="_Toc16088"/>
      <w:bookmarkStart w:id="300" w:name="_Toc16516"/>
    </w:p>
    <w:p w14:paraId="6BBCD9D5">
      <w:pPr>
        <w:pStyle w:val="16"/>
        <w:rPr>
          <w:rFonts w:ascii="仿宋" w:hAnsi="仿宋" w:eastAsia="仿宋" w:cs="仿宋"/>
        </w:rPr>
      </w:pPr>
    </w:p>
    <w:p w14:paraId="6D228994">
      <w:pPr>
        <w:pStyle w:val="16"/>
        <w:rPr>
          <w:rFonts w:ascii="仿宋" w:hAnsi="仿宋" w:eastAsia="仿宋" w:cs="仿宋"/>
        </w:rPr>
      </w:pPr>
    </w:p>
    <w:p w14:paraId="0A7EA437">
      <w:pPr>
        <w:pStyle w:val="16"/>
        <w:rPr>
          <w:rFonts w:ascii="仿宋" w:hAnsi="仿宋" w:eastAsia="仿宋" w:cs="仿宋"/>
        </w:rPr>
      </w:pPr>
    </w:p>
    <w:p w14:paraId="370E5ACA">
      <w:pPr>
        <w:pStyle w:val="16"/>
        <w:rPr>
          <w:rFonts w:ascii="仿宋" w:hAnsi="仿宋" w:eastAsia="仿宋" w:cs="仿宋"/>
        </w:rPr>
      </w:pPr>
    </w:p>
    <w:p w14:paraId="41E041AD">
      <w:pPr>
        <w:pStyle w:val="16"/>
        <w:rPr>
          <w:rFonts w:ascii="仿宋" w:hAnsi="仿宋" w:eastAsia="仿宋" w:cs="仿宋"/>
        </w:rPr>
      </w:pPr>
    </w:p>
    <w:p w14:paraId="03252A8E">
      <w:pPr>
        <w:pStyle w:val="16"/>
        <w:rPr>
          <w:rFonts w:ascii="仿宋" w:hAnsi="仿宋" w:eastAsia="仿宋" w:cs="仿宋"/>
        </w:rPr>
      </w:pPr>
    </w:p>
    <w:p w14:paraId="3CBF61DF">
      <w:pPr>
        <w:pStyle w:val="16"/>
        <w:rPr>
          <w:rFonts w:ascii="仿宋" w:hAnsi="仿宋" w:eastAsia="仿宋" w:cs="仿宋"/>
        </w:rPr>
      </w:pPr>
    </w:p>
    <w:p w14:paraId="66C60B3A">
      <w:pPr>
        <w:pStyle w:val="16"/>
        <w:rPr>
          <w:rFonts w:ascii="仿宋" w:hAnsi="仿宋" w:eastAsia="仿宋" w:cs="仿宋"/>
        </w:rPr>
      </w:pPr>
    </w:p>
    <w:p w14:paraId="03F2B007">
      <w:pPr>
        <w:pStyle w:val="16"/>
        <w:rPr>
          <w:rFonts w:ascii="仿宋" w:hAnsi="仿宋" w:eastAsia="仿宋" w:cs="仿宋"/>
        </w:rPr>
      </w:pPr>
    </w:p>
    <w:p w14:paraId="7DA06FDC">
      <w:pPr>
        <w:pStyle w:val="16"/>
        <w:rPr>
          <w:rFonts w:ascii="仿宋" w:hAnsi="仿宋" w:eastAsia="仿宋" w:cs="仿宋"/>
        </w:rPr>
      </w:pPr>
    </w:p>
    <w:p w14:paraId="52F8C809">
      <w:pPr>
        <w:pStyle w:val="16"/>
        <w:rPr>
          <w:rFonts w:ascii="仿宋" w:hAnsi="仿宋" w:eastAsia="仿宋" w:cs="仿宋"/>
        </w:rPr>
      </w:pPr>
    </w:p>
    <w:p w14:paraId="2B223A88">
      <w:pPr>
        <w:pStyle w:val="16"/>
        <w:rPr>
          <w:rFonts w:ascii="仿宋" w:hAnsi="仿宋" w:eastAsia="仿宋" w:cs="仿宋"/>
        </w:rPr>
      </w:pPr>
    </w:p>
    <w:p w14:paraId="656F4475">
      <w:pPr>
        <w:pStyle w:val="16"/>
        <w:rPr>
          <w:rFonts w:ascii="仿宋" w:hAnsi="仿宋" w:eastAsia="仿宋" w:cs="仿宋"/>
        </w:rPr>
      </w:pPr>
    </w:p>
    <w:p w14:paraId="4B2AD1B0">
      <w:pPr>
        <w:pStyle w:val="16"/>
        <w:rPr>
          <w:rFonts w:ascii="仿宋" w:hAnsi="仿宋" w:eastAsia="仿宋" w:cs="仿宋"/>
        </w:rPr>
      </w:pPr>
    </w:p>
    <w:p w14:paraId="2FCB2391">
      <w:pPr>
        <w:pStyle w:val="16"/>
        <w:rPr>
          <w:rFonts w:ascii="仿宋" w:hAnsi="仿宋" w:eastAsia="仿宋" w:cs="仿宋"/>
        </w:rPr>
      </w:pPr>
    </w:p>
    <w:p w14:paraId="2BE74837">
      <w:pPr>
        <w:pStyle w:val="16"/>
        <w:rPr>
          <w:rFonts w:ascii="仿宋" w:hAnsi="仿宋" w:eastAsia="仿宋" w:cs="仿宋"/>
        </w:rPr>
      </w:pPr>
    </w:p>
    <w:p w14:paraId="2F6A0EE1">
      <w:pPr>
        <w:pStyle w:val="16"/>
        <w:rPr>
          <w:rFonts w:ascii="仿宋" w:hAnsi="仿宋" w:eastAsia="仿宋" w:cs="仿宋"/>
        </w:rPr>
      </w:pPr>
    </w:p>
    <w:p w14:paraId="5AC2FA36">
      <w:pPr>
        <w:pStyle w:val="16"/>
        <w:rPr>
          <w:rFonts w:ascii="仿宋" w:hAnsi="仿宋" w:eastAsia="仿宋" w:cs="仿宋"/>
        </w:rPr>
      </w:pPr>
    </w:p>
    <w:p w14:paraId="5AA07D8C">
      <w:pPr>
        <w:pStyle w:val="16"/>
        <w:rPr>
          <w:rFonts w:ascii="仿宋" w:hAnsi="仿宋" w:eastAsia="仿宋" w:cs="仿宋"/>
        </w:rPr>
      </w:pPr>
    </w:p>
    <w:p w14:paraId="4130F9BF">
      <w:pPr>
        <w:pStyle w:val="16"/>
        <w:rPr>
          <w:rFonts w:ascii="仿宋" w:hAnsi="仿宋" w:eastAsia="仿宋" w:cs="仿宋"/>
        </w:rPr>
      </w:pPr>
    </w:p>
    <w:p w14:paraId="29E63CC4">
      <w:pPr>
        <w:pStyle w:val="16"/>
        <w:rPr>
          <w:rFonts w:ascii="仿宋" w:hAnsi="仿宋" w:eastAsia="仿宋" w:cs="仿宋"/>
        </w:rPr>
      </w:pPr>
    </w:p>
    <w:p w14:paraId="5098BB1F">
      <w:pPr>
        <w:pStyle w:val="16"/>
        <w:rPr>
          <w:rFonts w:ascii="仿宋" w:hAnsi="仿宋" w:eastAsia="仿宋" w:cs="仿宋"/>
        </w:rPr>
      </w:pPr>
    </w:p>
    <w:p w14:paraId="3150259A">
      <w:pPr>
        <w:pStyle w:val="16"/>
        <w:rPr>
          <w:rFonts w:ascii="仿宋" w:hAnsi="仿宋" w:eastAsia="仿宋" w:cs="仿宋"/>
        </w:rPr>
      </w:pPr>
    </w:p>
    <w:p w14:paraId="26F2183E">
      <w:pPr>
        <w:pStyle w:val="16"/>
        <w:rPr>
          <w:rFonts w:ascii="仿宋" w:hAnsi="仿宋" w:eastAsia="仿宋" w:cs="仿宋"/>
        </w:rPr>
      </w:pPr>
    </w:p>
    <w:p w14:paraId="5E293D6F">
      <w:pPr>
        <w:pStyle w:val="16"/>
        <w:rPr>
          <w:rFonts w:ascii="仿宋" w:hAnsi="仿宋" w:eastAsia="仿宋" w:cs="仿宋"/>
        </w:rPr>
      </w:pPr>
    </w:p>
    <w:p w14:paraId="7ED32EF9">
      <w:pPr>
        <w:pStyle w:val="16"/>
        <w:rPr>
          <w:rFonts w:ascii="仿宋" w:hAnsi="仿宋" w:eastAsia="仿宋" w:cs="仿宋"/>
        </w:rPr>
      </w:pPr>
    </w:p>
    <w:p w14:paraId="62F7469D">
      <w:pPr>
        <w:pStyle w:val="16"/>
        <w:rPr>
          <w:rFonts w:ascii="仿宋" w:hAnsi="仿宋" w:eastAsia="仿宋" w:cs="仿宋"/>
        </w:rPr>
      </w:pPr>
    </w:p>
    <w:p w14:paraId="3695091C">
      <w:pPr>
        <w:pStyle w:val="16"/>
        <w:rPr>
          <w:rFonts w:ascii="仿宋" w:hAnsi="仿宋" w:eastAsia="仿宋" w:cs="仿宋"/>
        </w:rPr>
      </w:pPr>
    </w:p>
    <w:p w14:paraId="54A20073">
      <w:pPr>
        <w:pStyle w:val="16"/>
        <w:rPr>
          <w:rFonts w:ascii="仿宋" w:hAnsi="仿宋" w:eastAsia="仿宋" w:cs="仿宋"/>
        </w:rPr>
      </w:pPr>
    </w:p>
    <w:p w14:paraId="2ACD3B55">
      <w:pPr>
        <w:pStyle w:val="16"/>
        <w:rPr>
          <w:rFonts w:ascii="仿宋" w:hAnsi="仿宋" w:eastAsia="仿宋" w:cs="仿宋"/>
        </w:rPr>
      </w:pPr>
    </w:p>
    <w:p w14:paraId="1C157229">
      <w:pPr>
        <w:tabs>
          <w:tab w:val="left" w:pos="5580"/>
        </w:tabs>
        <w:spacing w:line="360" w:lineRule="exact"/>
        <w:ind w:firstLine="482" w:firstLineChars="200"/>
        <w:jc w:val="left"/>
        <w:rPr>
          <w:rFonts w:ascii="仿宋" w:hAnsi="仿宋" w:eastAsia="仿宋" w:cs="仿宋"/>
          <w:b/>
          <w:kern w:val="0"/>
          <w:sz w:val="24"/>
        </w:rPr>
      </w:pPr>
      <w:bookmarkStart w:id="301" w:name="_Toc29157"/>
    </w:p>
    <w:p w14:paraId="08B24848">
      <w:pPr>
        <w:rPr>
          <w:rFonts w:ascii="仿宋" w:hAnsi="仿宋" w:eastAsia="仿宋" w:cs="仿宋"/>
          <w:sz w:val="24"/>
        </w:rPr>
      </w:pPr>
      <w:r>
        <w:rPr>
          <w:rFonts w:hint="eastAsia" w:ascii="仿宋" w:hAnsi="仿宋" w:eastAsia="仿宋" w:cs="仿宋"/>
          <w:sz w:val="24"/>
        </w:rPr>
        <w:br w:type="page"/>
      </w:r>
    </w:p>
    <w:p w14:paraId="04EEF07E">
      <w:pPr>
        <w:pStyle w:val="6"/>
        <w:spacing w:before="0"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2</w:t>
      </w:r>
      <w:bookmarkEnd w:id="297"/>
      <w:bookmarkEnd w:id="298"/>
      <w:bookmarkEnd w:id="299"/>
      <w:bookmarkEnd w:id="300"/>
      <w:r>
        <w:rPr>
          <w:rFonts w:hint="eastAsia" w:ascii="仿宋" w:hAnsi="仿宋" w:eastAsia="仿宋" w:cs="仿宋"/>
          <w:sz w:val="24"/>
          <w:szCs w:val="24"/>
        </w:rPr>
        <w:t>、</w:t>
      </w:r>
      <w:bookmarkEnd w:id="301"/>
      <w:bookmarkStart w:id="302" w:name="_Toc4629"/>
      <w:r>
        <w:rPr>
          <w:rFonts w:hint="eastAsia" w:ascii="仿宋" w:hAnsi="仿宋" w:eastAsia="仿宋" w:cs="仿宋"/>
          <w:sz w:val="24"/>
          <w:szCs w:val="24"/>
        </w:rPr>
        <w:t xml:space="preserve">法人或者其他组织的营业执照等证明文件，自然人的身份证明； </w:t>
      </w:r>
    </w:p>
    <w:p w14:paraId="7D1C64E3">
      <w:pPr>
        <w:rPr>
          <w:rFonts w:hint="eastAsia" w:ascii="仿宋" w:hAnsi="仿宋" w:eastAsia="仿宋" w:cs="仿宋"/>
          <w:sz w:val="24"/>
        </w:rPr>
      </w:pPr>
    </w:p>
    <w:p w14:paraId="517D82EA">
      <w:pPr>
        <w:rPr>
          <w:rFonts w:hint="eastAsia" w:ascii="仿宋" w:hAnsi="仿宋" w:eastAsia="仿宋" w:cs="仿宋"/>
          <w:sz w:val="24"/>
        </w:rPr>
      </w:pPr>
    </w:p>
    <w:p w14:paraId="14CF851C">
      <w:pPr>
        <w:rPr>
          <w:rFonts w:hint="eastAsia" w:ascii="仿宋" w:hAnsi="仿宋" w:eastAsia="仿宋" w:cs="仿宋"/>
          <w:sz w:val="24"/>
        </w:rPr>
      </w:pPr>
    </w:p>
    <w:p w14:paraId="007FEE5B">
      <w:pPr>
        <w:rPr>
          <w:rFonts w:hint="eastAsia" w:ascii="仿宋" w:hAnsi="仿宋" w:eastAsia="仿宋" w:cs="仿宋"/>
          <w:sz w:val="24"/>
        </w:rPr>
      </w:pPr>
      <w:r>
        <w:rPr>
          <w:rFonts w:hint="eastAsia" w:ascii="仿宋" w:hAnsi="仿宋" w:eastAsia="仿宋" w:cs="仿宋"/>
          <w:sz w:val="24"/>
        </w:rPr>
        <w:t>说明：1.提供有效的营业执照复印件，复印件上应加盖本单位章。</w:t>
      </w:r>
    </w:p>
    <w:p w14:paraId="0F3DB4B7">
      <w:pPr>
        <w:rPr>
          <w:rFonts w:hint="eastAsia" w:ascii="仿宋" w:hAnsi="仿宋" w:eastAsia="仿宋" w:cs="仿宋"/>
          <w:sz w:val="24"/>
        </w:rPr>
      </w:pPr>
      <w:r>
        <w:rPr>
          <w:rFonts w:hint="eastAsia" w:ascii="仿宋" w:hAnsi="仿宋" w:eastAsia="仿宋" w:cs="仿宋"/>
          <w:sz w:val="24"/>
        </w:rPr>
        <w:t xml:space="preserve">      2.投标人为自然人的，应提供身份证明的复印件。</w:t>
      </w:r>
    </w:p>
    <w:p w14:paraId="6FCB5EF7">
      <w:pPr>
        <w:rPr>
          <w:rFonts w:ascii="仿宋" w:hAnsi="仿宋" w:eastAsia="仿宋" w:cs="仿宋"/>
          <w:sz w:val="24"/>
        </w:rPr>
      </w:pPr>
      <w:r>
        <w:rPr>
          <w:rFonts w:hint="eastAsia" w:ascii="仿宋" w:hAnsi="仿宋" w:eastAsia="仿宋" w:cs="仿宋"/>
          <w:sz w:val="24"/>
        </w:rPr>
        <w:t xml:space="preserve">      3.联合体投标应提供联合体各方满足以上要求的证明文件。</w:t>
      </w:r>
    </w:p>
    <w:p w14:paraId="4C0D0686">
      <w:pPr>
        <w:pStyle w:val="9"/>
      </w:pPr>
    </w:p>
    <w:bookmarkEnd w:id="302"/>
    <w:p w14:paraId="3A1D1F29">
      <w:pPr>
        <w:rPr>
          <w:rFonts w:hint="eastAsia" w:ascii="仿宋" w:hAnsi="仿宋" w:eastAsia="仿宋" w:cs="仿宋"/>
          <w:sz w:val="24"/>
          <w:szCs w:val="24"/>
        </w:rPr>
      </w:pPr>
      <w:r>
        <w:rPr>
          <w:rFonts w:hint="eastAsia" w:ascii="仿宋" w:hAnsi="仿宋" w:eastAsia="仿宋" w:cs="仿宋"/>
          <w:sz w:val="24"/>
          <w:szCs w:val="24"/>
        </w:rPr>
        <w:br w:type="page"/>
      </w:r>
    </w:p>
    <w:p w14:paraId="13A244F3">
      <w:pPr>
        <w:pStyle w:val="6"/>
        <w:spacing w:before="0"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3、法定代表人资格证明书或法人授权委托书及被授权人身份证(投标文件格式二，自然人投标的无需提供)；</w:t>
      </w:r>
    </w:p>
    <w:p w14:paraId="27AF5775">
      <w:pPr>
        <w:pStyle w:val="6"/>
        <w:spacing w:before="0"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3.1法定代表人身份证明</w:t>
      </w:r>
    </w:p>
    <w:p w14:paraId="64300361">
      <w:pPr>
        <w:rPr>
          <w:rFonts w:ascii="仿宋" w:hAnsi="仿宋" w:eastAsia="仿宋" w:cs="仿宋"/>
          <w:sz w:val="24"/>
        </w:rPr>
      </w:pPr>
      <w:r>
        <w:rPr>
          <w:rFonts w:hint="eastAsia" w:ascii="仿宋" w:hAnsi="仿宋" w:eastAsia="仿宋" w:cs="仿宋"/>
          <w:sz w:val="24"/>
        </w:rPr>
        <w:t xml:space="preserve">               同志，现任我单位          职务，为法定代表人，特此证明。</w:t>
      </w:r>
    </w:p>
    <w:p w14:paraId="5B991FFF">
      <w:pPr>
        <w:ind w:firstLine="240" w:firstLineChars="100"/>
        <w:rPr>
          <w:rFonts w:ascii="仿宋" w:hAnsi="仿宋" w:eastAsia="仿宋" w:cs="仿宋"/>
          <w:sz w:val="24"/>
        </w:rPr>
      </w:pPr>
      <w:r>
        <w:rPr>
          <w:rFonts w:hint="eastAsia" w:ascii="仿宋" w:hAnsi="仿宋" w:eastAsia="仿宋" w:cs="仿宋"/>
          <w:sz w:val="24"/>
        </w:rPr>
        <w:t xml:space="preserve">签发日期：                  单位：         </w:t>
      </w:r>
    </w:p>
    <w:p w14:paraId="5511E87C">
      <w:pPr>
        <w:ind w:firstLine="240" w:firstLineChars="100"/>
        <w:rPr>
          <w:rFonts w:ascii="仿宋" w:hAnsi="仿宋" w:eastAsia="仿宋" w:cs="仿宋"/>
          <w:sz w:val="24"/>
        </w:rPr>
      </w:pPr>
      <w:r>
        <w:rPr>
          <w:rFonts w:hint="eastAsia" w:ascii="仿宋" w:hAnsi="仿宋" w:eastAsia="仿宋" w:cs="仿宋"/>
          <w:sz w:val="24"/>
        </w:rPr>
        <w:t>附：代表人性别：            年龄：           身份证号码：</w:t>
      </w:r>
    </w:p>
    <w:p w14:paraId="49468DEF">
      <w:pPr>
        <w:ind w:firstLine="240" w:firstLineChars="100"/>
        <w:rPr>
          <w:rFonts w:ascii="仿宋" w:hAnsi="仿宋" w:eastAsia="仿宋" w:cs="仿宋"/>
          <w:sz w:val="24"/>
        </w:rPr>
      </w:pPr>
      <w:r>
        <w:rPr>
          <w:rFonts w:hint="eastAsia" w:ascii="仿宋" w:hAnsi="仿宋" w:eastAsia="仿宋" w:cs="仿宋"/>
          <w:sz w:val="24"/>
        </w:rPr>
        <w:t>联系电话：</w:t>
      </w:r>
    </w:p>
    <w:p w14:paraId="00A477D5">
      <w:pPr>
        <w:ind w:firstLine="240" w:firstLineChars="100"/>
        <w:rPr>
          <w:rFonts w:ascii="仿宋" w:hAnsi="仿宋" w:eastAsia="仿宋" w:cs="仿宋"/>
          <w:sz w:val="24"/>
        </w:rPr>
      </w:pPr>
      <w:r>
        <w:rPr>
          <w:rFonts w:hint="eastAsia" w:ascii="仿宋" w:hAnsi="仿宋" w:eastAsia="仿宋" w:cs="仿宋"/>
          <w:sz w:val="24"/>
        </w:rPr>
        <w:t>营业执照号码：              经济性质：</w:t>
      </w:r>
    </w:p>
    <w:p w14:paraId="3D4B3AC4">
      <w:pPr>
        <w:rPr>
          <w:rFonts w:ascii="仿宋" w:hAnsi="仿宋" w:eastAsia="仿宋" w:cs="仿宋"/>
          <w:sz w:val="24"/>
        </w:rPr>
      </w:pPr>
      <w:r>
        <w:rPr>
          <w:rFonts w:hint="eastAsia" w:ascii="仿宋" w:hAnsi="仿宋" w:eastAsia="仿宋" w:cs="仿宋"/>
          <w:sz w:val="24"/>
        </w:rPr>
        <w:t>说明：</w:t>
      </w:r>
    </w:p>
    <w:p w14:paraId="1182A3D7">
      <w:pPr>
        <w:ind w:firstLine="240" w:firstLineChars="100"/>
        <w:rPr>
          <w:rFonts w:ascii="仿宋" w:hAnsi="仿宋" w:eastAsia="仿宋" w:cs="仿宋"/>
          <w:sz w:val="24"/>
        </w:rPr>
      </w:pPr>
      <w:r>
        <w:rPr>
          <w:rFonts w:hint="eastAsia" w:ascii="仿宋" w:hAnsi="仿宋" w:eastAsia="仿宋" w:cs="仿宋"/>
          <w:sz w:val="24"/>
        </w:rPr>
        <w:t>1、法定代表人为企业事业单位、国家机关、社会团体的主要行政负责人。</w:t>
      </w:r>
    </w:p>
    <w:p w14:paraId="62C833B7">
      <w:pPr>
        <w:rPr>
          <w:rFonts w:ascii="仿宋" w:hAnsi="仿宋" w:eastAsia="仿宋" w:cs="仿宋"/>
          <w:sz w:val="24"/>
        </w:rPr>
      </w:pPr>
      <w:r>
        <w:rPr>
          <w:rFonts w:hint="eastAsia" w:ascii="仿宋" w:hAnsi="仿宋" w:eastAsia="仿宋" w:cs="仿宋"/>
          <w:sz w:val="24"/>
        </w:rPr>
        <w:t xml:space="preserve">  2、内容必须填写真实、清楚、涂改无效，不得转让。</w:t>
      </w:r>
    </w:p>
    <w:p w14:paraId="162C349E">
      <w:pPr>
        <w:rPr>
          <w:rFonts w:ascii="仿宋" w:hAnsi="仿宋" w:eastAsia="仿宋" w:cs="仿宋"/>
          <w:sz w:val="24"/>
        </w:rPr>
      </w:pPr>
      <w:r>
        <w:rPr>
          <w:rFonts w:hint="eastAsia" w:ascii="仿宋" w:hAnsi="仿宋" w:eastAsia="仿宋" w:cs="仿宋"/>
          <w:sz w:val="24"/>
        </w:rPr>
        <w:t xml:space="preserve">  (为避免废标，请供应商务必提供本附件)</w:t>
      </w:r>
    </w:p>
    <w:p w14:paraId="2BFB4137">
      <w:pPr>
        <w:rPr>
          <w:rFonts w:ascii="仿宋" w:hAnsi="仿宋" w:eastAsia="仿宋" w:cs="仿宋"/>
          <w:sz w:val="24"/>
        </w:rPr>
      </w:pPr>
      <w:r>
        <w:rPr>
          <w:rFonts w:ascii="仿宋" w:hAnsi="仿宋" w:eastAsia="仿宋" w:cs="仿宋"/>
          <w:sz w:val="24"/>
        </w:rPr>
        <mc:AlternateContent>
          <mc:Choice Requires="wps">
            <w:drawing>
              <wp:anchor distT="0" distB="0" distL="114300" distR="114300" simplePos="0" relativeHeight="251661312" behindDoc="0" locked="0" layoutInCell="1" allowOverlap="1">
                <wp:simplePos x="0" y="0"/>
                <wp:positionH relativeFrom="column">
                  <wp:posOffset>154305</wp:posOffset>
                </wp:positionH>
                <wp:positionV relativeFrom="paragraph">
                  <wp:posOffset>10795</wp:posOffset>
                </wp:positionV>
                <wp:extent cx="4281805" cy="1375410"/>
                <wp:effectExtent l="4445" t="4445" r="19050" b="10795"/>
                <wp:wrapNone/>
                <wp:docPr id="14" name="流程图: 可选过程 14"/>
                <wp:cNvGraphicFramePr/>
                <a:graphic xmlns:a="http://schemas.openxmlformats.org/drawingml/2006/main">
                  <a:graphicData uri="http://schemas.microsoft.com/office/word/2010/wordprocessingShape">
                    <wps:wsp>
                      <wps:cNvSpPr/>
                      <wps:spPr>
                        <a:xfrm>
                          <a:off x="0" y="0"/>
                          <a:ext cx="4281805" cy="158432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3FAC0282">
                            <w:pPr>
                              <w:jc w:val="center"/>
                              <w:rPr>
                                <w:rFonts w:hAnsi="宋体"/>
                                <w:szCs w:val="21"/>
                              </w:rPr>
                            </w:pPr>
                          </w:p>
                          <w:p w14:paraId="0BEE5940">
                            <w:pPr>
                              <w:jc w:val="center"/>
                              <w:rPr>
                                <w:rFonts w:hAnsi="宋体"/>
                                <w:szCs w:val="21"/>
                              </w:rPr>
                            </w:pPr>
                          </w:p>
                          <w:p w14:paraId="586C14CD">
                            <w:pPr>
                              <w:jc w:val="center"/>
                              <w:rPr>
                                <w:rFonts w:hAnsi="宋体"/>
                                <w:szCs w:val="21"/>
                              </w:rPr>
                            </w:pPr>
                          </w:p>
                          <w:p w14:paraId="01D2B3C4">
                            <w:pPr>
                              <w:jc w:val="center"/>
                              <w:rPr>
                                <w:szCs w:val="21"/>
                              </w:rPr>
                            </w:pPr>
                            <w:r>
                              <w:rPr>
                                <w:rFonts w:hint="eastAsia" w:hAnsi="宋体"/>
                                <w:szCs w:val="21"/>
                              </w:rPr>
                              <w:t>法定代表人身份证复印件正反面</w:t>
                            </w:r>
                          </w:p>
                        </w:txbxContent>
                      </wps:txbx>
                      <wps:bodyPr upright="1"/>
                    </wps:wsp>
                  </a:graphicData>
                </a:graphic>
              </wp:anchor>
            </w:drawing>
          </mc:Choice>
          <mc:Fallback>
            <w:pict>
              <v:shape id="_x0000_s1026" o:spid="_x0000_s1026" o:spt="176" type="#_x0000_t176" style="position:absolute;left:0pt;margin-left:12.15pt;margin-top:0.85pt;height:108.3pt;width:337.15pt;z-index:251661312;mso-width-relative:page;mso-height-relative:page;" fillcolor="#FFFFFF" filled="t" stroked="t" coordsize="21600,21600" o:gfxdata="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DbgS041gAAAAgBAAAPAAAAAAAAAAEAIAAAACIAAABkcnMvZG93bnJldi54bWxQSwEC&#10;FAAUAAAACACHTuJAFQVjKy8CAABgBAAADgAAAAAAAAABACAAAAAlAQAAZHJzL2Uyb0RvYy54bWxQ&#10;SwUGAAAAAAYABgBZAQAAxgUAAAAA&#10;">
                <v:fill on="t" focussize="0,0"/>
                <v:stroke color="#000000" joinstyle="miter"/>
                <v:imagedata o:title=""/>
                <o:lock v:ext="edit" aspectratio="f"/>
                <v:textbox>
                  <w:txbxContent>
                    <w:p w14:paraId="3FAC0282">
                      <w:pPr>
                        <w:jc w:val="center"/>
                        <w:rPr>
                          <w:rFonts w:hAnsi="宋体"/>
                          <w:szCs w:val="21"/>
                        </w:rPr>
                      </w:pPr>
                    </w:p>
                    <w:p w14:paraId="0BEE5940">
                      <w:pPr>
                        <w:jc w:val="center"/>
                        <w:rPr>
                          <w:rFonts w:hAnsi="宋体"/>
                          <w:szCs w:val="21"/>
                        </w:rPr>
                      </w:pPr>
                    </w:p>
                    <w:p w14:paraId="586C14CD">
                      <w:pPr>
                        <w:jc w:val="center"/>
                        <w:rPr>
                          <w:rFonts w:hAnsi="宋体"/>
                          <w:szCs w:val="21"/>
                        </w:rPr>
                      </w:pPr>
                    </w:p>
                    <w:p w14:paraId="01D2B3C4">
                      <w:pPr>
                        <w:jc w:val="center"/>
                        <w:rPr>
                          <w:szCs w:val="21"/>
                        </w:rPr>
                      </w:pPr>
                      <w:r>
                        <w:rPr>
                          <w:rFonts w:hint="eastAsia" w:hAnsi="宋体"/>
                          <w:szCs w:val="21"/>
                        </w:rPr>
                        <w:t>法定代表人身份证复印件正反面</w:t>
                      </w:r>
                    </w:p>
                  </w:txbxContent>
                </v:textbox>
              </v:shape>
            </w:pict>
          </mc:Fallback>
        </mc:AlternateContent>
      </w:r>
    </w:p>
    <w:p w14:paraId="154AD99D">
      <w:pPr>
        <w:rPr>
          <w:rFonts w:ascii="仿宋" w:hAnsi="仿宋" w:eastAsia="仿宋" w:cs="仿宋"/>
          <w:sz w:val="24"/>
        </w:rPr>
      </w:pPr>
    </w:p>
    <w:p w14:paraId="6EE3689D">
      <w:pPr>
        <w:rPr>
          <w:rFonts w:ascii="仿宋" w:hAnsi="仿宋" w:eastAsia="仿宋" w:cs="仿宋"/>
          <w:sz w:val="24"/>
        </w:rPr>
      </w:pPr>
    </w:p>
    <w:p w14:paraId="2241585E">
      <w:pPr>
        <w:autoSpaceDE w:val="0"/>
        <w:autoSpaceDN w:val="0"/>
        <w:adjustRightInd w:val="0"/>
        <w:ind w:right="246"/>
        <w:rPr>
          <w:rFonts w:ascii="仿宋" w:hAnsi="仿宋" w:eastAsia="仿宋" w:cs="仿宋"/>
          <w:sz w:val="24"/>
        </w:rPr>
      </w:pPr>
    </w:p>
    <w:p w14:paraId="467141F1">
      <w:pPr>
        <w:autoSpaceDE w:val="0"/>
        <w:autoSpaceDN w:val="0"/>
        <w:adjustRightInd w:val="0"/>
        <w:ind w:right="246" w:firstLine="784" w:firstLineChars="327"/>
        <w:rPr>
          <w:rFonts w:ascii="仿宋" w:hAnsi="仿宋" w:eastAsia="仿宋" w:cs="仿宋"/>
          <w:sz w:val="24"/>
        </w:rPr>
      </w:pPr>
      <w:r>
        <w:rPr>
          <w:rFonts w:hint="eastAsia" w:ascii="仿宋" w:hAnsi="仿宋" w:eastAsia="仿宋" w:cs="仿宋"/>
          <w:sz w:val="24"/>
        </w:rPr>
        <w:t xml:space="preserve">供应商（盖章）：                              </w:t>
      </w:r>
    </w:p>
    <w:p w14:paraId="4C6F90DA">
      <w:pPr>
        <w:adjustRightInd w:val="0"/>
        <w:snapToGrid w:val="0"/>
        <w:ind w:firstLine="784" w:firstLineChars="327"/>
        <w:rPr>
          <w:rFonts w:ascii="仿宋" w:hAnsi="仿宋" w:eastAsia="仿宋" w:cs="仿宋"/>
          <w:sz w:val="24"/>
        </w:rPr>
      </w:pPr>
    </w:p>
    <w:p w14:paraId="2A802142">
      <w:pPr>
        <w:adjustRightInd w:val="0"/>
        <w:snapToGrid w:val="0"/>
        <w:ind w:firstLine="784" w:firstLineChars="327"/>
        <w:rPr>
          <w:rFonts w:ascii="仿宋" w:hAnsi="仿宋" w:eastAsia="仿宋" w:cs="仿宋"/>
          <w:sz w:val="24"/>
        </w:rPr>
      </w:pPr>
      <w:r>
        <w:rPr>
          <w:rFonts w:hint="eastAsia" w:ascii="仿宋" w:hAnsi="仿宋" w:eastAsia="仿宋" w:cs="仿宋"/>
          <w:sz w:val="24"/>
        </w:rPr>
        <w:t xml:space="preserve">法定代表人(签/章)： </w:t>
      </w:r>
    </w:p>
    <w:p w14:paraId="5BB5994E">
      <w:pPr>
        <w:pStyle w:val="13"/>
        <w:tabs>
          <w:tab w:val="left" w:pos="5370"/>
        </w:tabs>
        <w:spacing w:line="240" w:lineRule="atLeast"/>
        <w:ind w:left="1155" w:leftChars="371" w:hanging="376" w:hangingChars="157"/>
        <w:rPr>
          <w:rFonts w:ascii="仿宋" w:hAnsi="仿宋" w:eastAsia="仿宋" w:cs="仿宋"/>
          <w:sz w:val="24"/>
          <w:szCs w:val="24"/>
        </w:rPr>
      </w:pPr>
    </w:p>
    <w:p w14:paraId="7E2B3396">
      <w:pPr>
        <w:pStyle w:val="13"/>
        <w:tabs>
          <w:tab w:val="left" w:pos="5370"/>
        </w:tabs>
        <w:spacing w:line="240" w:lineRule="atLeast"/>
        <w:ind w:left="1155" w:leftChars="371" w:hanging="376" w:hangingChars="157"/>
        <w:rPr>
          <w:rFonts w:ascii="仿宋" w:hAnsi="仿宋" w:eastAsia="仿宋" w:cs="仿宋"/>
          <w:sz w:val="24"/>
          <w:szCs w:val="24"/>
        </w:rPr>
      </w:pPr>
    </w:p>
    <w:p w14:paraId="31AB0A19">
      <w:pPr>
        <w:pStyle w:val="13"/>
        <w:tabs>
          <w:tab w:val="left" w:pos="5370"/>
        </w:tabs>
        <w:spacing w:line="240" w:lineRule="atLeast"/>
        <w:ind w:left="1155" w:leftChars="371" w:hanging="376" w:hangingChars="157"/>
        <w:rPr>
          <w:rFonts w:ascii="仿宋" w:hAnsi="仿宋" w:eastAsia="仿宋" w:cs="仿宋"/>
          <w:sz w:val="24"/>
        </w:rPr>
      </w:pPr>
      <w:r>
        <w:rPr>
          <w:rFonts w:hint="eastAsia" w:ascii="仿宋" w:hAnsi="仿宋" w:eastAsia="仿宋" w:cs="仿宋"/>
          <w:sz w:val="24"/>
          <w:szCs w:val="24"/>
        </w:rPr>
        <w:t>供应商(</w:t>
      </w:r>
      <w:r>
        <w:rPr>
          <w:rFonts w:hint="eastAsia" w:ascii="仿宋" w:hAnsi="仿宋" w:eastAsia="仿宋" w:cs="仿宋"/>
          <w:sz w:val="24"/>
          <w:szCs w:val="24"/>
          <w:lang w:eastAsia="zh-CN"/>
        </w:rPr>
        <w:t>电子签章</w:t>
      </w:r>
      <w:r>
        <w:rPr>
          <w:rFonts w:hint="eastAsia" w:ascii="仿宋" w:hAnsi="仿宋" w:eastAsia="仿宋" w:cs="仿宋"/>
          <w:sz w:val="24"/>
          <w:szCs w:val="24"/>
        </w:rPr>
        <w:t>):</w:t>
      </w:r>
      <w:r>
        <w:rPr>
          <w:rFonts w:hint="eastAsia" w:ascii="仿宋" w:hAnsi="仿宋" w:eastAsia="仿宋" w:cs="仿宋"/>
          <w:sz w:val="24"/>
          <w:szCs w:val="24"/>
          <w:u w:val="single"/>
        </w:rPr>
        <w:tab/>
      </w:r>
      <w:r>
        <w:rPr>
          <w:rFonts w:hint="eastAsia" w:ascii="仿宋" w:hAnsi="仿宋" w:eastAsia="仿宋" w:cs="仿宋"/>
          <w:sz w:val="24"/>
        </w:rPr>
        <w:t xml:space="preserve"> </w:t>
      </w:r>
    </w:p>
    <w:p w14:paraId="47C6D0DA">
      <w:pPr>
        <w:adjustRightInd w:val="0"/>
        <w:snapToGrid w:val="0"/>
        <w:ind w:firstLine="784" w:firstLineChars="327"/>
        <w:rPr>
          <w:rFonts w:ascii="仿宋" w:hAnsi="仿宋" w:eastAsia="仿宋" w:cs="仿宋"/>
          <w:sz w:val="24"/>
        </w:rPr>
      </w:pPr>
      <w:r>
        <w:rPr>
          <w:rFonts w:hint="eastAsia" w:ascii="仿宋" w:hAnsi="仿宋" w:eastAsia="仿宋" w:cs="仿宋"/>
          <w:sz w:val="24"/>
        </w:rPr>
        <w:t xml:space="preserve">                  </w:t>
      </w:r>
    </w:p>
    <w:p w14:paraId="631E0BE2">
      <w:pPr>
        <w:adjustRightInd w:val="0"/>
        <w:snapToGrid w:val="0"/>
        <w:ind w:firstLine="784" w:firstLineChars="327"/>
        <w:rPr>
          <w:rFonts w:hint="eastAsia" w:ascii="仿宋" w:hAnsi="仿宋" w:eastAsia="仿宋" w:cs="仿宋"/>
          <w:sz w:val="24"/>
        </w:rPr>
      </w:pPr>
      <w:r>
        <w:rPr>
          <w:rFonts w:hint="eastAsia" w:ascii="仿宋" w:hAnsi="仿宋" w:eastAsia="仿宋" w:cs="仿宋"/>
          <w:sz w:val="24"/>
        </w:rPr>
        <w:t xml:space="preserve">日期：     </w:t>
      </w:r>
    </w:p>
    <w:p w14:paraId="080E1E4A">
      <w:pPr>
        <w:adjustRightInd w:val="0"/>
        <w:snapToGrid w:val="0"/>
        <w:ind w:firstLine="784" w:firstLineChars="327"/>
        <w:rPr>
          <w:rFonts w:hint="eastAsia" w:ascii="仿宋" w:hAnsi="仿宋" w:eastAsia="仿宋" w:cs="仿宋"/>
          <w:sz w:val="24"/>
        </w:rPr>
      </w:pPr>
    </w:p>
    <w:p w14:paraId="0ACB7624">
      <w:pPr>
        <w:adjustRightInd w:val="0"/>
        <w:snapToGrid w:val="0"/>
        <w:ind w:firstLine="784" w:firstLineChars="327"/>
        <w:rPr>
          <w:rFonts w:ascii="仿宋" w:hAnsi="仿宋" w:eastAsia="仿宋" w:cs="仿宋"/>
          <w:sz w:val="24"/>
        </w:rPr>
      </w:pPr>
      <w:r>
        <w:rPr>
          <w:rFonts w:hint="eastAsia" w:ascii="仿宋" w:hAnsi="仿宋" w:eastAsia="仿宋" w:cs="仿宋"/>
          <w:sz w:val="24"/>
        </w:rPr>
        <w:t xml:space="preserve">                                  </w:t>
      </w:r>
    </w:p>
    <w:p w14:paraId="7C933C9C">
      <w:pPr>
        <w:pStyle w:val="13"/>
        <w:tabs>
          <w:tab w:val="left" w:pos="5580"/>
        </w:tabs>
        <w:rPr>
          <w:rFonts w:ascii="仿宋" w:hAnsi="仿宋" w:eastAsia="仿宋" w:cs="仿宋"/>
          <w:sz w:val="24"/>
          <w:szCs w:val="24"/>
        </w:rPr>
      </w:pPr>
      <w:r>
        <w:rPr>
          <w:rFonts w:hint="eastAsia" w:ascii="仿宋" w:hAnsi="仿宋" w:eastAsia="仿宋" w:cs="仿宋"/>
          <w:sz w:val="24"/>
          <w:szCs w:val="24"/>
        </w:rPr>
        <w:t>说明：1.提供有效的营业执照等证明文件复印件，复印件上应加盖本单位章。</w:t>
      </w:r>
    </w:p>
    <w:p w14:paraId="0C297D8F">
      <w:pPr>
        <w:pStyle w:val="13"/>
        <w:tabs>
          <w:tab w:val="left" w:pos="5580"/>
        </w:tabs>
        <w:ind w:left="1080" w:leftChars="257" w:hanging="540"/>
        <w:rPr>
          <w:rFonts w:ascii="仿宋" w:hAnsi="仿宋" w:eastAsia="仿宋" w:cs="仿宋"/>
          <w:sz w:val="24"/>
          <w:szCs w:val="24"/>
        </w:rPr>
      </w:pPr>
      <w:r>
        <w:rPr>
          <w:rFonts w:hint="eastAsia" w:ascii="仿宋" w:hAnsi="仿宋" w:eastAsia="仿宋" w:cs="仿宋"/>
          <w:sz w:val="24"/>
          <w:szCs w:val="24"/>
        </w:rPr>
        <w:t xml:space="preserve">  2.供应商为自然人的，应提供身份证明的复印件。</w:t>
      </w:r>
    </w:p>
    <w:p w14:paraId="7A7C7B36">
      <w:pPr>
        <w:pStyle w:val="13"/>
        <w:tabs>
          <w:tab w:val="left" w:pos="5580"/>
        </w:tabs>
        <w:ind w:left="1080" w:leftChars="257" w:hanging="540"/>
        <w:rPr>
          <w:rFonts w:ascii="仿宋" w:hAnsi="仿宋" w:eastAsia="仿宋" w:cs="仿宋"/>
          <w:sz w:val="24"/>
          <w:szCs w:val="24"/>
        </w:rPr>
      </w:pPr>
      <w:r>
        <w:rPr>
          <w:rFonts w:hint="eastAsia" w:ascii="仿宋" w:hAnsi="仿宋" w:eastAsia="仿宋" w:cs="仿宋"/>
          <w:sz w:val="24"/>
          <w:szCs w:val="24"/>
        </w:rPr>
        <w:t xml:space="preserve">  3.联合体磋商应提供联合体各方满足以上要求的证明文件。</w:t>
      </w:r>
      <w:bookmarkStart w:id="303" w:name="_Toc14483"/>
      <w:bookmarkStart w:id="304" w:name="_Toc4926"/>
      <w:bookmarkStart w:id="305" w:name="_Toc7748"/>
      <w:bookmarkStart w:id="306" w:name="_Toc8491"/>
      <w:bookmarkStart w:id="307" w:name="_Toc515647807"/>
      <w:bookmarkStart w:id="308" w:name="_Toc6829"/>
      <w:bookmarkStart w:id="309" w:name="_Toc4082"/>
      <w:bookmarkStart w:id="310" w:name="_Toc22472"/>
      <w:bookmarkStart w:id="311" w:name="_Toc16640"/>
      <w:bookmarkStart w:id="312" w:name="_Toc13107"/>
      <w:bookmarkStart w:id="313" w:name="_Toc17981"/>
      <w:bookmarkStart w:id="314" w:name="_Toc16635"/>
      <w:bookmarkStart w:id="315" w:name="_Toc5436"/>
      <w:bookmarkStart w:id="316" w:name="_Toc27943"/>
      <w:bookmarkStart w:id="317" w:name="_Toc21867"/>
      <w:bookmarkStart w:id="318" w:name="_Toc1083"/>
    </w:p>
    <w:p w14:paraId="087700B0">
      <w:pPr>
        <w:rPr>
          <w:rFonts w:ascii="仿宋" w:hAnsi="仿宋" w:eastAsia="仿宋" w:cs="仿宋"/>
          <w:sz w:val="24"/>
        </w:rPr>
      </w:pPr>
      <w:r>
        <w:rPr>
          <w:rFonts w:hint="eastAsia" w:ascii="仿宋" w:hAnsi="仿宋" w:eastAsia="仿宋" w:cs="仿宋"/>
          <w:sz w:val="24"/>
        </w:rPr>
        <w:br w:type="page"/>
      </w:r>
    </w:p>
    <w:p w14:paraId="0B12B969">
      <w:pPr>
        <w:pStyle w:val="13"/>
        <w:tabs>
          <w:tab w:val="left" w:pos="5580"/>
        </w:tabs>
        <w:ind w:left="1080" w:leftChars="257" w:hanging="540"/>
        <w:rPr>
          <w:rFonts w:ascii="仿宋" w:hAnsi="仿宋" w:eastAsia="仿宋" w:cs="仿宋"/>
          <w:sz w:val="24"/>
          <w:szCs w:val="24"/>
        </w:rPr>
      </w:pPr>
    </w:p>
    <w:p w14:paraId="6F9ECF10">
      <w:pPr>
        <w:pStyle w:val="6"/>
        <w:spacing w:before="0"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3.2法定代表人授权委托书</w:t>
      </w:r>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p>
    <w:p w14:paraId="1B0216D1">
      <w:pPr>
        <w:pStyle w:val="13"/>
        <w:tabs>
          <w:tab w:val="left" w:pos="5580"/>
        </w:tabs>
        <w:spacing w:line="240" w:lineRule="atLeast"/>
        <w:rPr>
          <w:rFonts w:ascii="仿宋" w:hAnsi="仿宋" w:eastAsia="仿宋" w:cs="仿宋"/>
          <w:sz w:val="24"/>
          <w:szCs w:val="24"/>
        </w:rPr>
      </w:pPr>
      <w:bookmarkStart w:id="319" w:name="_Toc515647808"/>
      <w:bookmarkStart w:id="320" w:name="_Toc32520"/>
      <w:bookmarkStart w:id="321" w:name="_Toc7039"/>
      <w:r>
        <w:rPr>
          <w:rFonts w:hint="eastAsia" w:ascii="仿宋" w:hAnsi="仿宋" w:eastAsia="仿宋" w:cs="仿宋"/>
          <w:sz w:val="24"/>
          <w:szCs w:val="24"/>
        </w:rPr>
        <w:cr/>
      </w:r>
      <w:r>
        <w:rPr>
          <w:rFonts w:hint="eastAsia" w:ascii="仿宋" w:hAnsi="仿宋" w:eastAsia="仿宋" w:cs="仿宋"/>
          <w:sz w:val="24"/>
          <w:szCs w:val="24"/>
        </w:rPr>
        <w:t xml:space="preserve">    本授权书声明：注册于（国家或地区的名称）的（供应商）的在下面签字的（法人代表姓名、职务）代表我单位授权（单位名称）的在下面签字的（被授权人的姓名、职务）为我单位的合法代理人，就（项目名称）的磋商，以我单位名义处理一切与之有关的事务。　　</w:t>
      </w:r>
    </w:p>
    <w:p w14:paraId="309EBC38">
      <w:pPr>
        <w:pStyle w:val="13"/>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本授权书于           年     月     日签字生效,特此声明。</w:t>
      </w:r>
    </w:p>
    <w:p w14:paraId="5197AD66">
      <w:pPr>
        <w:pStyle w:val="13"/>
        <w:tabs>
          <w:tab w:val="left" w:pos="5580"/>
        </w:tabs>
        <w:spacing w:line="240" w:lineRule="atLeast"/>
        <w:ind w:left="1080" w:leftChars="257" w:hanging="540"/>
        <w:rPr>
          <w:rFonts w:ascii="仿宋" w:hAnsi="仿宋" w:eastAsia="仿宋" w:cs="仿宋"/>
          <w:sz w:val="24"/>
          <w:szCs w:val="24"/>
        </w:rPr>
      </w:pPr>
      <w:r>
        <w:rPr>
          <w:rFonts w:ascii="仿宋" w:hAnsi="仿宋" w:eastAsia="仿宋" w:cs="仿宋"/>
          <w:sz w:val="24"/>
          <w:szCs w:val="24"/>
        </w:rPr>
        <mc:AlternateContent>
          <mc:Choice Requires="wps">
            <w:drawing>
              <wp:anchor distT="0" distB="0" distL="114300" distR="114300" simplePos="0" relativeHeight="251662336" behindDoc="0" locked="0" layoutInCell="1" allowOverlap="1">
                <wp:simplePos x="0" y="0"/>
                <wp:positionH relativeFrom="column">
                  <wp:posOffset>20955</wp:posOffset>
                </wp:positionH>
                <wp:positionV relativeFrom="paragraph">
                  <wp:posOffset>135890</wp:posOffset>
                </wp:positionV>
                <wp:extent cx="4618355" cy="1405890"/>
                <wp:effectExtent l="4445" t="5080" r="6350" b="17780"/>
                <wp:wrapNone/>
                <wp:docPr id="19" name="流程图: 可选过程 19"/>
                <wp:cNvGraphicFramePr/>
                <a:graphic xmlns:a="http://schemas.openxmlformats.org/drawingml/2006/main">
                  <a:graphicData uri="http://schemas.microsoft.com/office/word/2010/wordprocessingShape">
                    <wps:wsp>
                      <wps:cNvSpPr/>
                      <wps:spPr>
                        <a:xfrm>
                          <a:off x="0" y="0"/>
                          <a:ext cx="4618355" cy="114300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00ED5422">
                            <w:pPr>
                              <w:jc w:val="center"/>
                              <w:rPr>
                                <w:rFonts w:hAnsi="宋体"/>
                              </w:rPr>
                            </w:pPr>
                          </w:p>
                          <w:p w14:paraId="29C29546">
                            <w:pPr>
                              <w:jc w:val="center"/>
                              <w:rPr>
                                <w:rFonts w:hAnsi="宋体"/>
                              </w:rPr>
                            </w:pPr>
                          </w:p>
                          <w:p w14:paraId="412A8614">
                            <w:pPr>
                              <w:jc w:val="center"/>
                              <w:rPr>
                                <w:rFonts w:hAnsi="宋体"/>
                              </w:rPr>
                            </w:pPr>
                          </w:p>
                          <w:p w14:paraId="2F624816">
                            <w:pPr>
                              <w:jc w:val="center"/>
                            </w:pPr>
                            <w:r>
                              <w:rPr>
                                <w:rFonts w:hint="eastAsia" w:hAnsi="宋体"/>
                              </w:rPr>
                              <w:t>授权委托人身份证复印件正反面</w:t>
                            </w:r>
                          </w:p>
                        </w:txbxContent>
                      </wps:txbx>
                      <wps:bodyPr upright="1"/>
                    </wps:wsp>
                  </a:graphicData>
                </a:graphic>
              </wp:anchor>
            </w:drawing>
          </mc:Choice>
          <mc:Fallback>
            <w:pict>
              <v:shape id="_x0000_s1026" o:spid="_x0000_s1026" o:spt="176" type="#_x0000_t176" style="position:absolute;left:0pt;margin-left:1.65pt;margin-top:10.7pt;height:110.7pt;width:363.65pt;z-index:251662336;mso-width-relative:page;mso-height-relative:page;" fillcolor="#FFFFFF" filled="t" stroked="t" coordsize="21600,21600" o:gfxdata="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A0BiL7WAAAACAEAAA8AAAAAAAAAAQAgAAAAIgAAAGRycy9kb3ducmV2Lnht&#10;bFBLAQIUABQAAAAIAIdO4kAA1NWjNAIAAGAEAAAOAAAAAAAAAAEAIAAAACUBAABkcnMvZTJvRG9j&#10;LnhtbFBLBQYAAAAABgAGAFkBAADLBQAAAAA=&#10;">
                <v:fill on="t" focussize="0,0"/>
                <v:stroke color="#000000" joinstyle="miter"/>
                <v:imagedata o:title=""/>
                <o:lock v:ext="edit" aspectratio="f"/>
                <v:textbox>
                  <w:txbxContent>
                    <w:p w14:paraId="00ED5422">
                      <w:pPr>
                        <w:jc w:val="center"/>
                        <w:rPr>
                          <w:rFonts w:hAnsi="宋体"/>
                        </w:rPr>
                      </w:pPr>
                    </w:p>
                    <w:p w14:paraId="29C29546">
                      <w:pPr>
                        <w:jc w:val="center"/>
                        <w:rPr>
                          <w:rFonts w:hAnsi="宋体"/>
                        </w:rPr>
                      </w:pPr>
                    </w:p>
                    <w:p w14:paraId="412A8614">
                      <w:pPr>
                        <w:jc w:val="center"/>
                        <w:rPr>
                          <w:rFonts w:hAnsi="宋体"/>
                        </w:rPr>
                      </w:pPr>
                    </w:p>
                    <w:p w14:paraId="2F624816">
                      <w:pPr>
                        <w:jc w:val="center"/>
                      </w:pPr>
                      <w:r>
                        <w:rPr>
                          <w:rFonts w:hint="eastAsia" w:hAnsi="宋体"/>
                        </w:rPr>
                        <w:t>授权委托人身份证复印件正反面</w:t>
                      </w:r>
                    </w:p>
                  </w:txbxContent>
                </v:textbox>
              </v:shape>
            </w:pict>
          </mc:Fallback>
        </mc:AlternateContent>
      </w:r>
    </w:p>
    <w:p w14:paraId="7D5C785C">
      <w:pPr>
        <w:pStyle w:val="13"/>
        <w:tabs>
          <w:tab w:val="left" w:pos="5580"/>
        </w:tabs>
        <w:spacing w:line="240" w:lineRule="atLeast"/>
        <w:ind w:left="1080" w:leftChars="257" w:hanging="540"/>
        <w:rPr>
          <w:rFonts w:ascii="仿宋" w:hAnsi="仿宋" w:eastAsia="仿宋" w:cs="仿宋"/>
          <w:sz w:val="24"/>
          <w:szCs w:val="24"/>
        </w:rPr>
      </w:pPr>
    </w:p>
    <w:p w14:paraId="0F41CBE4">
      <w:pPr>
        <w:pStyle w:val="13"/>
        <w:tabs>
          <w:tab w:val="left" w:pos="5580"/>
        </w:tabs>
        <w:spacing w:line="240" w:lineRule="atLeast"/>
        <w:rPr>
          <w:rFonts w:ascii="仿宋" w:hAnsi="仿宋" w:eastAsia="仿宋" w:cs="仿宋"/>
          <w:sz w:val="24"/>
          <w:szCs w:val="24"/>
        </w:rPr>
      </w:pPr>
    </w:p>
    <w:p w14:paraId="6A4DD4DB">
      <w:pPr>
        <w:pStyle w:val="13"/>
        <w:tabs>
          <w:tab w:val="left" w:pos="5580"/>
        </w:tabs>
        <w:spacing w:line="240" w:lineRule="atLeast"/>
        <w:rPr>
          <w:rFonts w:ascii="仿宋" w:hAnsi="仿宋" w:eastAsia="仿宋" w:cs="仿宋"/>
          <w:sz w:val="24"/>
          <w:szCs w:val="24"/>
        </w:rPr>
      </w:pPr>
    </w:p>
    <w:p w14:paraId="32ABBCE9">
      <w:pPr>
        <w:pStyle w:val="13"/>
        <w:tabs>
          <w:tab w:val="left" w:pos="5580"/>
        </w:tabs>
        <w:spacing w:line="240" w:lineRule="atLeast"/>
        <w:rPr>
          <w:rFonts w:ascii="仿宋" w:hAnsi="仿宋" w:eastAsia="仿宋" w:cs="仿宋"/>
          <w:sz w:val="24"/>
          <w:szCs w:val="24"/>
        </w:rPr>
      </w:pPr>
    </w:p>
    <w:p w14:paraId="2D2217FE">
      <w:pPr>
        <w:pStyle w:val="13"/>
        <w:tabs>
          <w:tab w:val="left" w:pos="5580"/>
        </w:tabs>
        <w:spacing w:line="240" w:lineRule="atLeast"/>
        <w:rPr>
          <w:rFonts w:ascii="仿宋" w:hAnsi="仿宋" w:eastAsia="仿宋" w:cs="仿宋"/>
          <w:sz w:val="24"/>
          <w:szCs w:val="24"/>
        </w:rPr>
      </w:pPr>
    </w:p>
    <w:p w14:paraId="703C7FF2">
      <w:pPr>
        <w:pStyle w:val="13"/>
        <w:tabs>
          <w:tab w:val="left" w:pos="5580"/>
        </w:tabs>
        <w:spacing w:line="240" w:lineRule="atLeast"/>
        <w:rPr>
          <w:rFonts w:ascii="仿宋" w:hAnsi="仿宋" w:eastAsia="仿宋" w:cs="仿宋"/>
          <w:sz w:val="24"/>
          <w:szCs w:val="24"/>
        </w:rPr>
      </w:pPr>
    </w:p>
    <w:p w14:paraId="2E9F0FED">
      <w:pPr>
        <w:pStyle w:val="13"/>
        <w:tabs>
          <w:tab w:val="left" w:pos="5580"/>
        </w:tabs>
        <w:spacing w:line="240" w:lineRule="atLeast"/>
        <w:rPr>
          <w:rFonts w:ascii="仿宋" w:hAnsi="仿宋" w:eastAsia="仿宋" w:cs="仿宋"/>
          <w:sz w:val="24"/>
          <w:szCs w:val="24"/>
        </w:rPr>
      </w:pPr>
    </w:p>
    <w:p w14:paraId="4447EC11">
      <w:pPr>
        <w:pStyle w:val="13"/>
        <w:tabs>
          <w:tab w:val="left" w:pos="5580"/>
        </w:tabs>
        <w:spacing w:line="240" w:lineRule="atLeast"/>
        <w:rPr>
          <w:rFonts w:ascii="仿宋" w:hAnsi="仿宋" w:eastAsia="仿宋" w:cs="仿宋"/>
          <w:sz w:val="24"/>
          <w:szCs w:val="24"/>
        </w:rPr>
      </w:pPr>
      <w:r>
        <w:rPr>
          <w:rFonts w:ascii="仿宋" w:hAnsi="仿宋" w:eastAsia="仿宋" w:cs="仿宋"/>
          <w:sz w:val="24"/>
          <w:szCs w:val="24"/>
        </w:rPr>
        <mc:AlternateContent>
          <mc:Choice Requires="wps">
            <w:drawing>
              <wp:anchor distT="0" distB="0" distL="114300" distR="114300" simplePos="0" relativeHeight="251663360" behindDoc="0" locked="0" layoutInCell="1" allowOverlap="1">
                <wp:simplePos x="0" y="0"/>
                <wp:positionH relativeFrom="column">
                  <wp:posOffset>100965</wp:posOffset>
                </wp:positionH>
                <wp:positionV relativeFrom="paragraph">
                  <wp:posOffset>148590</wp:posOffset>
                </wp:positionV>
                <wp:extent cx="4565650" cy="1501775"/>
                <wp:effectExtent l="8255" t="7620" r="17145" b="14605"/>
                <wp:wrapNone/>
                <wp:docPr id="16" name="圆角矩形 16"/>
                <wp:cNvGraphicFramePr/>
                <a:graphic xmlns:a="http://schemas.openxmlformats.org/drawingml/2006/main">
                  <a:graphicData uri="http://schemas.microsoft.com/office/word/2010/wordprocessingShape">
                    <wps:wsp>
                      <wps:cNvSpPr/>
                      <wps:spPr>
                        <a:xfrm>
                          <a:off x="0" y="0"/>
                          <a:ext cx="4565650" cy="150177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367C91FA">
                            <w:pPr>
                              <w:jc w:val="center"/>
                              <w:rPr>
                                <w:rFonts w:hAnsi="宋体"/>
                              </w:rPr>
                            </w:pPr>
                          </w:p>
                          <w:p w14:paraId="7510CCCC">
                            <w:pPr>
                              <w:jc w:val="center"/>
                              <w:rPr>
                                <w:rFonts w:hAnsi="宋体"/>
                              </w:rPr>
                            </w:pPr>
                          </w:p>
                          <w:p w14:paraId="69F97DB7">
                            <w:pPr>
                              <w:jc w:val="center"/>
                              <w:rPr>
                                <w:rFonts w:hAnsi="宋体"/>
                              </w:rPr>
                            </w:pPr>
                          </w:p>
                          <w:p w14:paraId="4F9229FB">
                            <w:pPr>
                              <w:jc w:val="center"/>
                            </w:pPr>
                            <w:r>
                              <w:rPr>
                                <w:rFonts w:hint="eastAsia" w:hAnsi="宋体"/>
                              </w:rPr>
                              <w:t>法人身份证复印件正反面</w:t>
                            </w:r>
                          </w:p>
                          <w:p w14:paraId="3BB3300D"/>
                        </w:txbxContent>
                      </wps:txbx>
                      <wps:bodyPr upright="1"/>
                    </wps:wsp>
                  </a:graphicData>
                </a:graphic>
              </wp:anchor>
            </w:drawing>
          </mc:Choice>
          <mc:Fallback>
            <w:pict>
              <v:roundrect id="_x0000_s1026" o:spid="_x0000_s1026" o:spt="2" style="position:absolute;left:0pt;margin-left:7.95pt;margin-top:11.7pt;height:118.25pt;width:359.5pt;z-index:251663360;mso-width-relative:page;mso-height-relative:page;" fillcolor="#FFFFFF" filled="t" stroked="t" coordsize="21600,21600" arcsize="0.166666666666667" o:gfxdata="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NOItI2QAAAAkBAAAPAAAAAAAAAAEAIAAAACIAAABkcnMvZG93bnJldi54bWxQSwECFAAU&#10;AAAACACHTuJAIzfY0SkCAABoBAAADgAAAAAAAAABACAAAAAoAQAAZHJzL2Uyb0RvYy54bWxQSwUG&#10;AAAAAAYABgBZAQAAwwUAAAAA&#10;">
                <v:fill on="t" focussize="0,0"/>
                <v:stroke weight="1.25pt" color="#808080" joinstyle="round"/>
                <v:imagedata o:title=""/>
                <o:lock v:ext="edit" aspectratio="f"/>
                <v:textbox>
                  <w:txbxContent>
                    <w:p w14:paraId="367C91FA">
                      <w:pPr>
                        <w:jc w:val="center"/>
                        <w:rPr>
                          <w:rFonts w:hAnsi="宋体"/>
                        </w:rPr>
                      </w:pPr>
                    </w:p>
                    <w:p w14:paraId="7510CCCC">
                      <w:pPr>
                        <w:jc w:val="center"/>
                        <w:rPr>
                          <w:rFonts w:hAnsi="宋体"/>
                        </w:rPr>
                      </w:pPr>
                    </w:p>
                    <w:p w14:paraId="69F97DB7">
                      <w:pPr>
                        <w:jc w:val="center"/>
                        <w:rPr>
                          <w:rFonts w:hAnsi="宋体"/>
                        </w:rPr>
                      </w:pPr>
                    </w:p>
                    <w:p w14:paraId="4F9229FB">
                      <w:pPr>
                        <w:jc w:val="center"/>
                      </w:pPr>
                      <w:r>
                        <w:rPr>
                          <w:rFonts w:hint="eastAsia" w:hAnsi="宋体"/>
                        </w:rPr>
                        <w:t>法人身份证复印件正反面</w:t>
                      </w:r>
                    </w:p>
                    <w:p w14:paraId="3BB3300D"/>
                  </w:txbxContent>
                </v:textbox>
              </v:roundrect>
            </w:pict>
          </mc:Fallback>
        </mc:AlternateContent>
      </w:r>
    </w:p>
    <w:p w14:paraId="52D988E7">
      <w:pPr>
        <w:pStyle w:val="13"/>
        <w:tabs>
          <w:tab w:val="left" w:pos="5580"/>
        </w:tabs>
        <w:spacing w:line="240" w:lineRule="atLeast"/>
        <w:rPr>
          <w:rFonts w:ascii="仿宋" w:hAnsi="仿宋" w:eastAsia="仿宋" w:cs="仿宋"/>
          <w:sz w:val="24"/>
          <w:szCs w:val="24"/>
        </w:rPr>
      </w:pPr>
    </w:p>
    <w:p w14:paraId="04F0C2C3">
      <w:pPr>
        <w:pStyle w:val="13"/>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 xml:space="preserve">供应商（盖单位章）;                           </w:t>
      </w:r>
    </w:p>
    <w:p w14:paraId="2CE2F81C">
      <w:pPr>
        <w:pStyle w:val="13"/>
        <w:tabs>
          <w:tab w:val="left" w:pos="5580"/>
        </w:tabs>
        <w:spacing w:line="240" w:lineRule="atLeast"/>
        <w:ind w:left="1080" w:leftChars="257" w:hanging="540"/>
        <w:rPr>
          <w:rFonts w:ascii="仿宋" w:hAnsi="仿宋" w:eastAsia="仿宋" w:cs="仿宋"/>
          <w:sz w:val="24"/>
          <w:szCs w:val="24"/>
        </w:rPr>
      </w:pPr>
    </w:p>
    <w:p w14:paraId="523CF121">
      <w:pPr>
        <w:pStyle w:val="13"/>
        <w:tabs>
          <w:tab w:val="left" w:pos="5580"/>
        </w:tabs>
        <w:spacing w:line="240" w:lineRule="atLeast"/>
        <w:ind w:left="1080" w:leftChars="257" w:hanging="540"/>
        <w:rPr>
          <w:rFonts w:ascii="仿宋" w:hAnsi="仿宋" w:eastAsia="仿宋" w:cs="仿宋"/>
          <w:sz w:val="24"/>
          <w:szCs w:val="24"/>
        </w:rPr>
      </w:pPr>
    </w:p>
    <w:p w14:paraId="258559C4">
      <w:pPr>
        <w:pStyle w:val="13"/>
        <w:tabs>
          <w:tab w:val="left" w:pos="5580"/>
        </w:tabs>
        <w:spacing w:line="240" w:lineRule="atLeast"/>
        <w:ind w:left="1080" w:leftChars="257" w:hanging="540"/>
        <w:rPr>
          <w:rFonts w:ascii="仿宋" w:hAnsi="仿宋" w:eastAsia="仿宋" w:cs="仿宋"/>
          <w:sz w:val="24"/>
          <w:szCs w:val="24"/>
        </w:rPr>
      </w:pPr>
    </w:p>
    <w:p w14:paraId="75050763">
      <w:pPr>
        <w:pStyle w:val="13"/>
        <w:tabs>
          <w:tab w:val="left" w:pos="5370"/>
        </w:tabs>
        <w:spacing w:line="240" w:lineRule="atLeast"/>
        <w:ind w:firstLine="480" w:firstLineChars="200"/>
        <w:rPr>
          <w:rFonts w:ascii="仿宋" w:hAnsi="仿宋" w:eastAsia="仿宋" w:cs="仿宋"/>
          <w:sz w:val="24"/>
          <w:szCs w:val="24"/>
        </w:rPr>
      </w:pPr>
    </w:p>
    <w:p w14:paraId="2AD65221">
      <w:pPr>
        <w:pStyle w:val="13"/>
        <w:tabs>
          <w:tab w:val="left" w:pos="5370"/>
        </w:tabs>
        <w:spacing w:line="240" w:lineRule="atLeast"/>
        <w:ind w:firstLine="480" w:firstLineChars="200"/>
        <w:rPr>
          <w:rFonts w:ascii="仿宋" w:hAnsi="仿宋" w:eastAsia="仿宋" w:cs="仿宋"/>
          <w:sz w:val="24"/>
          <w:szCs w:val="24"/>
        </w:rPr>
      </w:pPr>
    </w:p>
    <w:p w14:paraId="1096DCD3">
      <w:pPr>
        <w:pStyle w:val="13"/>
        <w:tabs>
          <w:tab w:val="left" w:pos="5370"/>
        </w:tabs>
        <w:spacing w:line="240" w:lineRule="atLeast"/>
        <w:ind w:firstLine="480" w:firstLineChars="200"/>
        <w:rPr>
          <w:rFonts w:ascii="仿宋" w:hAnsi="仿宋" w:eastAsia="仿宋" w:cs="仿宋"/>
          <w:sz w:val="24"/>
          <w:szCs w:val="24"/>
        </w:rPr>
      </w:pPr>
    </w:p>
    <w:p w14:paraId="4AC5D9F8">
      <w:pPr>
        <w:pStyle w:val="13"/>
        <w:tabs>
          <w:tab w:val="left" w:pos="5370"/>
        </w:tabs>
        <w:spacing w:line="240" w:lineRule="atLeast"/>
        <w:ind w:firstLine="480" w:firstLineChars="200"/>
        <w:rPr>
          <w:rFonts w:ascii="仿宋" w:hAnsi="仿宋" w:eastAsia="仿宋" w:cs="仿宋"/>
          <w:sz w:val="24"/>
        </w:rPr>
      </w:pPr>
      <w:r>
        <w:rPr>
          <w:rFonts w:hint="eastAsia" w:ascii="仿宋" w:hAnsi="仿宋" w:eastAsia="仿宋" w:cs="仿宋"/>
          <w:sz w:val="24"/>
          <w:szCs w:val="24"/>
        </w:rPr>
        <w:t>供应商(</w:t>
      </w:r>
      <w:r>
        <w:rPr>
          <w:rFonts w:hint="eastAsia" w:ascii="仿宋" w:hAnsi="仿宋" w:eastAsia="仿宋" w:cs="仿宋"/>
          <w:sz w:val="24"/>
          <w:szCs w:val="24"/>
          <w:lang w:eastAsia="zh-CN"/>
        </w:rPr>
        <w:t>电子签章</w:t>
      </w:r>
      <w:r>
        <w:rPr>
          <w:rFonts w:hint="eastAsia" w:ascii="仿宋" w:hAnsi="仿宋" w:eastAsia="仿宋" w:cs="仿宋"/>
          <w:sz w:val="24"/>
          <w:szCs w:val="24"/>
        </w:rPr>
        <w:t>):</w:t>
      </w:r>
      <w:r>
        <w:rPr>
          <w:rFonts w:hint="eastAsia" w:ascii="仿宋" w:hAnsi="仿宋" w:eastAsia="仿宋" w:cs="仿宋"/>
          <w:sz w:val="24"/>
          <w:szCs w:val="24"/>
          <w:u w:val="single"/>
        </w:rPr>
        <w:tab/>
      </w:r>
      <w:r>
        <w:rPr>
          <w:rFonts w:hint="eastAsia" w:ascii="仿宋" w:hAnsi="仿宋" w:eastAsia="仿宋" w:cs="仿宋"/>
          <w:sz w:val="24"/>
        </w:rPr>
        <w:t xml:space="preserve"> </w:t>
      </w:r>
    </w:p>
    <w:p w14:paraId="2149A738">
      <w:pPr>
        <w:pStyle w:val="13"/>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法定代表人（</w:t>
      </w:r>
      <w:r>
        <w:rPr>
          <w:rFonts w:hint="eastAsia" w:ascii="仿宋" w:hAnsi="仿宋" w:eastAsia="仿宋" w:cs="仿宋"/>
          <w:sz w:val="24"/>
          <w:szCs w:val="24"/>
          <w:lang w:val="en-US" w:eastAsia="zh-CN"/>
        </w:rPr>
        <w:t>CA签字</w:t>
      </w:r>
      <w:r>
        <w:rPr>
          <w:rFonts w:hint="eastAsia" w:ascii="仿宋" w:hAnsi="仿宋" w:eastAsia="仿宋" w:cs="仿宋"/>
          <w:sz w:val="24"/>
          <w:szCs w:val="24"/>
        </w:rPr>
        <w:t xml:space="preserve">）：                     </w:t>
      </w:r>
    </w:p>
    <w:p w14:paraId="516D0D64">
      <w:pPr>
        <w:pStyle w:val="13"/>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 xml:space="preserve">身份证号码： </w:t>
      </w:r>
    </w:p>
    <w:p w14:paraId="67B27FDA">
      <w:pPr>
        <w:pStyle w:val="13"/>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 xml:space="preserve">委托代理人（签/章）：                                   </w:t>
      </w:r>
    </w:p>
    <w:p w14:paraId="38743888">
      <w:pPr>
        <w:pStyle w:val="13"/>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 xml:space="preserve">身份证号码：                                   </w:t>
      </w:r>
    </w:p>
    <w:p w14:paraId="5F3B3E62">
      <w:pPr>
        <w:pStyle w:val="13"/>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 xml:space="preserve">详细通讯地址：                                 </w:t>
      </w:r>
    </w:p>
    <w:p w14:paraId="5DD2CC47">
      <w:pPr>
        <w:pStyle w:val="13"/>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 xml:space="preserve">邮 政 编 码 ：                                 </w:t>
      </w:r>
    </w:p>
    <w:p w14:paraId="7EB83C45">
      <w:pPr>
        <w:pStyle w:val="13"/>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 xml:space="preserve">传　　　　真：                                 </w:t>
      </w:r>
    </w:p>
    <w:p w14:paraId="6F045D81">
      <w:pPr>
        <w:pStyle w:val="13"/>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 xml:space="preserve">电　　　　话：                                 </w:t>
      </w:r>
      <w:bookmarkEnd w:id="319"/>
      <w:bookmarkEnd w:id="320"/>
      <w:bookmarkEnd w:id="321"/>
      <w:bookmarkStart w:id="322" w:name="_Toc15480"/>
      <w:bookmarkStart w:id="323" w:name="_Toc8410"/>
      <w:bookmarkStart w:id="324" w:name="_Toc10290"/>
      <w:bookmarkStart w:id="325" w:name="_Toc515647809"/>
      <w:bookmarkStart w:id="326" w:name="_Toc28445"/>
      <w:bookmarkStart w:id="327" w:name="_Toc22138"/>
      <w:bookmarkStart w:id="328" w:name="_Toc11047"/>
      <w:bookmarkStart w:id="329" w:name="_Toc4923"/>
    </w:p>
    <w:p w14:paraId="7B5504E0">
      <w:pPr>
        <w:pStyle w:val="13"/>
        <w:tabs>
          <w:tab w:val="left" w:pos="5580"/>
        </w:tabs>
        <w:spacing w:line="240" w:lineRule="atLeast"/>
        <w:rPr>
          <w:rFonts w:ascii="仿宋" w:hAnsi="仿宋" w:eastAsia="仿宋" w:cs="仿宋"/>
          <w:sz w:val="24"/>
          <w:szCs w:val="24"/>
        </w:rPr>
      </w:pPr>
    </w:p>
    <w:p w14:paraId="1405C117">
      <w:pPr>
        <w:pStyle w:val="13"/>
        <w:tabs>
          <w:tab w:val="left" w:pos="5580"/>
        </w:tabs>
        <w:spacing w:line="240" w:lineRule="atLeast"/>
        <w:rPr>
          <w:rFonts w:ascii="仿宋" w:hAnsi="仿宋" w:eastAsia="仿宋" w:cs="仿宋"/>
          <w:sz w:val="24"/>
          <w:szCs w:val="24"/>
        </w:rPr>
      </w:pPr>
    </w:p>
    <w:p w14:paraId="4415D826">
      <w:pPr>
        <w:pStyle w:val="13"/>
        <w:tabs>
          <w:tab w:val="left" w:pos="5580"/>
        </w:tabs>
        <w:spacing w:line="240" w:lineRule="atLeast"/>
        <w:rPr>
          <w:rFonts w:ascii="仿宋" w:hAnsi="仿宋" w:eastAsia="仿宋" w:cs="仿宋"/>
          <w:sz w:val="24"/>
          <w:szCs w:val="24"/>
        </w:rPr>
      </w:pPr>
    </w:p>
    <w:p w14:paraId="5E962584">
      <w:pPr>
        <w:pStyle w:val="13"/>
        <w:tabs>
          <w:tab w:val="left" w:pos="5580"/>
        </w:tabs>
        <w:spacing w:line="240" w:lineRule="atLeast"/>
        <w:rPr>
          <w:rFonts w:ascii="仿宋" w:hAnsi="仿宋" w:eastAsia="仿宋" w:cs="仿宋"/>
          <w:sz w:val="24"/>
          <w:szCs w:val="24"/>
        </w:rPr>
      </w:pPr>
    </w:p>
    <w:p w14:paraId="536D8020">
      <w:pPr>
        <w:pStyle w:val="13"/>
        <w:tabs>
          <w:tab w:val="left" w:pos="5580"/>
        </w:tabs>
        <w:spacing w:line="240" w:lineRule="atLeast"/>
        <w:rPr>
          <w:rFonts w:ascii="仿宋" w:hAnsi="仿宋" w:eastAsia="仿宋" w:cs="仿宋"/>
          <w:sz w:val="24"/>
          <w:szCs w:val="24"/>
        </w:rPr>
      </w:pPr>
    </w:p>
    <w:p w14:paraId="7A134B55">
      <w:pPr>
        <w:pStyle w:val="13"/>
        <w:tabs>
          <w:tab w:val="left" w:pos="5580"/>
        </w:tabs>
        <w:spacing w:line="240" w:lineRule="atLeast"/>
        <w:rPr>
          <w:rFonts w:ascii="仿宋" w:hAnsi="仿宋" w:eastAsia="仿宋" w:cs="仿宋"/>
          <w:sz w:val="24"/>
          <w:szCs w:val="24"/>
        </w:rPr>
      </w:pPr>
    </w:p>
    <w:p w14:paraId="318629A4">
      <w:pPr>
        <w:pStyle w:val="13"/>
        <w:tabs>
          <w:tab w:val="left" w:pos="5580"/>
        </w:tabs>
        <w:spacing w:line="240" w:lineRule="atLeast"/>
        <w:rPr>
          <w:rFonts w:ascii="仿宋" w:hAnsi="仿宋" w:eastAsia="仿宋" w:cs="仿宋"/>
          <w:sz w:val="24"/>
          <w:szCs w:val="24"/>
        </w:rPr>
      </w:pPr>
    </w:p>
    <w:p w14:paraId="5AD64D87">
      <w:pPr>
        <w:pStyle w:val="13"/>
        <w:tabs>
          <w:tab w:val="left" w:pos="5580"/>
        </w:tabs>
        <w:spacing w:line="240" w:lineRule="atLeast"/>
        <w:rPr>
          <w:rFonts w:ascii="仿宋" w:hAnsi="仿宋" w:eastAsia="仿宋" w:cs="仿宋"/>
          <w:sz w:val="24"/>
          <w:szCs w:val="24"/>
        </w:rPr>
      </w:pPr>
    </w:p>
    <w:p w14:paraId="7F0B83D5">
      <w:pPr>
        <w:pStyle w:val="13"/>
        <w:tabs>
          <w:tab w:val="left" w:pos="5580"/>
        </w:tabs>
        <w:spacing w:line="240" w:lineRule="atLeast"/>
        <w:rPr>
          <w:rFonts w:ascii="仿宋" w:hAnsi="仿宋" w:eastAsia="仿宋" w:cs="仿宋"/>
          <w:sz w:val="24"/>
          <w:szCs w:val="24"/>
        </w:rPr>
      </w:pPr>
    </w:p>
    <w:p w14:paraId="0696EE2A">
      <w:pPr>
        <w:pStyle w:val="13"/>
        <w:tabs>
          <w:tab w:val="left" w:pos="5580"/>
        </w:tabs>
        <w:spacing w:line="240" w:lineRule="atLeast"/>
        <w:rPr>
          <w:rFonts w:ascii="仿宋" w:hAnsi="仿宋" w:eastAsia="仿宋" w:cs="仿宋"/>
          <w:sz w:val="24"/>
          <w:szCs w:val="24"/>
        </w:rPr>
      </w:pPr>
    </w:p>
    <w:p w14:paraId="16CE76ED">
      <w:pPr>
        <w:pStyle w:val="13"/>
        <w:tabs>
          <w:tab w:val="left" w:pos="5580"/>
        </w:tabs>
        <w:spacing w:line="240" w:lineRule="atLeast"/>
        <w:rPr>
          <w:rFonts w:ascii="仿宋" w:hAnsi="仿宋" w:eastAsia="仿宋" w:cs="仿宋"/>
          <w:sz w:val="24"/>
          <w:szCs w:val="24"/>
        </w:rPr>
      </w:pPr>
    </w:p>
    <w:p w14:paraId="12845A0F">
      <w:pPr>
        <w:pStyle w:val="6"/>
        <w:spacing w:before="0" w:line="240" w:lineRule="atLeast"/>
        <w:ind w:left="1080" w:leftChars="257" w:hanging="540"/>
        <w:rPr>
          <w:rFonts w:hint="default" w:ascii="仿宋" w:hAnsi="仿宋" w:eastAsia="仿宋" w:cs="仿宋"/>
          <w:color w:val="auto"/>
          <w:sz w:val="24"/>
          <w:highlight w:val="none"/>
          <w:lang w:val="en-US" w:eastAsia="zh-CN"/>
        </w:rPr>
      </w:pPr>
      <w:bookmarkStart w:id="330" w:name="_Toc21321"/>
      <w:r>
        <w:rPr>
          <w:rFonts w:hint="eastAsia" w:ascii="仿宋" w:hAnsi="仿宋" w:eastAsia="仿宋" w:cs="仿宋"/>
          <w:b/>
          <w:color w:val="auto"/>
          <w:sz w:val="24"/>
          <w:highlight w:val="none"/>
          <w:lang w:val="en-US" w:eastAsia="zh-CN"/>
        </w:rPr>
        <w:t xml:space="preserve">4 、 </w:t>
      </w:r>
      <w:r>
        <w:rPr>
          <w:rFonts w:hint="eastAsia" w:ascii="仿宋" w:hAnsi="仿宋" w:eastAsia="仿宋" w:cs="仿宋"/>
          <w:color w:val="auto"/>
          <w:sz w:val="24"/>
          <w:highlight w:val="none"/>
        </w:rPr>
        <w:t>社会保障资金的缴纳记录</w:t>
      </w:r>
      <w:r>
        <w:rPr>
          <w:rFonts w:hint="eastAsia" w:ascii="仿宋" w:hAnsi="仿宋" w:eastAsia="仿宋" w:cs="仿宋"/>
          <w:color w:val="auto"/>
          <w:sz w:val="24"/>
          <w:highlight w:val="none"/>
          <w:lang w:val="en-US" w:eastAsia="zh-CN"/>
        </w:rPr>
        <w:t>及依法缴纳税收良好记录证明</w:t>
      </w:r>
      <w:bookmarkEnd w:id="330"/>
    </w:p>
    <w:p w14:paraId="6F8E8F63">
      <w:pPr>
        <w:pStyle w:val="13"/>
        <w:tabs>
          <w:tab w:val="left" w:pos="5580"/>
        </w:tabs>
        <w:spacing w:line="240" w:lineRule="atLeast"/>
        <w:ind w:left="1080" w:leftChars="257" w:hanging="540"/>
        <w:jc w:val="center"/>
        <w:rPr>
          <w:rFonts w:hint="eastAsia" w:ascii="仿宋" w:hAnsi="仿宋" w:eastAsia="仿宋" w:cs="仿宋"/>
          <w:b/>
          <w:color w:val="auto"/>
          <w:sz w:val="24"/>
          <w:highlight w:val="none"/>
        </w:rPr>
      </w:pPr>
    </w:p>
    <w:p w14:paraId="141D3D24">
      <w:pPr>
        <w:pStyle w:val="13"/>
        <w:tabs>
          <w:tab w:val="left" w:pos="5580"/>
        </w:tabs>
        <w:spacing w:line="240" w:lineRule="atLeast"/>
        <w:ind w:left="540"/>
        <w:rPr>
          <w:rFonts w:hint="eastAsia" w:ascii="仿宋" w:hAnsi="仿宋" w:eastAsia="仿宋" w:cs="仿宋"/>
          <w:b/>
          <w:color w:val="auto"/>
          <w:sz w:val="24"/>
          <w:highlight w:val="none"/>
        </w:rPr>
      </w:pPr>
    </w:p>
    <w:p w14:paraId="63E441F5">
      <w:pPr>
        <w:pStyle w:val="13"/>
        <w:tabs>
          <w:tab w:val="left" w:pos="5580"/>
        </w:tabs>
        <w:spacing w:line="240" w:lineRule="atLeast"/>
        <w:ind w:left="540"/>
        <w:rPr>
          <w:rFonts w:hint="eastAsia" w:ascii="仿宋" w:hAnsi="仿宋" w:eastAsia="仿宋" w:cs="仿宋"/>
          <w:color w:val="auto"/>
          <w:sz w:val="24"/>
          <w:highlight w:val="none"/>
        </w:rPr>
      </w:pPr>
      <w:r>
        <w:rPr>
          <w:rFonts w:hint="eastAsia" w:ascii="仿宋" w:hAnsi="仿宋" w:eastAsia="仿宋" w:cs="仿宋"/>
          <w:color w:val="auto"/>
          <w:sz w:val="24"/>
          <w:highlight w:val="none"/>
        </w:rPr>
        <w:t>说明：1.按照</w:t>
      </w:r>
      <w:r>
        <w:rPr>
          <w:rFonts w:hint="eastAsia" w:ascii="仿宋" w:hAnsi="仿宋" w:eastAsia="仿宋" w:cs="仿宋"/>
          <w:color w:val="auto"/>
          <w:sz w:val="24"/>
          <w:highlight w:val="none"/>
          <w:u w:val="single"/>
        </w:rPr>
        <w:t>投标人须知资料表</w:t>
      </w:r>
      <w:r>
        <w:rPr>
          <w:rFonts w:hint="eastAsia" w:ascii="仿宋" w:hAnsi="仿宋" w:eastAsia="仿宋" w:cs="仿宋"/>
          <w:color w:val="auto"/>
          <w:sz w:val="24"/>
          <w:highlight w:val="none"/>
        </w:rPr>
        <w:t>中的规定提供复印件。</w:t>
      </w:r>
    </w:p>
    <w:p w14:paraId="6F68E37E">
      <w:pPr>
        <w:pStyle w:val="13"/>
        <w:tabs>
          <w:tab w:val="left" w:pos="5580"/>
        </w:tabs>
        <w:spacing w:line="240" w:lineRule="atLeast"/>
        <w:ind w:left="54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2.复印件上应加盖本单位章。</w:t>
      </w:r>
    </w:p>
    <w:p w14:paraId="6939CC2D">
      <w:pPr>
        <w:pStyle w:val="6"/>
        <w:spacing w:before="0" w:line="240" w:lineRule="atLeast"/>
        <w:ind w:firstLine="1200" w:firstLineChars="500"/>
        <w:jc w:val="both"/>
        <w:rPr>
          <w:rFonts w:hint="eastAsia" w:ascii="仿宋" w:hAnsi="仿宋" w:eastAsia="仿宋" w:cs="仿宋"/>
          <w:b w:val="0"/>
          <w:color w:val="auto"/>
          <w:kern w:val="2"/>
          <w:sz w:val="24"/>
          <w:szCs w:val="20"/>
          <w:highlight w:val="none"/>
          <w:lang w:val="en-US" w:eastAsia="zh-CN" w:bidi="ar-SA"/>
        </w:rPr>
      </w:pPr>
      <w:r>
        <w:rPr>
          <w:rFonts w:hint="eastAsia" w:ascii="仿宋" w:hAnsi="仿宋" w:eastAsia="仿宋" w:cs="仿宋"/>
          <w:b w:val="0"/>
          <w:color w:val="auto"/>
          <w:kern w:val="2"/>
          <w:sz w:val="24"/>
          <w:szCs w:val="20"/>
          <w:highlight w:val="none"/>
          <w:lang w:val="en-US" w:eastAsia="zh-CN" w:bidi="ar-SA"/>
        </w:rPr>
        <w:t>3.如果是联合体投标，联合体各方均需提供上述证明。</w:t>
      </w:r>
    </w:p>
    <w:p w14:paraId="1621C9B3">
      <w:pPr>
        <w:rPr>
          <w:rFonts w:hint="eastAsia" w:ascii="仿宋" w:hAnsi="仿宋" w:eastAsia="仿宋" w:cs="仿宋"/>
          <w:sz w:val="24"/>
          <w:szCs w:val="24"/>
        </w:rPr>
      </w:pPr>
      <w:r>
        <w:rPr>
          <w:rFonts w:hint="eastAsia" w:ascii="仿宋" w:hAnsi="仿宋" w:eastAsia="仿宋" w:cs="仿宋"/>
          <w:sz w:val="24"/>
          <w:szCs w:val="24"/>
        </w:rPr>
        <w:br w:type="page"/>
      </w:r>
    </w:p>
    <w:p w14:paraId="14BF84D4">
      <w:pPr>
        <w:pStyle w:val="6"/>
        <w:spacing w:before="0" w:line="240" w:lineRule="atLeast"/>
        <w:ind w:left="1080" w:leftChars="257" w:hanging="540"/>
        <w:rPr>
          <w:rFonts w:hint="eastAsia" w:ascii="仿宋" w:hAnsi="仿宋" w:eastAsia="仿宋" w:cs="仿宋"/>
          <w:b/>
          <w:color w:val="auto"/>
          <w:sz w:val="24"/>
          <w:highlight w:val="none"/>
        </w:rPr>
      </w:pPr>
      <w:bookmarkStart w:id="331" w:name="_Toc19810"/>
      <w:r>
        <w:rPr>
          <w:rFonts w:hint="eastAsia" w:ascii="仿宋" w:hAnsi="仿宋" w:eastAsia="仿宋" w:cs="仿宋"/>
          <w:b/>
          <w:color w:val="auto"/>
          <w:sz w:val="24"/>
          <w:highlight w:val="none"/>
          <w:lang w:val="en-US" w:eastAsia="zh-CN"/>
        </w:rPr>
        <w:t>5 、 具有良好的商业信誉和健全的财务会计制度的证明文件</w:t>
      </w:r>
      <w:bookmarkEnd w:id="331"/>
    </w:p>
    <w:p w14:paraId="4C0004CC">
      <w:pPr>
        <w:tabs>
          <w:tab w:val="left" w:pos="5580"/>
        </w:tabs>
        <w:spacing w:line="240" w:lineRule="atLeast"/>
        <w:ind w:left="1080" w:leftChars="257" w:hanging="540"/>
        <w:jc w:val="center"/>
        <w:rPr>
          <w:rFonts w:hint="eastAsia" w:ascii="仿宋" w:hAnsi="仿宋" w:eastAsia="仿宋" w:cs="仿宋"/>
          <w:b/>
          <w:color w:val="auto"/>
          <w:sz w:val="24"/>
          <w:highlight w:val="none"/>
        </w:rPr>
      </w:pPr>
    </w:p>
    <w:p w14:paraId="06316DC5">
      <w:pPr>
        <w:tabs>
          <w:tab w:val="left" w:pos="5580"/>
        </w:tabs>
        <w:spacing w:line="240" w:lineRule="atLeast"/>
        <w:ind w:left="1080" w:leftChars="257" w:hanging="540"/>
        <w:rPr>
          <w:rFonts w:hint="eastAsia" w:ascii="仿宋" w:hAnsi="仿宋" w:eastAsia="仿宋" w:cs="仿宋"/>
          <w:color w:val="auto"/>
          <w:sz w:val="24"/>
          <w:highlight w:val="none"/>
        </w:rPr>
      </w:pPr>
    </w:p>
    <w:p w14:paraId="3DA75274">
      <w:pPr>
        <w:tabs>
          <w:tab w:val="left" w:pos="5580"/>
        </w:tabs>
        <w:spacing w:line="240" w:lineRule="atLeas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说明：</w:t>
      </w:r>
    </w:p>
    <w:p w14:paraId="79343937">
      <w:pPr>
        <w:tabs>
          <w:tab w:val="left" w:pos="5580"/>
        </w:tabs>
        <w:spacing w:line="240" w:lineRule="atLeast"/>
        <w:ind w:left="540"/>
        <w:rPr>
          <w:rFonts w:hint="eastAsia" w:ascii="仿宋" w:hAnsi="仿宋" w:eastAsia="仿宋" w:cs="仿宋"/>
          <w:bCs/>
          <w:color w:val="auto"/>
          <w:sz w:val="24"/>
          <w:highlight w:val="none"/>
        </w:rPr>
      </w:pPr>
      <w:r>
        <w:rPr>
          <w:rFonts w:hint="eastAsia" w:ascii="仿宋" w:hAnsi="仿宋" w:eastAsia="仿宋" w:cs="仿宋"/>
          <w:color w:val="auto"/>
          <w:sz w:val="24"/>
          <w:highlight w:val="none"/>
        </w:rPr>
        <w:t>1、如提供本单位上年度经会计师事务所出具的审计报告复印件须加盖</w:t>
      </w:r>
      <w:r>
        <w:rPr>
          <w:rFonts w:hint="eastAsia" w:ascii="仿宋" w:hAnsi="仿宋" w:eastAsia="仿宋" w:cs="仿宋"/>
          <w:bCs/>
          <w:color w:val="auto"/>
          <w:sz w:val="24"/>
          <w:highlight w:val="none"/>
        </w:rPr>
        <w:t>本单位章。</w:t>
      </w:r>
    </w:p>
    <w:p w14:paraId="7D5C6BEA">
      <w:pPr>
        <w:tabs>
          <w:tab w:val="left" w:pos="5580"/>
        </w:tabs>
        <w:spacing w:line="240" w:lineRule="atLeast"/>
        <w:ind w:left="540"/>
        <w:rPr>
          <w:rFonts w:hint="eastAsia" w:ascii="仿宋" w:hAnsi="仿宋" w:eastAsia="仿宋" w:cs="仿宋"/>
          <w:color w:val="auto"/>
          <w:sz w:val="24"/>
          <w:highlight w:val="none"/>
        </w:rPr>
      </w:pPr>
      <w:r>
        <w:rPr>
          <w:rFonts w:hint="eastAsia" w:ascii="仿宋" w:hAnsi="仿宋" w:eastAsia="仿宋" w:cs="仿宋"/>
          <w:color w:val="auto"/>
          <w:sz w:val="24"/>
          <w:highlight w:val="none"/>
        </w:rPr>
        <w:t>2、如提供银行出具的证明文件。银行证明文件可提供原件，也可提供银行在开标日前三个月内开具证明文件的复印件。若提供的是复印件，招标采购单位保留审核原件的权利。银行出具的证明文件应能说明该投标人与银行之间业务往来正常，企业信誉良好等。</w:t>
      </w:r>
    </w:p>
    <w:p w14:paraId="1C3B898B">
      <w:pPr>
        <w:tabs>
          <w:tab w:val="left" w:pos="5580"/>
        </w:tabs>
        <w:spacing w:line="240" w:lineRule="atLeast"/>
        <w:ind w:left="540"/>
        <w:rPr>
          <w:rFonts w:hint="eastAsia" w:ascii="仿宋" w:hAnsi="仿宋" w:eastAsia="仿宋" w:cs="仿宋"/>
          <w:sz w:val="24"/>
          <w:szCs w:val="24"/>
        </w:rPr>
      </w:pPr>
      <w:r>
        <w:rPr>
          <w:rFonts w:hint="eastAsia" w:ascii="仿宋" w:hAnsi="仿宋" w:eastAsia="仿宋" w:cs="仿宋"/>
          <w:color w:val="auto"/>
          <w:sz w:val="24"/>
          <w:highlight w:val="none"/>
        </w:rPr>
        <w:t>3、如果是联合体投标，联合体各方均需提供上述证明。</w:t>
      </w:r>
      <w:r>
        <w:rPr>
          <w:rFonts w:hint="eastAsia" w:ascii="仿宋" w:hAnsi="仿宋" w:eastAsia="仿宋" w:cs="仿宋"/>
          <w:sz w:val="24"/>
          <w:szCs w:val="24"/>
        </w:rPr>
        <w:br w:type="page"/>
      </w:r>
    </w:p>
    <w:p w14:paraId="4853CA80">
      <w:pPr>
        <w:pStyle w:val="6"/>
        <w:spacing w:before="0" w:line="240" w:lineRule="atLeast"/>
        <w:ind w:left="1080" w:leftChars="257" w:hanging="540"/>
        <w:rPr>
          <w:rFonts w:hint="eastAsia" w:ascii="仿宋" w:hAnsi="仿宋" w:eastAsia="仿宋" w:cs="仿宋"/>
          <w:sz w:val="24"/>
          <w:szCs w:val="24"/>
        </w:rPr>
        <w:sectPr>
          <w:footerReference r:id="rId5" w:type="default"/>
          <w:pgSz w:w="11906" w:h="16838"/>
          <w:pgMar w:top="1440" w:right="1797" w:bottom="1440" w:left="1797" w:header="851" w:footer="992" w:gutter="0"/>
          <w:pgBorders>
            <w:top w:val="none" w:sz="0" w:space="0"/>
            <w:left w:val="none" w:sz="0" w:space="0"/>
            <w:bottom w:val="none" w:sz="0" w:space="0"/>
            <w:right w:val="none" w:sz="0" w:space="0"/>
          </w:pgBorders>
          <w:pgNumType w:fmt="decimal" w:start="1"/>
          <w:cols w:space="720" w:num="1"/>
          <w:docGrid w:linePitch="312" w:charSpace="0"/>
        </w:sectPr>
      </w:pPr>
    </w:p>
    <w:p w14:paraId="68DC90C8">
      <w:pPr>
        <w:pStyle w:val="6"/>
        <w:spacing w:before="0" w:line="240" w:lineRule="atLeast"/>
        <w:ind w:left="1079" w:leftChars="257" w:hanging="540"/>
        <w:rPr>
          <w:rFonts w:hint="eastAsia" w:ascii="仿宋" w:hAnsi="仿宋" w:eastAsia="仿宋" w:cs="仿宋"/>
          <w:color w:val="auto"/>
          <w:sz w:val="24"/>
          <w:highlight w:val="none"/>
        </w:rPr>
      </w:pPr>
      <w:bookmarkStart w:id="332" w:name="_Toc10870"/>
      <w:bookmarkStart w:id="333" w:name="_Toc13997"/>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 xml:space="preserve"> 投标保证金缴纳凭证或投标担保函</w:t>
      </w:r>
      <w:bookmarkEnd w:id="332"/>
      <w:bookmarkEnd w:id="333"/>
    </w:p>
    <w:p w14:paraId="77A5AE05">
      <w:pPr>
        <w:tabs>
          <w:tab w:val="left" w:pos="5580"/>
        </w:tabs>
        <w:spacing w:line="240" w:lineRule="atLeast"/>
        <w:ind w:left="540"/>
        <w:rPr>
          <w:rFonts w:hint="eastAsia" w:ascii="仿宋" w:hAnsi="仿宋" w:eastAsia="仿宋" w:cs="仿宋"/>
          <w:color w:val="auto"/>
          <w:sz w:val="24"/>
          <w:highlight w:val="none"/>
        </w:rPr>
      </w:pPr>
      <w:bookmarkStart w:id="334" w:name="_Toc494296665"/>
      <w:bookmarkStart w:id="335" w:name="_Toc494296991"/>
      <w:r>
        <w:rPr>
          <w:rFonts w:hint="eastAsia" w:ascii="仿宋" w:hAnsi="仿宋" w:eastAsia="仿宋" w:cs="仿宋"/>
          <w:color w:val="auto"/>
          <w:sz w:val="24"/>
          <w:highlight w:val="none"/>
        </w:rPr>
        <w:t>投标人可将本项目投标保证金支付的汇款凭证、支票、汇票</w:t>
      </w:r>
      <w:r>
        <w:rPr>
          <w:rFonts w:hint="eastAsia" w:ascii="仿宋" w:hAnsi="仿宋" w:eastAsia="仿宋" w:cs="仿宋"/>
          <w:color w:val="auto"/>
          <w:sz w:val="24"/>
          <w:highlight w:val="none"/>
          <w:lang w:val="en-US" w:eastAsia="zh-CN"/>
        </w:rPr>
        <w:t>或</w:t>
      </w:r>
      <w:r>
        <w:rPr>
          <w:rFonts w:hint="eastAsia" w:ascii="仿宋" w:hAnsi="仿宋" w:eastAsia="仿宋" w:cs="仿宋"/>
          <w:color w:val="auto"/>
          <w:sz w:val="24"/>
          <w:highlight w:val="none"/>
        </w:rPr>
        <w:t>保证金收据的复印件作为缴纳凭证装订在本部分，复印件上应加盖本单位章；使用银行保函等其他投标担保函的，应将担保函正本，装订在本部分正本中；如采用政府采购信用担保形式的，应使用（投标文件格式三）,将原件装订在本部分正本中。</w:t>
      </w:r>
      <w:bookmarkEnd w:id="334"/>
      <w:bookmarkEnd w:id="335"/>
    </w:p>
    <w:p w14:paraId="53C75CBB">
      <w:pPr>
        <w:spacing w:line="240" w:lineRule="atLeast"/>
        <w:ind w:left="836" w:leftChars="104" w:hanging="618" w:firstLineChars="0"/>
        <w:jc w:val="center"/>
        <w:rPr>
          <w:rFonts w:hint="eastAsia" w:ascii="仿宋" w:hAnsi="仿宋" w:eastAsia="仿宋" w:cs="仿宋"/>
          <w:color w:val="auto"/>
          <w:sz w:val="24"/>
          <w:highlight w:val="none"/>
        </w:rPr>
      </w:pPr>
    </w:p>
    <w:p w14:paraId="47EE7B1D">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政府采购投标担保函 （项目用）（投标文件格式三）</w:t>
      </w:r>
    </w:p>
    <w:p w14:paraId="5A7E6FBF">
      <w:pPr>
        <w:ind w:firstLine="6720" w:firstLineChars="3200"/>
        <w:rPr>
          <w:rFonts w:hint="eastAsia" w:ascii="仿宋" w:hAnsi="仿宋" w:eastAsia="仿宋" w:cs="仿宋"/>
          <w:color w:val="auto"/>
          <w:highlight w:val="none"/>
        </w:rPr>
      </w:pPr>
    </w:p>
    <w:p w14:paraId="2E823191">
      <w:pPr>
        <w:ind w:firstLine="7040" w:firstLineChars="320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编号：</w:t>
      </w:r>
    </w:p>
    <w:p w14:paraId="06B26FC3">
      <w:pPr>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 xml:space="preserve"> </w:t>
      </w:r>
    </w:p>
    <w:p w14:paraId="791B16A3">
      <w:pPr>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u w:val="single"/>
        </w:rPr>
        <w:t xml:space="preserve">                  </w:t>
      </w:r>
      <w:r>
        <w:rPr>
          <w:rFonts w:hint="eastAsia" w:ascii="仿宋" w:hAnsi="仿宋" w:eastAsia="仿宋" w:cs="仿宋"/>
          <w:color w:val="auto"/>
          <w:sz w:val="22"/>
          <w:szCs w:val="28"/>
          <w:highlight w:val="none"/>
        </w:rPr>
        <w:t>（采购人或采购代理机构）：</w:t>
      </w:r>
    </w:p>
    <w:p w14:paraId="744DFBC0">
      <w:pPr>
        <w:rPr>
          <w:rFonts w:hint="eastAsia" w:ascii="仿宋" w:hAnsi="仿宋" w:eastAsia="仿宋" w:cs="仿宋"/>
          <w:color w:val="auto"/>
          <w:sz w:val="22"/>
          <w:szCs w:val="28"/>
          <w:highlight w:val="none"/>
        </w:rPr>
      </w:pPr>
    </w:p>
    <w:p w14:paraId="2AFD04E2">
      <w:pPr>
        <w:ind w:firstLine="440" w:firstLineChars="20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鉴于</w:t>
      </w:r>
      <w:r>
        <w:rPr>
          <w:rFonts w:hint="eastAsia" w:ascii="仿宋" w:hAnsi="仿宋" w:eastAsia="仿宋" w:cs="仿宋"/>
          <w:color w:val="auto"/>
          <w:sz w:val="22"/>
          <w:szCs w:val="28"/>
          <w:highlight w:val="none"/>
          <w:u w:val="single"/>
        </w:rPr>
        <w:t xml:space="preserve">               </w:t>
      </w:r>
      <w:r>
        <w:rPr>
          <w:rFonts w:hint="eastAsia" w:ascii="仿宋" w:hAnsi="仿宋" w:eastAsia="仿宋" w:cs="仿宋"/>
          <w:color w:val="auto"/>
          <w:sz w:val="22"/>
          <w:szCs w:val="28"/>
          <w:highlight w:val="none"/>
        </w:rPr>
        <w:t>（以下简称“投标人”）拟参加编号为</w:t>
      </w:r>
      <w:r>
        <w:rPr>
          <w:rFonts w:hint="eastAsia" w:ascii="仿宋" w:hAnsi="仿宋" w:eastAsia="仿宋" w:cs="仿宋"/>
          <w:color w:val="auto"/>
          <w:sz w:val="22"/>
          <w:szCs w:val="28"/>
          <w:highlight w:val="none"/>
          <w:u w:val="single"/>
        </w:rPr>
        <w:t xml:space="preserve">            </w:t>
      </w:r>
      <w:r>
        <w:rPr>
          <w:rFonts w:hint="eastAsia" w:ascii="仿宋" w:hAnsi="仿宋" w:eastAsia="仿宋" w:cs="仿宋"/>
          <w:color w:val="auto"/>
          <w:sz w:val="22"/>
          <w:szCs w:val="28"/>
          <w:highlight w:val="none"/>
        </w:rPr>
        <w:t>的</w:t>
      </w:r>
      <w:r>
        <w:rPr>
          <w:rFonts w:hint="eastAsia" w:ascii="仿宋" w:hAnsi="仿宋" w:eastAsia="仿宋" w:cs="仿宋"/>
          <w:color w:val="auto"/>
          <w:sz w:val="22"/>
          <w:szCs w:val="28"/>
          <w:highlight w:val="none"/>
          <w:u w:val="single"/>
        </w:rPr>
        <w:t xml:space="preserve">           </w:t>
      </w:r>
      <w:r>
        <w:rPr>
          <w:rFonts w:hint="eastAsia" w:ascii="仿宋" w:hAnsi="仿宋" w:eastAsia="仿宋" w:cs="仿宋"/>
          <w:color w:val="auto"/>
          <w:sz w:val="22"/>
          <w:szCs w:val="28"/>
          <w:highlight w:val="none"/>
        </w:rPr>
        <w:t xml:space="preserve">                            </w:t>
      </w:r>
    </w:p>
    <w:p w14:paraId="36CCEEC7">
      <w:pPr>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项目（以下简称“本项目”）投标，根据本项目招标文件，供应商参加投标时应向你方交纳投标保证金，且可以投标担保函的形式交纳投标保证金。应供应商的申请，我方以保证的方式向你方提供如下投标保证金担保：</w:t>
      </w:r>
    </w:p>
    <w:p w14:paraId="6172B2A1">
      <w:pPr>
        <w:ind w:firstLine="440" w:firstLineChars="20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一、保证责任的情形及保证金额</w:t>
      </w:r>
    </w:p>
    <w:p w14:paraId="64771406">
      <w:pPr>
        <w:ind w:firstLine="220" w:firstLineChars="10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（一）在投标人出现下列情形之一时，我方承担保证责任：</w:t>
      </w:r>
    </w:p>
    <w:p w14:paraId="7163163C">
      <w:pPr>
        <w:ind w:firstLine="440" w:firstLineChars="20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1．中标后投标人无正当理由不与采购人或者采购代理机构签订《政府采购合同》；</w:t>
      </w:r>
    </w:p>
    <w:p w14:paraId="04DDC8FE">
      <w:pPr>
        <w:ind w:firstLine="440" w:firstLineChars="20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2．招标文件规定的投标人应当缴纳保证金的其他情形。</w:t>
      </w:r>
    </w:p>
    <w:p w14:paraId="256AE703">
      <w:pPr>
        <w:ind w:firstLine="220" w:firstLineChars="10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（二）我方承担保证责任的最高金额为人民币</w:t>
      </w:r>
      <w:r>
        <w:rPr>
          <w:rFonts w:hint="eastAsia" w:ascii="仿宋" w:hAnsi="仿宋" w:eastAsia="仿宋" w:cs="仿宋"/>
          <w:color w:val="auto"/>
          <w:sz w:val="22"/>
          <w:szCs w:val="28"/>
          <w:highlight w:val="none"/>
          <w:u w:val="single"/>
        </w:rPr>
        <w:t xml:space="preserve">      </w:t>
      </w:r>
      <w:r>
        <w:rPr>
          <w:rFonts w:hint="eastAsia" w:ascii="仿宋" w:hAnsi="仿宋" w:eastAsia="仿宋" w:cs="仿宋"/>
          <w:color w:val="auto"/>
          <w:sz w:val="22"/>
          <w:szCs w:val="28"/>
          <w:highlight w:val="none"/>
        </w:rPr>
        <w:t>元（大写</w:t>
      </w:r>
      <w:r>
        <w:rPr>
          <w:rFonts w:hint="eastAsia" w:ascii="仿宋" w:hAnsi="仿宋" w:eastAsia="仿宋" w:cs="仿宋"/>
          <w:color w:val="auto"/>
          <w:sz w:val="22"/>
          <w:szCs w:val="28"/>
          <w:highlight w:val="none"/>
          <w:u w:val="single"/>
        </w:rPr>
        <w:t xml:space="preserve">            </w:t>
      </w:r>
      <w:r>
        <w:rPr>
          <w:rFonts w:hint="eastAsia" w:ascii="仿宋" w:hAnsi="仿宋" w:eastAsia="仿宋" w:cs="仿宋"/>
          <w:color w:val="auto"/>
          <w:sz w:val="22"/>
          <w:szCs w:val="28"/>
          <w:highlight w:val="none"/>
        </w:rPr>
        <w:t>），即本项目的投标保证金金额。</w:t>
      </w:r>
    </w:p>
    <w:p w14:paraId="6682AB78">
      <w:pPr>
        <w:ind w:firstLine="440" w:firstLineChars="20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二、保证的方式及保证期间</w:t>
      </w:r>
    </w:p>
    <w:p w14:paraId="279CCBBB">
      <w:pPr>
        <w:ind w:firstLine="440" w:firstLineChars="20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我方保证的方式为：连带责任保证。</w:t>
      </w:r>
    </w:p>
    <w:p w14:paraId="25514331">
      <w:pPr>
        <w:ind w:firstLine="440" w:firstLineChars="20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我方的保证期间为：自本保函生效之日起</w:t>
      </w:r>
      <w:r>
        <w:rPr>
          <w:rFonts w:hint="eastAsia" w:ascii="仿宋" w:hAnsi="仿宋" w:eastAsia="仿宋" w:cs="仿宋"/>
          <w:color w:val="auto"/>
          <w:sz w:val="22"/>
          <w:szCs w:val="28"/>
          <w:highlight w:val="none"/>
          <w:u w:val="single"/>
        </w:rPr>
        <w:t xml:space="preserve">    </w:t>
      </w:r>
      <w:r>
        <w:rPr>
          <w:rFonts w:hint="eastAsia" w:ascii="仿宋" w:hAnsi="仿宋" w:eastAsia="仿宋" w:cs="仿宋"/>
          <w:color w:val="auto"/>
          <w:sz w:val="22"/>
          <w:szCs w:val="28"/>
          <w:highlight w:val="none"/>
        </w:rPr>
        <w:t>个月止。</w:t>
      </w:r>
    </w:p>
    <w:p w14:paraId="5F6F48AF">
      <w:pPr>
        <w:ind w:firstLine="440" w:firstLineChars="20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三、承担保证责任的程序</w:t>
      </w:r>
    </w:p>
    <w:p w14:paraId="703A9A94">
      <w:pPr>
        <w:ind w:firstLine="440" w:firstLineChars="20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1．你方要求我方承担保证责任的，应在本保函保证期间内向我方发出书面索赔通知。索赔通知应写明要求索赔的金额，支付款项应到达的账号，并附有证明投标人发生我方应承担保证责任情形的事实材料。</w:t>
      </w:r>
    </w:p>
    <w:p w14:paraId="42DE9A64">
      <w:pPr>
        <w:ind w:firstLine="440" w:firstLineChars="20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2．我方在收到索赔通知及相关证明材料后，在</w:t>
      </w:r>
      <w:r>
        <w:rPr>
          <w:rFonts w:hint="eastAsia" w:ascii="仿宋" w:hAnsi="仿宋" w:eastAsia="仿宋" w:cs="仿宋"/>
          <w:color w:val="auto"/>
          <w:sz w:val="22"/>
          <w:szCs w:val="28"/>
          <w:highlight w:val="none"/>
          <w:u w:val="single"/>
        </w:rPr>
        <w:t>　　　</w:t>
      </w:r>
      <w:r>
        <w:rPr>
          <w:rFonts w:hint="eastAsia" w:ascii="仿宋" w:hAnsi="仿宋" w:eastAsia="仿宋" w:cs="仿宋"/>
          <w:color w:val="auto"/>
          <w:sz w:val="22"/>
          <w:szCs w:val="28"/>
          <w:highlight w:val="none"/>
        </w:rPr>
        <w:t>个工作日内进行审查，符合应承担保证责任情形的，我方应按照你方的要求代投标人向你方支付投标保证金。</w:t>
      </w:r>
    </w:p>
    <w:p w14:paraId="2760554F">
      <w:pPr>
        <w:ind w:firstLine="440" w:firstLineChars="20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四、保证责任的终止</w:t>
      </w:r>
    </w:p>
    <w:p w14:paraId="42959A82">
      <w:pPr>
        <w:ind w:firstLine="440" w:firstLineChars="20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1．保证期间届满你方未向我方书面主张保证责任的，自保证期间届满次日起，我方保证责任自动终止。</w:t>
      </w:r>
    </w:p>
    <w:p w14:paraId="6E7BA1A1">
      <w:pPr>
        <w:ind w:firstLine="440" w:firstLineChars="20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2．我方按照本保函向你贵方履行了保证责任后，自我方向你贵方支付款项（支付款项从我方账户划出）之日起，保证责任终止。</w:t>
      </w:r>
    </w:p>
    <w:p w14:paraId="0C3EC893">
      <w:pPr>
        <w:ind w:firstLine="440" w:firstLineChars="20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3．按照法律法规的规定或出现我方保证责任终止的其它情形的，我方在本保函项下的保证责任亦终止。</w:t>
      </w:r>
    </w:p>
    <w:p w14:paraId="7F222760">
      <w:pPr>
        <w:ind w:firstLine="440" w:firstLineChars="20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五、免责条款</w:t>
      </w:r>
    </w:p>
    <w:p w14:paraId="46C29964">
      <w:pPr>
        <w:ind w:firstLine="440" w:firstLineChars="20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1．依照法律规定或你方与投标人的另行约定，全部或者部分免除投标人投标保证金义务时，我方亦免除相应的保证责任。</w:t>
      </w:r>
    </w:p>
    <w:p w14:paraId="2EE472E5">
      <w:pPr>
        <w:ind w:firstLine="440" w:firstLineChars="20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2．因你方原因致使投标人发生本保函第一条第（一）款约定情形的，我方不承担保证责任。</w:t>
      </w:r>
    </w:p>
    <w:p w14:paraId="704E2ED5">
      <w:pPr>
        <w:ind w:firstLine="440" w:firstLineChars="20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3．因不可抗力造成投标人发生本保函第一条约定情形的，我方不承担保证责任。</w:t>
      </w:r>
    </w:p>
    <w:p w14:paraId="4A3BB929">
      <w:pPr>
        <w:ind w:firstLine="440" w:firstLineChars="20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4．你方或其他有权机关对招标文件进行任何澄清或修改，加重我方保证责任的，我方对加重部分不承担保证责任，但该澄清或修改经我方事先书面同意的除外。</w:t>
      </w:r>
    </w:p>
    <w:p w14:paraId="0D41BDC2">
      <w:pPr>
        <w:ind w:firstLine="440" w:firstLineChars="20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六、争议的解决</w:t>
      </w:r>
    </w:p>
    <w:p w14:paraId="735DF593">
      <w:pPr>
        <w:ind w:firstLine="440" w:firstLineChars="20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因本保函发生的纠纷，由你我双方协商解决，协商不成的，通过诉讼程序解决，诉讼管辖地法院为</w:t>
      </w:r>
      <w:r>
        <w:rPr>
          <w:rFonts w:hint="eastAsia" w:ascii="仿宋" w:hAnsi="仿宋" w:eastAsia="仿宋" w:cs="仿宋"/>
          <w:color w:val="auto"/>
          <w:sz w:val="22"/>
          <w:szCs w:val="28"/>
          <w:highlight w:val="none"/>
          <w:u w:val="single"/>
        </w:rPr>
        <w:t xml:space="preserve">          </w:t>
      </w:r>
      <w:r>
        <w:rPr>
          <w:rFonts w:hint="eastAsia" w:ascii="仿宋" w:hAnsi="仿宋" w:eastAsia="仿宋" w:cs="仿宋"/>
          <w:color w:val="auto"/>
          <w:sz w:val="22"/>
          <w:szCs w:val="28"/>
          <w:highlight w:val="none"/>
        </w:rPr>
        <w:t>法院。</w:t>
      </w:r>
    </w:p>
    <w:p w14:paraId="31380EA1">
      <w:pPr>
        <w:ind w:firstLine="440" w:firstLineChars="20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七、保函的生效</w:t>
      </w:r>
    </w:p>
    <w:p w14:paraId="26E0547E">
      <w:pPr>
        <w:ind w:firstLine="440" w:firstLineChars="20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本保函自我方加盖公章之日起生效。</w:t>
      </w:r>
    </w:p>
    <w:p w14:paraId="178F7D77">
      <w:pPr>
        <w:ind w:firstLine="5830" w:firstLineChars="2650"/>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保证人：（公章）</w:t>
      </w:r>
    </w:p>
    <w:p w14:paraId="6EE19C21">
      <w:pPr>
        <w:rPr>
          <w:rFonts w:hint="eastAsia" w:ascii="仿宋" w:hAnsi="仿宋" w:eastAsia="仿宋" w:cs="仿宋"/>
          <w:color w:val="auto"/>
          <w:sz w:val="22"/>
          <w:szCs w:val="28"/>
          <w:highlight w:val="none"/>
        </w:rPr>
      </w:pPr>
      <w:r>
        <w:rPr>
          <w:rFonts w:hint="eastAsia" w:ascii="仿宋" w:hAnsi="仿宋" w:eastAsia="仿宋" w:cs="仿宋"/>
          <w:color w:val="auto"/>
          <w:sz w:val="22"/>
          <w:szCs w:val="28"/>
          <w:highlight w:val="none"/>
        </w:rPr>
        <w:t xml:space="preserve">                               </w:t>
      </w:r>
    </w:p>
    <w:p w14:paraId="6678E5EB">
      <w:pPr>
        <w:ind w:firstLine="6050" w:firstLineChars="2750"/>
        <w:rPr>
          <w:rFonts w:hint="eastAsia" w:ascii="仿宋" w:hAnsi="仿宋" w:eastAsia="仿宋" w:cs="仿宋"/>
          <w:color w:val="auto"/>
          <w:sz w:val="22"/>
          <w:szCs w:val="28"/>
          <w:highlight w:val="none"/>
          <w:lang w:val="en-US" w:eastAsia="zh-CN"/>
        </w:rPr>
        <w:sectPr>
          <w:footerReference r:id="rId6" w:type="default"/>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type="linesAndChars" w:linePitch="312" w:charSpace="0"/>
        </w:sectPr>
      </w:pPr>
      <w:r>
        <w:rPr>
          <w:rFonts w:hint="eastAsia" w:ascii="仿宋" w:hAnsi="仿宋" w:eastAsia="仿宋" w:cs="仿宋"/>
          <w:color w:val="auto"/>
          <w:sz w:val="22"/>
          <w:szCs w:val="28"/>
          <w:highlight w:val="none"/>
        </w:rPr>
        <w:t xml:space="preserve">年     月      </w:t>
      </w:r>
      <w:r>
        <w:rPr>
          <w:rFonts w:hint="eastAsia" w:ascii="仿宋" w:hAnsi="仿宋" w:eastAsia="仿宋" w:cs="仿宋"/>
          <w:color w:val="auto"/>
          <w:sz w:val="22"/>
          <w:szCs w:val="28"/>
          <w:highlight w:val="none"/>
          <w:lang w:val="en-US" w:eastAsia="zh-CN"/>
        </w:rPr>
        <w:t>日</w:t>
      </w:r>
    </w:p>
    <w:p w14:paraId="16403144">
      <w:pPr>
        <w:pStyle w:val="6"/>
        <w:spacing w:before="0" w:line="240" w:lineRule="atLeast"/>
        <w:jc w:val="both"/>
        <w:rPr>
          <w:rFonts w:hint="eastAsia" w:ascii="仿宋" w:hAnsi="仿宋" w:eastAsia="仿宋" w:cs="仿宋"/>
          <w:color w:val="auto"/>
          <w:sz w:val="24"/>
          <w:highlight w:val="none"/>
        </w:rPr>
      </w:pPr>
      <w:bookmarkStart w:id="336" w:name="_Toc24428"/>
      <w:bookmarkStart w:id="337" w:name="_Toc515647811"/>
      <w:bookmarkStart w:id="338" w:name="_Toc2103"/>
      <w:bookmarkStart w:id="339" w:name="_Toc24985"/>
      <w:r>
        <w:rPr>
          <w:rFonts w:hint="eastAsia" w:ascii="仿宋" w:hAnsi="仿宋" w:eastAsia="仿宋" w:cs="仿宋"/>
          <w:color w:val="auto"/>
          <w:sz w:val="24"/>
          <w:highlight w:val="none"/>
        </w:rPr>
        <w:t xml:space="preserve">7 </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 xml:space="preserve"> 参加政府采购活动前3年内</w:t>
      </w:r>
      <w:bookmarkEnd w:id="336"/>
      <w:bookmarkEnd w:id="337"/>
      <w:bookmarkStart w:id="340" w:name="_Toc515647812"/>
      <w:bookmarkStart w:id="341" w:name="_Toc1137"/>
      <w:bookmarkStart w:id="342" w:name="_Toc6008"/>
      <w:r>
        <w:rPr>
          <w:rFonts w:hint="eastAsia" w:ascii="仿宋" w:hAnsi="仿宋" w:eastAsia="仿宋" w:cs="仿宋"/>
          <w:color w:val="auto"/>
          <w:sz w:val="24"/>
          <w:highlight w:val="none"/>
        </w:rPr>
        <w:t>在经营活动中没有重大违法记录的书面声明</w:t>
      </w:r>
      <w:bookmarkEnd w:id="338"/>
      <w:bookmarkEnd w:id="339"/>
      <w:bookmarkEnd w:id="340"/>
      <w:bookmarkEnd w:id="341"/>
      <w:bookmarkEnd w:id="342"/>
    </w:p>
    <w:p w14:paraId="3F250ACD">
      <w:pPr>
        <w:pStyle w:val="13"/>
        <w:tabs>
          <w:tab w:val="left" w:pos="5580"/>
        </w:tabs>
        <w:spacing w:line="240" w:lineRule="atLeast"/>
        <w:ind w:left="1080" w:leftChars="257" w:hanging="540"/>
        <w:jc w:val="center"/>
        <w:rPr>
          <w:rFonts w:hint="eastAsia" w:ascii="仿宋" w:hAnsi="仿宋" w:eastAsia="仿宋" w:cs="仿宋"/>
          <w:b/>
          <w:color w:val="auto"/>
          <w:sz w:val="24"/>
          <w:highlight w:val="none"/>
        </w:rPr>
      </w:pPr>
    </w:p>
    <w:p w14:paraId="5575AE28">
      <w:pPr>
        <w:pStyle w:val="13"/>
        <w:tabs>
          <w:tab w:val="left" w:pos="5580"/>
        </w:tabs>
        <w:spacing w:line="240" w:lineRule="atLeast"/>
        <w:ind w:left="1080" w:leftChars="257" w:hanging="540"/>
        <w:rPr>
          <w:rFonts w:hint="eastAsia" w:ascii="仿宋" w:hAnsi="仿宋" w:eastAsia="仿宋" w:cs="仿宋"/>
          <w:color w:val="auto"/>
          <w:sz w:val="24"/>
          <w:highlight w:val="none"/>
        </w:rPr>
      </w:pPr>
    </w:p>
    <w:p w14:paraId="1A0C3B02">
      <w:pPr>
        <w:pStyle w:val="13"/>
        <w:tabs>
          <w:tab w:val="left" w:pos="5580"/>
        </w:tabs>
        <w:spacing w:line="240" w:lineRule="atLeast"/>
        <w:ind w:left="1080" w:leftChars="257" w:hanging="540"/>
        <w:rPr>
          <w:rFonts w:hint="eastAsia" w:ascii="仿宋" w:hAnsi="仿宋" w:eastAsia="仿宋" w:cs="仿宋"/>
          <w:color w:val="auto"/>
          <w:sz w:val="24"/>
          <w:highlight w:val="none"/>
        </w:rPr>
      </w:pPr>
    </w:p>
    <w:p w14:paraId="5FFC19E0">
      <w:pPr>
        <w:pStyle w:val="13"/>
        <w:tabs>
          <w:tab w:val="left" w:pos="5580"/>
        </w:tabs>
        <w:spacing w:line="240" w:lineRule="atLeast"/>
        <w:ind w:left="1080" w:leftChars="257" w:hanging="54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说明：1.投标人应按照相关法规规定如实作出说明。</w:t>
      </w:r>
    </w:p>
    <w:p w14:paraId="3DD51B06">
      <w:pPr>
        <w:pStyle w:val="13"/>
        <w:tabs>
          <w:tab w:val="left" w:pos="5580"/>
        </w:tabs>
        <w:spacing w:line="240" w:lineRule="atLeast"/>
        <w:ind w:left="1437" w:leftChars="570" w:hanging="240" w:hangingChars="1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按照招标文件的规定加盖单位章（自然人投标的无需盖章，需要签字）。</w:t>
      </w:r>
    </w:p>
    <w:p w14:paraId="7F638436">
      <w:pPr>
        <w:jc w:val="left"/>
        <w:rPr>
          <w:rFonts w:hint="eastAsia" w:ascii="仿宋" w:hAnsi="仿宋" w:eastAsia="仿宋" w:cs="仿宋"/>
          <w:sz w:val="24"/>
          <w:szCs w:val="24"/>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3.如果是联合体投标，联合体各方均需提供上述证明。</w:t>
      </w:r>
      <w:r>
        <w:rPr>
          <w:rFonts w:hint="eastAsia" w:ascii="仿宋" w:hAnsi="仿宋" w:eastAsia="仿宋" w:cs="仿宋"/>
          <w:sz w:val="24"/>
          <w:szCs w:val="24"/>
        </w:rPr>
        <w:br w:type="page"/>
      </w:r>
    </w:p>
    <w:p w14:paraId="18A60CCA">
      <w:pPr>
        <w:pStyle w:val="6"/>
        <w:spacing w:before="0"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8、具有履行合同所必需的设备和专业技术能力的证明材料；</w:t>
      </w:r>
    </w:p>
    <w:p w14:paraId="373F9B87">
      <w:pPr>
        <w:pStyle w:val="9"/>
        <w:ind w:firstLine="0"/>
      </w:pPr>
    </w:p>
    <w:p w14:paraId="497640E4">
      <w:pPr>
        <w:pStyle w:val="6"/>
        <w:spacing w:before="0"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8.1具备履行合同所必需的设备和专业技术能力的承诺</w:t>
      </w:r>
    </w:p>
    <w:p w14:paraId="7AD67C13">
      <w:pPr>
        <w:pStyle w:val="13"/>
        <w:tabs>
          <w:tab w:val="left" w:pos="5580"/>
        </w:tabs>
        <w:spacing w:line="360" w:lineRule="auto"/>
        <w:rPr>
          <w:rFonts w:ascii="仿宋_GB2312" w:hAnsi="宋体" w:eastAsia="仿宋_GB2312"/>
          <w:kern w:val="0"/>
          <w:sz w:val="24"/>
          <w:u w:val="single"/>
        </w:rPr>
      </w:pPr>
      <w:r>
        <w:rPr>
          <w:rFonts w:hint="eastAsia" w:ascii="仿宋_GB2312" w:hAnsi="宋体" w:eastAsia="仿宋_GB2312"/>
          <w:kern w:val="0"/>
          <w:sz w:val="24"/>
        </w:rPr>
        <w:t>致：</w:t>
      </w:r>
      <w:r>
        <w:rPr>
          <w:rFonts w:hint="eastAsia" w:ascii="仿宋_GB2312" w:hAnsi="宋体" w:eastAsia="仿宋_GB2312"/>
          <w:kern w:val="0"/>
          <w:sz w:val="24"/>
          <w:u w:val="single"/>
        </w:rPr>
        <w:t xml:space="preserve">                   采购人</w:t>
      </w:r>
    </w:p>
    <w:p w14:paraId="4CC32674">
      <w:pPr>
        <w:pStyle w:val="13"/>
        <w:tabs>
          <w:tab w:val="left" w:pos="5580"/>
        </w:tabs>
        <w:spacing w:line="360" w:lineRule="auto"/>
        <w:ind w:firstLine="480" w:firstLineChars="200"/>
        <w:rPr>
          <w:rFonts w:ascii="仿宋_GB2312" w:hAnsi="宋体" w:eastAsia="仿宋_GB2312"/>
          <w:kern w:val="0"/>
          <w:sz w:val="24"/>
        </w:rPr>
      </w:pPr>
      <w:r>
        <w:rPr>
          <w:rFonts w:hint="eastAsia" w:ascii="仿宋_GB2312" w:hAnsi="宋体" w:eastAsia="仿宋_GB2312"/>
          <w:kern w:val="0"/>
          <w:sz w:val="24"/>
        </w:rPr>
        <w:t>我公司（</w:t>
      </w:r>
      <w:r>
        <w:rPr>
          <w:rFonts w:hint="eastAsia" w:ascii="仿宋_GB2312" w:hAnsi="宋体" w:eastAsia="仿宋_GB2312"/>
          <w:kern w:val="0"/>
          <w:sz w:val="24"/>
          <w:u w:val="single"/>
        </w:rPr>
        <w:t xml:space="preserve">                     公司</w:t>
      </w:r>
      <w:r>
        <w:rPr>
          <w:rFonts w:hint="eastAsia" w:ascii="仿宋_GB2312" w:hAnsi="宋体" w:eastAsia="仿宋_GB2312"/>
          <w:kern w:val="0"/>
          <w:sz w:val="24"/>
        </w:rPr>
        <w:t>）参加贵方组织的</w:t>
      </w:r>
      <w:r>
        <w:rPr>
          <w:rFonts w:hint="eastAsia" w:ascii="仿宋_GB2312" w:hAnsi="宋体" w:eastAsia="仿宋_GB2312"/>
          <w:kern w:val="0"/>
          <w:sz w:val="24"/>
          <w:u w:val="single"/>
        </w:rPr>
        <w:t xml:space="preserve">               项目</w:t>
      </w:r>
      <w:r>
        <w:rPr>
          <w:rFonts w:hint="eastAsia" w:ascii="仿宋_GB2312" w:hAnsi="宋体" w:eastAsia="仿宋_GB2312"/>
          <w:kern w:val="0"/>
          <w:sz w:val="24"/>
        </w:rPr>
        <w:t>（项目编号：</w:t>
      </w:r>
      <w:r>
        <w:rPr>
          <w:rFonts w:hint="eastAsia" w:ascii="仿宋_GB2312" w:hAnsi="宋体" w:eastAsia="仿宋_GB2312"/>
          <w:kern w:val="0"/>
          <w:sz w:val="24"/>
          <w:u w:val="single"/>
        </w:rPr>
        <w:t xml:space="preserve">                      </w:t>
      </w:r>
      <w:r>
        <w:rPr>
          <w:rFonts w:hint="eastAsia" w:ascii="仿宋_GB2312" w:hAnsi="宋体" w:eastAsia="仿宋_GB2312"/>
          <w:kern w:val="0"/>
          <w:sz w:val="24"/>
        </w:rPr>
        <w:t>）的投标活动，如我方获得中标资格，我方保证具备履行合同所必须的设备和专业技术能力，并承诺如下：</w:t>
      </w:r>
    </w:p>
    <w:p w14:paraId="325F3940">
      <w:pPr>
        <w:pStyle w:val="13"/>
        <w:numPr>
          <w:ilvl w:val="0"/>
          <w:numId w:val="5"/>
        </w:numPr>
        <w:tabs>
          <w:tab w:val="left" w:pos="5580"/>
        </w:tabs>
        <w:spacing w:line="360" w:lineRule="auto"/>
        <w:ind w:firstLine="480" w:firstLineChars="200"/>
        <w:rPr>
          <w:rFonts w:ascii="仿宋_GB2312" w:hAnsi="宋体" w:eastAsia="仿宋_GB2312"/>
          <w:kern w:val="0"/>
          <w:sz w:val="24"/>
        </w:rPr>
      </w:pPr>
      <w:r>
        <w:rPr>
          <w:rFonts w:hint="eastAsia" w:ascii="仿宋_GB2312" w:hAnsi="宋体" w:eastAsia="仿宋_GB2312"/>
          <w:kern w:val="0"/>
          <w:sz w:val="24"/>
        </w:rPr>
        <w:t>具有独立承担民事责任的能力；</w:t>
      </w:r>
    </w:p>
    <w:p w14:paraId="4F215F24">
      <w:pPr>
        <w:pStyle w:val="13"/>
        <w:numPr>
          <w:ilvl w:val="0"/>
          <w:numId w:val="5"/>
        </w:numPr>
        <w:tabs>
          <w:tab w:val="left" w:pos="5580"/>
        </w:tabs>
        <w:spacing w:line="360" w:lineRule="auto"/>
        <w:ind w:firstLine="480" w:firstLineChars="200"/>
        <w:rPr>
          <w:rFonts w:ascii="仿宋_GB2312" w:hAnsi="宋体" w:eastAsia="仿宋_GB2312"/>
          <w:kern w:val="0"/>
          <w:sz w:val="24"/>
        </w:rPr>
      </w:pPr>
      <w:r>
        <w:rPr>
          <w:rFonts w:hint="eastAsia" w:ascii="仿宋_GB2312" w:hAnsi="宋体" w:eastAsia="仿宋_GB2312"/>
          <w:kern w:val="0"/>
          <w:sz w:val="24"/>
        </w:rPr>
        <w:t>具有良好的商业信誉和健全的财务会计制度；</w:t>
      </w:r>
    </w:p>
    <w:p w14:paraId="7DFD3D87">
      <w:pPr>
        <w:pStyle w:val="13"/>
        <w:numPr>
          <w:ilvl w:val="0"/>
          <w:numId w:val="5"/>
        </w:numPr>
        <w:tabs>
          <w:tab w:val="left" w:pos="5580"/>
        </w:tabs>
        <w:spacing w:line="360" w:lineRule="auto"/>
        <w:ind w:firstLine="480" w:firstLineChars="200"/>
        <w:rPr>
          <w:rFonts w:ascii="仿宋_GB2312" w:hAnsi="宋体" w:eastAsia="仿宋_GB2312"/>
          <w:kern w:val="0"/>
          <w:sz w:val="24"/>
        </w:rPr>
      </w:pPr>
      <w:r>
        <w:rPr>
          <w:rFonts w:hint="eastAsia" w:ascii="仿宋_GB2312" w:hAnsi="宋体" w:eastAsia="仿宋_GB2312"/>
          <w:kern w:val="0"/>
          <w:sz w:val="24"/>
        </w:rPr>
        <w:t>具有履行合同所必需的设备和专业技术能力；</w:t>
      </w:r>
    </w:p>
    <w:p w14:paraId="4488457D">
      <w:pPr>
        <w:pStyle w:val="13"/>
        <w:numPr>
          <w:ilvl w:val="0"/>
          <w:numId w:val="5"/>
        </w:numPr>
        <w:tabs>
          <w:tab w:val="left" w:pos="5580"/>
        </w:tabs>
        <w:spacing w:line="360" w:lineRule="auto"/>
        <w:ind w:firstLine="480" w:firstLineChars="200"/>
        <w:rPr>
          <w:rFonts w:ascii="仿宋_GB2312" w:hAnsi="宋体" w:eastAsia="仿宋_GB2312"/>
          <w:kern w:val="0"/>
          <w:sz w:val="24"/>
        </w:rPr>
      </w:pPr>
      <w:r>
        <w:rPr>
          <w:rFonts w:hint="eastAsia" w:ascii="仿宋_GB2312" w:hAnsi="宋体" w:eastAsia="仿宋_GB2312"/>
          <w:kern w:val="0"/>
          <w:sz w:val="24"/>
        </w:rPr>
        <w:t>参加政府采购活动前三年内，在经营活动中没有重大违法记录；</w:t>
      </w:r>
    </w:p>
    <w:p w14:paraId="43CE9A11">
      <w:pPr>
        <w:pStyle w:val="13"/>
        <w:numPr>
          <w:ilvl w:val="0"/>
          <w:numId w:val="5"/>
        </w:numPr>
        <w:tabs>
          <w:tab w:val="left" w:pos="5580"/>
        </w:tabs>
        <w:spacing w:line="360" w:lineRule="auto"/>
        <w:ind w:firstLine="480" w:firstLineChars="200"/>
        <w:rPr>
          <w:rFonts w:ascii="仿宋_GB2312" w:hAnsi="宋体" w:eastAsia="仿宋_GB2312"/>
          <w:kern w:val="0"/>
          <w:sz w:val="24"/>
        </w:rPr>
      </w:pPr>
      <w:r>
        <w:rPr>
          <w:rFonts w:hint="eastAsia" w:ascii="仿宋_GB2312" w:hAnsi="宋体" w:eastAsia="仿宋_GB2312"/>
          <w:kern w:val="0"/>
          <w:sz w:val="24"/>
        </w:rPr>
        <w:t>法律、行政法规规定的其他条件；</w:t>
      </w:r>
    </w:p>
    <w:p w14:paraId="3EBDE822">
      <w:pPr>
        <w:pStyle w:val="13"/>
        <w:numPr>
          <w:ilvl w:val="0"/>
          <w:numId w:val="5"/>
        </w:numPr>
        <w:tabs>
          <w:tab w:val="left" w:pos="5580"/>
        </w:tabs>
        <w:spacing w:line="360" w:lineRule="auto"/>
        <w:ind w:firstLine="480" w:firstLineChars="200"/>
        <w:rPr>
          <w:rFonts w:ascii="仿宋_GB2312" w:hAnsi="宋体" w:eastAsia="仿宋_GB2312"/>
          <w:kern w:val="0"/>
          <w:sz w:val="24"/>
        </w:rPr>
      </w:pPr>
      <w:r>
        <w:rPr>
          <w:rFonts w:hint="eastAsia" w:ascii="仿宋_GB2312" w:hAnsi="宋体" w:eastAsia="仿宋_GB2312"/>
          <w:kern w:val="0"/>
          <w:sz w:val="24"/>
        </w:rPr>
        <w:t>我公司已完全了解本招标文件中规定的技术要求和商务条款。</w:t>
      </w:r>
    </w:p>
    <w:p w14:paraId="595E14C4">
      <w:pPr>
        <w:pStyle w:val="13"/>
        <w:tabs>
          <w:tab w:val="left" w:pos="5580"/>
        </w:tabs>
        <w:spacing w:line="360" w:lineRule="auto"/>
        <w:ind w:firstLine="480"/>
        <w:rPr>
          <w:rFonts w:ascii="仿宋_GB2312" w:hAnsi="宋体" w:eastAsia="仿宋_GB2312"/>
          <w:kern w:val="0"/>
          <w:sz w:val="24"/>
        </w:rPr>
      </w:pPr>
      <w:r>
        <w:rPr>
          <w:rFonts w:hint="eastAsia" w:ascii="仿宋_GB2312" w:hAnsi="宋体" w:eastAsia="仿宋_GB2312"/>
          <w:kern w:val="0"/>
          <w:sz w:val="24"/>
        </w:rPr>
        <w:t>同时，我公司具有很好的厂家原厂产品支持、技术服务、产品调试、系统培训及原厂售后服务承诺保持书。</w:t>
      </w:r>
    </w:p>
    <w:p w14:paraId="5196EAEB">
      <w:pPr>
        <w:pStyle w:val="13"/>
        <w:tabs>
          <w:tab w:val="left" w:pos="5580"/>
        </w:tabs>
        <w:spacing w:line="360" w:lineRule="auto"/>
        <w:ind w:firstLine="480"/>
        <w:rPr>
          <w:rFonts w:ascii="仿宋_GB2312" w:hAnsi="宋体" w:eastAsia="仿宋_GB2312"/>
          <w:kern w:val="0"/>
          <w:sz w:val="24"/>
        </w:rPr>
      </w:pPr>
      <w:r>
        <w:rPr>
          <w:rFonts w:hint="eastAsia" w:ascii="仿宋_GB2312" w:hAnsi="宋体" w:eastAsia="仿宋_GB2312"/>
          <w:kern w:val="0"/>
          <w:sz w:val="24"/>
        </w:rPr>
        <w:t>如违反以上承诺，本公司愿承担一切法律责任。</w:t>
      </w:r>
    </w:p>
    <w:p w14:paraId="6F30070C">
      <w:pPr>
        <w:pStyle w:val="13"/>
        <w:tabs>
          <w:tab w:val="left" w:pos="5580"/>
        </w:tabs>
        <w:spacing w:line="360" w:lineRule="auto"/>
        <w:ind w:firstLine="480"/>
        <w:rPr>
          <w:rFonts w:ascii="仿宋_GB2312" w:hAnsi="宋体" w:eastAsia="仿宋_GB2312"/>
          <w:kern w:val="0"/>
          <w:sz w:val="24"/>
        </w:rPr>
      </w:pPr>
    </w:p>
    <w:p w14:paraId="368D37D2">
      <w:pPr>
        <w:pStyle w:val="13"/>
        <w:tabs>
          <w:tab w:val="left" w:pos="5580"/>
        </w:tabs>
        <w:spacing w:line="360" w:lineRule="auto"/>
        <w:ind w:firstLine="480"/>
        <w:rPr>
          <w:rFonts w:ascii="仿宋_GB2312" w:hAnsi="宋体" w:eastAsia="仿宋_GB2312"/>
          <w:kern w:val="0"/>
          <w:sz w:val="24"/>
        </w:rPr>
      </w:pPr>
    </w:p>
    <w:p w14:paraId="72ACB314">
      <w:pPr>
        <w:pStyle w:val="13"/>
        <w:tabs>
          <w:tab w:val="left" w:pos="5580"/>
        </w:tabs>
        <w:spacing w:line="360" w:lineRule="auto"/>
        <w:ind w:firstLine="480"/>
        <w:rPr>
          <w:rFonts w:ascii="仿宋_GB2312" w:hAnsi="宋体" w:eastAsia="仿宋_GB2312"/>
          <w:kern w:val="0"/>
          <w:sz w:val="24"/>
        </w:rPr>
      </w:pPr>
    </w:p>
    <w:p w14:paraId="74C75992">
      <w:pPr>
        <w:pStyle w:val="13"/>
        <w:tabs>
          <w:tab w:val="left" w:pos="5580"/>
        </w:tabs>
        <w:spacing w:line="360" w:lineRule="auto"/>
        <w:ind w:firstLine="480"/>
        <w:rPr>
          <w:rFonts w:ascii="仿宋_GB2312" w:hAnsi="宋体" w:eastAsia="仿宋_GB2312"/>
          <w:kern w:val="0"/>
          <w:sz w:val="24"/>
        </w:rPr>
      </w:pPr>
    </w:p>
    <w:p w14:paraId="75C1C51A">
      <w:pPr>
        <w:pStyle w:val="13"/>
        <w:tabs>
          <w:tab w:val="left" w:pos="5580"/>
        </w:tabs>
        <w:spacing w:line="360" w:lineRule="auto"/>
        <w:ind w:firstLine="2640" w:firstLineChars="1100"/>
        <w:rPr>
          <w:rFonts w:ascii="仿宋_GB2312" w:hAnsi="宋体" w:eastAsia="仿宋_GB2312"/>
          <w:kern w:val="0"/>
          <w:sz w:val="24"/>
          <w:u w:val="single"/>
        </w:rPr>
      </w:pPr>
      <w:r>
        <w:rPr>
          <w:rFonts w:hint="eastAsia" w:ascii="仿宋_GB2312" w:hAnsi="宋体" w:eastAsia="仿宋_GB2312"/>
          <w:kern w:val="0"/>
          <w:sz w:val="24"/>
        </w:rPr>
        <w:t>法定代表人或其委托代理人：</w:t>
      </w:r>
      <w:r>
        <w:rPr>
          <w:rFonts w:hint="eastAsia" w:ascii="仿宋_GB2312" w:hAnsi="宋体" w:eastAsia="仿宋_GB2312"/>
          <w:kern w:val="0"/>
          <w:sz w:val="24"/>
          <w:u w:val="single"/>
        </w:rPr>
        <w:t xml:space="preserve">                     </w:t>
      </w:r>
    </w:p>
    <w:p w14:paraId="100532CE">
      <w:pPr>
        <w:pStyle w:val="13"/>
        <w:tabs>
          <w:tab w:val="left" w:pos="5580"/>
        </w:tabs>
        <w:spacing w:line="360" w:lineRule="auto"/>
        <w:ind w:firstLine="480" w:firstLineChars="200"/>
        <w:jc w:val="center"/>
        <w:rPr>
          <w:rFonts w:ascii="仿宋_GB2312" w:hAnsi="宋体" w:eastAsia="仿宋_GB2312"/>
          <w:kern w:val="0"/>
          <w:sz w:val="24"/>
          <w:u w:val="single"/>
        </w:rPr>
      </w:pPr>
      <w:r>
        <w:rPr>
          <w:rFonts w:hint="eastAsia" w:ascii="仿宋_GB2312" w:hAnsi="宋体" w:eastAsia="仿宋_GB2312"/>
          <w:kern w:val="0"/>
          <w:sz w:val="24"/>
        </w:rPr>
        <w:t>供应商：</w:t>
      </w:r>
      <w:r>
        <w:rPr>
          <w:rFonts w:hint="eastAsia" w:ascii="仿宋_GB2312" w:hAnsi="宋体" w:eastAsia="仿宋_GB2312"/>
          <w:kern w:val="0"/>
          <w:sz w:val="24"/>
          <w:u w:val="single"/>
        </w:rPr>
        <w:t xml:space="preserve">        （</w:t>
      </w:r>
      <w:r>
        <w:rPr>
          <w:rFonts w:hint="eastAsia" w:ascii="仿宋_GB2312" w:hAnsi="宋体" w:eastAsia="仿宋_GB2312"/>
          <w:kern w:val="0"/>
          <w:sz w:val="24"/>
          <w:u w:val="single"/>
          <w:lang w:eastAsia="zh-CN"/>
        </w:rPr>
        <w:t>电子签章</w:t>
      </w:r>
      <w:r>
        <w:rPr>
          <w:rFonts w:hint="eastAsia" w:ascii="仿宋_GB2312" w:hAnsi="宋体" w:eastAsia="仿宋_GB2312"/>
          <w:kern w:val="0"/>
          <w:sz w:val="24"/>
          <w:u w:val="single"/>
        </w:rPr>
        <w:t xml:space="preserve">）                   </w:t>
      </w:r>
    </w:p>
    <w:p w14:paraId="062F34BF">
      <w:pPr>
        <w:pStyle w:val="13"/>
        <w:tabs>
          <w:tab w:val="left" w:pos="5580"/>
        </w:tabs>
        <w:spacing w:line="360" w:lineRule="auto"/>
        <w:ind w:firstLine="480" w:firstLineChars="200"/>
        <w:jc w:val="center"/>
        <w:rPr>
          <w:rFonts w:ascii="仿宋_GB2312" w:hAnsi="宋体" w:eastAsia="仿宋_GB2312"/>
          <w:kern w:val="0"/>
          <w:sz w:val="24"/>
          <w:u w:val="single"/>
        </w:rPr>
      </w:pPr>
      <w:r>
        <w:rPr>
          <w:rFonts w:hint="eastAsia" w:ascii="仿宋_GB2312" w:hAnsi="宋体" w:eastAsia="仿宋_GB2312"/>
          <w:kern w:val="0"/>
          <w:sz w:val="24"/>
        </w:rPr>
        <w:t xml:space="preserve">日期： </w:t>
      </w:r>
      <w:r>
        <w:rPr>
          <w:rFonts w:hint="eastAsia" w:ascii="仿宋_GB2312" w:hAnsi="宋体" w:eastAsia="仿宋_GB2312"/>
          <w:kern w:val="0"/>
          <w:sz w:val="24"/>
          <w:u w:val="single"/>
        </w:rPr>
        <w:t xml:space="preserve"> </w:t>
      </w:r>
      <w:r>
        <w:rPr>
          <w:rFonts w:hint="eastAsia" w:ascii="仿宋_GB2312" w:hAnsi="宋体" w:eastAsia="仿宋_GB2312"/>
          <w:kern w:val="0"/>
          <w:sz w:val="24"/>
          <w:u w:val="single"/>
          <w:lang w:val="en-US" w:eastAsia="zh-CN"/>
        </w:rPr>
        <w:t xml:space="preserve">     </w:t>
      </w:r>
      <w:r>
        <w:rPr>
          <w:rFonts w:hint="eastAsia" w:ascii="仿宋_GB2312" w:hAnsi="宋体" w:eastAsia="仿宋_GB2312"/>
          <w:kern w:val="0"/>
          <w:sz w:val="24"/>
          <w:u w:val="single"/>
        </w:rPr>
        <w:t xml:space="preserve">年     月     日                   </w:t>
      </w:r>
    </w:p>
    <w:p w14:paraId="1C8570AA">
      <w:pPr>
        <w:pStyle w:val="10"/>
        <w:sectPr>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linePitch="312" w:charSpace="0"/>
        </w:sectPr>
      </w:pPr>
    </w:p>
    <w:p w14:paraId="3D8B4BD1">
      <w:pPr>
        <w:pStyle w:val="6"/>
        <w:spacing w:before="0"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8.2具备履行合同所必须的专业技术能力表</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1"/>
        <w:gridCol w:w="1421"/>
        <w:gridCol w:w="1421"/>
        <w:gridCol w:w="1220"/>
        <w:gridCol w:w="1256"/>
        <w:gridCol w:w="1789"/>
      </w:tblGrid>
      <w:tr w14:paraId="7F974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6" w:hRule="exact"/>
        </w:trPr>
        <w:tc>
          <w:tcPr>
            <w:tcW w:w="1421" w:type="dxa"/>
            <w:vAlign w:val="center"/>
          </w:tcPr>
          <w:p w14:paraId="53CF18C3">
            <w:pPr>
              <w:pStyle w:val="13"/>
              <w:tabs>
                <w:tab w:val="left" w:pos="5580"/>
              </w:tabs>
              <w:spacing w:line="240" w:lineRule="atLeast"/>
              <w:jc w:val="center"/>
              <w:rPr>
                <w:rFonts w:ascii="仿宋_GB2312" w:hAnsi="宋体" w:eastAsia="仿宋_GB2312"/>
                <w:kern w:val="0"/>
                <w:sz w:val="24"/>
              </w:rPr>
            </w:pPr>
            <w:r>
              <w:rPr>
                <w:rFonts w:hint="eastAsia" w:ascii="仿宋_GB2312" w:hAnsi="宋体" w:eastAsia="仿宋_GB2312"/>
                <w:kern w:val="0"/>
                <w:sz w:val="24"/>
              </w:rPr>
              <w:t>岗位</w:t>
            </w:r>
          </w:p>
        </w:tc>
        <w:tc>
          <w:tcPr>
            <w:tcW w:w="1421" w:type="dxa"/>
            <w:vAlign w:val="center"/>
          </w:tcPr>
          <w:p w14:paraId="2A0B4763">
            <w:pPr>
              <w:pStyle w:val="13"/>
              <w:tabs>
                <w:tab w:val="left" w:pos="5580"/>
              </w:tabs>
              <w:spacing w:line="240" w:lineRule="atLeast"/>
              <w:jc w:val="center"/>
              <w:rPr>
                <w:rFonts w:ascii="仿宋_GB2312" w:hAnsi="宋体" w:eastAsia="仿宋_GB2312"/>
                <w:kern w:val="0"/>
                <w:sz w:val="24"/>
              </w:rPr>
            </w:pPr>
            <w:r>
              <w:rPr>
                <w:rFonts w:hint="eastAsia" w:ascii="仿宋_GB2312" w:hAnsi="宋体" w:eastAsia="仿宋_GB2312"/>
                <w:kern w:val="0"/>
                <w:sz w:val="24"/>
              </w:rPr>
              <w:t>姓名</w:t>
            </w:r>
          </w:p>
        </w:tc>
        <w:tc>
          <w:tcPr>
            <w:tcW w:w="1421" w:type="dxa"/>
            <w:vAlign w:val="center"/>
          </w:tcPr>
          <w:p w14:paraId="2FC25AB1">
            <w:pPr>
              <w:pStyle w:val="13"/>
              <w:tabs>
                <w:tab w:val="left" w:pos="5580"/>
              </w:tabs>
              <w:spacing w:line="240" w:lineRule="atLeast"/>
              <w:jc w:val="center"/>
              <w:rPr>
                <w:rFonts w:ascii="仿宋_GB2312" w:hAnsi="宋体" w:eastAsia="仿宋_GB2312"/>
                <w:kern w:val="0"/>
                <w:sz w:val="24"/>
              </w:rPr>
            </w:pPr>
            <w:r>
              <w:rPr>
                <w:rFonts w:hint="eastAsia" w:ascii="仿宋_GB2312" w:hAnsi="宋体" w:eastAsia="仿宋_GB2312"/>
                <w:kern w:val="0"/>
                <w:sz w:val="24"/>
              </w:rPr>
              <w:t>岗位职责</w:t>
            </w:r>
          </w:p>
        </w:tc>
        <w:tc>
          <w:tcPr>
            <w:tcW w:w="1220" w:type="dxa"/>
            <w:vAlign w:val="center"/>
          </w:tcPr>
          <w:p w14:paraId="1B7C716F">
            <w:pPr>
              <w:pStyle w:val="13"/>
              <w:tabs>
                <w:tab w:val="left" w:pos="5580"/>
              </w:tabs>
              <w:spacing w:line="240" w:lineRule="atLeast"/>
              <w:jc w:val="center"/>
              <w:rPr>
                <w:rFonts w:ascii="仿宋_GB2312" w:hAnsi="宋体" w:eastAsia="仿宋_GB2312"/>
                <w:kern w:val="0"/>
                <w:sz w:val="24"/>
              </w:rPr>
            </w:pPr>
            <w:r>
              <w:rPr>
                <w:rFonts w:hint="eastAsia" w:ascii="仿宋_GB2312" w:hAnsi="宋体" w:eastAsia="仿宋_GB2312"/>
                <w:kern w:val="0"/>
                <w:sz w:val="24"/>
              </w:rPr>
              <w:t>性别</w:t>
            </w:r>
          </w:p>
        </w:tc>
        <w:tc>
          <w:tcPr>
            <w:tcW w:w="1256" w:type="dxa"/>
            <w:vAlign w:val="center"/>
          </w:tcPr>
          <w:p w14:paraId="48191F78">
            <w:pPr>
              <w:pStyle w:val="13"/>
              <w:tabs>
                <w:tab w:val="left" w:pos="5580"/>
              </w:tabs>
              <w:spacing w:line="240" w:lineRule="atLeast"/>
              <w:jc w:val="center"/>
              <w:rPr>
                <w:rFonts w:ascii="仿宋_GB2312" w:hAnsi="宋体" w:eastAsia="仿宋_GB2312"/>
                <w:kern w:val="0"/>
                <w:sz w:val="24"/>
              </w:rPr>
            </w:pPr>
            <w:r>
              <w:rPr>
                <w:rFonts w:hint="eastAsia" w:ascii="仿宋_GB2312" w:hAnsi="宋体" w:eastAsia="仿宋_GB2312"/>
                <w:kern w:val="0"/>
                <w:sz w:val="24"/>
              </w:rPr>
              <w:t>工作年限</w:t>
            </w:r>
          </w:p>
        </w:tc>
        <w:tc>
          <w:tcPr>
            <w:tcW w:w="1789" w:type="dxa"/>
            <w:vAlign w:val="center"/>
          </w:tcPr>
          <w:p w14:paraId="2FF1D911">
            <w:pPr>
              <w:pStyle w:val="13"/>
              <w:tabs>
                <w:tab w:val="left" w:pos="5580"/>
              </w:tabs>
              <w:spacing w:line="240" w:lineRule="atLeast"/>
              <w:jc w:val="center"/>
              <w:rPr>
                <w:rFonts w:ascii="仿宋_GB2312" w:hAnsi="宋体" w:eastAsia="仿宋_GB2312"/>
                <w:kern w:val="0"/>
                <w:sz w:val="24"/>
              </w:rPr>
            </w:pPr>
            <w:r>
              <w:rPr>
                <w:rFonts w:hint="eastAsia" w:ascii="仿宋_GB2312" w:hAnsi="宋体" w:eastAsia="仿宋_GB2312"/>
                <w:kern w:val="0"/>
                <w:sz w:val="24"/>
              </w:rPr>
              <w:t>岗位证书（资格证书、职称证书）及编号</w:t>
            </w:r>
          </w:p>
        </w:tc>
      </w:tr>
      <w:tr w14:paraId="6A4658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421" w:type="dxa"/>
          </w:tcPr>
          <w:p w14:paraId="41B83E65">
            <w:pPr>
              <w:pStyle w:val="13"/>
              <w:tabs>
                <w:tab w:val="left" w:pos="5580"/>
              </w:tabs>
              <w:spacing w:line="240" w:lineRule="atLeast"/>
              <w:rPr>
                <w:rFonts w:ascii="仿宋_GB2312" w:hAnsi="宋体" w:eastAsia="仿宋_GB2312"/>
                <w:kern w:val="0"/>
                <w:sz w:val="24"/>
              </w:rPr>
            </w:pPr>
          </w:p>
        </w:tc>
        <w:tc>
          <w:tcPr>
            <w:tcW w:w="1421" w:type="dxa"/>
          </w:tcPr>
          <w:p w14:paraId="359C2A14">
            <w:pPr>
              <w:pStyle w:val="13"/>
              <w:tabs>
                <w:tab w:val="left" w:pos="5580"/>
              </w:tabs>
              <w:spacing w:line="240" w:lineRule="atLeast"/>
              <w:rPr>
                <w:rFonts w:ascii="仿宋_GB2312" w:hAnsi="宋体" w:eastAsia="仿宋_GB2312"/>
                <w:kern w:val="0"/>
                <w:sz w:val="24"/>
              </w:rPr>
            </w:pPr>
          </w:p>
        </w:tc>
        <w:tc>
          <w:tcPr>
            <w:tcW w:w="1421" w:type="dxa"/>
          </w:tcPr>
          <w:p w14:paraId="65CA2A23">
            <w:pPr>
              <w:pStyle w:val="13"/>
              <w:tabs>
                <w:tab w:val="left" w:pos="5580"/>
              </w:tabs>
              <w:spacing w:line="240" w:lineRule="atLeast"/>
              <w:rPr>
                <w:rFonts w:ascii="仿宋_GB2312" w:hAnsi="宋体" w:eastAsia="仿宋_GB2312"/>
                <w:kern w:val="0"/>
                <w:sz w:val="24"/>
              </w:rPr>
            </w:pPr>
          </w:p>
        </w:tc>
        <w:tc>
          <w:tcPr>
            <w:tcW w:w="1220" w:type="dxa"/>
          </w:tcPr>
          <w:p w14:paraId="13483CD9">
            <w:pPr>
              <w:pStyle w:val="13"/>
              <w:tabs>
                <w:tab w:val="left" w:pos="5580"/>
              </w:tabs>
              <w:spacing w:line="240" w:lineRule="atLeast"/>
              <w:rPr>
                <w:rFonts w:ascii="仿宋_GB2312" w:hAnsi="宋体" w:eastAsia="仿宋_GB2312"/>
                <w:kern w:val="0"/>
                <w:sz w:val="24"/>
              </w:rPr>
            </w:pPr>
          </w:p>
        </w:tc>
        <w:tc>
          <w:tcPr>
            <w:tcW w:w="1256" w:type="dxa"/>
          </w:tcPr>
          <w:p w14:paraId="556E3B5E">
            <w:pPr>
              <w:pStyle w:val="13"/>
              <w:tabs>
                <w:tab w:val="left" w:pos="5580"/>
              </w:tabs>
              <w:spacing w:line="240" w:lineRule="atLeast"/>
              <w:rPr>
                <w:rFonts w:ascii="仿宋_GB2312" w:hAnsi="宋体" w:eastAsia="仿宋_GB2312"/>
                <w:kern w:val="0"/>
                <w:sz w:val="24"/>
              </w:rPr>
            </w:pPr>
          </w:p>
        </w:tc>
        <w:tc>
          <w:tcPr>
            <w:tcW w:w="1789" w:type="dxa"/>
          </w:tcPr>
          <w:p w14:paraId="70FD748F">
            <w:pPr>
              <w:pStyle w:val="13"/>
              <w:tabs>
                <w:tab w:val="left" w:pos="5580"/>
              </w:tabs>
              <w:spacing w:line="240" w:lineRule="atLeast"/>
              <w:rPr>
                <w:rFonts w:ascii="仿宋_GB2312" w:hAnsi="宋体" w:eastAsia="仿宋_GB2312"/>
                <w:kern w:val="0"/>
                <w:sz w:val="24"/>
              </w:rPr>
            </w:pPr>
          </w:p>
        </w:tc>
      </w:tr>
      <w:tr w14:paraId="204AA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421" w:type="dxa"/>
          </w:tcPr>
          <w:p w14:paraId="455D2469">
            <w:pPr>
              <w:pStyle w:val="13"/>
              <w:tabs>
                <w:tab w:val="left" w:pos="5580"/>
              </w:tabs>
              <w:spacing w:line="240" w:lineRule="atLeast"/>
              <w:rPr>
                <w:rFonts w:ascii="仿宋_GB2312" w:hAnsi="宋体" w:eastAsia="仿宋_GB2312"/>
                <w:kern w:val="0"/>
                <w:sz w:val="24"/>
              </w:rPr>
            </w:pPr>
          </w:p>
        </w:tc>
        <w:tc>
          <w:tcPr>
            <w:tcW w:w="1421" w:type="dxa"/>
          </w:tcPr>
          <w:p w14:paraId="17D41B44">
            <w:pPr>
              <w:pStyle w:val="13"/>
              <w:tabs>
                <w:tab w:val="left" w:pos="5580"/>
              </w:tabs>
              <w:spacing w:line="240" w:lineRule="atLeast"/>
              <w:rPr>
                <w:rFonts w:ascii="仿宋_GB2312" w:hAnsi="宋体" w:eastAsia="仿宋_GB2312"/>
                <w:kern w:val="0"/>
                <w:sz w:val="24"/>
              </w:rPr>
            </w:pPr>
          </w:p>
        </w:tc>
        <w:tc>
          <w:tcPr>
            <w:tcW w:w="1421" w:type="dxa"/>
          </w:tcPr>
          <w:p w14:paraId="5EEF1F05">
            <w:pPr>
              <w:pStyle w:val="13"/>
              <w:tabs>
                <w:tab w:val="left" w:pos="5580"/>
              </w:tabs>
              <w:spacing w:line="240" w:lineRule="atLeast"/>
              <w:rPr>
                <w:rFonts w:ascii="仿宋_GB2312" w:hAnsi="宋体" w:eastAsia="仿宋_GB2312"/>
                <w:kern w:val="0"/>
                <w:sz w:val="24"/>
              </w:rPr>
            </w:pPr>
          </w:p>
        </w:tc>
        <w:tc>
          <w:tcPr>
            <w:tcW w:w="1220" w:type="dxa"/>
          </w:tcPr>
          <w:p w14:paraId="010D6EAD">
            <w:pPr>
              <w:pStyle w:val="13"/>
              <w:tabs>
                <w:tab w:val="left" w:pos="5580"/>
              </w:tabs>
              <w:spacing w:line="240" w:lineRule="atLeast"/>
              <w:rPr>
                <w:rFonts w:ascii="仿宋_GB2312" w:hAnsi="宋体" w:eastAsia="仿宋_GB2312"/>
                <w:kern w:val="0"/>
                <w:sz w:val="24"/>
              </w:rPr>
            </w:pPr>
          </w:p>
        </w:tc>
        <w:tc>
          <w:tcPr>
            <w:tcW w:w="1256" w:type="dxa"/>
          </w:tcPr>
          <w:p w14:paraId="2F567707">
            <w:pPr>
              <w:pStyle w:val="13"/>
              <w:tabs>
                <w:tab w:val="left" w:pos="5580"/>
              </w:tabs>
              <w:spacing w:line="240" w:lineRule="atLeast"/>
              <w:rPr>
                <w:rFonts w:ascii="仿宋_GB2312" w:hAnsi="宋体" w:eastAsia="仿宋_GB2312"/>
                <w:kern w:val="0"/>
                <w:sz w:val="24"/>
              </w:rPr>
            </w:pPr>
          </w:p>
        </w:tc>
        <w:tc>
          <w:tcPr>
            <w:tcW w:w="1789" w:type="dxa"/>
          </w:tcPr>
          <w:p w14:paraId="0CB7073C">
            <w:pPr>
              <w:pStyle w:val="13"/>
              <w:tabs>
                <w:tab w:val="left" w:pos="5580"/>
              </w:tabs>
              <w:spacing w:line="240" w:lineRule="atLeast"/>
              <w:rPr>
                <w:rFonts w:ascii="仿宋_GB2312" w:hAnsi="宋体" w:eastAsia="仿宋_GB2312"/>
                <w:kern w:val="0"/>
                <w:sz w:val="24"/>
              </w:rPr>
            </w:pPr>
          </w:p>
        </w:tc>
      </w:tr>
      <w:tr w14:paraId="5C4941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421" w:type="dxa"/>
          </w:tcPr>
          <w:p w14:paraId="03448CCB">
            <w:pPr>
              <w:pStyle w:val="13"/>
              <w:tabs>
                <w:tab w:val="left" w:pos="5580"/>
              </w:tabs>
              <w:spacing w:line="240" w:lineRule="atLeast"/>
              <w:rPr>
                <w:rFonts w:ascii="仿宋_GB2312" w:hAnsi="宋体" w:eastAsia="仿宋_GB2312"/>
                <w:kern w:val="0"/>
                <w:sz w:val="24"/>
              </w:rPr>
            </w:pPr>
          </w:p>
        </w:tc>
        <w:tc>
          <w:tcPr>
            <w:tcW w:w="1421" w:type="dxa"/>
          </w:tcPr>
          <w:p w14:paraId="5FA97874">
            <w:pPr>
              <w:pStyle w:val="13"/>
              <w:tabs>
                <w:tab w:val="left" w:pos="5580"/>
              </w:tabs>
              <w:spacing w:line="240" w:lineRule="atLeast"/>
              <w:rPr>
                <w:rFonts w:ascii="仿宋_GB2312" w:hAnsi="宋体" w:eastAsia="仿宋_GB2312"/>
                <w:kern w:val="0"/>
                <w:sz w:val="24"/>
              </w:rPr>
            </w:pPr>
          </w:p>
        </w:tc>
        <w:tc>
          <w:tcPr>
            <w:tcW w:w="1421" w:type="dxa"/>
          </w:tcPr>
          <w:p w14:paraId="028EC975">
            <w:pPr>
              <w:pStyle w:val="13"/>
              <w:tabs>
                <w:tab w:val="left" w:pos="5580"/>
              </w:tabs>
              <w:spacing w:line="240" w:lineRule="atLeast"/>
              <w:rPr>
                <w:rFonts w:ascii="仿宋_GB2312" w:hAnsi="宋体" w:eastAsia="仿宋_GB2312"/>
                <w:kern w:val="0"/>
                <w:sz w:val="24"/>
              </w:rPr>
            </w:pPr>
          </w:p>
        </w:tc>
        <w:tc>
          <w:tcPr>
            <w:tcW w:w="1220" w:type="dxa"/>
          </w:tcPr>
          <w:p w14:paraId="26E538C2">
            <w:pPr>
              <w:pStyle w:val="13"/>
              <w:tabs>
                <w:tab w:val="left" w:pos="5580"/>
              </w:tabs>
              <w:spacing w:line="240" w:lineRule="atLeast"/>
              <w:rPr>
                <w:rFonts w:ascii="仿宋_GB2312" w:hAnsi="宋体" w:eastAsia="仿宋_GB2312"/>
                <w:kern w:val="0"/>
                <w:sz w:val="24"/>
              </w:rPr>
            </w:pPr>
          </w:p>
        </w:tc>
        <w:tc>
          <w:tcPr>
            <w:tcW w:w="1256" w:type="dxa"/>
          </w:tcPr>
          <w:p w14:paraId="511FA3DF">
            <w:pPr>
              <w:pStyle w:val="13"/>
              <w:tabs>
                <w:tab w:val="left" w:pos="5580"/>
              </w:tabs>
              <w:spacing w:line="240" w:lineRule="atLeast"/>
              <w:rPr>
                <w:rFonts w:ascii="仿宋_GB2312" w:hAnsi="宋体" w:eastAsia="仿宋_GB2312"/>
                <w:kern w:val="0"/>
                <w:sz w:val="24"/>
              </w:rPr>
            </w:pPr>
          </w:p>
        </w:tc>
        <w:tc>
          <w:tcPr>
            <w:tcW w:w="1789" w:type="dxa"/>
          </w:tcPr>
          <w:p w14:paraId="1C0F7E85">
            <w:pPr>
              <w:pStyle w:val="13"/>
              <w:tabs>
                <w:tab w:val="left" w:pos="5580"/>
              </w:tabs>
              <w:spacing w:line="240" w:lineRule="atLeast"/>
              <w:rPr>
                <w:rFonts w:ascii="仿宋_GB2312" w:hAnsi="宋体" w:eastAsia="仿宋_GB2312"/>
                <w:kern w:val="0"/>
                <w:sz w:val="24"/>
              </w:rPr>
            </w:pPr>
          </w:p>
        </w:tc>
      </w:tr>
      <w:tr w14:paraId="6BE6A5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421" w:type="dxa"/>
          </w:tcPr>
          <w:p w14:paraId="4646DA70">
            <w:pPr>
              <w:pStyle w:val="13"/>
              <w:tabs>
                <w:tab w:val="left" w:pos="5580"/>
              </w:tabs>
              <w:spacing w:line="240" w:lineRule="atLeast"/>
              <w:rPr>
                <w:rFonts w:ascii="仿宋_GB2312" w:hAnsi="宋体" w:eastAsia="仿宋_GB2312"/>
                <w:kern w:val="0"/>
                <w:sz w:val="24"/>
              </w:rPr>
            </w:pPr>
          </w:p>
        </w:tc>
        <w:tc>
          <w:tcPr>
            <w:tcW w:w="1421" w:type="dxa"/>
          </w:tcPr>
          <w:p w14:paraId="201D240D">
            <w:pPr>
              <w:pStyle w:val="13"/>
              <w:tabs>
                <w:tab w:val="left" w:pos="5580"/>
              </w:tabs>
              <w:spacing w:line="240" w:lineRule="atLeast"/>
              <w:rPr>
                <w:rFonts w:ascii="仿宋_GB2312" w:hAnsi="宋体" w:eastAsia="仿宋_GB2312"/>
                <w:kern w:val="0"/>
                <w:sz w:val="24"/>
              </w:rPr>
            </w:pPr>
          </w:p>
        </w:tc>
        <w:tc>
          <w:tcPr>
            <w:tcW w:w="1421" w:type="dxa"/>
          </w:tcPr>
          <w:p w14:paraId="01947106">
            <w:pPr>
              <w:pStyle w:val="13"/>
              <w:tabs>
                <w:tab w:val="left" w:pos="5580"/>
              </w:tabs>
              <w:spacing w:line="240" w:lineRule="atLeast"/>
              <w:rPr>
                <w:rFonts w:ascii="仿宋_GB2312" w:hAnsi="宋体" w:eastAsia="仿宋_GB2312"/>
                <w:kern w:val="0"/>
                <w:sz w:val="24"/>
              </w:rPr>
            </w:pPr>
          </w:p>
        </w:tc>
        <w:tc>
          <w:tcPr>
            <w:tcW w:w="1220" w:type="dxa"/>
          </w:tcPr>
          <w:p w14:paraId="5773D88C">
            <w:pPr>
              <w:pStyle w:val="13"/>
              <w:tabs>
                <w:tab w:val="left" w:pos="5580"/>
              </w:tabs>
              <w:spacing w:line="240" w:lineRule="atLeast"/>
              <w:rPr>
                <w:rFonts w:ascii="仿宋_GB2312" w:hAnsi="宋体" w:eastAsia="仿宋_GB2312"/>
                <w:kern w:val="0"/>
                <w:sz w:val="24"/>
              </w:rPr>
            </w:pPr>
          </w:p>
        </w:tc>
        <w:tc>
          <w:tcPr>
            <w:tcW w:w="1256" w:type="dxa"/>
          </w:tcPr>
          <w:p w14:paraId="26174441">
            <w:pPr>
              <w:pStyle w:val="13"/>
              <w:tabs>
                <w:tab w:val="left" w:pos="5580"/>
              </w:tabs>
              <w:spacing w:line="240" w:lineRule="atLeast"/>
              <w:rPr>
                <w:rFonts w:ascii="仿宋_GB2312" w:hAnsi="宋体" w:eastAsia="仿宋_GB2312"/>
                <w:kern w:val="0"/>
                <w:sz w:val="24"/>
              </w:rPr>
            </w:pPr>
          </w:p>
        </w:tc>
        <w:tc>
          <w:tcPr>
            <w:tcW w:w="1789" w:type="dxa"/>
          </w:tcPr>
          <w:p w14:paraId="2B10C2E3">
            <w:pPr>
              <w:pStyle w:val="13"/>
              <w:tabs>
                <w:tab w:val="left" w:pos="5580"/>
              </w:tabs>
              <w:spacing w:line="240" w:lineRule="atLeast"/>
              <w:rPr>
                <w:rFonts w:ascii="仿宋_GB2312" w:hAnsi="宋体" w:eastAsia="仿宋_GB2312"/>
                <w:kern w:val="0"/>
                <w:sz w:val="24"/>
              </w:rPr>
            </w:pPr>
          </w:p>
        </w:tc>
      </w:tr>
      <w:tr w14:paraId="77D00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421" w:type="dxa"/>
          </w:tcPr>
          <w:p w14:paraId="1CD4A543">
            <w:pPr>
              <w:pStyle w:val="13"/>
              <w:tabs>
                <w:tab w:val="left" w:pos="5580"/>
              </w:tabs>
              <w:spacing w:line="240" w:lineRule="atLeast"/>
              <w:rPr>
                <w:rFonts w:ascii="仿宋_GB2312" w:hAnsi="宋体" w:eastAsia="仿宋_GB2312"/>
                <w:kern w:val="0"/>
                <w:sz w:val="24"/>
              </w:rPr>
            </w:pPr>
          </w:p>
        </w:tc>
        <w:tc>
          <w:tcPr>
            <w:tcW w:w="1421" w:type="dxa"/>
          </w:tcPr>
          <w:p w14:paraId="216A0325">
            <w:pPr>
              <w:pStyle w:val="13"/>
              <w:tabs>
                <w:tab w:val="left" w:pos="5580"/>
              </w:tabs>
              <w:spacing w:line="240" w:lineRule="atLeast"/>
              <w:rPr>
                <w:rFonts w:ascii="仿宋_GB2312" w:hAnsi="宋体" w:eastAsia="仿宋_GB2312"/>
                <w:kern w:val="0"/>
                <w:sz w:val="24"/>
              </w:rPr>
            </w:pPr>
          </w:p>
        </w:tc>
        <w:tc>
          <w:tcPr>
            <w:tcW w:w="1421" w:type="dxa"/>
          </w:tcPr>
          <w:p w14:paraId="017C8D33">
            <w:pPr>
              <w:pStyle w:val="13"/>
              <w:tabs>
                <w:tab w:val="left" w:pos="5580"/>
              </w:tabs>
              <w:spacing w:line="240" w:lineRule="atLeast"/>
              <w:rPr>
                <w:rFonts w:ascii="仿宋_GB2312" w:hAnsi="宋体" w:eastAsia="仿宋_GB2312"/>
                <w:kern w:val="0"/>
                <w:sz w:val="24"/>
              </w:rPr>
            </w:pPr>
          </w:p>
        </w:tc>
        <w:tc>
          <w:tcPr>
            <w:tcW w:w="1220" w:type="dxa"/>
          </w:tcPr>
          <w:p w14:paraId="7976FA62">
            <w:pPr>
              <w:pStyle w:val="13"/>
              <w:tabs>
                <w:tab w:val="left" w:pos="5580"/>
              </w:tabs>
              <w:spacing w:line="240" w:lineRule="atLeast"/>
              <w:rPr>
                <w:rFonts w:ascii="仿宋_GB2312" w:hAnsi="宋体" w:eastAsia="仿宋_GB2312"/>
                <w:kern w:val="0"/>
                <w:sz w:val="24"/>
              </w:rPr>
            </w:pPr>
          </w:p>
        </w:tc>
        <w:tc>
          <w:tcPr>
            <w:tcW w:w="1256" w:type="dxa"/>
          </w:tcPr>
          <w:p w14:paraId="21D4E1E9">
            <w:pPr>
              <w:pStyle w:val="13"/>
              <w:tabs>
                <w:tab w:val="left" w:pos="5580"/>
              </w:tabs>
              <w:spacing w:line="240" w:lineRule="atLeast"/>
              <w:rPr>
                <w:rFonts w:ascii="仿宋_GB2312" w:hAnsi="宋体" w:eastAsia="仿宋_GB2312"/>
                <w:kern w:val="0"/>
                <w:sz w:val="24"/>
              </w:rPr>
            </w:pPr>
          </w:p>
        </w:tc>
        <w:tc>
          <w:tcPr>
            <w:tcW w:w="1789" w:type="dxa"/>
          </w:tcPr>
          <w:p w14:paraId="24756D59">
            <w:pPr>
              <w:pStyle w:val="13"/>
              <w:tabs>
                <w:tab w:val="left" w:pos="5580"/>
              </w:tabs>
              <w:spacing w:line="240" w:lineRule="atLeast"/>
              <w:rPr>
                <w:rFonts w:ascii="仿宋_GB2312" w:hAnsi="宋体" w:eastAsia="仿宋_GB2312"/>
                <w:kern w:val="0"/>
                <w:sz w:val="24"/>
              </w:rPr>
            </w:pPr>
          </w:p>
        </w:tc>
      </w:tr>
    </w:tbl>
    <w:p w14:paraId="29D2702E">
      <w:pPr>
        <w:pStyle w:val="13"/>
        <w:tabs>
          <w:tab w:val="left" w:pos="5580"/>
        </w:tabs>
        <w:spacing w:line="240" w:lineRule="atLeast"/>
        <w:ind w:left="1080" w:leftChars="257" w:hanging="540"/>
        <w:rPr>
          <w:rFonts w:ascii="仿宋_GB2312" w:hAnsi="宋体" w:eastAsia="仿宋_GB2312"/>
          <w:kern w:val="0"/>
          <w:sz w:val="24"/>
        </w:rPr>
      </w:pPr>
    </w:p>
    <w:p w14:paraId="6CC1BECA">
      <w:pPr>
        <w:pStyle w:val="13"/>
        <w:tabs>
          <w:tab w:val="left" w:pos="5580"/>
        </w:tabs>
        <w:spacing w:line="240" w:lineRule="atLeast"/>
        <w:ind w:left="1080" w:leftChars="257" w:hanging="540"/>
        <w:rPr>
          <w:rFonts w:ascii="仿宋_GB2312" w:hAnsi="宋体" w:eastAsia="仿宋_GB2312"/>
          <w:kern w:val="0"/>
          <w:sz w:val="24"/>
        </w:rPr>
      </w:pPr>
    </w:p>
    <w:p w14:paraId="7B56EA39">
      <w:pPr>
        <w:pStyle w:val="13"/>
        <w:tabs>
          <w:tab w:val="left" w:pos="5580"/>
        </w:tabs>
        <w:spacing w:line="240" w:lineRule="atLeast"/>
        <w:ind w:left="1080" w:leftChars="257" w:hanging="540"/>
        <w:rPr>
          <w:rFonts w:ascii="仿宋_GB2312" w:hAnsi="宋体" w:eastAsia="仿宋_GB2312"/>
          <w:kern w:val="0"/>
          <w:sz w:val="24"/>
        </w:rPr>
      </w:pPr>
    </w:p>
    <w:p w14:paraId="57CB6EAF">
      <w:pPr>
        <w:pStyle w:val="13"/>
        <w:tabs>
          <w:tab w:val="left" w:pos="5580"/>
        </w:tabs>
        <w:spacing w:line="240" w:lineRule="atLeast"/>
        <w:ind w:left="1080" w:leftChars="257" w:hanging="540"/>
        <w:rPr>
          <w:rFonts w:ascii="仿宋_GB2312" w:hAnsi="宋体" w:eastAsia="仿宋_GB2312"/>
          <w:kern w:val="0"/>
          <w:sz w:val="24"/>
        </w:rPr>
      </w:pPr>
    </w:p>
    <w:p w14:paraId="7E4E8C6C">
      <w:pPr>
        <w:pStyle w:val="13"/>
        <w:tabs>
          <w:tab w:val="left" w:pos="5580"/>
        </w:tabs>
        <w:spacing w:line="240" w:lineRule="atLeast"/>
        <w:ind w:left="1080" w:leftChars="257" w:hanging="540"/>
        <w:rPr>
          <w:rFonts w:ascii="仿宋_GB2312" w:hAnsi="宋体" w:eastAsia="仿宋_GB2312"/>
          <w:kern w:val="0"/>
          <w:sz w:val="24"/>
        </w:rPr>
      </w:pPr>
    </w:p>
    <w:p w14:paraId="2F8055A3">
      <w:pPr>
        <w:pStyle w:val="13"/>
        <w:tabs>
          <w:tab w:val="left" w:pos="5580"/>
        </w:tabs>
        <w:spacing w:line="240" w:lineRule="atLeast"/>
        <w:ind w:left="1080" w:leftChars="257" w:hanging="540"/>
        <w:rPr>
          <w:rFonts w:ascii="仿宋_GB2312" w:hAnsi="宋体" w:eastAsia="仿宋_GB2312"/>
          <w:kern w:val="0"/>
          <w:sz w:val="24"/>
        </w:rPr>
      </w:pPr>
    </w:p>
    <w:p w14:paraId="138BFA0D">
      <w:pPr>
        <w:pStyle w:val="13"/>
        <w:tabs>
          <w:tab w:val="left" w:pos="5580"/>
        </w:tabs>
        <w:spacing w:line="360" w:lineRule="auto"/>
        <w:ind w:firstLine="2640" w:firstLineChars="1100"/>
        <w:rPr>
          <w:rFonts w:ascii="仿宋_GB2312" w:hAnsi="宋体" w:eastAsia="仿宋_GB2312"/>
          <w:kern w:val="0"/>
          <w:sz w:val="24"/>
          <w:u w:val="single"/>
        </w:rPr>
      </w:pPr>
      <w:r>
        <w:rPr>
          <w:rFonts w:hint="eastAsia" w:ascii="仿宋_GB2312" w:hAnsi="宋体" w:eastAsia="仿宋_GB2312"/>
          <w:kern w:val="0"/>
          <w:sz w:val="24"/>
        </w:rPr>
        <w:t>法定代表人或其委托代理人：</w:t>
      </w:r>
      <w:r>
        <w:rPr>
          <w:rFonts w:hint="eastAsia" w:ascii="仿宋_GB2312" w:hAnsi="宋体" w:eastAsia="仿宋_GB2312"/>
          <w:kern w:val="0"/>
          <w:sz w:val="24"/>
          <w:u w:val="single"/>
        </w:rPr>
        <w:t xml:space="preserve">           </w:t>
      </w:r>
    </w:p>
    <w:p w14:paraId="14CCD373">
      <w:pPr>
        <w:pStyle w:val="13"/>
        <w:tabs>
          <w:tab w:val="left" w:pos="5580"/>
        </w:tabs>
        <w:spacing w:line="360" w:lineRule="auto"/>
        <w:ind w:firstLine="2640" w:firstLineChars="1100"/>
        <w:jc w:val="both"/>
        <w:rPr>
          <w:rFonts w:ascii="仿宋_GB2312" w:hAnsi="宋体" w:eastAsia="仿宋_GB2312"/>
          <w:kern w:val="0"/>
          <w:sz w:val="24"/>
          <w:u w:val="single"/>
        </w:rPr>
      </w:pPr>
      <w:r>
        <w:rPr>
          <w:rFonts w:hint="eastAsia" w:ascii="仿宋_GB2312" w:hAnsi="宋体" w:eastAsia="仿宋_GB2312"/>
          <w:kern w:val="0"/>
          <w:sz w:val="24"/>
        </w:rPr>
        <w:t>供应商：</w:t>
      </w:r>
      <w:r>
        <w:rPr>
          <w:rFonts w:hint="eastAsia" w:ascii="仿宋_GB2312" w:hAnsi="宋体" w:eastAsia="仿宋_GB2312"/>
          <w:kern w:val="0"/>
          <w:sz w:val="24"/>
          <w:u w:val="single"/>
        </w:rPr>
        <w:t xml:space="preserve">                          </w:t>
      </w:r>
    </w:p>
    <w:p w14:paraId="7BB5FD6F">
      <w:pPr>
        <w:pStyle w:val="13"/>
        <w:tabs>
          <w:tab w:val="left" w:pos="5580"/>
        </w:tabs>
        <w:spacing w:line="360" w:lineRule="auto"/>
        <w:ind w:firstLine="480" w:firstLineChars="200"/>
        <w:jc w:val="center"/>
        <w:rPr>
          <w:rFonts w:ascii="仿宋_GB2312" w:hAnsi="宋体" w:eastAsia="仿宋_GB2312"/>
          <w:kern w:val="0"/>
          <w:sz w:val="24"/>
          <w:u w:val="single"/>
        </w:rPr>
      </w:pPr>
      <w:r>
        <w:rPr>
          <w:rFonts w:hint="eastAsia" w:ascii="仿宋_GB2312" w:hAnsi="宋体" w:eastAsia="仿宋_GB2312"/>
          <w:kern w:val="0"/>
          <w:sz w:val="24"/>
          <w:lang w:val="en-US" w:eastAsia="zh-CN"/>
        </w:rPr>
        <w:t xml:space="preserve"> </w:t>
      </w:r>
      <w:r>
        <w:rPr>
          <w:rFonts w:hint="eastAsia" w:ascii="仿宋_GB2312" w:hAnsi="宋体" w:eastAsia="仿宋_GB2312"/>
          <w:kern w:val="0"/>
          <w:sz w:val="24"/>
        </w:rPr>
        <w:t xml:space="preserve">日期： </w:t>
      </w:r>
      <w:r>
        <w:rPr>
          <w:rFonts w:hint="eastAsia" w:ascii="宋体" w:hAnsi="宋体" w:eastAsia="宋体" w:cs="宋体"/>
          <w:kern w:val="0"/>
          <w:sz w:val="24"/>
          <w:u w:val="single"/>
        </w:rPr>
        <w:t xml:space="preserve"> </w:t>
      </w:r>
      <w:r>
        <w:rPr>
          <w:rFonts w:hint="eastAsia" w:hAnsi="宋体" w:cs="宋体"/>
          <w:kern w:val="0"/>
          <w:sz w:val="24"/>
          <w:u w:val="single"/>
          <w:lang w:val="en-US" w:eastAsia="zh-CN"/>
        </w:rPr>
        <w:t xml:space="preserve">       </w:t>
      </w:r>
      <w:r>
        <w:rPr>
          <w:rFonts w:hint="eastAsia" w:ascii="仿宋_GB2312" w:hAnsi="宋体" w:eastAsia="仿宋_GB2312"/>
          <w:kern w:val="0"/>
          <w:sz w:val="24"/>
          <w:u w:val="single"/>
        </w:rPr>
        <w:t>年</w:t>
      </w:r>
      <w:r>
        <w:rPr>
          <w:rFonts w:hint="eastAsia" w:ascii="宋体" w:hAnsi="宋体" w:eastAsia="宋体" w:cs="宋体"/>
          <w:kern w:val="0"/>
          <w:sz w:val="24"/>
          <w:u w:val="single"/>
        </w:rPr>
        <w:t xml:space="preserve">   </w:t>
      </w:r>
      <w:r>
        <w:rPr>
          <w:rFonts w:hint="eastAsia" w:ascii="仿宋_GB2312" w:hAnsi="宋体" w:eastAsia="仿宋_GB2312"/>
          <w:kern w:val="0"/>
          <w:sz w:val="24"/>
          <w:u w:val="single"/>
        </w:rPr>
        <w:t xml:space="preserve">  月     日     </w:t>
      </w:r>
    </w:p>
    <w:p w14:paraId="5CF22E57">
      <w:pPr>
        <w:sectPr>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linePitch="312" w:charSpace="0"/>
        </w:sectPr>
      </w:pPr>
    </w:p>
    <w:p w14:paraId="36F69DB4">
      <w:pPr>
        <w:pStyle w:val="10"/>
      </w:pPr>
    </w:p>
    <w:p w14:paraId="25B189AE">
      <w:pPr>
        <w:pStyle w:val="6"/>
        <w:spacing w:before="0" w:line="240" w:lineRule="atLeast"/>
        <w:ind w:left="1258" w:leftChars="599" w:firstLine="583" w:firstLineChars="242"/>
        <w:jc w:val="both"/>
        <w:rPr>
          <w:rFonts w:ascii="仿宋" w:hAnsi="仿宋" w:eastAsia="仿宋" w:cs="仿宋"/>
          <w:sz w:val="24"/>
          <w:szCs w:val="24"/>
        </w:rPr>
      </w:pPr>
      <w:r>
        <w:rPr>
          <w:rFonts w:hint="eastAsia" w:ascii="仿宋" w:hAnsi="仿宋" w:eastAsia="仿宋" w:cs="仿宋"/>
          <w:sz w:val="24"/>
          <w:szCs w:val="24"/>
        </w:rPr>
        <w:t>9、</w:t>
      </w:r>
      <w:bookmarkStart w:id="343" w:name="_Toc28363"/>
      <w:r>
        <w:rPr>
          <w:rFonts w:hint="eastAsia" w:ascii="仿宋" w:hAnsi="仿宋" w:eastAsia="仿宋" w:cs="仿宋"/>
          <w:b/>
          <w:color w:val="auto"/>
          <w:sz w:val="24"/>
          <w:highlight w:val="none"/>
          <w:lang w:val="en-US" w:eastAsia="zh-CN"/>
        </w:rPr>
        <w:t xml:space="preserve"> 针对本次项目《反商业贿赂承诺书》</w:t>
      </w:r>
      <w:bookmarkEnd w:id="343"/>
    </w:p>
    <w:p w14:paraId="252A7C03">
      <w:pPr>
        <w:pStyle w:val="22"/>
        <w:ind w:left="420" w:firstLine="0" w:firstLineChars="0"/>
        <w:jc w:val="left"/>
        <w:rPr>
          <w:rFonts w:ascii="仿宋" w:hAnsi="仿宋" w:eastAsia="仿宋" w:cs="仿宋"/>
        </w:rPr>
      </w:pPr>
    </w:p>
    <w:p w14:paraId="77E7432B">
      <w:pPr>
        <w:pStyle w:val="6"/>
        <w:spacing w:before="0" w:line="240" w:lineRule="atLeast"/>
        <w:ind w:left="1080" w:leftChars="257" w:hanging="540"/>
        <w:rPr>
          <w:rFonts w:hint="eastAsia" w:ascii="仿宋" w:hAnsi="仿宋" w:eastAsia="仿宋" w:cs="仿宋"/>
          <w:color w:val="auto"/>
          <w:sz w:val="24"/>
          <w:highlight w:val="none"/>
          <w:lang w:val="en-US" w:eastAsia="zh-CN"/>
        </w:rPr>
      </w:pPr>
      <w:bookmarkStart w:id="344" w:name="_Toc24362"/>
      <w:r>
        <w:rPr>
          <w:rFonts w:hint="eastAsia" w:ascii="仿宋" w:hAnsi="仿宋" w:eastAsia="仿宋" w:cs="仿宋"/>
          <w:color w:val="auto"/>
          <w:sz w:val="24"/>
          <w:highlight w:val="none"/>
          <w:lang w:val="en-US" w:eastAsia="zh-CN"/>
        </w:rPr>
        <w:t xml:space="preserve"> </w:t>
      </w:r>
    </w:p>
    <w:p w14:paraId="1E5B8E7E">
      <w:pPr>
        <w:pStyle w:val="6"/>
        <w:spacing w:before="0" w:line="240" w:lineRule="atLeas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10 、 </w:t>
      </w:r>
      <w:r>
        <w:rPr>
          <w:rFonts w:hint="eastAsia" w:ascii="仿宋" w:hAnsi="仿宋" w:eastAsia="仿宋" w:cs="仿宋"/>
          <w:color w:val="auto"/>
          <w:sz w:val="24"/>
          <w:highlight w:val="none"/>
        </w:rPr>
        <w:t>投标人须知资料表要求的其他资格证明文件</w:t>
      </w:r>
      <w:bookmarkEnd w:id="344"/>
    </w:p>
    <w:p w14:paraId="301DCEDA">
      <w:pPr>
        <w:spacing w:line="240" w:lineRule="atLeast"/>
        <w:ind w:left="1080" w:leftChars="257" w:hanging="540"/>
        <w:jc w:val="center"/>
        <w:rPr>
          <w:rFonts w:hint="eastAsia" w:ascii="仿宋" w:hAnsi="仿宋" w:eastAsia="仿宋" w:cs="仿宋"/>
          <w:b/>
          <w:bCs/>
          <w:color w:val="auto"/>
          <w:sz w:val="24"/>
          <w:highlight w:val="none"/>
        </w:rPr>
      </w:pPr>
    </w:p>
    <w:p w14:paraId="783BF511">
      <w:pPr>
        <w:spacing w:line="240" w:lineRule="atLeast"/>
        <w:ind w:left="1080" w:leftChars="257" w:hanging="540"/>
        <w:jc w:val="center"/>
        <w:rPr>
          <w:rFonts w:hint="eastAsia" w:ascii="仿宋" w:hAnsi="仿宋" w:eastAsia="仿宋" w:cs="仿宋"/>
          <w:b/>
          <w:bCs/>
          <w:color w:val="auto"/>
          <w:sz w:val="24"/>
          <w:highlight w:val="none"/>
        </w:rPr>
      </w:pPr>
    </w:p>
    <w:p w14:paraId="2D08E8C5">
      <w:pPr>
        <w:spacing w:line="240" w:lineRule="atLeast"/>
        <w:ind w:left="1080" w:leftChars="257" w:hanging="540"/>
        <w:jc w:val="center"/>
        <w:rPr>
          <w:rFonts w:hint="eastAsia" w:ascii="仿宋" w:hAnsi="仿宋" w:eastAsia="仿宋" w:cs="仿宋"/>
          <w:b/>
          <w:bCs/>
          <w:color w:val="auto"/>
          <w:sz w:val="24"/>
          <w:highlight w:val="none"/>
        </w:rPr>
      </w:pPr>
    </w:p>
    <w:p w14:paraId="6FB336C1">
      <w:pPr>
        <w:pStyle w:val="13"/>
        <w:tabs>
          <w:tab w:val="left" w:pos="5580"/>
        </w:tabs>
        <w:spacing w:line="240" w:lineRule="atLeas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说明：1.应提供</w:t>
      </w:r>
      <w:r>
        <w:rPr>
          <w:rFonts w:hint="eastAsia" w:ascii="仿宋" w:hAnsi="仿宋" w:eastAsia="仿宋" w:cs="仿宋"/>
          <w:color w:val="auto"/>
          <w:sz w:val="24"/>
          <w:highlight w:val="none"/>
          <w:u w:val="single"/>
        </w:rPr>
        <w:t>投标人须知资料表</w:t>
      </w:r>
      <w:r>
        <w:rPr>
          <w:rFonts w:hint="eastAsia" w:ascii="仿宋" w:hAnsi="仿宋" w:eastAsia="仿宋" w:cs="仿宋"/>
          <w:color w:val="auto"/>
          <w:sz w:val="24"/>
          <w:highlight w:val="none"/>
        </w:rPr>
        <w:t>要求的其他资格证明文件。</w:t>
      </w:r>
    </w:p>
    <w:p w14:paraId="765E3322">
      <w:pPr>
        <w:pStyle w:val="13"/>
        <w:tabs>
          <w:tab w:val="left" w:pos="5580"/>
        </w:tabs>
        <w:spacing w:line="240" w:lineRule="atLeas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2.复印件上应加盖本单位章（自然人投标的无需盖章，需要签字）。</w:t>
      </w:r>
    </w:p>
    <w:p w14:paraId="3EC8085A">
      <w:pPr>
        <w:pStyle w:val="13"/>
        <w:tabs>
          <w:tab w:val="left" w:pos="5580"/>
        </w:tabs>
        <w:spacing w:line="240" w:lineRule="atLeast"/>
        <w:ind w:left="1260" w:leftChars="344" w:hanging="538"/>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3. 如果是联合体投标，联合体各方需提供的满足招标文件要求的其他资格证明文件。</w:t>
      </w:r>
    </w:p>
    <w:p w14:paraId="722424B7">
      <w:pPr>
        <w:rPr>
          <w:rFonts w:ascii="仿宋" w:hAnsi="仿宋" w:eastAsia="仿宋" w:cs="仿宋"/>
          <w:sz w:val="24"/>
          <w:szCs w:val="24"/>
        </w:rPr>
      </w:pPr>
    </w:p>
    <w:bookmarkEnd w:id="322"/>
    <w:bookmarkEnd w:id="323"/>
    <w:bookmarkEnd w:id="324"/>
    <w:bookmarkEnd w:id="325"/>
    <w:bookmarkEnd w:id="326"/>
    <w:bookmarkEnd w:id="327"/>
    <w:bookmarkEnd w:id="328"/>
    <w:bookmarkEnd w:id="329"/>
    <w:p w14:paraId="30EDB0CB">
      <w:pPr>
        <w:pStyle w:val="13"/>
        <w:tabs>
          <w:tab w:val="left" w:pos="5580"/>
        </w:tabs>
        <w:spacing w:line="360" w:lineRule="exact"/>
        <w:rPr>
          <w:rFonts w:ascii="仿宋" w:hAnsi="仿宋" w:eastAsia="仿宋" w:cs="仿宋"/>
          <w:sz w:val="24"/>
          <w:szCs w:val="24"/>
          <w:u w:val="single"/>
        </w:rPr>
      </w:pPr>
    </w:p>
    <w:p w14:paraId="08C4B770">
      <w:pPr>
        <w:pStyle w:val="13"/>
        <w:tabs>
          <w:tab w:val="left" w:pos="5580"/>
        </w:tabs>
        <w:spacing w:line="360" w:lineRule="exact"/>
        <w:rPr>
          <w:rFonts w:ascii="仿宋" w:hAnsi="仿宋" w:eastAsia="仿宋" w:cs="仿宋"/>
          <w:sz w:val="24"/>
          <w:szCs w:val="24"/>
          <w:u w:val="single"/>
        </w:rPr>
      </w:pPr>
    </w:p>
    <w:p w14:paraId="20D9789D">
      <w:pPr>
        <w:pStyle w:val="13"/>
        <w:tabs>
          <w:tab w:val="left" w:pos="5580"/>
        </w:tabs>
        <w:spacing w:line="360" w:lineRule="exact"/>
        <w:rPr>
          <w:rFonts w:ascii="仿宋" w:hAnsi="仿宋" w:eastAsia="仿宋" w:cs="仿宋"/>
          <w:sz w:val="24"/>
          <w:szCs w:val="24"/>
          <w:u w:val="single"/>
        </w:rPr>
      </w:pPr>
    </w:p>
    <w:p w14:paraId="23700B46">
      <w:pPr>
        <w:pStyle w:val="13"/>
        <w:tabs>
          <w:tab w:val="left" w:pos="5580"/>
        </w:tabs>
        <w:spacing w:line="360" w:lineRule="exact"/>
        <w:rPr>
          <w:rFonts w:ascii="仿宋" w:hAnsi="仿宋" w:eastAsia="仿宋" w:cs="仿宋"/>
          <w:sz w:val="24"/>
          <w:szCs w:val="24"/>
          <w:u w:val="single"/>
        </w:rPr>
      </w:pPr>
    </w:p>
    <w:p w14:paraId="47F4304F">
      <w:pPr>
        <w:pStyle w:val="13"/>
        <w:tabs>
          <w:tab w:val="left" w:pos="5580"/>
        </w:tabs>
        <w:spacing w:line="360" w:lineRule="exact"/>
        <w:rPr>
          <w:rFonts w:ascii="仿宋" w:hAnsi="仿宋" w:eastAsia="仿宋" w:cs="仿宋"/>
          <w:sz w:val="24"/>
          <w:szCs w:val="24"/>
          <w:u w:val="single"/>
        </w:rPr>
      </w:pPr>
    </w:p>
    <w:p w14:paraId="679466B8">
      <w:pPr>
        <w:pStyle w:val="13"/>
        <w:tabs>
          <w:tab w:val="left" w:pos="5580"/>
        </w:tabs>
        <w:spacing w:line="360" w:lineRule="exact"/>
        <w:rPr>
          <w:rFonts w:ascii="仿宋" w:hAnsi="仿宋" w:eastAsia="仿宋" w:cs="仿宋"/>
          <w:sz w:val="24"/>
          <w:szCs w:val="24"/>
          <w:u w:val="single"/>
        </w:rPr>
      </w:pPr>
    </w:p>
    <w:p w14:paraId="5E3EAD36">
      <w:pPr>
        <w:pStyle w:val="13"/>
        <w:tabs>
          <w:tab w:val="left" w:pos="5580"/>
        </w:tabs>
        <w:spacing w:line="360" w:lineRule="exact"/>
        <w:rPr>
          <w:rFonts w:ascii="仿宋" w:hAnsi="仿宋" w:eastAsia="仿宋" w:cs="仿宋"/>
          <w:sz w:val="24"/>
          <w:szCs w:val="24"/>
          <w:u w:val="single"/>
        </w:rPr>
        <w:sectPr>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linePitch="312" w:charSpace="0"/>
        </w:sectPr>
      </w:pPr>
    </w:p>
    <w:p w14:paraId="2ED7FF6F">
      <w:pPr>
        <w:pStyle w:val="6"/>
        <w:spacing w:before="0" w:line="240" w:lineRule="atLeast"/>
        <w:ind w:left="1080" w:leftChars="257" w:hanging="540"/>
        <w:rPr>
          <w:rFonts w:ascii="仿宋" w:hAnsi="仿宋" w:eastAsia="仿宋" w:cs="仿宋"/>
          <w:sz w:val="24"/>
          <w:szCs w:val="24"/>
        </w:rPr>
      </w:pPr>
      <w:bookmarkStart w:id="345" w:name="_Toc11956"/>
      <w:bookmarkStart w:id="346" w:name="_Toc11180"/>
      <w:bookmarkStart w:id="347" w:name="_Toc4671"/>
      <w:bookmarkStart w:id="348" w:name="_Toc25827"/>
      <w:bookmarkStart w:id="349" w:name="_Toc12440"/>
      <w:bookmarkStart w:id="350" w:name="_Toc3552"/>
      <w:bookmarkStart w:id="351" w:name="_Toc515647816"/>
      <w:bookmarkStart w:id="352" w:name="_Toc22967"/>
      <w:r>
        <w:rPr>
          <w:rFonts w:hint="eastAsia" w:ascii="仿宋" w:hAnsi="仿宋" w:eastAsia="仿宋" w:cs="仿宋"/>
          <w:sz w:val="24"/>
          <w:szCs w:val="24"/>
        </w:rPr>
        <w:t>第二部分  商务及技术文件</w:t>
      </w:r>
      <w:bookmarkEnd w:id="345"/>
      <w:bookmarkEnd w:id="346"/>
      <w:bookmarkEnd w:id="347"/>
      <w:bookmarkEnd w:id="348"/>
      <w:bookmarkEnd w:id="349"/>
      <w:bookmarkEnd w:id="350"/>
      <w:bookmarkEnd w:id="351"/>
      <w:bookmarkEnd w:id="352"/>
    </w:p>
    <w:p w14:paraId="44840EE5">
      <w:pPr>
        <w:pStyle w:val="13"/>
        <w:spacing w:line="360" w:lineRule="auto"/>
        <w:rPr>
          <w:rFonts w:ascii="仿宋" w:hAnsi="仿宋" w:eastAsia="仿宋" w:cs="仿宋"/>
          <w:sz w:val="24"/>
          <w:szCs w:val="24"/>
        </w:rPr>
      </w:pPr>
      <w:r>
        <w:rPr>
          <w:rFonts w:hint="eastAsia" w:ascii="仿宋" w:hAnsi="仿宋" w:eastAsia="仿宋" w:cs="仿宋"/>
          <w:sz w:val="24"/>
          <w:szCs w:val="24"/>
        </w:rPr>
        <w:t>1、磋商书（磋商文件格式六）</w:t>
      </w:r>
    </w:p>
    <w:p w14:paraId="2B1DE6FD">
      <w:pPr>
        <w:pStyle w:val="13"/>
        <w:spacing w:line="360" w:lineRule="auto"/>
        <w:rPr>
          <w:rFonts w:ascii="仿宋" w:hAnsi="仿宋" w:eastAsia="仿宋" w:cs="仿宋"/>
          <w:sz w:val="24"/>
          <w:szCs w:val="24"/>
        </w:rPr>
      </w:pPr>
      <w:r>
        <w:rPr>
          <w:rFonts w:hint="eastAsia" w:ascii="仿宋" w:hAnsi="仿宋" w:eastAsia="仿宋" w:cs="仿宋"/>
          <w:sz w:val="24"/>
          <w:szCs w:val="24"/>
        </w:rPr>
        <w:t>2、磋商分项报价表（磋商文件格式七）</w:t>
      </w:r>
    </w:p>
    <w:p w14:paraId="52D56E76">
      <w:pPr>
        <w:pStyle w:val="13"/>
        <w:spacing w:line="360" w:lineRule="auto"/>
        <w:rPr>
          <w:rFonts w:ascii="仿宋" w:hAnsi="仿宋" w:eastAsia="仿宋" w:cs="仿宋"/>
          <w:sz w:val="24"/>
          <w:szCs w:val="24"/>
        </w:rPr>
      </w:pPr>
      <w:r>
        <w:rPr>
          <w:rFonts w:hint="eastAsia" w:ascii="仿宋" w:hAnsi="仿宋" w:eastAsia="仿宋" w:cs="仿宋"/>
          <w:sz w:val="24"/>
          <w:szCs w:val="24"/>
        </w:rPr>
        <w:t>3、服务说明一览表（磋商文件格式八）</w:t>
      </w:r>
    </w:p>
    <w:p w14:paraId="55D242C2">
      <w:pPr>
        <w:pStyle w:val="13"/>
        <w:spacing w:line="360" w:lineRule="auto"/>
        <w:rPr>
          <w:rFonts w:ascii="仿宋" w:hAnsi="仿宋" w:eastAsia="仿宋" w:cs="仿宋"/>
          <w:sz w:val="24"/>
          <w:szCs w:val="24"/>
        </w:rPr>
      </w:pPr>
      <w:r>
        <w:rPr>
          <w:rFonts w:hint="eastAsia" w:ascii="仿宋" w:hAnsi="仿宋" w:eastAsia="仿宋" w:cs="仿宋"/>
          <w:sz w:val="24"/>
          <w:szCs w:val="24"/>
        </w:rPr>
        <w:t>4、商务条款偏离表（磋商文件格式十）</w:t>
      </w:r>
    </w:p>
    <w:p w14:paraId="7E460964">
      <w:pPr>
        <w:pStyle w:val="13"/>
        <w:spacing w:line="360" w:lineRule="auto"/>
        <w:rPr>
          <w:rFonts w:ascii="仿宋" w:hAnsi="仿宋" w:eastAsia="仿宋" w:cs="仿宋"/>
          <w:sz w:val="24"/>
          <w:szCs w:val="24"/>
        </w:rPr>
      </w:pPr>
      <w:r>
        <w:rPr>
          <w:rFonts w:hint="eastAsia" w:ascii="仿宋" w:hAnsi="仿宋" w:eastAsia="仿宋" w:cs="仿宋"/>
          <w:sz w:val="24"/>
          <w:szCs w:val="24"/>
        </w:rPr>
        <w:t>5、符合《政府采购促进中小企业发展管理办法》、《关于进一步加大政府采购支持中小企业力度的通知》、《关于政府采购支持监狱企业发展有关问题的通知》和《三部门联合发布关于促进残疾人就业政府采购政策的通知》价格扣减条件的投标人须提交</w:t>
      </w:r>
    </w:p>
    <w:p w14:paraId="3A11EF93">
      <w:pPr>
        <w:pStyle w:val="13"/>
        <w:spacing w:line="360" w:lineRule="auto"/>
        <w:rPr>
          <w:rFonts w:ascii="仿宋" w:hAnsi="仿宋" w:eastAsia="仿宋" w:cs="仿宋"/>
          <w:sz w:val="24"/>
          <w:szCs w:val="24"/>
        </w:rPr>
      </w:pPr>
      <w:r>
        <w:rPr>
          <w:rFonts w:hint="eastAsia" w:ascii="仿宋" w:hAnsi="仿宋" w:eastAsia="仿宋" w:cs="仿宋"/>
          <w:sz w:val="24"/>
          <w:szCs w:val="24"/>
        </w:rPr>
        <w:t>5-1、《</w:t>
      </w:r>
      <w:r>
        <w:rPr>
          <w:rFonts w:hint="eastAsia" w:ascii="仿宋" w:hAnsi="仿宋" w:eastAsia="仿宋" w:cs="仿宋"/>
          <w:sz w:val="24"/>
          <w:szCs w:val="24"/>
          <w:lang w:eastAsia="zh-CN"/>
        </w:rPr>
        <w:t>投标人</w:t>
      </w:r>
      <w:r>
        <w:rPr>
          <w:rFonts w:hint="eastAsia" w:ascii="仿宋" w:hAnsi="仿宋" w:eastAsia="仿宋" w:cs="仿宋"/>
          <w:sz w:val="24"/>
          <w:szCs w:val="24"/>
        </w:rPr>
        <w:t>企业（单位）类型声明函》（磋商文件格式十一）</w:t>
      </w:r>
    </w:p>
    <w:p w14:paraId="3195CF1D">
      <w:pPr>
        <w:pStyle w:val="13"/>
        <w:spacing w:line="360" w:lineRule="auto"/>
        <w:rPr>
          <w:rFonts w:ascii="仿宋" w:hAnsi="仿宋" w:eastAsia="仿宋" w:cs="仿宋"/>
          <w:sz w:val="24"/>
          <w:szCs w:val="24"/>
        </w:rPr>
      </w:pPr>
      <w:r>
        <w:rPr>
          <w:rFonts w:hint="eastAsia" w:ascii="仿宋" w:hAnsi="仿宋" w:eastAsia="仿宋" w:cs="仿宋"/>
          <w:sz w:val="24"/>
          <w:szCs w:val="24"/>
        </w:rPr>
        <w:t>5-2、《残疾人福利性单位声明函》（磋商文件格式十三）</w:t>
      </w:r>
    </w:p>
    <w:p w14:paraId="2463EE27">
      <w:pPr>
        <w:pStyle w:val="13"/>
        <w:spacing w:line="360" w:lineRule="auto"/>
        <w:rPr>
          <w:rFonts w:ascii="仿宋" w:hAnsi="仿宋" w:eastAsia="仿宋" w:cs="仿宋"/>
          <w:sz w:val="24"/>
          <w:szCs w:val="24"/>
        </w:rPr>
      </w:pPr>
      <w:r>
        <w:rPr>
          <w:rFonts w:hint="eastAsia" w:ascii="仿宋" w:hAnsi="仿宋" w:eastAsia="仿宋" w:cs="仿宋"/>
          <w:sz w:val="24"/>
          <w:szCs w:val="24"/>
        </w:rPr>
        <w:t>6、供应商关联单位的说明（格式自拟）</w:t>
      </w:r>
    </w:p>
    <w:p w14:paraId="461F709D">
      <w:pPr>
        <w:pStyle w:val="13"/>
        <w:spacing w:line="360" w:lineRule="auto"/>
        <w:rPr>
          <w:rFonts w:ascii="仿宋" w:hAnsi="仿宋" w:eastAsia="仿宋" w:cs="仿宋"/>
          <w:sz w:val="24"/>
          <w:szCs w:val="24"/>
        </w:rPr>
      </w:pPr>
      <w:r>
        <w:rPr>
          <w:rFonts w:hint="eastAsia" w:ascii="仿宋" w:hAnsi="仿宋" w:eastAsia="仿宋" w:cs="仿宋"/>
          <w:sz w:val="24"/>
          <w:szCs w:val="24"/>
        </w:rPr>
        <w:t>7、响应文件还应包括供应商须知第10条的所有技术文件</w:t>
      </w:r>
    </w:p>
    <w:p w14:paraId="176DE541">
      <w:pPr>
        <w:spacing w:line="360" w:lineRule="auto"/>
        <w:rPr>
          <w:rFonts w:ascii="仿宋" w:hAnsi="仿宋" w:eastAsia="仿宋" w:cs="仿宋"/>
          <w:bCs/>
          <w:sz w:val="24"/>
        </w:rPr>
      </w:pPr>
      <w:bookmarkStart w:id="353" w:name="_Toc30163"/>
      <w:bookmarkStart w:id="354" w:name="_Toc9302"/>
      <w:r>
        <w:rPr>
          <w:rFonts w:hint="eastAsia" w:ascii="仿宋" w:hAnsi="仿宋" w:eastAsia="仿宋" w:cs="仿宋"/>
          <w:bCs/>
          <w:sz w:val="24"/>
        </w:rPr>
        <w:t>8、提供有利于磋商的其他证明材料</w:t>
      </w:r>
      <w:bookmarkEnd w:id="353"/>
      <w:bookmarkEnd w:id="354"/>
    </w:p>
    <w:p w14:paraId="2F93B0E1">
      <w:pPr>
        <w:spacing w:line="360" w:lineRule="auto"/>
        <w:rPr>
          <w:rFonts w:ascii="仿宋" w:hAnsi="仿宋" w:eastAsia="仿宋" w:cs="仿宋"/>
          <w:sz w:val="24"/>
        </w:rPr>
      </w:pPr>
      <w:r>
        <w:rPr>
          <w:rFonts w:hint="eastAsia" w:ascii="仿宋" w:hAnsi="仿宋" w:eastAsia="仿宋" w:cs="仿宋"/>
          <w:sz w:val="24"/>
        </w:rPr>
        <w:t>9、磋商文件格式范本</w:t>
      </w:r>
    </w:p>
    <w:p w14:paraId="08EC0CBB">
      <w:pPr>
        <w:pStyle w:val="13"/>
        <w:ind w:left="1080" w:leftChars="257" w:hanging="540"/>
        <w:rPr>
          <w:rFonts w:ascii="仿宋" w:hAnsi="仿宋" w:eastAsia="仿宋" w:cs="仿宋"/>
          <w:sz w:val="24"/>
          <w:szCs w:val="24"/>
        </w:rPr>
      </w:pPr>
    </w:p>
    <w:p w14:paraId="748B65D4">
      <w:pPr>
        <w:pStyle w:val="13"/>
        <w:tabs>
          <w:tab w:val="left" w:pos="5580"/>
        </w:tabs>
        <w:spacing w:line="240" w:lineRule="atLeast"/>
        <w:rPr>
          <w:rFonts w:ascii="仿宋" w:hAnsi="仿宋" w:eastAsia="仿宋" w:cs="仿宋"/>
          <w:sz w:val="24"/>
          <w:szCs w:val="24"/>
        </w:rPr>
      </w:pPr>
    </w:p>
    <w:p w14:paraId="36FE944C">
      <w:pPr>
        <w:pStyle w:val="13"/>
        <w:tabs>
          <w:tab w:val="left" w:pos="5580"/>
        </w:tabs>
        <w:spacing w:line="240" w:lineRule="atLeast"/>
        <w:rPr>
          <w:rFonts w:ascii="仿宋" w:hAnsi="仿宋" w:eastAsia="仿宋" w:cs="仿宋"/>
          <w:sz w:val="24"/>
          <w:szCs w:val="24"/>
        </w:rPr>
      </w:pPr>
    </w:p>
    <w:p w14:paraId="522B8A7E">
      <w:pPr>
        <w:pStyle w:val="13"/>
        <w:tabs>
          <w:tab w:val="left" w:pos="5580"/>
        </w:tabs>
        <w:spacing w:line="240" w:lineRule="atLeast"/>
        <w:rPr>
          <w:rFonts w:ascii="仿宋" w:hAnsi="仿宋" w:eastAsia="仿宋" w:cs="仿宋"/>
          <w:sz w:val="24"/>
          <w:szCs w:val="24"/>
        </w:rPr>
      </w:pPr>
    </w:p>
    <w:p w14:paraId="7F0311ED">
      <w:pPr>
        <w:pStyle w:val="13"/>
        <w:tabs>
          <w:tab w:val="left" w:pos="5580"/>
        </w:tabs>
        <w:spacing w:line="240" w:lineRule="atLeast"/>
        <w:rPr>
          <w:rFonts w:ascii="仿宋" w:hAnsi="仿宋" w:eastAsia="仿宋" w:cs="仿宋"/>
          <w:sz w:val="24"/>
          <w:szCs w:val="24"/>
        </w:rPr>
      </w:pPr>
    </w:p>
    <w:p w14:paraId="5929401C">
      <w:pPr>
        <w:pStyle w:val="13"/>
        <w:tabs>
          <w:tab w:val="left" w:pos="5580"/>
        </w:tabs>
        <w:spacing w:line="240" w:lineRule="atLeast"/>
        <w:rPr>
          <w:rFonts w:ascii="仿宋" w:hAnsi="仿宋" w:eastAsia="仿宋" w:cs="仿宋"/>
          <w:sz w:val="24"/>
          <w:szCs w:val="24"/>
        </w:rPr>
      </w:pPr>
    </w:p>
    <w:p w14:paraId="509EAF65">
      <w:pPr>
        <w:pStyle w:val="13"/>
        <w:tabs>
          <w:tab w:val="left" w:pos="5580"/>
        </w:tabs>
        <w:spacing w:line="240" w:lineRule="atLeast"/>
        <w:rPr>
          <w:rFonts w:ascii="仿宋" w:hAnsi="仿宋" w:eastAsia="仿宋" w:cs="仿宋"/>
          <w:sz w:val="24"/>
          <w:szCs w:val="24"/>
        </w:rPr>
      </w:pPr>
    </w:p>
    <w:p w14:paraId="517FD3EC">
      <w:pPr>
        <w:pStyle w:val="13"/>
        <w:tabs>
          <w:tab w:val="left" w:pos="5580"/>
        </w:tabs>
        <w:spacing w:line="240" w:lineRule="atLeast"/>
        <w:rPr>
          <w:rFonts w:ascii="仿宋" w:hAnsi="仿宋" w:eastAsia="仿宋" w:cs="仿宋"/>
          <w:sz w:val="24"/>
          <w:szCs w:val="24"/>
        </w:rPr>
      </w:pPr>
    </w:p>
    <w:p w14:paraId="70721895">
      <w:pPr>
        <w:pStyle w:val="13"/>
        <w:tabs>
          <w:tab w:val="left" w:pos="5580"/>
        </w:tabs>
        <w:spacing w:line="240" w:lineRule="atLeast"/>
        <w:rPr>
          <w:rFonts w:ascii="仿宋" w:hAnsi="仿宋" w:eastAsia="仿宋" w:cs="仿宋"/>
          <w:sz w:val="24"/>
          <w:szCs w:val="24"/>
        </w:rPr>
      </w:pPr>
    </w:p>
    <w:p w14:paraId="3102C1DC">
      <w:pPr>
        <w:pStyle w:val="13"/>
        <w:tabs>
          <w:tab w:val="left" w:pos="5580"/>
        </w:tabs>
        <w:spacing w:line="240" w:lineRule="atLeast"/>
        <w:rPr>
          <w:rFonts w:ascii="仿宋" w:hAnsi="仿宋" w:eastAsia="仿宋" w:cs="仿宋"/>
          <w:sz w:val="24"/>
          <w:szCs w:val="24"/>
        </w:rPr>
      </w:pPr>
    </w:p>
    <w:p w14:paraId="74D75AE8">
      <w:pPr>
        <w:pStyle w:val="13"/>
        <w:tabs>
          <w:tab w:val="left" w:pos="5580"/>
        </w:tabs>
        <w:spacing w:line="240" w:lineRule="atLeast"/>
        <w:rPr>
          <w:rFonts w:ascii="仿宋" w:hAnsi="仿宋" w:eastAsia="仿宋" w:cs="仿宋"/>
          <w:sz w:val="24"/>
          <w:szCs w:val="24"/>
        </w:rPr>
      </w:pPr>
    </w:p>
    <w:p w14:paraId="3D881ADD">
      <w:pPr>
        <w:pStyle w:val="13"/>
        <w:tabs>
          <w:tab w:val="left" w:pos="5580"/>
        </w:tabs>
        <w:spacing w:line="240" w:lineRule="atLeast"/>
        <w:rPr>
          <w:rFonts w:ascii="仿宋" w:hAnsi="仿宋" w:eastAsia="仿宋" w:cs="仿宋"/>
          <w:sz w:val="24"/>
          <w:szCs w:val="24"/>
        </w:rPr>
      </w:pPr>
    </w:p>
    <w:p w14:paraId="4DD928E9">
      <w:pPr>
        <w:pStyle w:val="13"/>
        <w:tabs>
          <w:tab w:val="left" w:pos="5580"/>
        </w:tabs>
        <w:spacing w:line="240" w:lineRule="atLeast"/>
        <w:rPr>
          <w:rFonts w:ascii="仿宋" w:hAnsi="仿宋" w:eastAsia="仿宋" w:cs="仿宋"/>
          <w:sz w:val="24"/>
          <w:szCs w:val="24"/>
        </w:rPr>
      </w:pPr>
    </w:p>
    <w:p w14:paraId="377FFABD">
      <w:pPr>
        <w:pStyle w:val="13"/>
        <w:tabs>
          <w:tab w:val="left" w:pos="5580"/>
        </w:tabs>
        <w:spacing w:line="240" w:lineRule="atLeast"/>
        <w:rPr>
          <w:rFonts w:ascii="仿宋" w:hAnsi="仿宋" w:eastAsia="仿宋" w:cs="仿宋"/>
          <w:sz w:val="24"/>
          <w:szCs w:val="24"/>
        </w:rPr>
      </w:pPr>
    </w:p>
    <w:p w14:paraId="202FD647">
      <w:pPr>
        <w:pStyle w:val="13"/>
        <w:tabs>
          <w:tab w:val="left" w:pos="5580"/>
        </w:tabs>
        <w:spacing w:line="240" w:lineRule="atLeast"/>
        <w:rPr>
          <w:rFonts w:ascii="仿宋" w:hAnsi="仿宋" w:eastAsia="仿宋" w:cs="仿宋"/>
          <w:sz w:val="24"/>
          <w:szCs w:val="24"/>
        </w:rPr>
      </w:pPr>
    </w:p>
    <w:p w14:paraId="4E484CEF">
      <w:pPr>
        <w:pStyle w:val="13"/>
        <w:tabs>
          <w:tab w:val="left" w:pos="5580"/>
        </w:tabs>
        <w:spacing w:line="240" w:lineRule="atLeast"/>
        <w:rPr>
          <w:rFonts w:ascii="仿宋" w:hAnsi="仿宋" w:eastAsia="仿宋" w:cs="仿宋"/>
          <w:sz w:val="24"/>
          <w:szCs w:val="24"/>
        </w:rPr>
      </w:pPr>
    </w:p>
    <w:p w14:paraId="35501F1B">
      <w:pPr>
        <w:pStyle w:val="13"/>
        <w:tabs>
          <w:tab w:val="left" w:pos="5580"/>
        </w:tabs>
        <w:spacing w:line="240" w:lineRule="atLeast"/>
        <w:rPr>
          <w:rFonts w:ascii="仿宋" w:hAnsi="仿宋" w:eastAsia="仿宋" w:cs="仿宋"/>
          <w:sz w:val="24"/>
          <w:szCs w:val="24"/>
        </w:rPr>
      </w:pPr>
    </w:p>
    <w:p w14:paraId="29ECF143">
      <w:pPr>
        <w:pStyle w:val="13"/>
        <w:tabs>
          <w:tab w:val="left" w:pos="5580"/>
        </w:tabs>
        <w:spacing w:line="240" w:lineRule="atLeast"/>
        <w:rPr>
          <w:rFonts w:ascii="仿宋" w:hAnsi="仿宋" w:eastAsia="仿宋" w:cs="仿宋"/>
          <w:sz w:val="24"/>
          <w:szCs w:val="24"/>
        </w:rPr>
      </w:pPr>
    </w:p>
    <w:p w14:paraId="16D16D17">
      <w:pPr>
        <w:pStyle w:val="13"/>
        <w:tabs>
          <w:tab w:val="left" w:pos="5580"/>
        </w:tabs>
        <w:spacing w:line="240" w:lineRule="atLeast"/>
        <w:rPr>
          <w:rFonts w:ascii="仿宋" w:hAnsi="仿宋" w:eastAsia="仿宋" w:cs="仿宋"/>
          <w:sz w:val="24"/>
          <w:szCs w:val="24"/>
        </w:rPr>
      </w:pPr>
    </w:p>
    <w:p w14:paraId="16B96637">
      <w:pPr>
        <w:pStyle w:val="13"/>
        <w:tabs>
          <w:tab w:val="left" w:pos="5580"/>
        </w:tabs>
        <w:spacing w:line="240" w:lineRule="atLeast"/>
        <w:rPr>
          <w:rFonts w:ascii="仿宋" w:hAnsi="仿宋" w:eastAsia="仿宋" w:cs="仿宋"/>
          <w:sz w:val="24"/>
          <w:szCs w:val="24"/>
        </w:rPr>
      </w:pPr>
    </w:p>
    <w:p w14:paraId="6F6ECA56">
      <w:pPr>
        <w:pStyle w:val="13"/>
        <w:tabs>
          <w:tab w:val="left" w:pos="5580"/>
        </w:tabs>
        <w:spacing w:line="240" w:lineRule="atLeast"/>
        <w:rPr>
          <w:rFonts w:ascii="仿宋" w:hAnsi="仿宋" w:eastAsia="仿宋" w:cs="仿宋"/>
          <w:sz w:val="24"/>
          <w:szCs w:val="24"/>
        </w:rPr>
      </w:pPr>
    </w:p>
    <w:p w14:paraId="0FF8D7CC">
      <w:pPr>
        <w:pStyle w:val="13"/>
        <w:tabs>
          <w:tab w:val="left" w:pos="5580"/>
        </w:tabs>
        <w:spacing w:line="240" w:lineRule="atLeast"/>
        <w:rPr>
          <w:rFonts w:ascii="仿宋" w:hAnsi="仿宋" w:eastAsia="仿宋" w:cs="仿宋"/>
          <w:sz w:val="24"/>
          <w:szCs w:val="24"/>
        </w:rPr>
      </w:pPr>
    </w:p>
    <w:p w14:paraId="74AC6E23">
      <w:pPr>
        <w:pStyle w:val="13"/>
        <w:tabs>
          <w:tab w:val="left" w:pos="5580"/>
        </w:tabs>
        <w:spacing w:line="240" w:lineRule="atLeast"/>
        <w:rPr>
          <w:rFonts w:ascii="仿宋" w:hAnsi="仿宋" w:eastAsia="仿宋" w:cs="仿宋"/>
          <w:sz w:val="24"/>
          <w:szCs w:val="24"/>
        </w:rPr>
      </w:pPr>
    </w:p>
    <w:p w14:paraId="2E6AF2C5">
      <w:pPr>
        <w:pStyle w:val="13"/>
        <w:tabs>
          <w:tab w:val="left" w:pos="5580"/>
        </w:tabs>
        <w:spacing w:line="240" w:lineRule="atLeast"/>
        <w:rPr>
          <w:rFonts w:ascii="仿宋" w:hAnsi="仿宋" w:eastAsia="仿宋" w:cs="仿宋"/>
          <w:sz w:val="24"/>
          <w:szCs w:val="24"/>
        </w:rPr>
      </w:pPr>
    </w:p>
    <w:p w14:paraId="5AF74491">
      <w:pPr>
        <w:pStyle w:val="6"/>
        <w:spacing w:before="0" w:line="240" w:lineRule="atLeast"/>
        <w:ind w:left="1080" w:leftChars="257" w:hanging="540"/>
        <w:rPr>
          <w:rFonts w:ascii="仿宋" w:hAnsi="仿宋" w:eastAsia="仿宋" w:cs="仿宋"/>
          <w:sz w:val="24"/>
        </w:rPr>
      </w:pPr>
      <w:bookmarkStart w:id="355" w:name="_Toc11475"/>
      <w:bookmarkStart w:id="356" w:name="_Toc22432"/>
      <w:bookmarkStart w:id="357" w:name="_Toc12852"/>
      <w:bookmarkStart w:id="358" w:name="_Toc17319"/>
      <w:bookmarkStart w:id="359" w:name="_Toc14915"/>
      <w:bookmarkStart w:id="360" w:name="_Toc18506"/>
      <w:bookmarkStart w:id="361" w:name="_Toc2041"/>
      <w:bookmarkStart w:id="362" w:name="_Toc8940"/>
      <w:bookmarkStart w:id="363" w:name="_Toc14858"/>
      <w:bookmarkStart w:id="364" w:name="_Toc515647817"/>
      <w:bookmarkStart w:id="365" w:name="_Toc18614"/>
      <w:r>
        <w:rPr>
          <w:rFonts w:hint="eastAsia" w:ascii="仿宋" w:hAnsi="仿宋" w:eastAsia="仿宋" w:cs="仿宋"/>
          <w:sz w:val="24"/>
          <w:szCs w:val="24"/>
        </w:rPr>
        <w:t>1</w:t>
      </w:r>
      <w:bookmarkEnd w:id="291"/>
      <w:bookmarkEnd w:id="292"/>
      <w:bookmarkStart w:id="366" w:name="_Hlt520355504"/>
      <w:bookmarkEnd w:id="366"/>
      <w:r>
        <w:rPr>
          <w:rFonts w:hint="eastAsia" w:ascii="仿宋" w:hAnsi="仿宋" w:eastAsia="仿宋" w:cs="仿宋"/>
          <w:sz w:val="24"/>
          <w:szCs w:val="24"/>
        </w:rPr>
        <w:t>、磋商书</w:t>
      </w:r>
      <w:bookmarkEnd w:id="293"/>
      <w:r>
        <w:rPr>
          <w:rFonts w:hint="eastAsia" w:ascii="仿宋" w:hAnsi="仿宋" w:eastAsia="仿宋" w:cs="仿宋"/>
          <w:sz w:val="24"/>
          <w:szCs w:val="24"/>
        </w:rPr>
        <w:t>（磋商文件格式六）</w:t>
      </w:r>
      <w:bookmarkEnd w:id="294"/>
      <w:bookmarkEnd w:id="355"/>
      <w:bookmarkEnd w:id="356"/>
      <w:bookmarkEnd w:id="357"/>
      <w:bookmarkEnd w:id="358"/>
      <w:bookmarkEnd w:id="359"/>
      <w:bookmarkEnd w:id="360"/>
      <w:bookmarkEnd w:id="361"/>
      <w:bookmarkEnd w:id="362"/>
      <w:bookmarkEnd w:id="363"/>
      <w:bookmarkEnd w:id="364"/>
      <w:bookmarkEnd w:id="365"/>
    </w:p>
    <w:p w14:paraId="4C1D1A46">
      <w:pPr>
        <w:tabs>
          <w:tab w:val="left" w:pos="5580"/>
        </w:tabs>
        <w:spacing w:line="240" w:lineRule="atLeast"/>
        <w:ind w:left="1080" w:hanging="1080"/>
        <w:rPr>
          <w:rFonts w:ascii="仿宋" w:hAnsi="仿宋" w:eastAsia="仿宋" w:cs="仿宋"/>
          <w:sz w:val="24"/>
        </w:rPr>
      </w:pPr>
      <w:r>
        <w:rPr>
          <w:rFonts w:hint="eastAsia" w:ascii="仿宋" w:hAnsi="仿宋" w:eastAsia="仿宋" w:cs="仿宋"/>
          <w:sz w:val="24"/>
        </w:rPr>
        <w:t>致：</w:t>
      </w:r>
    </w:p>
    <w:p w14:paraId="788615CA">
      <w:pPr>
        <w:pStyle w:val="13"/>
        <w:tabs>
          <w:tab w:val="left" w:pos="5580"/>
        </w:tabs>
        <w:spacing w:line="240" w:lineRule="atLeast"/>
        <w:ind w:left="2" w:leftChars="1" w:firstLine="480" w:firstLineChars="200"/>
        <w:rPr>
          <w:rFonts w:ascii="仿宋" w:hAnsi="仿宋" w:eastAsia="仿宋" w:cs="仿宋"/>
          <w:sz w:val="24"/>
          <w:szCs w:val="24"/>
        </w:rPr>
      </w:pPr>
      <w:r>
        <w:rPr>
          <w:rFonts w:hint="eastAsia" w:ascii="仿宋" w:hAnsi="仿宋" w:eastAsia="仿宋" w:cs="仿宋"/>
          <w:sz w:val="24"/>
          <w:szCs w:val="24"/>
        </w:rPr>
        <w:t>根据贵方(</w:t>
      </w:r>
      <w:r>
        <w:rPr>
          <w:rFonts w:hint="eastAsia" w:ascii="仿宋" w:hAnsi="仿宋" w:eastAsia="仿宋" w:cs="仿宋"/>
          <w:i/>
          <w:sz w:val="24"/>
          <w:szCs w:val="24"/>
          <w:u w:val="single"/>
        </w:rPr>
        <w:t>项目名称</w:t>
      </w:r>
      <w:r>
        <w:rPr>
          <w:rFonts w:hint="eastAsia" w:ascii="仿宋" w:hAnsi="仿宋" w:eastAsia="仿宋" w:cs="仿宋"/>
          <w:sz w:val="24"/>
          <w:szCs w:val="24"/>
        </w:rPr>
        <w:t>)项目的磋商邀请(</w:t>
      </w:r>
      <w:r>
        <w:rPr>
          <w:rFonts w:hint="eastAsia" w:ascii="仿宋" w:hAnsi="仿宋" w:eastAsia="仿宋" w:cs="仿宋"/>
          <w:i/>
          <w:sz w:val="24"/>
          <w:szCs w:val="24"/>
          <w:u w:val="single"/>
        </w:rPr>
        <w:t>项目编号</w:t>
      </w:r>
      <w:r>
        <w:rPr>
          <w:rFonts w:hint="eastAsia" w:ascii="仿宋" w:hAnsi="仿宋" w:eastAsia="仿宋" w:cs="仿宋"/>
          <w:sz w:val="24"/>
          <w:szCs w:val="24"/>
        </w:rPr>
        <w:t>),签字代表(</w:t>
      </w:r>
      <w:r>
        <w:rPr>
          <w:rFonts w:hint="eastAsia" w:ascii="仿宋" w:hAnsi="仿宋" w:eastAsia="仿宋" w:cs="仿宋"/>
          <w:i/>
          <w:sz w:val="24"/>
          <w:szCs w:val="24"/>
          <w:u w:val="single"/>
        </w:rPr>
        <w:t>姓名、职务</w:t>
      </w:r>
      <w:r>
        <w:rPr>
          <w:rFonts w:hint="eastAsia" w:ascii="仿宋" w:hAnsi="仿宋" w:eastAsia="仿宋" w:cs="仿宋"/>
          <w:sz w:val="24"/>
          <w:szCs w:val="24"/>
        </w:rPr>
        <w:t>)经正式授权并代表供应商（</w:t>
      </w:r>
      <w:r>
        <w:rPr>
          <w:rFonts w:hint="eastAsia" w:ascii="仿宋" w:hAnsi="仿宋" w:eastAsia="仿宋" w:cs="仿宋"/>
          <w:i/>
          <w:sz w:val="24"/>
          <w:szCs w:val="24"/>
          <w:u w:val="single"/>
        </w:rPr>
        <w:t>名称、地址</w:t>
      </w:r>
      <w:r>
        <w:rPr>
          <w:rFonts w:hint="eastAsia" w:ascii="仿宋" w:hAnsi="仿宋" w:eastAsia="仿宋" w:cs="仿宋"/>
          <w:sz w:val="24"/>
          <w:szCs w:val="24"/>
        </w:rPr>
        <w:t>），并以</w:t>
      </w:r>
      <w:r>
        <w:rPr>
          <w:rFonts w:hint="eastAsia" w:ascii="仿宋" w:hAnsi="仿宋" w:eastAsia="仿宋" w:cs="仿宋"/>
          <w:sz w:val="24"/>
          <w:szCs w:val="24"/>
          <w:u w:val="single"/>
        </w:rPr>
        <w:t xml:space="preserve">         </w:t>
      </w:r>
      <w:r>
        <w:rPr>
          <w:rFonts w:hint="eastAsia" w:ascii="仿宋" w:hAnsi="仿宋" w:eastAsia="仿宋" w:cs="仿宋"/>
          <w:sz w:val="24"/>
          <w:szCs w:val="24"/>
        </w:rPr>
        <w:t>形式出具的金额为人民币</w:t>
      </w:r>
      <w:r>
        <w:rPr>
          <w:rFonts w:hint="eastAsia" w:ascii="仿宋" w:hAnsi="仿宋" w:eastAsia="仿宋" w:cs="仿宋"/>
          <w:sz w:val="24"/>
          <w:szCs w:val="24"/>
          <w:u w:val="single"/>
        </w:rPr>
        <w:t>　　　　</w:t>
      </w:r>
      <w:r>
        <w:rPr>
          <w:rFonts w:hint="eastAsia" w:ascii="仿宋" w:hAnsi="仿宋" w:eastAsia="仿宋" w:cs="仿宋"/>
          <w:sz w:val="24"/>
          <w:szCs w:val="24"/>
        </w:rPr>
        <w:t>元的磋商保证金。</w:t>
      </w:r>
    </w:p>
    <w:p w14:paraId="3138246A">
      <w:pPr>
        <w:pStyle w:val="13"/>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据此，签字代表宣布同意如下：</w:t>
      </w:r>
    </w:p>
    <w:p w14:paraId="69754E4F">
      <w:pPr>
        <w:pStyle w:val="13"/>
        <w:tabs>
          <w:tab w:val="left" w:pos="720"/>
          <w:tab w:val="left" w:pos="900"/>
        </w:tabs>
        <w:spacing w:line="240" w:lineRule="atLeast"/>
        <w:ind w:left="769" w:leftChars="257" w:hanging="229"/>
        <w:rPr>
          <w:rFonts w:ascii="仿宋" w:hAnsi="仿宋" w:eastAsia="仿宋" w:cs="仿宋"/>
          <w:sz w:val="24"/>
          <w:szCs w:val="24"/>
          <w:u w:val="single"/>
        </w:rPr>
      </w:pPr>
      <w:r>
        <w:rPr>
          <w:rFonts w:hint="eastAsia" w:ascii="仿宋" w:hAnsi="仿宋" w:eastAsia="仿宋" w:cs="仿宋"/>
          <w:sz w:val="24"/>
          <w:szCs w:val="24"/>
        </w:rPr>
        <w:t>（1）附磋商价格表中规定的应提供服务的磋商总价详见磋商开启一览表，</w:t>
      </w:r>
      <w:r>
        <w:rPr>
          <w:rFonts w:hint="eastAsia" w:ascii="仿宋" w:hAnsi="仿宋" w:eastAsia="仿宋" w:cs="仿宋"/>
          <w:sz w:val="24"/>
          <w:szCs w:val="24"/>
          <w:u w:val="single"/>
        </w:rPr>
        <w:t>其中由小型和微型企业</w:t>
      </w:r>
      <w:r>
        <w:rPr>
          <w:rFonts w:hint="eastAsia" w:ascii="仿宋" w:hAnsi="仿宋" w:eastAsia="仿宋" w:cs="仿宋"/>
          <w:sz w:val="24"/>
          <w:szCs w:val="24"/>
        </w:rPr>
        <w:t>提供服务的价格为</w:t>
      </w:r>
      <w:r>
        <w:rPr>
          <w:rFonts w:hint="eastAsia" w:ascii="仿宋" w:hAnsi="仿宋" w:eastAsia="仿宋" w:cs="仿宋"/>
          <w:sz w:val="24"/>
          <w:szCs w:val="24"/>
          <w:u w:val="single"/>
        </w:rPr>
        <w:t>　　  （用文字和数字表示），占磋商总价   %</w:t>
      </w:r>
      <w:r>
        <w:rPr>
          <w:rFonts w:hint="eastAsia" w:ascii="仿宋" w:hAnsi="仿宋" w:eastAsia="仿宋" w:cs="仿宋"/>
          <w:sz w:val="24"/>
          <w:szCs w:val="24"/>
        </w:rPr>
        <w:t>。</w:t>
      </w:r>
    </w:p>
    <w:p w14:paraId="7AB6AF37">
      <w:pPr>
        <w:pStyle w:val="13"/>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（2）本磋商有效期为自磋商截止之日起</w:t>
      </w:r>
      <w:r>
        <w:rPr>
          <w:rFonts w:hint="eastAsia" w:ascii="仿宋" w:hAnsi="仿宋" w:eastAsia="仿宋" w:cs="仿宋"/>
          <w:sz w:val="24"/>
          <w:szCs w:val="24"/>
          <w:u w:val="single"/>
        </w:rPr>
        <w:t xml:space="preserve">          </w:t>
      </w:r>
      <w:r>
        <w:rPr>
          <w:rFonts w:hint="eastAsia" w:ascii="仿宋" w:hAnsi="仿宋" w:eastAsia="仿宋" w:cs="仿宋"/>
          <w:sz w:val="24"/>
          <w:szCs w:val="24"/>
        </w:rPr>
        <w:t>个日历日。</w:t>
      </w:r>
    </w:p>
    <w:p w14:paraId="53D3293C">
      <w:pPr>
        <w:pStyle w:val="13"/>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（3）联合体中的大中型企业和其他自然人、法人或者非法人组织，与联合体中的小型、微型企业之间</w:t>
      </w:r>
      <w:r>
        <w:rPr>
          <w:rFonts w:hint="eastAsia" w:ascii="仿宋" w:hAnsi="仿宋" w:eastAsia="仿宋" w:cs="仿宋"/>
          <w:sz w:val="24"/>
          <w:szCs w:val="24"/>
          <w:u w:val="single"/>
        </w:rPr>
        <w:t xml:space="preserve">     （</w:t>
      </w:r>
      <w:r>
        <w:rPr>
          <w:rFonts w:hint="eastAsia" w:ascii="仿宋" w:hAnsi="仿宋" w:eastAsia="仿宋" w:cs="仿宋"/>
          <w:sz w:val="24"/>
          <w:szCs w:val="24"/>
        </w:rPr>
        <w:t>存在、不存在）投资关系（如果是联合体的话）。</w:t>
      </w:r>
    </w:p>
    <w:p w14:paraId="68D339CF">
      <w:pPr>
        <w:pStyle w:val="13"/>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（4）已详细审查全部磋商文件，包括所有补充通知（如果有的话），完全理解并同意放弃对这方面有不明、误解和质疑的权力。</w:t>
      </w:r>
    </w:p>
    <w:p w14:paraId="6B560C99">
      <w:pPr>
        <w:pStyle w:val="13"/>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（5）在规定的磋商开启时间后，遵守磋商文件中有关保证金的规定。</w:t>
      </w:r>
    </w:p>
    <w:p w14:paraId="12A2BE43">
      <w:pPr>
        <w:pStyle w:val="13"/>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（6）我方不是为本项目提供整体设计、规范编制或者项目管理、监理、检测等要求的供应商，我方不是采购代理机构的附属机构。</w:t>
      </w:r>
    </w:p>
    <w:p w14:paraId="41A03CA1">
      <w:pPr>
        <w:pStyle w:val="13"/>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（7）在领取成交通知书的同时按磋商文件规定的形式，向贵方一次性支付成交服务费。</w:t>
      </w:r>
    </w:p>
    <w:p w14:paraId="77ADCD8D">
      <w:pPr>
        <w:pStyle w:val="13"/>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（8）按照贵方可能要求，提供与其磋商有关的一切数据或资料，完全理解贵方不一定接受最低价的磋商或收到的任何磋商。</w:t>
      </w:r>
    </w:p>
    <w:p w14:paraId="5DC5267E">
      <w:pPr>
        <w:pStyle w:val="13"/>
        <w:tabs>
          <w:tab w:val="left" w:pos="5580"/>
        </w:tabs>
        <w:spacing w:line="240" w:lineRule="atLeast"/>
        <w:ind w:left="1080" w:leftChars="257" w:hanging="540"/>
        <w:rPr>
          <w:rFonts w:hint="eastAsia" w:ascii="仿宋" w:hAnsi="仿宋" w:eastAsia="仿宋" w:cs="仿宋"/>
          <w:sz w:val="24"/>
          <w:szCs w:val="24"/>
        </w:rPr>
      </w:pPr>
      <w:r>
        <w:rPr>
          <w:rFonts w:hint="eastAsia" w:ascii="仿宋" w:hAnsi="仿宋" w:eastAsia="仿宋" w:cs="仿宋"/>
          <w:sz w:val="24"/>
          <w:szCs w:val="24"/>
        </w:rPr>
        <w:t>（9）按照磋商文件的规定履行合同责任和义务。</w:t>
      </w:r>
    </w:p>
    <w:p w14:paraId="5217C9F1">
      <w:pPr>
        <w:pStyle w:val="9"/>
        <w:rPr>
          <w:rFonts w:ascii="仿宋" w:hAnsi="仿宋" w:eastAsia="仿宋" w:cs="仿宋"/>
          <w:sz w:val="24"/>
          <w:szCs w:val="24"/>
        </w:rPr>
      </w:pPr>
    </w:p>
    <w:p w14:paraId="0AA44B81">
      <w:pPr>
        <w:pStyle w:val="13"/>
        <w:tabs>
          <w:tab w:val="left" w:pos="5580"/>
        </w:tabs>
        <w:spacing w:line="240" w:lineRule="atLeast"/>
        <w:ind w:left="359" w:leftChars="68" w:hanging="216" w:hangingChars="90"/>
        <w:rPr>
          <w:rFonts w:ascii="仿宋" w:hAnsi="仿宋" w:eastAsia="仿宋" w:cs="仿宋"/>
          <w:sz w:val="24"/>
          <w:szCs w:val="24"/>
        </w:rPr>
      </w:pPr>
      <w:r>
        <w:rPr>
          <w:rFonts w:hint="eastAsia" w:ascii="仿宋" w:hAnsi="仿宋" w:eastAsia="仿宋" w:cs="仿宋"/>
          <w:sz w:val="24"/>
          <w:szCs w:val="24"/>
        </w:rPr>
        <w:t xml:space="preserve">  与本磋商有关的一切正式往来信函请寄：</w:t>
      </w:r>
    </w:p>
    <w:p w14:paraId="3D820BA0">
      <w:pPr>
        <w:pStyle w:val="13"/>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地址</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传真</w:t>
      </w:r>
      <w:r>
        <w:rPr>
          <w:rFonts w:hint="eastAsia" w:ascii="仿宋" w:hAnsi="仿宋" w:eastAsia="仿宋" w:cs="仿宋"/>
          <w:sz w:val="24"/>
          <w:szCs w:val="24"/>
          <w:u w:val="single"/>
        </w:rPr>
        <w:t xml:space="preserve">                             </w:t>
      </w:r>
    </w:p>
    <w:p w14:paraId="789613FF">
      <w:pPr>
        <w:pStyle w:val="13"/>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电话</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电子函件</w:t>
      </w:r>
      <w:r>
        <w:rPr>
          <w:rFonts w:hint="eastAsia" w:ascii="仿宋" w:hAnsi="仿宋" w:eastAsia="仿宋" w:cs="仿宋"/>
          <w:sz w:val="24"/>
          <w:szCs w:val="24"/>
          <w:u w:val="single"/>
        </w:rPr>
        <w:t xml:space="preserve">                         </w:t>
      </w:r>
    </w:p>
    <w:p w14:paraId="01AACDED">
      <w:pPr>
        <w:pStyle w:val="13"/>
        <w:tabs>
          <w:tab w:val="left" w:pos="5580"/>
        </w:tabs>
        <w:spacing w:line="240" w:lineRule="atLeast"/>
        <w:ind w:left="1080" w:leftChars="257" w:hanging="540"/>
        <w:rPr>
          <w:rFonts w:ascii="仿宋" w:hAnsi="仿宋" w:eastAsia="仿宋" w:cs="仿宋"/>
          <w:sz w:val="24"/>
          <w:szCs w:val="24"/>
          <w:u w:val="single"/>
        </w:rPr>
      </w:pPr>
      <w:r>
        <w:rPr>
          <w:rFonts w:hint="eastAsia" w:ascii="仿宋" w:hAnsi="仿宋" w:eastAsia="仿宋" w:cs="仿宋"/>
          <w:sz w:val="24"/>
          <w:szCs w:val="24"/>
        </w:rPr>
        <w:t>法定代表人或其委托代理人（</w:t>
      </w:r>
      <w:r>
        <w:rPr>
          <w:rFonts w:hint="eastAsia" w:ascii="仿宋" w:hAnsi="仿宋" w:eastAsia="仿宋" w:cs="仿宋"/>
          <w:sz w:val="24"/>
          <w:szCs w:val="24"/>
          <w:lang w:val="en-US" w:eastAsia="zh-CN"/>
        </w:rPr>
        <w:t>CA签字</w:t>
      </w:r>
      <w:r>
        <w:rPr>
          <w:rFonts w:hint="eastAsia" w:ascii="仿宋" w:hAnsi="仿宋" w:eastAsia="仿宋" w:cs="仿宋"/>
          <w:sz w:val="24"/>
          <w:szCs w:val="24"/>
        </w:rPr>
        <w:t>）</w:t>
      </w:r>
      <w:r>
        <w:rPr>
          <w:rFonts w:hint="eastAsia" w:ascii="仿宋" w:hAnsi="仿宋" w:eastAsia="仿宋" w:cs="仿宋"/>
          <w:sz w:val="24"/>
          <w:szCs w:val="24"/>
          <w:u w:val="single"/>
        </w:rPr>
        <w:t xml:space="preserve">　　　　　　 </w:t>
      </w:r>
    </w:p>
    <w:p w14:paraId="0927253D">
      <w:pPr>
        <w:pStyle w:val="13"/>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供应商名称（全称）</w:t>
      </w:r>
      <w:r>
        <w:rPr>
          <w:rFonts w:hint="eastAsia" w:ascii="仿宋" w:hAnsi="仿宋" w:eastAsia="仿宋" w:cs="仿宋"/>
          <w:sz w:val="24"/>
          <w:szCs w:val="24"/>
          <w:u w:val="single"/>
        </w:rPr>
        <w:t xml:space="preserve">　　　　　　 </w:t>
      </w:r>
    </w:p>
    <w:p w14:paraId="715A360C">
      <w:pPr>
        <w:pStyle w:val="13"/>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供应商开户银行（全称）</w:t>
      </w:r>
      <w:r>
        <w:rPr>
          <w:rFonts w:hint="eastAsia" w:ascii="仿宋" w:hAnsi="仿宋" w:eastAsia="仿宋" w:cs="仿宋"/>
          <w:sz w:val="24"/>
          <w:szCs w:val="24"/>
          <w:u w:val="single"/>
        </w:rPr>
        <w:t xml:space="preserve">　　　　　　 </w:t>
      </w:r>
    </w:p>
    <w:p w14:paraId="56C4048D">
      <w:pPr>
        <w:pStyle w:val="13"/>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供应商银行帐号</w:t>
      </w:r>
      <w:r>
        <w:rPr>
          <w:rFonts w:hint="eastAsia" w:ascii="仿宋" w:hAnsi="仿宋" w:eastAsia="仿宋" w:cs="仿宋"/>
          <w:sz w:val="24"/>
          <w:szCs w:val="24"/>
          <w:u w:val="single"/>
        </w:rPr>
        <w:t>　　　　　　　　 　　</w:t>
      </w:r>
    </w:p>
    <w:p w14:paraId="60F2D7E9">
      <w:pPr>
        <w:pStyle w:val="13"/>
        <w:tabs>
          <w:tab w:val="left" w:pos="5580"/>
        </w:tabs>
        <w:spacing w:line="240" w:lineRule="atLeast"/>
        <w:ind w:left="1080" w:leftChars="257" w:hanging="540"/>
        <w:rPr>
          <w:rFonts w:ascii="仿宋" w:hAnsi="仿宋" w:eastAsia="仿宋" w:cs="仿宋"/>
          <w:sz w:val="24"/>
          <w:szCs w:val="24"/>
          <w:u w:val="single"/>
        </w:rPr>
      </w:pPr>
      <w:r>
        <w:rPr>
          <w:rFonts w:hint="eastAsia" w:ascii="仿宋" w:hAnsi="仿宋" w:eastAsia="仿宋" w:cs="仿宋"/>
          <w:sz w:val="24"/>
          <w:szCs w:val="24"/>
        </w:rPr>
        <w:t>供应商（</w:t>
      </w:r>
      <w:r>
        <w:rPr>
          <w:rFonts w:hint="eastAsia" w:ascii="仿宋" w:hAnsi="仿宋" w:eastAsia="仿宋" w:cs="仿宋"/>
          <w:sz w:val="24"/>
          <w:szCs w:val="24"/>
          <w:lang w:eastAsia="zh-CN"/>
        </w:rPr>
        <w:t>电子签章</w:t>
      </w:r>
      <w:r>
        <w:rPr>
          <w:rFonts w:hint="eastAsia" w:ascii="仿宋" w:hAnsi="仿宋" w:eastAsia="仿宋" w:cs="仿宋"/>
          <w:sz w:val="24"/>
          <w:szCs w:val="24"/>
        </w:rPr>
        <w:t>）</w:t>
      </w:r>
      <w:r>
        <w:rPr>
          <w:rFonts w:hint="eastAsia" w:ascii="仿宋" w:hAnsi="仿宋" w:eastAsia="仿宋" w:cs="仿宋"/>
          <w:sz w:val="24"/>
          <w:szCs w:val="24"/>
          <w:u w:val="single"/>
        </w:rPr>
        <w:t xml:space="preserve">　　　　　　       </w:t>
      </w:r>
      <w:r>
        <w:rPr>
          <w:rFonts w:hint="eastAsia" w:ascii="仿宋" w:hAnsi="仿宋" w:eastAsia="仿宋" w:cs="仿宋"/>
          <w:sz w:val="24"/>
          <w:szCs w:val="24"/>
        </w:rPr>
        <w:t>日期</w:t>
      </w:r>
      <w:r>
        <w:rPr>
          <w:rFonts w:hint="eastAsia" w:ascii="仿宋" w:hAnsi="仿宋" w:eastAsia="仿宋" w:cs="仿宋"/>
          <w:sz w:val="24"/>
          <w:szCs w:val="24"/>
          <w:u w:val="single"/>
        </w:rPr>
        <w:t>　　　　　　</w:t>
      </w:r>
      <w:bookmarkStart w:id="367" w:name="_Toc1881"/>
      <w:bookmarkStart w:id="368" w:name="_Toc20897"/>
      <w:bookmarkStart w:id="369" w:name="_Toc515647818"/>
      <w:bookmarkStart w:id="370" w:name="_Toc216582815"/>
    </w:p>
    <w:p w14:paraId="70BC9DF4">
      <w:pPr>
        <w:rPr>
          <w:rFonts w:ascii="仿宋" w:hAnsi="仿宋" w:eastAsia="仿宋" w:cs="仿宋"/>
          <w:sz w:val="24"/>
        </w:rPr>
      </w:pPr>
      <w:bookmarkStart w:id="371" w:name="_Toc12874"/>
      <w:bookmarkStart w:id="372" w:name="_Toc16705"/>
      <w:bookmarkStart w:id="373" w:name="_Toc9110"/>
      <w:bookmarkStart w:id="374" w:name="_Toc23321"/>
      <w:bookmarkStart w:id="375" w:name="_Toc23248"/>
      <w:bookmarkStart w:id="376" w:name="_Toc29155"/>
      <w:bookmarkStart w:id="377" w:name="_Toc18221"/>
      <w:bookmarkStart w:id="378" w:name="_Toc22674"/>
      <w:r>
        <w:rPr>
          <w:rFonts w:hint="eastAsia" w:ascii="仿宋" w:hAnsi="仿宋" w:eastAsia="仿宋" w:cs="仿宋"/>
          <w:sz w:val="24"/>
        </w:rPr>
        <w:br w:type="page"/>
      </w:r>
    </w:p>
    <w:p w14:paraId="54C93C24">
      <w:pPr>
        <w:pStyle w:val="6"/>
        <w:spacing w:before="0" w:line="240" w:lineRule="atLeast"/>
        <w:rPr>
          <w:rFonts w:ascii="仿宋" w:hAnsi="仿宋" w:eastAsia="仿宋" w:cs="仿宋"/>
          <w:sz w:val="24"/>
          <w:szCs w:val="24"/>
        </w:rPr>
      </w:pPr>
      <w:r>
        <w:rPr>
          <w:rFonts w:hint="eastAsia" w:ascii="仿宋" w:hAnsi="仿宋" w:eastAsia="仿宋" w:cs="仿宋"/>
          <w:sz w:val="24"/>
          <w:szCs w:val="24"/>
        </w:rPr>
        <w:t>2、磋商分项报价表（磋商文件格式七）</w:t>
      </w:r>
    </w:p>
    <w:p w14:paraId="6F0FC3C1">
      <w:pPr>
        <w:pStyle w:val="13"/>
        <w:spacing w:line="240" w:lineRule="atLeast"/>
        <w:ind w:left="1080" w:leftChars="257" w:hanging="540"/>
        <w:rPr>
          <w:rFonts w:ascii="仿宋" w:hAnsi="仿宋" w:eastAsia="仿宋" w:cs="仿宋"/>
          <w:sz w:val="24"/>
          <w:szCs w:val="24"/>
        </w:rPr>
      </w:pPr>
    </w:p>
    <w:p w14:paraId="64E8D9B5">
      <w:pPr>
        <w:pStyle w:val="13"/>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 xml:space="preserve">项目名称:                      项目编号:                      </w:t>
      </w:r>
    </w:p>
    <w:p w14:paraId="2CBC0619">
      <w:pPr>
        <w:pStyle w:val="13"/>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包号: 　               　报价单位：人民币万元</w:t>
      </w:r>
    </w:p>
    <w:tbl>
      <w:tblPr>
        <w:tblStyle w:val="23"/>
        <w:tblpPr w:leftFromText="180" w:rightFromText="180" w:vertAnchor="text" w:horzAnchor="page" w:tblpXSpec="center" w:tblpY="373"/>
        <w:tblOverlap w:val="never"/>
        <w:tblW w:w="954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9"/>
        <w:gridCol w:w="1207"/>
        <w:gridCol w:w="1450"/>
        <w:gridCol w:w="1512"/>
        <w:gridCol w:w="1250"/>
        <w:gridCol w:w="1263"/>
        <w:gridCol w:w="1302"/>
        <w:gridCol w:w="741"/>
      </w:tblGrid>
      <w:tr w14:paraId="496AFD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22" w:hRule="atLeast"/>
        </w:trPr>
        <w:tc>
          <w:tcPr>
            <w:tcW w:w="819" w:type="dxa"/>
            <w:vAlign w:val="center"/>
          </w:tcPr>
          <w:p w14:paraId="44E4E18A">
            <w:pPr>
              <w:pStyle w:val="13"/>
              <w:spacing w:line="240" w:lineRule="atLeast"/>
              <w:jc w:val="left"/>
              <w:rPr>
                <w:rFonts w:ascii="仿宋" w:hAnsi="仿宋" w:eastAsia="仿宋" w:cs="仿宋"/>
                <w:sz w:val="24"/>
                <w:szCs w:val="24"/>
              </w:rPr>
            </w:pPr>
            <w:r>
              <w:rPr>
                <w:rFonts w:hint="eastAsia" w:ascii="仿宋" w:hAnsi="仿宋" w:eastAsia="仿宋" w:cs="仿宋"/>
                <w:sz w:val="24"/>
                <w:szCs w:val="24"/>
              </w:rPr>
              <w:t>序号</w:t>
            </w:r>
          </w:p>
        </w:tc>
        <w:tc>
          <w:tcPr>
            <w:tcW w:w="1207" w:type="dxa"/>
            <w:vAlign w:val="center"/>
          </w:tcPr>
          <w:p w14:paraId="1F3FC75C">
            <w:pPr>
              <w:pStyle w:val="13"/>
              <w:spacing w:line="240" w:lineRule="atLeast"/>
              <w:jc w:val="left"/>
              <w:rPr>
                <w:rFonts w:ascii="仿宋" w:hAnsi="仿宋" w:eastAsia="仿宋" w:cs="仿宋"/>
                <w:sz w:val="24"/>
                <w:szCs w:val="24"/>
              </w:rPr>
            </w:pPr>
            <w:r>
              <w:rPr>
                <w:rFonts w:hint="eastAsia" w:ascii="仿宋" w:hAnsi="仿宋" w:eastAsia="仿宋" w:cs="仿宋"/>
                <w:sz w:val="24"/>
                <w:szCs w:val="24"/>
              </w:rPr>
              <w:t>服务名称</w:t>
            </w:r>
          </w:p>
        </w:tc>
        <w:tc>
          <w:tcPr>
            <w:tcW w:w="1450" w:type="dxa"/>
            <w:vAlign w:val="center"/>
          </w:tcPr>
          <w:p w14:paraId="033E3C67">
            <w:pPr>
              <w:pStyle w:val="13"/>
              <w:spacing w:line="240" w:lineRule="atLeast"/>
              <w:jc w:val="center"/>
              <w:rPr>
                <w:rFonts w:ascii="仿宋" w:hAnsi="仿宋" w:eastAsia="仿宋" w:cs="仿宋"/>
                <w:sz w:val="24"/>
                <w:szCs w:val="24"/>
              </w:rPr>
            </w:pPr>
            <w:r>
              <w:rPr>
                <w:rFonts w:hint="eastAsia" w:ascii="仿宋" w:hAnsi="仿宋" w:eastAsia="仿宋" w:cs="仿宋"/>
                <w:sz w:val="24"/>
                <w:szCs w:val="24"/>
              </w:rPr>
              <w:t>服务内容</w:t>
            </w:r>
          </w:p>
        </w:tc>
        <w:tc>
          <w:tcPr>
            <w:tcW w:w="1512" w:type="dxa"/>
            <w:vAlign w:val="center"/>
          </w:tcPr>
          <w:p w14:paraId="5B4F8F29">
            <w:pPr>
              <w:pStyle w:val="13"/>
              <w:spacing w:line="240" w:lineRule="atLeast"/>
              <w:jc w:val="center"/>
              <w:rPr>
                <w:rFonts w:ascii="仿宋" w:hAnsi="仿宋" w:eastAsia="仿宋" w:cs="仿宋"/>
                <w:sz w:val="24"/>
                <w:szCs w:val="24"/>
              </w:rPr>
            </w:pPr>
            <w:r>
              <w:rPr>
                <w:rFonts w:hint="eastAsia" w:ascii="仿宋" w:hAnsi="仿宋" w:eastAsia="仿宋" w:cs="仿宋"/>
                <w:sz w:val="24"/>
                <w:szCs w:val="24"/>
              </w:rPr>
              <w:t>数量</w:t>
            </w:r>
          </w:p>
        </w:tc>
        <w:tc>
          <w:tcPr>
            <w:tcW w:w="1250" w:type="dxa"/>
            <w:vAlign w:val="center"/>
          </w:tcPr>
          <w:p w14:paraId="25B2029F">
            <w:pPr>
              <w:pStyle w:val="13"/>
              <w:spacing w:line="240" w:lineRule="atLeast"/>
              <w:jc w:val="center"/>
              <w:rPr>
                <w:rFonts w:ascii="仿宋" w:hAnsi="仿宋" w:eastAsia="仿宋" w:cs="仿宋"/>
                <w:sz w:val="24"/>
                <w:szCs w:val="24"/>
              </w:rPr>
            </w:pPr>
            <w:r>
              <w:rPr>
                <w:rFonts w:hint="eastAsia" w:ascii="仿宋" w:hAnsi="仿宋" w:eastAsia="仿宋" w:cs="仿宋"/>
                <w:sz w:val="24"/>
                <w:szCs w:val="24"/>
              </w:rPr>
              <w:t>单位</w:t>
            </w:r>
          </w:p>
        </w:tc>
        <w:tc>
          <w:tcPr>
            <w:tcW w:w="1263" w:type="dxa"/>
            <w:vAlign w:val="center"/>
          </w:tcPr>
          <w:p w14:paraId="345404A5">
            <w:pPr>
              <w:pStyle w:val="13"/>
              <w:spacing w:line="240" w:lineRule="atLeast"/>
              <w:jc w:val="center"/>
              <w:rPr>
                <w:rFonts w:ascii="仿宋" w:hAnsi="仿宋" w:eastAsia="仿宋" w:cs="仿宋"/>
                <w:sz w:val="24"/>
                <w:szCs w:val="24"/>
              </w:rPr>
            </w:pPr>
            <w:r>
              <w:rPr>
                <w:rFonts w:hint="eastAsia" w:ascii="仿宋" w:hAnsi="仿宋" w:eastAsia="仿宋" w:cs="仿宋"/>
                <w:sz w:val="24"/>
                <w:szCs w:val="24"/>
              </w:rPr>
              <w:t>单价</w:t>
            </w:r>
          </w:p>
        </w:tc>
        <w:tc>
          <w:tcPr>
            <w:tcW w:w="1302" w:type="dxa"/>
            <w:vAlign w:val="center"/>
          </w:tcPr>
          <w:p w14:paraId="75472975">
            <w:pPr>
              <w:pStyle w:val="13"/>
              <w:spacing w:line="240" w:lineRule="atLeast"/>
              <w:jc w:val="center"/>
              <w:rPr>
                <w:rFonts w:ascii="仿宋" w:hAnsi="仿宋" w:eastAsia="仿宋" w:cs="仿宋"/>
                <w:sz w:val="24"/>
                <w:szCs w:val="24"/>
              </w:rPr>
            </w:pPr>
            <w:r>
              <w:rPr>
                <w:rFonts w:hint="eastAsia" w:ascii="仿宋" w:hAnsi="仿宋" w:eastAsia="仿宋" w:cs="仿宋"/>
                <w:sz w:val="24"/>
                <w:szCs w:val="24"/>
              </w:rPr>
              <w:t>总价</w:t>
            </w:r>
          </w:p>
        </w:tc>
        <w:tc>
          <w:tcPr>
            <w:tcW w:w="741" w:type="dxa"/>
            <w:vAlign w:val="center"/>
          </w:tcPr>
          <w:p w14:paraId="17A66DFB">
            <w:pPr>
              <w:pStyle w:val="13"/>
              <w:spacing w:line="240" w:lineRule="atLeast"/>
              <w:jc w:val="center"/>
              <w:rPr>
                <w:rFonts w:ascii="仿宋" w:hAnsi="仿宋" w:eastAsia="仿宋" w:cs="仿宋"/>
                <w:sz w:val="24"/>
                <w:szCs w:val="24"/>
              </w:rPr>
            </w:pPr>
            <w:r>
              <w:rPr>
                <w:rFonts w:hint="eastAsia" w:ascii="仿宋" w:hAnsi="仿宋" w:eastAsia="仿宋" w:cs="仿宋"/>
                <w:sz w:val="24"/>
                <w:szCs w:val="24"/>
              </w:rPr>
              <w:t>备注</w:t>
            </w:r>
          </w:p>
        </w:tc>
      </w:tr>
      <w:tr w14:paraId="2E8493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8" w:hRule="atLeast"/>
        </w:trPr>
        <w:tc>
          <w:tcPr>
            <w:tcW w:w="819" w:type="dxa"/>
            <w:vAlign w:val="center"/>
          </w:tcPr>
          <w:p w14:paraId="3D366E9D">
            <w:pPr>
              <w:widowControl/>
              <w:jc w:val="center"/>
              <w:textAlignment w:val="center"/>
              <w:rPr>
                <w:rFonts w:ascii="仿宋" w:hAnsi="仿宋" w:eastAsia="仿宋" w:cs="仿宋"/>
                <w:sz w:val="24"/>
              </w:rPr>
            </w:pPr>
          </w:p>
        </w:tc>
        <w:tc>
          <w:tcPr>
            <w:tcW w:w="1207" w:type="dxa"/>
            <w:vAlign w:val="center"/>
          </w:tcPr>
          <w:p w14:paraId="029EF675">
            <w:pPr>
              <w:widowControl/>
              <w:jc w:val="left"/>
              <w:textAlignment w:val="center"/>
              <w:rPr>
                <w:rFonts w:ascii="仿宋" w:hAnsi="仿宋" w:eastAsia="仿宋" w:cs="仿宋"/>
                <w:sz w:val="24"/>
              </w:rPr>
            </w:pPr>
          </w:p>
        </w:tc>
        <w:tc>
          <w:tcPr>
            <w:tcW w:w="1450" w:type="dxa"/>
            <w:vAlign w:val="center"/>
          </w:tcPr>
          <w:p w14:paraId="653CF3EC">
            <w:pPr>
              <w:pStyle w:val="13"/>
              <w:spacing w:line="240" w:lineRule="atLeast"/>
              <w:jc w:val="left"/>
              <w:rPr>
                <w:rFonts w:ascii="仿宋" w:hAnsi="仿宋" w:eastAsia="仿宋" w:cs="仿宋"/>
                <w:sz w:val="24"/>
                <w:szCs w:val="24"/>
              </w:rPr>
            </w:pPr>
          </w:p>
        </w:tc>
        <w:tc>
          <w:tcPr>
            <w:tcW w:w="1512" w:type="dxa"/>
            <w:vAlign w:val="center"/>
          </w:tcPr>
          <w:p w14:paraId="4667E32D">
            <w:pPr>
              <w:widowControl/>
              <w:jc w:val="center"/>
              <w:textAlignment w:val="center"/>
              <w:rPr>
                <w:rFonts w:ascii="仿宋" w:hAnsi="仿宋" w:eastAsia="仿宋" w:cs="仿宋"/>
                <w:sz w:val="24"/>
              </w:rPr>
            </w:pPr>
          </w:p>
        </w:tc>
        <w:tc>
          <w:tcPr>
            <w:tcW w:w="1250" w:type="dxa"/>
            <w:vAlign w:val="center"/>
          </w:tcPr>
          <w:p w14:paraId="560FEAAA">
            <w:pPr>
              <w:pStyle w:val="13"/>
              <w:spacing w:line="240" w:lineRule="atLeast"/>
              <w:ind w:left="1080" w:leftChars="257" w:hanging="540"/>
              <w:jc w:val="left"/>
              <w:rPr>
                <w:rFonts w:ascii="仿宋" w:hAnsi="仿宋" w:eastAsia="仿宋" w:cs="仿宋"/>
                <w:sz w:val="24"/>
                <w:szCs w:val="24"/>
              </w:rPr>
            </w:pPr>
          </w:p>
        </w:tc>
        <w:tc>
          <w:tcPr>
            <w:tcW w:w="1263" w:type="dxa"/>
            <w:vAlign w:val="center"/>
          </w:tcPr>
          <w:p w14:paraId="0D6C995D">
            <w:pPr>
              <w:pStyle w:val="13"/>
              <w:spacing w:line="240" w:lineRule="atLeast"/>
              <w:ind w:left="1080" w:leftChars="257" w:hanging="540"/>
              <w:jc w:val="left"/>
              <w:rPr>
                <w:rFonts w:ascii="仿宋" w:hAnsi="仿宋" w:eastAsia="仿宋" w:cs="仿宋"/>
                <w:sz w:val="24"/>
                <w:szCs w:val="24"/>
              </w:rPr>
            </w:pPr>
          </w:p>
        </w:tc>
        <w:tc>
          <w:tcPr>
            <w:tcW w:w="1302" w:type="dxa"/>
            <w:vAlign w:val="center"/>
          </w:tcPr>
          <w:p w14:paraId="10CF541E">
            <w:pPr>
              <w:pStyle w:val="13"/>
              <w:spacing w:line="240" w:lineRule="atLeast"/>
              <w:ind w:left="1080" w:leftChars="257" w:hanging="540"/>
              <w:jc w:val="left"/>
              <w:rPr>
                <w:rFonts w:ascii="仿宋" w:hAnsi="仿宋" w:eastAsia="仿宋" w:cs="仿宋"/>
                <w:sz w:val="24"/>
                <w:szCs w:val="24"/>
              </w:rPr>
            </w:pPr>
          </w:p>
        </w:tc>
        <w:tc>
          <w:tcPr>
            <w:tcW w:w="741" w:type="dxa"/>
            <w:vAlign w:val="center"/>
          </w:tcPr>
          <w:p w14:paraId="69FDA91B">
            <w:pPr>
              <w:pStyle w:val="13"/>
              <w:spacing w:line="240" w:lineRule="atLeast"/>
              <w:ind w:left="1080" w:leftChars="257" w:hanging="540"/>
              <w:jc w:val="left"/>
              <w:rPr>
                <w:rFonts w:ascii="仿宋" w:hAnsi="仿宋" w:eastAsia="仿宋" w:cs="仿宋"/>
                <w:sz w:val="24"/>
                <w:szCs w:val="24"/>
              </w:rPr>
            </w:pPr>
          </w:p>
        </w:tc>
      </w:tr>
      <w:tr w14:paraId="06D54C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trPr>
        <w:tc>
          <w:tcPr>
            <w:tcW w:w="819" w:type="dxa"/>
            <w:vAlign w:val="center"/>
          </w:tcPr>
          <w:p w14:paraId="410BB9E5">
            <w:pPr>
              <w:widowControl/>
              <w:jc w:val="center"/>
              <w:textAlignment w:val="center"/>
              <w:rPr>
                <w:rFonts w:ascii="仿宋" w:hAnsi="仿宋" w:eastAsia="仿宋" w:cs="仿宋"/>
                <w:sz w:val="24"/>
              </w:rPr>
            </w:pPr>
          </w:p>
        </w:tc>
        <w:tc>
          <w:tcPr>
            <w:tcW w:w="1207" w:type="dxa"/>
            <w:vAlign w:val="center"/>
          </w:tcPr>
          <w:p w14:paraId="68B75880">
            <w:pPr>
              <w:widowControl/>
              <w:jc w:val="left"/>
              <w:textAlignment w:val="center"/>
              <w:rPr>
                <w:rFonts w:ascii="仿宋" w:hAnsi="仿宋" w:eastAsia="仿宋" w:cs="仿宋"/>
                <w:sz w:val="24"/>
              </w:rPr>
            </w:pPr>
          </w:p>
        </w:tc>
        <w:tc>
          <w:tcPr>
            <w:tcW w:w="1450" w:type="dxa"/>
            <w:vAlign w:val="center"/>
          </w:tcPr>
          <w:p w14:paraId="3A346027">
            <w:pPr>
              <w:pStyle w:val="13"/>
              <w:spacing w:line="240" w:lineRule="atLeast"/>
              <w:jc w:val="left"/>
              <w:rPr>
                <w:rFonts w:ascii="仿宋" w:hAnsi="仿宋" w:eastAsia="仿宋" w:cs="仿宋"/>
                <w:sz w:val="24"/>
                <w:szCs w:val="24"/>
              </w:rPr>
            </w:pPr>
          </w:p>
        </w:tc>
        <w:tc>
          <w:tcPr>
            <w:tcW w:w="1512" w:type="dxa"/>
            <w:vAlign w:val="center"/>
          </w:tcPr>
          <w:p w14:paraId="503B7707">
            <w:pPr>
              <w:widowControl/>
              <w:jc w:val="center"/>
              <w:textAlignment w:val="center"/>
              <w:rPr>
                <w:rFonts w:ascii="仿宋" w:hAnsi="仿宋" w:eastAsia="仿宋" w:cs="仿宋"/>
                <w:sz w:val="24"/>
              </w:rPr>
            </w:pPr>
          </w:p>
        </w:tc>
        <w:tc>
          <w:tcPr>
            <w:tcW w:w="1250" w:type="dxa"/>
            <w:vAlign w:val="center"/>
          </w:tcPr>
          <w:p w14:paraId="3122FBAD">
            <w:pPr>
              <w:pStyle w:val="13"/>
              <w:spacing w:line="240" w:lineRule="atLeast"/>
              <w:ind w:left="1080" w:leftChars="257" w:hanging="540"/>
              <w:jc w:val="left"/>
              <w:rPr>
                <w:rFonts w:ascii="仿宋" w:hAnsi="仿宋" w:eastAsia="仿宋" w:cs="仿宋"/>
                <w:sz w:val="24"/>
                <w:szCs w:val="24"/>
              </w:rPr>
            </w:pPr>
          </w:p>
        </w:tc>
        <w:tc>
          <w:tcPr>
            <w:tcW w:w="1263" w:type="dxa"/>
            <w:vAlign w:val="center"/>
          </w:tcPr>
          <w:p w14:paraId="560F6BDC">
            <w:pPr>
              <w:pStyle w:val="13"/>
              <w:spacing w:line="240" w:lineRule="atLeast"/>
              <w:ind w:left="1080" w:leftChars="257" w:hanging="540"/>
              <w:jc w:val="left"/>
              <w:rPr>
                <w:rFonts w:ascii="仿宋" w:hAnsi="仿宋" w:eastAsia="仿宋" w:cs="仿宋"/>
                <w:sz w:val="24"/>
                <w:szCs w:val="24"/>
              </w:rPr>
            </w:pPr>
          </w:p>
        </w:tc>
        <w:tc>
          <w:tcPr>
            <w:tcW w:w="1302" w:type="dxa"/>
            <w:vAlign w:val="center"/>
          </w:tcPr>
          <w:p w14:paraId="6DD39462">
            <w:pPr>
              <w:pStyle w:val="13"/>
              <w:spacing w:line="240" w:lineRule="atLeast"/>
              <w:ind w:left="1080" w:leftChars="257" w:hanging="540"/>
              <w:jc w:val="left"/>
              <w:rPr>
                <w:rFonts w:ascii="仿宋" w:hAnsi="仿宋" w:eastAsia="仿宋" w:cs="仿宋"/>
                <w:sz w:val="24"/>
                <w:szCs w:val="24"/>
              </w:rPr>
            </w:pPr>
          </w:p>
        </w:tc>
        <w:tc>
          <w:tcPr>
            <w:tcW w:w="741" w:type="dxa"/>
            <w:vAlign w:val="center"/>
          </w:tcPr>
          <w:p w14:paraId="19F34681">
            <w:pPr>
              <w:pStyle w:val="13"/>
              <w:spacing w:line="240" w:lineRule="atLeast"/>
              <w:ind w:left="1080" w:leftChars="257" w:hanging="540"/>
              <w:jc w:val="left"/>
              <w:rPr>
                <w:rFonts w:ascii="仿宋" w:hAnsi="仿宋" w:eastAsia="仿宋" w:cs="仿宋"/>
                <w:sz w:val="24"/>
                <w:szCs w:val="24"/>
              </w:rPr>
            </w:pPr>
          </w:p>
        </w:tc>
      </w:tr>
      <w:tr w14:paraId="2357DF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19" w:type="dxa"/>
            <w:vAlign w:val="center"/>
          </w:tcPr>
          <w:p w14:paraId="2555E49B">
            <w:pPr>
              <w:widowControl/>
              <w:jc w:val="center"/>
              <w:textAlignment w:val="center"/>
              <w:rPr>
                <w:rFonts w:ascii="仿宋" w:hAnsi="仿宋" w:eastAsia="仿宋" w:cs="仿宋"/>
                <w:sz w:val="24"/>
              </w:rPr>
            </w:pPr>
          </w:p>
        </w:tc>
        <w:tc>
          <w:tcPr>
            <w:tcW w:w="1207" w:type="dxa"/>
            <w:vAlign w:val="center"/>
          </w:tcPr>
          <w:p w14:paraId="0D9E0266">
            <w:pPr>
              <w:widowControl/>
              <w:jc w:val="left"/>
              <w:textAlignment w:val="center"/>
              <w:rPr>
                <w:rFonts w:ascii="仿宋" w:hAnsi="仿宋" w:eastAsia="仿宋" w:cs="仿宋"/>
                <w:sz w:val="24"/>
              </w:rPr>
            </w:pPr>
          </w:p>
        </w:tc>
        <w:tc>
          <w:tcPr>
            <w:tcW w:w="1450" w:type="dxa"/>
            <w:vAlign w:val="center"/>
          </w:tcPr>
          <w:p w14:paraId="6100BB73">
            <w:pPr>
              <w:pStyle w:val="13"/>
              <w:spacing w:line="240" w:lineRule="atLeast"/>
              <w:jc w:val="left"/>
              <w:rPr>
                <w:rFonts w:ascii="仿宋" w:hAnsi="仿宋" w:eastAsia="仿宋" w:cs="仿宋"/>
                <w:sz w:val="24"/>
                <w:szCs w:val="24"/>
              </w:rPr>
            </w:pPr>
          </w:p>
        </w:tc>
        <w:tc>
          <w:tcPr>
            <w:tcW w:w="1512" w:type="dxa"/>
            <w:vAlign w:val="center"/>
          </w:tcPr>
          <w:p w14:paraId="6362A58E">
            <w:pPr>
              <w:widowControl/>
              <w:jc w:val="center"/>
              <w:textAlignment w:val="center"/>
              <w:rPr>
                <w:rFonts w:ascii="仿宋" w:hAnsi="仿宋" w:eastAsia="仿宋" w:cs="仿宋"/>
                <w:sz w:val="24"/>
              </w:rPr>
            </w:pPr>
          </w:p>
        </w:tc>
        <w:tc>
          <w:tcPr>
            <w:tcW w:w="1250" w:type="dxa"/>
            <w:vAlign w:val="center"/>
          </w:tcPr>
          <w:p w14:paraId="1099CF88">
            <w:pPr>
              <w:pStyle w:val="13"/>
              <w:spacing w:line="240" w:lineRule="atLeast"/>
              <w:ind w:left="1080" w:leftChars="257" w:hanging="540"/>
              <w:jc w:val="left"/>
              <w:rPr>
                <w:rFonts w:ascii="仿宋" w:hAnsi="仿宋" w:eastAsia="仿宋" w:cs="仿宋"/>
                <w:sz w:val="24"/>
                <w:szCs w:val="24"/>
              </w:rPr>
            </w:pPr>
          </w:p>
        </w:tc>
        <w:tc>
          <w:tcPr>
            <w:tcW w:w="1263" w:type="dxa"/>
            <w:vAlign w:val="center"/>
          </w:tcPr>
          <w:p w14:paraId="02654C73">
            <w:pPr>
              <w:pStyle w:val="13"/>
              <w:spacing w:line="240" w:lineRule="atLeast"/>
              <w:ind w:left="1080" w:leftChars="257" w:hanging="540"/>
              <w:jc w:val="left"/>
              <w:rPr>
                <w:rFonts w:ascii="仿宋" w:hAnsi="仿宋" w:eastAsia="仿宋" w:cs="仿宋"/>
                <w:sz w:val="24"/>
                <w:szCs w:val="24"/>
              </w:rPr>
            </w:pPr>
          </w:p>
        </w:tc>
        <w:tc>
          <w:tcPr>
            <w:tcW w:w="1302" w:type="dxa"/>
            <w:vAlign w:val="center"/>
          </w:tcPr>
          <w:p w14:paraId="2ED57CDC">
            <w:pPr>
              <w:pStyle w:val="13"/>
              <w:spacing w:line="240" w:lineRule="atLeast"/>
              <w:ind w:left="1080" w:leftChars="257" w:hanging="540"/>
              <w:jc w:val="left"/>
              <w:rPr>
                <w:rFonts w:ascii="仿宋" w:hAnsi="仿宋" w:eastAsia="仿宋" w:cs="仿宋"/>
                <w:sz w:val="24"/>
                <w:szCs w:val="24"/>
              </w:rPr>
            </w:pPr>
          </w:p>
        </w:tc>
        <w:tc>
          <w:tcPr>
            <w:tcW w:w="741" w:type="dxa"/>
            <w:vAlign w:val="center"/>
          </w:tcPr>
          <w:p w14:paraId="64383694">
            <w:pPr>
              <w:pStyle w:val="13"/>
              <w:spacing w:line="240" w:lineRule="atLeast"/>
              <w:ind w:left="1080" w:leftChars="257" w:hanging="540"/>
              <w:jc w:val="left"/>
              <w:rPr>
                <w:rFonts w:ascii="仿宋" w:hAnsi="仿宋" w:eastAsia="仿宋" w:cs="仿宋"/>
                <w:sz w:val="24"/>
                <w:szCs w:val="24"/>
              </w:rPr>
            </w:pPr>
          </w:p>
        </w:tc>
      </w:tr>
      <w:tr w14:paraId="606BCA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819" w:type="dxa"/>
            <w:vAlign w:val="center"/>
          </w:tcPr>
          <w:p w14:paraId="41502629">
            <w:pPr>
              <w:widowControl/>
              <w:jc w:val="center"/>
              <w:textAlignment w:val="center"/>
              <w:rPr>
                <w:rFonts w:ascii="仿宋" w:hAnsi="仿宋" w:eastAsia="仿宋" w:cs="仿宋"/>
                <w:sz w:val="24"/>
              </w:rPr>
            </w:pPr>
          </w:p>
        </w:tc>
        <w:tc>
          <w:tcPr>
            <w:tcW w:w="1207" w:type="dxa"/>
            <w:vAlign w:val="center"/>
          </w:tcPr>
          <w:p w14:paraId="56610064">
            <w:pPr>
              <w:widowControl/>
              <w:jc w:val="left"/>
              <w:textAlignment w:val="center"/>
              <w:rPr>
                <w:rFonts w:ascii="仿宋" w:hAnsi="仿宋" w:eastAsia="仿宋" w:cs="仿宋"/>
                <w:sz w:val="24"/>
              </w:rPr>
            </w:pPr>
          </w:p>
        </w:tc>
        <w:tc>
          <w:tcPr>
            <w:tcW w:w="1450" w:type="dxa"/>
            <w:vAlign w:val="center"/>
          </w:tcPr>
          <w:p w14:paraId="18416C2F">
            <w:pPr>
              <w:pStyle w:val="13"/>
              <w:spacing w:line="240" w:lineRule="atLeast"/>
              <w:jc w:val="left"/>
              <w:rPr>
                <w:rFonts w:ascii="仿宋" w:hAnsi="仿宋" w:eastAsia="仿宋" w:cs="仿宋"/>
                <w:sz w:val="24"/>
                <w:szCs w:val="24"/>
              </w:rPr>
            </w:pPr>
          </w:p>
        </w:tc>
        <w:tc>
          <w:tcPr>
            <w:tcW w:w="1512" w:type="dxa"/>
            <w:vAlign w:val="center"/>
          </w:tcPr>
          <w:p w14:paraId="611F22F9">
            <w:pPr>
              <w:widowControl/>
              <w:jc w:val="center"/>
              <w:textAlignment w:val="center"/>
              <w:rPr>
                <w:rFonts w:ascii="仿宋" w:hAnsi="仿宋" w:eastAsia="仿宋" w:cs="仿宋"/>
                <w:sz w:val="24"/>
              </w:rPr>
            </w:pPr>
          </w:p>
        </w:tc>
        <w:tc>
          <w:tcPr>
            <w:tcW w:w="1250" w:type="dxa"/>
            <w:vAlign w:val="center"/>
          </w:tcPr>
          <w:p w14:paraId="49E4CC64">
            <w:pPr>
              <w:pStyle w:val="13"/>
              <w:spacing w:line="240" w:lineRule="atLeast"/>
              <w:ind w:left="1080" w:leftChars="257" w:hanging="540"/>
              <w:jc w:val="left"/>
              <w:rPr>
                <w:rFonts w:ascii="仿宋" w:hAnsi="仿宋" w:eastAsia="仿宋" w:cs="仿宋"/>
                <w:sz w:val="24"/>
                <w:szCs w:val="24"/>
              </w:rPr>
            </w:pPr>
          </w:p>
        </w:tc>
        <w:tc>
          <w:tcPr>
            <w:tcW w:w="1263" w:type="dxa"/>
            <w:vAlign w:val="center"/>
          </w:tcPr>
          <w:p w14:paraId="6EBCD41F">
            <w:pPr>
              <w:pStyle w:val="13"/>
              <w:spacing w:line="240" w:lineRule="atLeast"/>
              <w:ind w:left="1080" w:leftChars="257" w:hanging="540"/>
              <w:jc w:val="left"/>
              <w:rPr>
                <w:rFonts w:ascii="仿宋" w:hAnsi="仿宋" w:eastAsia="仿宋" w:cs="仿宋"/>
                <w:sz w:val="24"/>
                <w:szCs w:val="24"/>
              </w:rPr>
            </w:pPr>
          </w:p>
        </w:tc>
        <w:tc>
          <w:tcPr>
            <w:tcW w:w="1302" w:type="dxa"/>
            <w:vAlign w:val="center"/>
          </w:tcPr>
          <w:p w14:paraId="584BE8ED">
            <w:pPr>
              <w:pStyle w:val="13"/>
              <w:spacing w:line="240" w:lineRule="atLeast"/>
              <w:ind w:left="1080" w:leftChars="257" w:hanging="540"/>
              <w:jc w:val="left"/>
              <w:rPr>
                <w:rFonts w:ascii="仿宋" w:hAnsi="仿宋" w:eastAsia="仿宋" w:cs="仿宋"/>
                <w:sz w:val="24"/>
                <w:szCs w:val="24"/>
              </w:rPr>
            </w:pPr>
          </w:p>
        </w:tc>
        <w:tc>
          <w:tcPr>
            <w:tcW w:w="741" w:type="dxa"/>
            <w:vAlign w:val="center"/>
          </w:tcPr>
          <w:p w14:paraId="778ABDEE">
            <w:pPr>
              <w:pStyle w:val="13"/>
              <w:spacing w:line="240" w:lineRule="atLeast"/>
              <w:ind w:left="1080" w:leftChars="257" w:hanging="540"/>
              <w:jc w:val="left"/>
              <w:rPr>
                <w:rFonts w:ascii="仿宋" w:hAnsi="仿宋" w:eastAsia="仿宋" w:cs="仿宋"/>
                <w:sz w:val="24"/>
                <w:szCs w:val="24"/>
              </w:rPr>
            </w:pPr>
          </w:p>
        </w:tc>
      </w:tr>
      <w:tr w14:paraId="34F8A6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819" w:type="dxa"/>
            <w:vAlign w:val="center"/>
          </w:tcPr>
          <w:p w14:paraId="1DF422F0">
            <w:pPr>
              <w:widowControl/>
              <w:jc w:val="center"/>
              <w:textAlignment w:val="center"/>
              <w:rPr>
                <w:rFonts w:ascii="仿宋" w:hAnsi="仿宋" w:eastAsia="仿宋" w:cs="仿宋"/>
                <w:sz w:val="24"/>
              </w:rPr>
            </w:pPr>
          </w:p>
        </w:tc>
        <w:tc>
          <w:tcPr>
            <w:tcW w:w="1207" w:type="dxa"/>
            <w:vAlign w:val="center"/>
          </w:tcPr>
          <w:p w14:paraId="77F7FE69">
            <w:pPr>
              <w:widowControl/>
              <w:jc w:val="left"/>
              <w:textAlignment w:val="center"/>
              <w:rPr>
                <w:rFonts w:ascii="仿宋" w:hAnsi="仿宋" w:eastAsia="仿宋" w:cs="仿宋"/>
                <w:sz w:val="24"/>
              </w:rPr>
            </w:pPr>
          </w:p>
        </w:tc>
        <w:tc>
          <w:tcPr>
            <w:tcW w:w="1450" w:type="dxa"/>
            <w:vAlign w:val="center"/>
          </w:tcPr>
          <w:p w14:paraId="7CE11E6D">
            <w:pPr>
              <w:pStyle w:val="13"/>
              <w:spacing w:line="240" w:lineRule="atLeast"/>
              <w:jc w:val="left"/>
              <w:rPr>
                <w:rFonts w:ascii="仿宋" w:hAnsi="仿宋" w:eastAsia="仿宋" w:cs="仿宋"/>
                <w:sz w:val="24"/>
                <w:szCs w:val="24"/>
              </w:rPr>
            </w:pPr>
          </w:p>
        </w:tc>
        <w:tc>
          <w:tcPr>
            <w:tcW w:w="1512" w:type="dxa"/>
            <w:vAlign w:val="center"/>
          </w:tcPr>
          <w:p w14:paraId="3E7EAC56">
            <w:pPr>
              <w:widowControl/>
              <w:jc w:val="center"/>
              <w:textAlignment w:val="center"/>
              <w:rPr>
                <w:rFonts w:ascii="仿宋" w:hAnsi="仿宋" w:eastAsia="仿宋" w:cs="仿宋"/>
                <w:sz w:val="24"/>
              </w:rPr>
            </w:pPr>
          </w:p>
        </w:tc>
        <w:tc>
          <w:tcPr>
            <w:tcW w:w="1250" w:type="dxa"/>
            <w:vAlign w:val="center"/>
          </w:tcPr>
          <w:p w14:paraId="1D702512">
            <w:pPr>
              <w:pStyle w:val="13"/>
              <w:spacing w:line="240" w:lineRule="atLeast"/>
              <w:ind w:left="1080" w:leftChars="257" w:hanging="540"/>
              <w:jc w:val="left"/>
              <w:rPr>
                <w:rFonts w:ascii="仿宋" w:hAnsi="仿宋" w:eastAsia="仿宋" w:cs="仿宋"/>
                <w:sz w:val="24"/>
                <w:szCs w:val="24"/>
              </w:rPr>
            </w:pPr>
          </w:p>
        </w:tc>
        <w:tc>
          <w:tcPr>
            <w:tcW w:w="1263" w:type="dxa"/>
            <w:vAlign w:val="center"/>
          </w:tcPr>
          <w:p w14:paraId="68B9A51D">
            <w:pPr>
              <w:pStyle w:val="13"/>
              <w:spacing w:line="240" w:lineRule="atLeast"/>
              <w:ind w:left="1080" w:leftChars="257" w:hanging="540"/>
              <w:jc w:val="left"/>
              <w:rPr>
                <w:rFonts w:ascii="仿宋" w:hAnsi="仿宋" w:eastAsia="仿宋" w:cs="仿宋"/>
                <w:sz w:val="24"/>
                <w:szCs w:val="24"/>
              </w:rPr>
            </w:pPr>
          </w:p>
        </w:tc>
        <w:tc>
          <w:tcPr>
            <w:tcW w:w="1302" w:type="dxa"/>
            <w:vAlign w:val="center"/>
          </w:tcPr>
          <w:p w14:paraId="7A9896B4">
            <w:pPr>
              <w:pStyle w:val="13"/>
              <w:spacing w:line="240" w:lineRule="atLeast"/>
              <w:ind w:left="1080" w:leftChars="257" w:hanging="540"/>
              <w:jc w:val="left"/>
              <w:rPr>
                <w:rFonts w:ascii="仿宋" w:hAnsi="仿宋" w:eastAsia="仿宋" w:cs="仿宋"/>
                <w:sz w:val="24"/>
                <w:szCs w:val="24"/>
              </w:rPr>
            </w:pPr>
          </w:p>
        </w:tc>
        <w:tc>
          <w:tcPr>
            <w:tcW w:w="741" w:type="dxa"/>
            <w:vAlign w:val="center"/>
          </w:tcPr>
          <w:p w14:paraId="2B3C02C9">
            <w:pPr>
              <w:pStyle w:val="13"/>
              <w:spacing w:line="240" w:lineRule="atLeast"/>
              <w:ind w:left="1080" w:leftChars="257" w:hanging="540"/>
              <w:jc w:val="left"/>
              <w:rPr>
                <w:rFonts w:ascii="仿宋" w:hAnsi="仿宋" w:eastAsia="仿宋" w:cs="仿宋"/>
                <w:sz w:val="24"/>
                <w:szCs w:val="24"/>
              </w:rPr>
            </w:pPr>
          </w:p>
        </w:tc>
      </w:tr>
      <w:tr w14:paraId="31DBA9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9" w:hRule="atLeast"/>
        </w:trPr>
        <w:tc>
          <w:tcPr>
            <w:tcW w:w="819" w:type="dxa"/>
            <w:vAlign w:val="center"/>
          </w:tcPr>
          <w:p w14:paraId="6AF0B395">
            <w:pPr>
              <w:widowControl/>
              <w:jc w:val="center"/>
              <w:textAlignment w:val="center"/>
              <w:rPr>
                <w:rFonts w:ascii="仿宋" w:hAnsi="仿宋" w:eastAsia="仿宋" w:cs="仿宋"/>
                <w:sz w:val="24"/>
              </w:rPr>
            </w:pPr>
          </w:p>
        </w:tc>
        <w:tc>
          <w:tcPr>
            <w:tcW w:w="1207" w:type="dxa"/>
            <w:vAlign w:val="center"/>
          </w:tcPr>
          <w:p w14:paraId="09F20DE0">
            <w:pPr>
              <w:widowControl/>
              <w:jc w:val="left"/>
              <w:textAlignment w:val="center"/>
              <w:rPr>
                <w:rFonts w:ascii="仿宋" w:hAnsi="仿宋" w:eastAsia="仿宋" w:cs="仿宋"/>
                <w:sz w:val="24"/>
              </w:rPr>
            </w:pPr>
          </w:p>
        </w:tc>
        <w:tc>
          <w:tcPr>
            <w:tcW w:w="1450" w:type="dxa"/>
            <w:vAlign w:val="center"/>
          </w:tcPr>
          <w:p w14:paraId="178A4BE8">
            <w:pPr>
              <w:pStyle w:val="13"/>
              <w:spacing w:line="240" w:lineRule="atLeast"/>
              <w:jc w:val="left"/>
              <w:rPr>
                <w:rFonts w:ascii="仿宋" w:hAnsi="仿宋" w:eastAsia="仿宋" w:cs="仿宋"/>
                <w:sz w:val="24"/>
                <w:szCs w:val="24"/>
              </w:rPr>
            </w:pPr>
          </w:p>
        </w:tc>
        <w:tc>
          <w:tcPr>
            <w:tcW w:w="1512" w:type="dxa"/>
            <w:vAlign w:val="center"/>
          </w:tcPr>
          <w:p w14:paraId="5C256C9C">
            <w:pPr>
              <w:widowControl/>
              <w:jc w:val="center"/>
              <w:textAlignment w:val="center"/>
              <w:rPr>
                <w:rFonts w:ascii="仿宋" w:hAnsi="仿宋" w:eastAsia="仿宋" w:cs="仿宋"/>
                <w:sz w:val="24"/>
              </w:rPr>
            </w:pPr>
          </w:p>
        </w:tc>
        <w:tc>
          <w:tcPr>
            <w:tcW w:w="1250" w:type="dxa"/>
            <w:vAlign w:val="center"/>
          </w:tcPr>
          <w:p w14:paraId="6D868916">
            <w:pPr>
              <w:pStyle w:val="13"/>
              <w:spacing w:line="240" w:lineRule="atLeast"/>
              <w:ind w:left="1080" w:leftChars="257" w:hanging="540"/>
              <w:jc w:val="left"/>
              <w:rPr>
                <w:rFonts w:ascii="仿宋" w:hAnsi="仿宋" w:eastAsia="仿宋" w:cs="仿宋"/>
                <w:sz w:val="24"/>
                <w:szCs w:val="24"/>
              </w:rPr>
            </w:pPr>
          </w:p>
        </w:tc>
        <w:tc>
          <w:tcPr>
            <w:tcW w:w="1263" w:type="dxa"/>
            <w:vAlign w:val="center"/>
          </w:tcPr>
          <w:p w14:paraId="6D2CF2A4">
            <w:pPr>
              <w:pStyle w:val="13"/>
              <w:spacing w:line="240" w:lineRule="atLeast"/>
              <w:ind w:left="1080" w:leftChars="257" w:hanging="540"/>
              <w:jc w:val="left"/>
              <w:rPr>
                <w:rFonts w:ascii="仿宋" w:hAnsi="仿宋" w:eastAsia="仿宋" w:cs="仿宋"/>
                <w:sz w:val="24"/>
                <w:szCs w:val="24"/>
              </w:rPr>
            </w:pPr>
          </w:p>
        </w:tc>
        <w:tc>
          <w:tcPr>
            <w:tcW w:w="1302" w:type="dxa"/>
            <w:vAlign w:val="center"/>
          </w:tcPr>
          <w:p w14:paraId="6BD8CFE0">
            <w:pPr>
              <w:pStyle w:val="13"/>
              <w:spacing w:line="240" w:lineRule="atLeast"/>
              <w:ind w:left="1080" w:leftChars="257" w:hanging="540"/>
              <w:jc w:val="left"/>
              <w:rPr>
                <w:rFonts w:ascii="仿宋" w:hAnsi="仿宋" w:eastAsia="仿宋" w:cs="仿宋"/>
                <w:sz w:val="24"/>
                <w:szCs w:val="24"/>
              </w:rPr>
            </w:pPr>
          </w:p>
        </w:tc>
        <w:tc>
          <w:tcPr>
            <w:tcW w:w="741" w:type="dxa"/>
            <w:vAlign w:val="center"/>
          </w:tcPr>
          <w:p w14:paraId="4E4DD0CD">
            <w:pPr>
              <w:pStyle w:val="13"/>
              <w:spacing w:line="240" w:lineRule="atLeast"/>
              <w:ind w:left="1080" w:leftChars="257" w:hanging="540"/>
              <w:jc w:val="left"/>
              <w:rPr>
                <w:rFonts w:ascii="仿宋" w:hAnsi="仿宋" w:eastAsia="仿宋" w:cs="仿宋"/>
                <w:sz w:val="24"/>
                <w:szCs w:val="24"/>
              </w:rPr>
            </w:pPr>
          </w:p>
        </w:tc>
      </w:tr>
      <w:tr w14:paraId="2AD907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9" w:hRule="atLeast"/>
        </w:trPr>
        <w:tc>
          <w:tcPr>
            <w:tcW w:w="819" w:type="dxa"/>
            <w:vAlign w:val="center"/>
          </w:tcPr>
          <w:p w14:paraId="61F5A836">
            <w:pPr>
              <w:widowControl/>
              <w:jc w:val="center"/>
              <w:textAlignment w:val="center"/>
              <w:rPr>
                <w:rFonts w:ascii="仿宋" w:hAnsi="仿宋" w:eastAsia="仿宋" w:cs="仿宋"/>
                <w:sz w:val="24"/>
              </w:rPr>
            </w:pPr>
          </w:p>
        </w:tc>
        <w:tc>
          <w:tcPr>
            <w:tcW w:w="1207" w:type="dxa"/>
            <w:vAlign w:val="center"/>
          </w:tcPr>
          <w:p w14:paraId="107440C6">
            <w:pPr>
              <w:widowControl/>
              <w:jc w:val="left"/>
              <w:textAlignment w:val="center"/>
              <w:rPr>
                <w:rFonts w:ascii="仿宋" w:hAnsi="仿宋" w:eastAsia="仿宋" w:cs="仿宋"/>
                <w:sz w:val="24"/>
              </w:rPr>
            </w:pPr>
          </w:p>
        </w:tc>
        <w:tc>
          <w:tcPr>
            <w:tcW w:w="1450" w:type="dxa"/>
            <w:vAlign w:val="center"/>
          </w:tcPr>
          <w:p w14:paraId="6F4D9005">
            <w:pPr>
              <w:pStyle w:val="13"/>
              <w:spacing w:line="240" w:lineRule="atLeast"/>
              <w:jc w:val="left"/>
              <w:rPr>
                <w:rFonts w:ascii="仿宋" w:hAnsi="仿宋" w:eastAsia="仿宋" w:cs="仿宋"/>
                <w:sz w:val="24"/>
                <w:szCs w:val="24"/>
              </w:rPr>
            </w:pPr>
          </w:p>
        </w:tc>
        <w:tc>
          <w:tcPr>
            <w:tcW w:w="1512" w:type="dxa"/>
            <w:vAlign w:val="center"/>
          </w:tcPr>
          <w:p w14:paraId="12319B0D">
            <w:pPr>
              <w:widowControl/>
              <w:jc w:val="center"/>
              <w:textAlignment w:val="center"/>
              <w:rPr>
                <w:rFonts w:ascii="仿宋" w:hAnsi="仿宋" w:eastAsia="仿宋" w:cs="仿宋"/>
                <w:sz w:val="24"/>
              </w:rPr>
            </w:pPr>
          </w:p>
        </w:tc>
        <w:tc>
          <w:tcPr>
            <w:tcW w:w="1250" w:type="dxa"/>
            <w:vAlign w:val="center"/>
          </w:tcPr>
          <w:p w14:paraId="5AAF54B3">
            <w:pPr>
              <w:pStyle w:val="13"/>
              <w:spacing w:line="240" w:lineRule="atLeast"/>
              <w:ind w:left="1080" w:leftChars="257" w:hanging="540"/>
              <w:jc w:val="left"/>
              <w:rPr>
                <w:rFonts w:ascii="仿宋" w:hAnsi="仿宋" w:eastAsia="仿宋" w:cs="仿宋"/>
                <w:sz w:val="24"/>
                <w:szCs w:val="24"/>
              </w:rPr>
            </w:pPr>
          </w:p>
        </w:tc>
        <w:tc>
          <w:tcPr>
            <w:tcW w:w="1263" w:type="dxa"/>
            <w:vAlign w:val="center"/>
          </w:tcPr>
          <w:p w14:paraId="3E65BC18">
            <w:pPr>
              <w:pStyle w:val="13"/>
              <w:spacing w:line="240" w:lineRule="atLeast"/>
              <w:ind w:left="1080" w:leftChars="257" w:hanging="540"/>
              <w:jc w:val="left"/>
              <w:rPr>
                <w:rFonts w:ascii="仿宋" w:hAnsi="仿宋" w:eastAsia="仿宋" w:cs="仿宋"/>
                <w:sz w:val="24"/>
                <w:szCs w:val="24"/>
              </w:rPr>
            </w:pPr>
          </w:p>
        </w:tc>
        <w:tc>
          <w:tcPr>
            <w:tcW w:w="1302" w:type="dxa"/>
            <w:vAlign w:val="center"/>
          </w:tcPr>
          <w:p w14:paraId="58ED1BFF">
            <w:pPr>
              <w:pStyle w:val="13"/>
              <w:spacing w:line="240" w:lineRule="atLeast"/>
              <w:ind w:left="1080" w:leftChars="257" w:hanging="540"/>
              <w:jc w:val="left"/>
              <w:rPr>
                <w:rFonts w:ascii="仿宋" w:hAnsi="仿宋" w:eastAsia="仿宋" w:cs="仿宋"/>
                <w:sz w:val="24"/>
                <w:szCs w:val="24"/>
              </w:rPr>
            </w:pPr>
          </w:p>
        </w:tc>
        <w:tc>
          <w:tcPr>
            <w:tcW w:w="741" w:type="dxa"/>
            <w:vAlign w:val="center"/>
          </w:tcPr>
          <w:p w14:paraId="536A7E2D">
            <w:pPr>
              <w:pStyle w:val="13"/>
              <w:spacing w:line="240" w:lineRule="atLeast"/>
              <w:ind w:left="1080" w:leftChars="257" w:hanging="540"/>
              <w:jc w:val="left"/>
              <w:rPr>
                <w:rFonts w:ascii="仿宋" w:hAnsi="仿宋" w:eastAsia="仿宋" w:cs="仿宋"/>
                <w:sz w:val="24"/>
                <w:szCs w:val="24"/>
              </w:rPr>
            </w:pPr>
          </w:p>
        </w:tc>
      </w:tr>
      <w:tr w14:paraId="6FFDA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 w:hRule="atLeast"/>
        </w:trPr>
        <w:tc>
          <w:tcPr>
            <w:tcW w:w="819" w:type="dxa"/>
            <w:vAlign w:val="center"/>
          </w:tcPr>
          <w:p w14:paraId="660DCD36">
            <w:pPr>
              <w:widowControl/>
              <w:jc w:val="center"/>
              <w:textAlignment w:val="center"/>
              <w:rPr>
                <w:rFonts w:ascii="仿宋" w:hAnsi="仿宋" w:eastAsia="仿宋" w:cs="仿宋"/>
                <w:sz w:val="24"/>
              </w:rPr>
            </w:pPr>
          </w:p>
        </w:tc>
        <w:tc>
          <w:tcPr>
            <w:tcW w:w="1207" w:type="dxa"/>
            <w:vAlign w:val="center"/>
          </w:tcPr>
          <w:p w14:paraId="3B725A89">
            <w:pPr>
              <w:widowControl/>
              <w:jc w:val="left"/>
              <w:textAlignment w:val="center"/>
              <w:rPr>
                <w:rFonts w:ascii="仿宋" w:hAnsi="仿宋" w:eastAsia="仿宋" w:cs="仿宋"/>
                <w:sz w:val="24"/>
              </w:rPr>
            </w:pPr>
          </w:p>
        </w:tc>
        <w:tc>
          <w:tcPr>
            <w:tcW w:w="1450" w:type="dxa"/>
            <w:vAlign w:val="center"/>
          </w:tcPr>
          <w:p w14:paraId="4DCD44E8">
            <w:pPr>
              <w:pStyle w:val="13"/>
              <w:spacing w:line="240" w:lineRule="atLeast"/>
              <w:jc w:val="left"/>
              <w:rPr>
                <w:rFonts w:ascii="仿宋" w:hAnsi="仿宋" w:eastAsia="仿宋" w:cs="仿宋"/>
                <w:sz w:val="24"/>
                <w:szCs w:val="24"/>
              </w:rPr>
            </w:pPr>
          </w:p>
        </w:tc>
        <w:tc>
          <w:tcPr>
            <w:tcW w:w="1512" w:type="dxa"/>
            <w:vAlign w:val="center"/>
          </w:tcPr>
          <w:p w14:paraId="42F98D54">
            <w:pPr>
              <w:widowControl/>
              <w:jc w:val="center"/>
              <w:textAlignment w:val="center"/>
              <w:rPr>
                <w:rFonts w:ascii="仿宋" w:hAnsi="仿宋" w:eastAsia="仿宋" w:cs="仿宋"/>
                <w:sz w:val="24"/>
              </w:rPr>
            </w:pPr>
          </w:p>
        </w:tc>
        <w:tc>
          <w:tcPr>
            <w:tcW w:w="1250" w:type="dxa"/>
            <w:vAlign w:val="center"/>
          </w:tcPr>
          <w:p w14:paraId="440A3392">
            <w:pPr>
              <w:pStyle w:val="13"/>
              <w:spacing w:line="240" w:lineRule="atLeast"/>
              <w:ind w:left="1080" w:leftChars="257" w:hanging="540"/>
              <w:jc w:val="left"/>
              <w:rPr>
                <w:rFonts w:ascii="仿宋" w:hAnsi="仿宋" w:eastAsia="仿宋" w:cs="仿宋"/>
                <w:sz w:val="24"/>
                <w:szCs w:val="24"/>
              </w:rPr>
            </w:pPr>
          </w:p>
        </w:tc>
        <w:tc>
          <w:tcPr>
            <w:tcW w:w="1263" w:type="dxa"/>
            <w:vAlign w:val="center"/>
          </w:tcPr>
          <w:p w14:paraId="49F26CB2">
            <w:pPr>
              <w:pStyle w:val="13"/>
              <w:spacing w:line="240" w:lineRule="atLeast"/>
              <w:ind w:left="1080" w:leftChars="257" w:hanging="540"/>
              <w:jc w:val="left"/>
              <w:rPr>
                <w:rFonts w:ascii="仿宋" w:hAnsi="仿宋" w:eastAsia="仿宋" w:cs="仿宋"/>
                <w:sz w:val="24"/>
                <w:szCs w:val="24"/>
              </w:rPr>
            </w:pPr>
          </w:p>
        </w:tc>
        <w:tc>
          <w:tcPr>
            <w:tcW w:w="1302" w:type="dxa"/>
            <w:vAlign w:val="center"/>
          </w:tcPr>
          <w:p w14:paraId="015F9715">
            <w:pPr>
              <w:pStyle w:val="13"/>
              <w:spacing w:line="240" w:lineRule="atLeast"/>
              <w:ind w:left="1080" w:leftChars="257" w:hanging="540"/>
              <w:jc w:val="left"/>
              <w:rPr>
                <w:rFonts w:ascii="仿宋" w:hAnsi="仿宋" w:eastAsia="仿宋" w:cs="仿宋"/>
                <w:sz w:val="24"/>
                <w:szCs w:val="24"/>
              </w:rPr>
            </w:pPr>
          </w:p>
        </w:tc>
        <w:tc>
          <w:tcPr>
            <w:tcW w:w="741" w:type="dxa"/>
            <w:vAlign w:val="center"/>
          </w:tcPr>
          <w:p w14:paraId="500064CD">
            <w:pPr>
              <w:pStyle w:val="13"/>
              <w:spacing w:line="240" w:lineRule="atLeast"/>
              <w:ind w:left="1080" w:leftChars="257" w:hanging="540"/>
              <w:jc w:val="left"/>
              <w:rPr>
                <w:rFonts w:ascii="仿宋" w:hAnsi="仿宋" w:eastAsia="仿宋" w:cs="仿宋"/>
                <w:sz w:val="24"/>
                <w:szCs w:val="24"/>
              </w:rPr>
            </w:pPr>
          </w:p>
        </w:tc>
      </w:tr>
      <w:tr w14:paraId="2A6A62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 w:hRule="atLeast"/>
        </w:trPr>
        <w:tc>
          <w:tcPr>
            <w:tcW w:w="819" w:type="dxa"/>
            <w:vAlign w:val="center"/>
          </w:tcPr>
          <w:p w14:paraId="49D5F690">
            <w:pPr>
              <w:widowControl/>
              <w:jc w:val="center"/>
              <w:textAlignment w:val="center"/>
              <w:rPr>
                <w:rFonts w:ascii="仿宋" w:hAnsi="仿宋" w:eastAsia="仿宋" w:cs="仿宋"/>
                <w:sz w:val="24"/>
              </w:rPr>
            </w:pPr>
          </w:p>
        </w:tc>
        <w:tc>
          <w:tcPr>
            <w:tcW w:w="1207" w:type="dxa"/>
            <w:vAlign w:val="center"/>
          </w:tcPr>
          <w:p w14:paraId="1111F35A">
            <w:pPr>
              <w:widowControl/>
              <w:jc w:val="left"/>
              <w:textAlignment w:val="center"/>
              <w:rPr>
                <w:rFonts w:ascii="仿宋" w:hAnsi="仿宋" w:eastAsia="仿宋" w:cs="仿宋"/>
                <w:sz w:val="24"/>
              </w:rPr>
            </w:pPr>
          </w:p>
        </w:tc>
        <w:tc>
          <w:tcPr>
            <w:tcW w:w="1450" w:type="dxa"/>
            <w:vAlign w:val="center"/>
          </w:tcPr>
          <w:p w14:paraId="42A11466">
            <w:pPr>
              <w:pStyle w:val="13"/>
              <w:spacing w:line="240" w:lineRule="atLeast"/>
              <w:jc w:val="left"/>
              <w:rPr>
                <w:rFonts w:ascii="仿宋" w:hAnsi="仿宋" w:eastAsia="仿宋" w:cs="仿宋"/>
                <w:sz w:val="24"/>
                <w:szCs w:val="24"/>
              </w:rPr>
            </w:pPr>
          </w:p>
        </w:tc>
        <w:tc>
          <w:tcPr>
            <w:tcW w:w="1512" w:type="dxa"/>
            <w:vAlign w:val="center"/>
          </w:tcPr>
          <w:p w14:paraId="4E319BA6">
            <w:pPr>
              <w:widowControl/>
              <w:jc w:val="center"/>
              <w:textAlignment w:val="center"/>
              <w:rPr>
                <w:rFonts w:ascii="仿宋" w:hAnsi="仿宋" w:eastAsia="仿宋" w:cs="仿宋"/>
                <w:sz w:val="24"/>
              </w:rPr>
            </w:pPr>
          </w:p>
        </w:tc>
        <w:tc>
          <w:tcPr>
            <w:tcW w:w="1250" w:type="dxa"/>
            <w:vAlign w:val="center"/>
          </w:tcPr>
          <w:p w14:paraId="5C374BB9">
            <w:pPr>
              <w:pStyle w:val="13"/>
              <w:spacing w:line="240" w:lineRule="atLeast"/>
              <w:ind w:left="1080" w:leftChars="257" w:hanging="540"/>
              <w:jc w:val="left"/>
              <w:rPr>
                <w:rFonts w:ascii="仿宋" w:hAnsi="仿宋" w:eastAsia="仿宋" w:cs="仿宋"/>
                <w:sz w:val="24"/>
                <w:szCs w:val="24"/>
              </w:rPr>
            </w:pPr>
          </w:p>
        </w:tc>
        <w:tc>
          <w:tcPr>
            <w:tcW w:w="1263" w:type="dxa"/>
            <w:vAlign w:val="center"/>
          </w:tcPr>
          <w:p w14:paraId="3C4E3BA0">
            <w:pPr>
              <w:pStyle w:val="13"/>
              <w:spacing w:line="240" w:lineRule="atLeast"/>
              <w:ind w:left="1080" w:leftChars="257" w:hanging="540"/>
              <w:jc w:val="left"/>
              <w:rPr>
                <w:rFonts w:ascii="仿宋" w:hAnsi="仿宋" w:eastAsia="仿宋" w:cs="仿宋"/>
                <w:sz w:val="24"/>
                <w:szCs w:val="24"/>
              </w:rPr>
            </w:pPr>
          </w:p>
        </w:tc>
        <w:tc>
          <w:tcPr>
            <w:tcW w:w="1302" w:type="dxa"/>
            <w:vAlign w:val="center"/>
          </w:tcPr>
          <w:p w14:paraId="1CD5A42F">
            <w:pPr>
              <w:pStyle w:val="13"/>
              <w:spacing w:line="240" w:lineRule="atLeast"/>
              <w:ind w:left="1080" w:leftChars="257" w:hanging="540"/>
              <w:jc w:val="left"/>
              <w:rPr>
                <w:rFonts w:ascii="仿宋" w:hAnsi="仿宋" w:eastAsia="仿宋" w:cs="仿宋"/>
                <w:sz w:val="24"/>
                <w:szCs w:val="24"/>
              </w:rPr>
            </w:pPr>
          </w:p>
        </w:tc>
        <w:tc>
          <w:tcPr>
            <w:tcW w:w="741" w:type="dxa"/>
            <w:vAlign w:val="center"/>
          </w:tcPr>
          <w:p w14:paraId="4378BE16">
            <w:pPr>
              <w:pStyle w:val="13"/>
              <w:spacing w:line="240" w:lineRule="atLeast"/>
              <w:ind w:left="1080" w:leftChars="257" w:hanging="540"/>
              <w:jc w:val="left"/>
              <w:rPr>
                <w:rFonts w:ascii="仿宋" w:hAnsi="仿宋" w:eastAsia="仿宋" w:cs="仿宋"/>
                <w:sz w:val="24"/>
                <w:szCs w:val="24"/>
              </w:rPr>
            </w:pPr>
          </w:p>
        </w:tc>
      </w:tr>
      <w:bookmarkEnd w:id="367"/>
      <w:bookmarkEnd w:id="368"/>
      <w:bookmarkEnd w:id="369"/>
      <w:bookmarkEnd w:id="370"/>
      <w:bookmarkEnd w:id="371"/>
      <w:bookmarkEnd w:id="372"/>
      <w:bookmarkEnd w:id="373"/>
      <w:bookmarkEnd w:id="374"/>
      <w:bookmarkEnd w:id="375"/>
      <w:bookmarkEnd w:id="376"/>
      <w:bookmarkEnd w:id="377"/>
      <w:bookmarkEnd w:id="378"/>
    </w:tbl>
    <w:p w14:paraId="66948A1F">
      <w:pPr>
        <w:pStyle w:val="13"/>
        <w:spacing w:line="240" w:lineRule="atLeast"/>
        <w:rPr>
          <w:rFonts w:ascii="仿宋" w:hAnsi="仿宋" w:eastAsia="仿宋" w:cs="仿宋"/>
          <w:sz w:val="24"/>
          <w:szCs w:val="24"/>
        </w:rPr>
      </w:pPr>
      <w:bookmarkStart w:id="379" w:name="_Toc22104"/>
      <w:bookmarkStart w:id="380" w:name="_Toc12151"/>
      <w:bookmarkStart w:id="381" w:name="_Toc22132"/>
      <w:bookmarkStart w:id="382" w:name="_Toc25251"/>
      <w:bookmarkStart w:id="383" w:name="_Toc24292"/>
      <w:bookmarkStart w:id="384" w:name="_Toc18267"/>
      <w:bookmarkStart w:id="385" w:name="_Toc6343"/>
      <w:bookmarkStart w:id="386" w:name="_Toc22216"/>
      <w:bookmarkStart w:id="387" w:name="_Toc9921"/>
      <w:bookmarkStart w:id="388" w:name="_Toc515647819"/>
      <w:bookmarkStart w:id="389" w:name="_Toc14037"/>
      <w:bookmarkStart w:id="390" w:name="_Toc216582816"/>
    </w:p>
    <w:p w14:paraId="12A3AD57">
      <w:pPr>
        <w:pStyle w:val="13"/>
        <w:spacing w:line="240" w:lineRule="atLeast"/>
        <w:rPr>
          <w:rFonts w:ascii="仿宋" w:hAnsi="仿宋" w:eastAsia="仿宋" w:cs="仿宋"/>
          <w:sz w:val="24"/>
          <w:szCs w:val="24"/>
        </w:rPr>
      </w:pPr>
      <w:r>
        <w:rPr>
          <w:rFonts w:hint="eastAsia" w:ascii="仿宋" w:hAnsi="仿宋" w:eastAsia="仿宋" w:cs="仿宋"/>
          <w:sz w:val="24"/>
          <w:szCs w:val="24"/>
        </w:rPr>
        <w:t>法定代表人或其委托代理人（</w:t>
      </w:r>
      <w:r>
        <w:rPr>
          <w:rFonts w:hint="eastAsia" w:ascii="仿宋" w:hAnsi="仿宋" w:eastAsia="仿宋" w:cs="仿宋"/>
          <w:sz w:val="24"/>
          <w:szCs w:val="24"/>
          <w:lang w:val="en-US" w:eastAsia="zh-CN"/>
        </w:rPr>
        <w:t>CA签字</w:t>
      </w:r>
      <w:r>
        <w:rPr>
          <w:rFonts w:hint="eastAsia" w:ascii="仿宋" w:hAnsi="仿宋" w:eastAsia="仿宋" w:cs="仿宋"/>
          <w:sz w:val="24"/>
          <w:szCs w:val="24"/>
        </w:rPr>
        <w:t>）:</w:t>
      </w:r>
      <w:r>
        <w:rPr>
          <w:rFonts w:hint="eastAsia" w:ascii="仿宋" w:hAnsi="仿宋" w:eastAsia="仿宋" w:cs="仿宋"/>
          <w:sz w:val="24"/>
          <w:szCs w:val="24"/>
          <w:u w:val="single"/>
        </w:rPr>
        <w:t xml:space="preserve"> </w:t>
      </w:r>
      <w:r>
        <w:rPr>
          <w:rFonts w:hint="eastAsia" w:ascii="仿宋" w:hAnsi="仿宋" w:eastAsia="仿宋" w:cs="仿宋"/>
          <w:sz w:val="24"/>
          <w:szCs w:val="24"/>
          <w:u w:val="single"/>
        </w:rPr>
        <w:tab/>
      </w:r>
      <w:r>
        <w:rPr>
          <w:rFonts w:hint="eastAsia" w:ascii="仿宋" w:hAnsi="仿宋" w:eastAsia="仿宋" w:cs="仿宋"/>
          <w:sz w:val="24"/>
          <w:szCs w:val="24"/>
          <w:u w:val="single"/>
        </w:rPr>
        <w:t xml:space="preserve">                 </w:t>
      </w:r>
    </w:p>
    <w:p w14:paraId="1871AC2D">
      <w:pPr>
        <w:pStyle w:val="13"/>
        <w:tabs>
          <w:tab w:val="left" w:pos="5370"/>
        </w:tabs>
        <w:spacing w:line="240" w:lineRule="atLeast"/>
        <w:rPr>
          <w:rFonts w:ascii="仿宋" w:hAnsi="仿宋" w:eastAsia="仿宋" w:cs="仿宋"/>
          <w:sz w:val="24"/>
          <w:szCs w:val="24"/>
          <w:u w:val="single"/>
        </w:rPr>
      </w:pPr>
      <w:r>
        <w:rPr>
          <w:rFonts w:hint="eastAsia" w:ascii="仿宋" w:hAnsi="仿宋" w:eastAsia="仿宋" w:cs="仿宋"/>
          <w:sz w:val="24"/>
          <w:szCs w:val="24"/>
        </w:rPr>
        <w:t>供应商(</w:t>
      </w:r>
      <w:r>
        <w:rPr>
          <w:rFonts w:hint="eastAsia" w:ascii="仿宋" w:hAnsi="仿宋" w:eastAsia="仿宋" w:cs="仿宋"/>
          <w:sz w:val="24"/>
          <w:szCs w:val="24"/>
          <w:lang w:eastAsia="zh-CN"/>
        </w:rPr>
        <w:t>电子签章</w:t>
      </w:r>
      <w:r>
        <w:rPr>
          <w:rFonts w:hint="eastAsia" w:ascii="仿宋" w:hAnsi="仿宋" w:eastAsia="仿宋" w:cs="仿宋"/>
          <w:sz w:val="24"/>
          <w:szCs w:val="24"/>
        </w:rPr>
        <w:t>):</w:t>
      </w:r>
      <w:r>
        <w:rPr>
          <w:rFonts w:hint="eastAsia" w:ascii="仿宋" w:hAnsi="仿宋" w:eastAsia="仿宋" w:cs="仿宋"/>
          <w:sz w:val="24"/>
          <w:szCs w:val="24"/>
          <w:u w:val="single"/>
        </w:rPr>
        <w:tab/>
      </w:r>
    </w:p>
    <w:p w14:paraId="433F4A23">
      <w:pPr>
        <w:pStyle w:val="13"/>
        <w:spacing w:line="240" w:lineRule="atLeast"/>
        <w:rPr>
          <w:rFonts w:ascii="仿宋" w:hAnsi="仿宋" w:eastAsia="仿宋" w:cs="仿宋"/>
          <w:sz w:val="24"/>
          <w:szCs w:val="24"/>
          <w:u w:val="single"/>
        </w:rPr>
      </w:pPr>
      <w:r>
        <w:rPr>
          <w:rFonts w:hint="eastAsia" w:ascii="仿宋" w:hAnsi="仿宋" w:eastAsia="仿宋" w:cs="仿宋"/>
          <w:sz w:val="24"/>
          <w:szCs w:val="24"/>
        </w:rPr>
        <w:t>日     期：</w:t>
      </w:r>
      <w:r>
        <w:rPr>
          <w:rFonts w:hint="eastAsia" w:ascii="仿宋" w:hAnsi="仿宋" w:eastAsia="仿宋" w:cs="仿宋"/>
          <w:sz w:val="24"/>
          <w:szCs w:val="24"/>
          <w:u w:val="single"/>
        </w:rPr>
        <w:t xml:space="preserve">                       </w:t>
      </w:r>
    </w:p>
    <w:p w14:paraId="40DE35B2">
      <w:pPr>
        <w:pStyle w:val="13"/>
        <w:spacing w:line="240" w:lineRule="atLeast"/>
        <w:rPr>
          <w:rFonts w:ascii="仿宋" w:hAnsi="仿宋" w:eastAsia="仿宋" w:cs="仿宋"/>
          <w:sz w:val="24"/>
          <w:szCs w:val="24"/>
        </w:rPr>
      </w:pPr>
    </w:p>
    <w:p w14:paraId="211CEED5">
      <w:pPr>
        <w:pStyle w:val="13"/>
        <w:spacing w:line="240" w:lineRule="atLeast"/>
        <w:rPr>
          <w:rFonts w:ascii="仿宋" w:hAnsi="仿宋" w:eastAsia="仿宋" w:cs="仿宋"/>
          <w:sz w:val="24"/>
          <w:szCs w:val="24"/>
        </w:rPr>
      </w:pPr>
      <w:r>
        <w:rPr>
          <w:rFonts w:hint="eastAsia" w:ascii="仿宋" w:hAnsi="仿宋" w:eastAsia="仿宋" w:cs="仿宋"/>
          <w:sz w:val="24"/>
          <w:szCs w:val="24"/>
        </w:rPr>
        <w:t>注:1.如果按单价计算的结果与总价不一致,以单价为准修正总价。</w:t>
      </w:r>
    </w:p>
    <w:p w14:paraId="64D82408">
      <w:pPr>
        <w:pStyle w:val="13"/>
        <w:spacing w:line="240" w:lineRule="atLeast"/>
        <w:rPr>
          <w:rFonts w:ascii="仿宋" w:hAnsi="仿宋" w:eastAsia="仿宋" w:cs="仿宋"/>
          <w:sz w:val="24"/>
          <w:szCs w:val="24"/>
        </w:rPr>
      </w:pPr>
      <w:r>
        <w:rPr>
          <w:rFonts w:hint="eastAsia" w:ascii="仿宋" w:hAnsi="仿宋" w:eastAsia="仿宋" w:cs="仿宋"/>
          <w:sz w:val="24"/>
          <w:szCs w:val="24"/>
        </w:rPr>
        <w:t xml:space="preserve">   2.上述各项的详细分项报价，应另页描述。</w:t>
      </w:r>
    </w:p>
    <w:p w14:paraId="7E838DED">
      <w:pPr>
        <w:pStyle w:val="13"/>
        <w:spacing w:line="240" w:lineRule="atLeast"/>
        <w:rPr>
          <w:rFonts w:ascii="仿宋" w:hAnsi="仿宋" w:eastAsia="仿宋" w:cs="仿宋"/>
          <w:sz w:val="24"/>
          <w:szCs w:val="24"/>
        </w:rPr>
      </w:pPr>
      <w:r>
        <w:rPr>
          <w:rFonts w:hint="eastAsia" w:ascii="仿宋" w:hAnsi="仿宋" w:eastAsia="仿宋" w:cs="仿宋"/>
          <w:sz w:val="24"/>
          <w:szCs w:val="24"/>
        </w:rPr>
        <w:t xml:space="preserve">   3.如果开标一览表（报价表）内容与投标文件中明细表内容不一致的，以开标一览表（报价表）内容为准。</w:t>
      </w:r>
    </w:p>
    <w:p w14:paraId="4FC913EA">
      <w:pPr>
        <w:pStyle w:val="13"/>
        <w:tabs>
          <w:tab w:val="left" w:pos="5370"/>
        </w:tabs>
        <w:spacing w:line="240" w:lineRule="atLeast"/>
        <w:rPr>
          <w:rFonts w:ascii="仿宋" w:hAnsi="仿宋" w:eastAsia="仿宋" w:cs="仿宋"/>
          <w:sz w:val="24"/>
          <w:szCs w:val="24"/>
        </w:rPr>
      </w:pPr>
      <w:r>
        <w:rPr>
          <w:rFonts w:hint="eastAsia" w:ascii="仿宋" w:hAnsi="仿宋" w:eastAsia="仿宋" w:cs="仿宋"/>
          <w:sz w:val="24"/>
          <w:szCs w:val="24"/>
        </w:rPr>
        <w:br w:type="page"/>
      </w:r>
    </w:p>
    <w:p w14:paraId="3671BF17">
      <w:pPr>
        <w:pStyle w:val="6"/>
        <w:spacing w:before="0"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3、服务说明一览表（磋商文件格式八）</w:t>
      </w:r>
    </w:p>
    <w:p w14:paraId="49431CA6">
      <w:pPr>
        <w:pStyle w:val="13"/>
        <w:spacing w:line="240" w:lineRule="atLeast"/>
        <w:ind w:left="1080" w:leftChars="257" w:hanging="540"/>
        <w:rPr>
          <w:rFonts w:ascii="仿宋" w:hAnsi="仿宋" w:eastAsia="仿宋" w:cs="仿宋"/>
          <w:sz w:val="24"/>
          <w:szCs w:val="24"/>
        </w:rPr>
      </w:pPr>
    </w:p>
    <w:p w14:paraId="7A81BAF3">
      <w:pPr>
        <w:pStyle w:val="13"/>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 xml:space="preserve">项目名称:                </w:t>
      </w:r>
    </w:p>
    <w:p w14:paraId="5C8A732C">
      <w:pPr>
        <w:pStyle w:val="13"/>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项目编号:                       包号</w:t>
      </w:r>
    </w:p>
    <w:p w14:paraId="513075F0">
      <w:pPr>
        <w:pStyle w:val="13"/>
        <w:spacing w:line="240" w:lineRule="atLeast"/>
        <w:ind w:left="1080" w:leftChars="257" w:hanging="540"/>
        <w:rPr>
          <w:rFonts w:ascii="仿宋" w:hAnsi="仿宋" w:eastAsia="仿宋" w:cs="仿宋"/>
          <w:sz w:val="24"/>
          <w:szCs w:val="24"/>
        </w:rPr>
      </w:pPr>
    </w:p>
    <w:tbl>
      <w:tblPr>
        <w:tblStyle w:val="23"/>
        <w:tblW w:w="93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7"/>
        <w:gridCol w:w="1588"/>
        <w:gridCol w:w="2225"/>
        <w:gridCol w:w="1167"/>
        <w:gridCol w:w="1256"/>
        <w:gridCol w:w="1227"/>
        <w:gridCol w:w="1132"/>
      </w:tblGrid>
      <w:tr w14:paraId="1A0FC1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77" w:type="dxa"/>
            <w:vAlign w:val="center"/>
          </w:tcPr>
          <w:p w14:paraId="4315079C">
            <w:pPr>
              <w:pStyle w:val="13"/>
              <w:spacing w:line="240" w:lineRule="atLeast"/>
              <w:jc w:val="center"/>
              <w:rPr>
                <w:rFonts w:ascii="仿宋" w:hAnsi="仿宋" w:eastAsia="仿宋" w:cs="仿宋"/>
                <w:sz w:val="24"/>
                <w:szCs w:val="24"/>
              </w:rPr>
            </w:pPr>
            <w:r>
              <w:rPr>
                <w:rFonts w:hint="eastAsia" w:ascii="仿宋" w:hAnsi="仿宋" w:eastAsia="仿宋" w:cs="仿宋"/>
                <w:sz w:val="24"/>
                <w:szCs w:val="24"/>
              </w:rPr>
              <w:t>序号</w:t>
            </w:r>
          </w:p>
        </w:tc>
        <w:tc>
          <w:tcPr>
            <w:tcW w:w="1588" w:type="dxa"/>
            <w:vAlign w:val="center"/>
          </w:tcPr>
          <w:p w14:paraId="0FCD0FD8">
            <w:pPr>
              <w:pStyle w:val="13"/>
              <w:spacing w:line="240" w:lineRule="atLeast"/>
              <w:jc w:val="center"/>
              <w:rPr>
                <w:rFonts w:ascii="仿宋" w:hAnsi="仿宋" w:eastAsia="仿宋" w:cs="仿宋"/>
                <w:sz w:val="24"/>
                <w:szCs w:val="24"/>
              </w:rPr>
            </w:pPr>
            <w:r>
              <w:rPr>
                <w:rFonts w:hint="eastAsia" w:ascii="仿宋" w:hAnsi="仿宋" w:eastAsia="仿宋" w:cs="仿宋"/>
                <w:sz w:val="24"/>
                <w:szCs w:val="24"/>
              </w:rPr>
              <w:t>服务名称</w:t>
            </w:r>
          </w:p>
        </w:tc>
        <w:tc>
          <w:tcPr>
            <w:tcW w:w="2225" w:type="dxa"/>
            <w:vAlign w:val="center"/>
          </w:tcPr>
          <w:p w14:paraId="01C64A4B">
            <w:pPr>
              <w:pStyle w:val="13"/>
              <w:spacing w:line="240" w:lineRule="atLeast"/>
              <w:jc w:val="center"/>
              <w:rPr>
                <w:rFonts w:ascii="仿宋" w:hAnsi="仿宋" w:eastAsia="仿宋" w:cs="仿宋"/>
                <w:sz w:val="24"/>
                <w:szCs w:val="24"/>
              </w:rPr>
            </w:pPr>
            <w:r>
              <w:rPr>
                <w:rFonts w:hint="eastAsia" w:ascii="仿宋" w:hAnsi="仿宋" w:eastAsia="仿宋" w:cs="仿宋"/>
                <w:sz w:val="24"/>
                <w:szCs w:val="24"/>
              </w:rPr>
              <w:t>服务内容</w:t>
            </w:r>
          </w:p>
        </w:tc>
        <w:tc>
          <w:tcPr>
            <w:tcW w:w="1167" w:type="dxa"/>
            <w:vAlign w:val="center"/>
          </w:tcPr>
          <w:p w14:paraId="3B55297A">
            <w:pPr>
              <w:pStyle w:val="13"/>
              <w:spacing w:line="240" w:lineRule="atLeast"/>
              <w:jc w:val="center"/>
              <w:rPr>
                <w:rFonts w:ascii="仿宋" w:hAnsi="仿宋" w:eastAsia="仿宋" w:cs="仿宋"/>
                <w:sz w:val="24"/>
                <w:szCs w:val="24"/>
              </w:rPr>
            </w:pPr>
            <w:r>
              <w:rPr>
                <w:rFonts w:hint="eastAsia" w:ascii="仿宋" w:hAnsi="仿宋" w:eastAsia="仿宋" w:cs="仿宋"/>
                <w:sz w:val="24"/>
                <w:szCs w:val="24"/>
              </w:rPr>
              <w:t>数量</w:t>
            </w:r>
          </w:p>
        </w:tc>
        <w:tc>
          <w:tcPr>
            <w:tcW w:w="1256" w:type="dxa"/>
            <w:vAlign w:val="center"/>
          </w:tcPr>
          <w:p w14:paraId="34B91F15">
            <w:pPr>
              <w:pStyle w:val="13"/>
              <w:spacing w:line="240" w:lineRule="atLeast"/>
              <w:jc w:val="center"/>
              <w:rPr>
                <w:rFonts w:ascii="仿宋" w:hAnsi="仿宋" w:eastAsia="仿宋" w:cs="仿宋"/>
                <w:sz w:val="24"/>
                <w:szCs w:val="24"/>
              </w:rPr>
            </w:pPr>
            <w:r>
              <w:rPr>
                <w:rFonts w:hint="eastAsia" w:ascii="仿宋" w:hAnsi="仿宋" w:eastAsia="仿宋" w:cs="仿宋"/>
                <w:sz w:val="24"/>
                <w:szCs w:val="24"/>
              </w:rPr>
              <w:t>服务期限</w:t>
            </w:r>
          </w:p>
        </w:tc>
        <w:tc>
          <w:tcPr>
            <w:tcW w:w="1227" w:type="dxa"/>
            <w:vAlign w:val="center"/>
          </w:tcPr>
          <w:p w14:paraId="0880C89A">
            <w:pPr>
              <w:pStyle w:val="13"/>
              <w:spacing w:line="240" w:lineRule="atLeast"/>
              <w:jc w:val="center"/>
              <w:rPr>
                <w:rFonts w:ascii="仿宋" w:hAnsi="仿宋" w:eastAsia="仿宋" w:cs="仿宋"/>
                <w:sz w:val="24"/>
                <w:szCs w:val="24"/>
              </w:rPr>
            </w:pPr>
            <w:r>
              <w:rPr>
                <w:rFonts w:hint="eastAsia" w:ascii="仿宋" w:hAnsi="仿宋" w:eastAsia="仿宋" w:cs="仿宋"/>
                <w:sz w:val="24"/>
                <w:szCs w:val="24"/>
              </w:rPr>
              <w:t>服务地点</w:t>
            </w:r>
          </w:p>
        </w:tc>
        <w:tc>
          <w:tcPr>
            <w:tcW w:w="1132" w:type="dxa"/>
            <w:vAlign w:val="center"/>
          </w:tcPr>
          <w:p w14:paraId="09F85520">
            <w:pPr>
              <w:pStyle w:val="13"/>
              <w:spacing w:line="240" w:lineRule="atLeast"/>
              <w:jc w:val="center"/>
              <w:rPr>
                <w:rFonts w:ascii="仿宋" w:hAnsi="仿宋" w:eastAsia="仿宋" w:cs="仿宋"/>
                <w:sz w:val="24"/>
                <w:szCs w:val="24"/>
              </w:rPr>
            </w:pPr>
            <w:r>
              <w:rPr>
                <w:rFonts w:hint="eastAsia" w:ascii="仿宋" w:hAnsi="仿宋" w:eastAsia="仿宋" w:cs="仿宋"/>
                <w:sz w:val="24"/>
                <w:szCs w:val="24"/>
              </w:rPr>
              <w:t>其它</w:t>
            </w:r>
          </w:p>
        </w:tc>
      </w:tr>
      <w:tr w14:paraId="5B6AF8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777" w:type="dxa"/>
            <w:vAlign w:val="center"/>
          </w:tcPr>
          <w:p w14:paraId="6038C2E0">
            <w:pPr>
              <w:widowControl/>
              <w:jc w:val="center"/>
              <w:textAlignment w:val="center"/>
              <w:rPr>
                <w:rFonts w:ascii="宋体" w:hAnsi="宋体" w:cs="宋体"/>
                <w:color w:val="000000"/>
                <w:kern w:val="0"/>
                <w:sz w:val="22"/>
                <w:szCs w:val="22"/>
              </w:rPr>
            </w:pPr>
          </w:p>
        </w:tc>
        <w:tc>
          <w:tcPr>
            <w:tcW w:w="1588" w:type="dxa"/>
            <w:vAlign w:val="center"/>
          </w:tcPr>
          <w:p w14:paraId="3EF9982F">
            <w:pPr>
              <w:widowControl/>
              <w:jc w:val="left"/>
              <w:textAlignment w:val="center"/>
              <w:rPr>
                <w:rFonts w:ascii="宋体" w:hAnsi="宋体" w:cs="宋体"/>
                <w:color w:val="000000"/>
                <w:kern w:val="0"/>
                <w:sz w:val="22"/>
                <w:szCs w:val="22"/>
              </w:rPr>
            </w:pPr>
          </w:p>
        </w:tc>
        <w:tc>
          <w:tcPr>
            <w:tcW w:w="2225" w:type="dxa"/>
            <w:vAlign w:val="center"/>
          </w:tcPr>
          <w:p w14:paraId="11D99272">
            <w:pPr>
              <w:pStyle w:val="13"/>
              <w:spacing w:line="240" w:lineRule="atLeast"/>
              <w:jc w:val="left"/>
              <w:rPr>
                <w:rFonts w:hAnsi="宋体" w:cs="宋体"/>
                <w:color w:val="000000"/>
                <w:kern w:val="0"/>
                <w:sz w:val="22"/>
                <w:szCs w:val="22"/>
              </w:rPr>
            </w:pPr>
          </w:p>
        </w:tc>
        <w:tc>
          <w:tcPr>
            <w:tcW w:w="1167" w:type="dxa"/>
            <w:vAlign w:val="center"/>
          </w:tcPr>
          <w:p w14:paraId="25559A0A">
            <w:pPr>
              <w:widowControl/>
              <w:jc w:val="center"/>
              <w:textAlignment w:val="center"/>
              <w:rPr>
                <w:rFonts w:ascii="宋体" w:hAnsi="宋体" w:cs="宋体"/>
                <w:color w:val="000000"/>
                <w:kern w:val="0"/>
                <w:sz w:val="22"/>
                <w:szCs w:val="22"/>
              </w:rPr>
            </w:pPr>
          </w:p>
        </w:tc>
        <w:tc>
          <w:tcPr>
            <w:tcW w:w="1256" w:type="dxa"/>
            <w:vAlign w:val="center"/>
          </w:tcPr>
          <w:p w14:paraId="7B68D2EE">
            <w:pPr>
              <w:pStyle w:val="13"/>
              <w:spacing w:line="240" w:lineRule="atLeast"/>
              <w:ind w:left="1080" w:leftChars="257" w:hanging="540"/>
              <w:jc w:val="left"/>
              <w:rPr>
                <w:rFonts w:ascii="仿宋" w:hAnsi="仿宋" w:eastAsia="仿宋" w:cs="仿宋"/>
                <w:sz w:val="24"/>
                <w:szCs w:val="24"/>
              </w:rPr>
            </w:pPr>
          </w:p>
        </w:tc>
        <w:tc>
          <w:tcPr>
            <w:tcW w:w="1227" w:type="dxa"/>
            <w:vAlign w:val="center"/>
          </w:tcPr>
          <w:p w14:paraId="0DA51C35">
            <w:pPr>
              <w:pStyle w:val="13"/>
              <w:spacing w:line="240" w:lineRule="atLeast"/>
              <w:ind w:left="1080" w:leftChars="257" w:hanging="540"/>
              <w:jc w:val="left"/>
              <w:rPr>
                <w:rFonts w:ascii="仿宋" w:hAnsi="仿宋" w:eastAsia="仿宋" w:cs="仿宋"/>
                <w:sz w:val="24"/>
                <w:szCs w:val="24"/>
              </w:rPr>
            </w:pPr>
          </w:p>
        </w:tc>
        <w:tc>
          <w:tcPr>
            <w:tcW w:w="1132" w:type="dxa"/>
            <w:vAlign w:val="center"/>
          </w:tcPr>
          <w:p w14:paraId="65206BB5">
            <w:pPr>
              <w:pStyle w:val="13"/>
              <w:spacing w:line="240" w:lineRule="atLeast"/>
              <w:ind w:left="1080" w:leftChars="257" w:hanging="540"/>
              <w:jc w:val="left"/>
              <w:rPr>
                <w:rFonts w:ascii="仿宋" w:hAnsi="仿宋" w:eastAsia="仿宋" w:cs="仿宋"/>
                <w:sz w:val="24"/>
                <w:szCs w:val="24"/>
              </w:rPr>
            </w:pPr>
          </w:p>
        </w:tc>
      </w:tr>
      <w:tr w14:paraId="055D03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777" w:type="dxa"/>
            <w:vAlign w:val="center"/>
          </w:tcPr>
          <w:p w14:paraId="38C6531D">
            <w:pPr>
              <w:widowControl/>
              <w:jc w:val="center"/>
              <w:textAlignment w:val="center"/>
              <w:rPr>
                <w:rFonts w:ascii="宋体" w:hAnsi="宋体" w:cs="宋体"/>
                <w:color w:val="000000"/>
                <w:kern w:val="0"/>
                <w:sz w:val="22"/>
                <w:szCs w:val="22"/>
              </w:rPr>
            </w:pPr>
          </w:p>
        </w:tc>
        <w:tc>
          <w:tcPr>
            <w:tcW w:w="1588" w:type="dxa"/>
            <w:vAlign w:val="center"/>
          </w:tcPr>
          <w:p w14:paraId="3FF77744">
            <w:pPr>
              <w:widowControl/>
              <w:jc w:val="left"/>
              <w:textAlignment w:val="center"/>
              <w:rPr>
                <w:rFonts w:ascii="宋体" w:hAnsi="宋体" w:cs="宋体"/>
                <w:color w:val="000000"/>
                <w:kern w:val="0"/>
                <w:sz w:val="22"/>
                <w:szCs w:val="22"/>
              </w:rPr>
            </w:pPr>
          </w:p>
        </w:tc>
        <w:tc>
          <w:tcPr>
            <w:tcW w:w="2225" w:type="dxa"/>
            <w:vAlign w:val="center"/>
          </w:tcPr>
          <w:p w14:paraId="6721AF9C">
            <w:pPr>
              <w:pStyle w:val="13"/>
              <w:spacing w:line="240" w:lineRule="atLeast"/>
              <w:jc w:val="left"/>
              <w:rPr>
                <w:rFonts w:hAnsi="宋体" w:cs="宋体"/>
                <w:color w:val="000000"/>
                <w:kern w:val="0"/>
                <w:sz w:val="22"/>
                <w:szCs w:val="22"/>
              </w:rPr>
            </w:pPr>
          </w:p>
        </w:tc>
        <w:tc>
          <w:tcPr>
            <w:tcW w:w="1167" w:type="dxa"/>
            <w:vAlign w:val="center"/>
          </w:tcPr>
          <w:p w14:paraId="2D5C2609">
            <w:pPr>
              <w:widowControl/>
              <w:jc w:val="center"/>
              <w:textAlignment w:val="center"/>
              <w:rPr>
                <w:rFonts w:ascii="宋体" w:hAnsi="宋体" w:cs="宋体"/>
                <w:color w:val="000000"/>
                <w:kern w:val="0"/>
                <w:sz w:val="22"/>
                <w:szCs w:val="22"/>
              </w:rPr>
            </w:pPr>
          </w:p>
        </w:tc>
        <w:tc>
          <w:tcPr>
            <w:tcW w:w="1256" w:type="dxa"/>
            <w:vAlign w:val="center"/>
          </w:tcPr>
          <w:p w14:paraId="04B35F65">
            <w:pPr>
              <w:pStyle w:val="13"/>
              <w:spacing w:line="240" w:lineRule="atLeast"/>
              <w:ind w:left="1080" w:leftChars="257" w:hanging="540"/>
              <w:jc w:val="left"/>
              <w:rPr>
                <w:rFonts w:ascii="仿宋" w:hAnsi="仿宋" w:eastAsia="仿宋" w:cs="仿宋"/>
                <w:sz w:val="24"/>
                <w:szCs w:val="24"/>
              </w:rPr>
            </w:pPr>
          </w:p>
        </w:tc>
        <w:tc>
          <w:tcPr>
            <w:tcW w:w="1227" w:type="dxa"/>
            <w:vAlign w:val="center"/>
          </w:tcPr>
          <w:p w14:paraId="3510B326">
            <w:pPr>
              <w:pStyle w:val="13"/>
              <w:spacing w:line="240" w:lineRule="atLeast"/>
              <w:ind w:left="1080" w:leftChars="257" w:hanging="540"/>
              <w:jc w:val="left"/>
              <w:rPr>
                <w:rFonts w:ascii="仿宋" w:hAnsi="仿宋" w:eastAsia="仿宋" w:cs="仿宋"/>
                <w:sz w:val="24"/>
                <w:szCs w:val="24"/>
              </w:rPr>
            </w:pPr>
          </w:p>
        </w:tc>
        <w:tc>
          <w:tcPr>
            <w:tcW w:w="1132" w:type="dxa"/>
            <w:vAlign w:val="center"/>
          </w:tcPr>
          <w:p w14:paraId="2C975B74">
            <w:pPr>
              <w:pStyle w:val="13"/>
              <w:spacing w:line="240" w:lineRule="atLeast"/>
              <w:ind w:left="1080" w:leftChars="257" w:hanging="540"/>
              <w:jc w:val="left"/>
              <w:rPr>
                <w:rFonts w:ascii="仿宋" w:hAnsi="仿宋" w:eastAsia="仿宋" w:cs="仿宋"/>
                <w:sz w:val="24"/>
                <w:szCs w:val="24"/>
              </w:rPr>
            </w:pPr>
          </w:p>
        </w:tc>
      </w:tr>
      <w:tr w14:paraId="372682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777" w:type="dxa"/>
            <w:vAlign w:val="center"/>
          </w:tcPr>
          <w:p w14:paraId="50A56FCD">
            <w:pPr>
              <w:widowControl/>
              <w:jc w:val="center"/>
              <w:textAlignment w:val="center"/>
              <w:rPr>
                <w:rFonts w:ascii="宋体" w:hAnsi="宋体" w:cs="宋体"/>
                <w:color w:val="000000"/>
                <w:kern w:val="0"/>
                <w:sz w:val="22"/>
                <w:szCs w:val="22"/>
              </w:rPr>
            </w:pPr>
          </w:p>
        </w:tc>
        <w:tc>
          <w:tcPr>
            <w:tcW w:w="1588" w:type="dxa"/>
            <w:vAlign w:val="center"/>
          </w:tcPr>
          <w:p w14:paraId="7CEB2FDF">
            <w:pPr>
              <w:widowControl/>
              <w:jc w:val="left"/>
              <w:textAlignment w:val="center"/>
              <w:rPr>
                <w:rFonts w:ascii="宋体" w:hAnsi="宋体" w:cs="宋体"/>
                <w:color w:val="000000"/>
                <w:kern w:val="0"/>
                <w:sz w:val="22"/>
                <w:szCs w:val="22"/>
              </w:rPr>
            </w:pPr>
          </w:p>
        </w:tc>
        <w:tc>
          <w:tcPr>
            <w:tcW w:w="2225" w:type="dxa"/>
            <w:vAlign w:val="center"/>
          </w:tcPr>
          <w:p w14:paraId="692CC71B">
            <w:pPr>
              <w:pStyle w:val="13"/>
              <w:spacing w:line="240" w:lineRule="atLeast"/>
              <w:jc w:val="left"/>
              <w:rPr>
                <w:rFonts w:hAnsi="宋体" w:cs="宋体"/>
                <w:color w:val="000000"/>
                <w:kern w:val="0"/>
                <w:sz w:val="22"/>
                <w:szCs w:val="22"/>
              </w:rPr>
            </w:pPr>
          </w:p>
        </w:tc>
        <w:tc>
          <w:tcPr>
            <w:tcW w:w="1167" w:type="dxa"/>
            <w:vAlign w:val="center"/>
          </w:tcPr>
          <w:p w14:paraId="6DA2BCF9">
            <w:pPr>
              <w:widowControl/>
              <w:jc w:val="center"/>
              <w:textAlignment w:val="center"/>
              <w:rPr>
                <w:rFonts w:ascii="宋体" w:hAnsi="宋体" w:cs="宋体"/>
                <w:color w:val="000000"/>
                <w:kern w:val="0"/>
                <w:sz w:val="22"/>
                <w:szCs w:val="22"/>
              </w:rPr>
            </w:pPr>
          </w:p>
        </w:tc>
        <w:tc>
          <w:tcPr>
            <w:tcW w:w="1256" w:type="dxa"/>
            <w:vAlign w:val="center"/>
          </w:tcPr>
          <w:p w14:paraId="1F26E677">
            <w:pPr>
              <w:pStyle w:val="13"/>
              <w:spacing w:line="240" w:lineRule="atLeast"/>
              <w:ind w:left="1080" w:leftChars="257" w:hanging="540"/>
              <w:jc w:val="left"/>
              <w:rPr>
                <w:rFonts w:ascii="仿宋" w:hAnsi="仿宋" w:eastAsia="仿宋" w:cs="仿宋"/>
                <w:sz w:val="24"/>
                <w:szCs w:val="24"/>
              </w:rPr>
            </w:pPr>
          </w:p>
        </w:tc>
        <w:tc>
          <w:tcPr>
            <w:tcW w:w="1227" w:type="dxa"/>
            <w:vAlign w:val="center"/>
          </w:tcPr>
          <w:p w14:paraId="45E00B12">
            <w:pPr>
              <w:pStyle w:val="13"/>
              <w:spacing w:line="240" w:lineRule="atLeast"/>
              <w:ind w:left="1080" w:leftChars="257" w:hanging="540"/>
              <w:jc w:val="left"/>
              <w:rPr>
                <w:rFonts w:ascii="仿宋" w:hAnsi="仿宋" w:eastAsia="仿宋" w:cs="仿宋"/>
                <w:sz w:val="24"/>
                <w:szCs w:val="24"/>
              </w:rPr>
            </w:pPr>
          </w:p>
        </w:tc>
        <w:tc>
          <w:tcPr>
            <w:tcW w:w="1132" w:type="dxa"/>
            <w:vAlign w:val="center"/>
          </w:tcPr>
          <w:p w14:paraId="44E82ACE">
            <w:pPr>
              <w:pStyle w:val="13"/>
              <w:spacing w:line="240" w:lineRule="atLeast"/>
              <w:ind w:left="1080" w:leftChars="257" w:hanging="540"/>
              <w:jc w:val="left"/>
              <w:rPr>
                <w:rFonts w:ascii="仿宋" w:hAnsi="仿宋" w:eastAsia="仿宋" w:cs="仿宋"/>
                <w:sz w:val="24"/>
                <w:szCs w:val="24"/>
              </w:rPr>
            </w:pPr>
          </w:p>
        </w:tc>
      </w:tr>
      <w:tr w14:paraId="73CF6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777" w:type="dxa"/>
            <w:vAlign w:val="center"/>
          </w:tcPr>
          <w:p w14:paraId="1D897454">
            <w:pPr>
              <w:widowControl/>
              <w:jc w:val="center"/>
              <w:textAlignment w:val="center"/>
              <w:rPr>
                <w:rFonts w:ascii="宋体" w:hAnsi="宋体" w:cs="宋体"/>
                <w:color w:val="000000"/>
                <w:kern w:val="0"/>
                <w:sz w:val="22"/>
                <w:szCs w:val="22"/>
              </w:rPr>
            </w:pPr>
          </w:p>
        </w:tc>
        <w:tc>
          <w:tcPr>
            <w:tcW w:w="1588" w:type="dxa"/>
            <w:vAlign w:val="center"/>
          </w:tcPr>
          <w:p w14:paraId="42ED1148">
            <w:pPr>
              <w:widowControl/>
              <w:jc w:val="left"/>
              <w:textAlignment w:val="center"/>
              <w:rPr>
                <w:rFonts w:ascii="宋体" w:hAnsi="宋体" w:cs="宋体"/>
                <w:color w:val="000000"/>
                <w:kern w:val="0"/>
                <w:sz w:val="22"/>
                <w:szCs w:val="22"/>
              </w:rPr>
            </w:pPr>
          </w:p>
        </w:tc>
        <w:tc>
          <w:tcPr>
            <w:tcW w:w="2225" w:type="dxa"/>
            <w:vAlign w:val="center"/>
          </w:tcPr>
          <w:p w14:paraId="13AEFADD">
            <w:pPr>
              <w:pStyle w:val="13"/>
              <w:spacing w:line="240" w:lineRule="atLeast"/>
              <w:jc w:val="left"/>
              <w:rPr>
                <w:rFonts w:hAnsi="宋体" w:cs="宋体"/>
                <w:color w:val="000000"/>
                <w:kern w:val="0"/>
                <w:sz w:val="22"/>
                <w:szCs w:val="22"/>
              </w:rPr>
            </w:pPr>
          </w:p>
        </w:tc>
        <w:tc>
          <w:tcPr>
            <w:tcW w:w="1167" w:type="dxa"/>
            <w:vAlign w:val="center"/>
          </w:tcPr>
          <w:p w14:paraId="5D753CFA">
            <w:pPr>
              <w:widowControl/>
              <w:jc w:val="center"/>
              <w:textAlignment w:val="center"/>
              <w:rPr>
                <w:rFonts w:ascii="宋体" w:hAnsi="宋体" w:cs="宋体"/>
                <w:color w:val="000000"/>
                <w:kern w:val="0"/>
                <w:sz w:val="22"/>
                <w:szCs w:val="22"/>
              </w:rPr>
            </w:pPr>
          </w:p>
        </w:tc>
        <w:tc>
          <w:tcPr>
            <w:tcW w:w="1256" w:type="dxa"/>
            <w:vAlign w:val="center"/>
          </w:tcPr>
          <w:p w14:paraId="18B0340B">
            <w:pPr>
              <w:pStyle w:val="13"/>
              <w:spacing w:line="240" w:lineRule="atLeast"/>
              <w:ind w:left="1080" w:leftChars="257" w:hanging="540"/>
              <w:jc w:val="left"/>
              <w:rPr>
                <w:rFonts w:ascii="仿宋" w:hAnsi="仿宋" w:eastAsia="仿宋" w:cs="仿宋"/>
                <w:sz w:val="24"/>
                <w:szCs w:val="24"/>
              </w:rPr>
            </w:pPr>
          </w:p>
        </w:tc>
        <w:tc>
          <w:tcPr>
            <w:tcW w:w="1227" w:type="dxa"/>
            <w:vAlign w:val="center"/>
          </w:tcPr>
          <w:p w14:paraId="1AC7881E">
            <w:pPr>
              <w:pStyle w:val="13"/>
              <w:spacing w:line="240" w:lineRule="atLeast"/>
              <w:ind w:left="1080" w:leftChars="257" w:hanging="540"/>
              <w:jc w:val="left"/>
              <w:rPr>
                <w:rFonts w:ascii="仿宋" w:hAnsi="仿宋" w:eastAsia="仿宋" w:cs="仿宋"/>
                <w:sz w:val="24"/>
                <w:szCs w:val="24"/>
              </w:rPr>
            </w:pPr>
          </w:p>
        </w:tc>
        <w:tc>
          <w:tcPr>
            <w:tcW w:w="1132" w:type="dxa"/>
            <w:vAlign w:val="center"/>
          </w:tcPr>
          <w:p w14:paraId="76EF1137">
            <w:pPr>
              <w:pStyle w:val="13"/>
              <w:spacing w:line="240" w:lineRule="atLeast"/>
              <w:ind w:left="1080" w:leftChars="257" w:hanging="540"/>
              <w:jc w:val="left"/>
              <w:rPr>
                <w:rFonts w:ascii="仿宋" w:hAnsi="仿宋" w:eastAsia="仿宋" w:cs="仿宋"/>
                <w:sz w:val="24"/>
                <w:szCs w:val="24"/>
              </w:rPr>
            </w:pPr>
          </w:p>
        </w:tc>
      </w:tr>
      <w:tr w14:paraId="6F39C6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777" w:type="dxa"/>
            <w:vAlign w:val="center"/>
          </w:tcPr>
          <w:p w14:paraId="5568FE7A">
            <w:pPr>
              <w:widowControl/>
              <w:jc w:val="center"/>
              <w:textAlignment w:val="center"/>
              <w:rPr>
                <w:rFonts w:ascii="宋体" w:hAnsi="宋体" w:cs="宋体"/>
                <w:color w:val="000000"/>
                <w:kern w:val="0"/>
                <w:sz w:val="22"/>
                <w:szCs w:val="22"/>
              </w:rPr>
            </w:pPr>
          </w:p>
        </w:tc>
        <w:tc>
          <w:tcPr>
            <w:tcW w:w="1588" w:type="dxa"/>
            <w:vAlign w:val="center"/>
          </w:tcPr>
          <w:p w14:paraId="5D1A74F0">
            <w:pPr>
              <w:widowControl/>
              <w:jc w:val="left"/>
              <w:textAlignment w:val="center"/>
              <w:rPr>
                <w:rFonts w:ascii="宋体" w:hAnsi="宋体" w:cs="宋体"/>
                <w:color w:val="000000"/>
                <w:kern w:val="0"/>
                <w:sz w:val="22"/>
                <w:szCs w:val="22"/>
              </w:rPr>
            </w:pPr>
          </w:p>
        </w:tc>
        <w:tc>
          <w:tcPr>
            <w:tcW w:w="2225" w:type="dxa"/>
            <w:vAlign w:val="center"/>
          </w:tcPr>
          <w:p w14:paraId="4E0C4C3E">
            <w:pPr>
              <w:pStyle w:val="13"/>
              <w:spacing w:line="240" w:lineRule="atLeast"/>
              <w:jc w:val="left"/>
              <w:rPr>
                <w:rFonts w:hAnsi="宋体" w:cs="宋体"/>
                <w:color w:val="000000"/>
                <w:kern w:val="0"/>
                <w:sz w:val="22"/>
                <w:szCs w:val="22"/>
              </w:rPr>
            </w:pPr>
          </w:p>
        </w:tc>
        <w:tc>
          <w:tcPr>
            <w:tcW w:w="1167" w:type="dxa"/>
            <w:vAlign w:val="center"/>
          </w:tcPr>
          <w:p w14:paraId="7F4E904A">
            <w:pPr>
              <w:widowControl/>
              <w:jc w:val="center"/>
              <w:textAlignment w:val="center"/>
              <w:rPr>
                <w:rFonts w:ascii="宋体" w:hAnsi="宋体" w:cs="宋体"/>
                <w:color w:val="000000"/>
                <w:kern w:val="0"/>
                <w:sz w:val="22"/>
                <w:szCs w:val="22"/>
              </w:rPr>
            </w:pPr>
          </w:p>
        </w:tc>
        <w:tc>
          <w:tcPr>
            <w:tcW w:w="1256" w:type="dxa"/>
            <w:vAlign w:val="center"/>
          </w:tcPr>
          <w:p w14:paraId="2904AE24">
            <w:pPr>
              <w:pStyle w:val="13"/>
              <w:spacing w:line="240" w:lineRule="atLeast"/>
              <w:ind w:left="1080" w:leftChars="257" w:hanging="540"/>
              <w:jc w:val="left"/>
              <w:rPr>
                <w:rFonts w:ascii="仿宋" w:hAnsi="仿宋" w:eastAsia="仿宋" w:cs="仿宋"/>
                <w:sz w:val="24"/>
                <w:szCs w:val="24"/>
              </w:rPr>
            </w:pPr>
          </w:p>
        </w:tc>
        <w:tc>
          <w:tcPr>
            <w:tcW w:w="1227" w:type="dxa"/>
            <w:vAlign w:val="center"/>
          </w:tcPr>
          <w:p w14:paraId="790704F8">
            <w:pPr>
              <w:pStyle w:val="13"/>
              <w:spacing w:line="240" w:lineRule="atLeast"/>
              <w:ind w:left="1080" w:leftChars="257" w:hanging="540"/>
              <w:jc w:val="left"/>
              <w:rPr>
                <w:rFonts w:ascii="仿宋" w:hAnsi="仿宋" w:eastAsia="仿宋" w:cs="仿宋"/>
                <w:sz w:val="24"/>
                <w:szCs w:val="24"/>
              </w:rPr>
            </w:pPr>
          </w:p>
        </w:tc>
        <w:tc>
          <w:tcPr>
            <w:tcW w:w="1132" w:type="dxa"/>
            <w:vAlign w:val="center"/>
          </w:tcPr>
          <w:p w14:paraId="0CA7B4FE">
            <w:pPr>
              <w:pStyle w:val="13"/>
              <w:spacing w:line="240" w:lineRule="atLeast"/>
              <w:ind w:left="1080" w:leftChars="257" w:hanging="540"/>
              <w:jc w:val="left"/>
              <w:rPr>
                <w:rFonts w:ascii="仿宋" w:hAnsi="仿宋" w:eastAsia="仿宋" w:cs="仿宋"/>
                <w:sz w:val="24"/>
                <w:szCs w:val="24"/>
              </w:rPr>
            </w:pPr>
          </w:p>
        </w:tc>
      </w:tr>
      <w:tr w14:paraId="06AE52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777" w:type="dxa"/>
            <w:vAlign w:val="center"/>
          </w:tcPr>
          <w:p w14:paraId="0F422467">
            <w:pPr>
              <w:widowControl/>
              <w:jc w:val="center"/>
              <w:textAlignment w:val="center"/>
              <w:rPr>
                <w:rFonts w:ascii="宋体" w:hAnsi="宋体" w:cs="宋体"/>
                <w:color w:val="000000"/>
                <w:kern w:val="0"/>
                <w:sz w:val="22"/>
                <w:szCs w:val="22"/>
              </w:rPr>
            </w:pPr>
          </w:p>
        </w:tc>
        <w:tc>
          <w:tcPr>
            <w:tcW w:w="1588" w:type="dxa"/>
            <w:vAlign w:val="center"/>
          </w:tcPr>
          <w:p w14:paraId="5EAAD47B">
            <w:pPr>
              <w:widowControl/>
              <w:jc w:val="left"/>
              <w:textAlignment w:val="center"/>
              <w:rPr>
                <w:rFonts w:ascii="宋体" w:hAnsi="宋体" w:cs="宋体"/>
                <w:color w:val="000000"/>
                <w:kern w:val="0"/>
                <w:sz w:val="22"/>
                <w:szCs w:val="22"/>
              </w:rPr>
            </w:pPr>
          </w:p>
        </w:tc>
        <w:tc>
          <w:tcPr>
            <w:tcW w:w="2225" w:type="dxa"/>
            <w:vAlign w:val="center"/>
          </w:tcPr>
          <w:p w14:paraId="7E966AAA">
            <w:pPr>
              <w:pStyle w:val="13"/>
              <w:spacing w:line="240" w:lineRule="atLeast"/>
              <w:jc w:val="left"/>
              <w:rPr>
                <w:rFonts w:hAnsi="宋体" w:cs="宋体"/>
                <w:color w:val="000000"/>
                <w:kern w:val="0"/>
                <w:sz w:val="22"/>
                <w:szCs w:val="22"/>
              </w:rPr>
            </w:pPr>
          </w:p>
        </w:tc>
        <w:tc>
          <w:tcPr>
            <w:tcW w:w="1167" w:type="dxa"/>
            <w:vAlign w:val="center"/>
          </w:tcPr>
          <w:p w14:paraId="21EDB3E0">
            <w:pPr>
              <w:widowControl/>
              <w:jc w:val="center"/>
              <w:textAlignment w:val="center"/>
              <w:rPr>
                <w:rFonts w:ascii="宋体" w:hAnsi="宋体" w:cs="宋体"/>
                <w:color w:val="000000"/>
                <w:kern w:val="0"/>
                <w:sz w:val="22"/>
                <w:szCs w:val="22"/>
              </w:rPr>
            </w:pPr>
          </w:p>
        </w:tc>
        <w:tc>
          <w:tcPr>
            <w:tcW w:w="1256" w:type="dxa"/>
            <w:vAlign w:val="center"/>
          </w:tcPr>
          <w:p w14:paraId="7140E9B5">
            <w:pPr>
              <w:pStyle w:val="13"/>
              <w:spacing w:line="240" w:lineRule="atLeast"/>
              <w:ind w:left="1080" w:leftChars="257" w:hanging="540"/>
              <w:jc w:val="left"/>
              <w:rPr>
                <w:rFonts w:ascii="仿宋" w:hAnsi="仿宋" w:eastAsia="仿宋" w:cs="仿宋"/>
                <w:sz w:val="24"/>
                <w:szCs w:val="24"/>
              </w:rPr>
            </w:pPr>
          </w:p>
        </w:tc>
        <w:tc>
          <w:tcPr>
            <w:tcW w:w="1227" w:type="dxa"/>
            <w:vAlign w:val="center"/>
          </w:tcPr>
          <w:p w14:paraId="003921D6">
            <w:pPr>
              <w:pStyle w:val="13"/>
              <w:spacing w:line="240" w:lineRule="atLeast"/>
              <w:ind w:left="1080" w:leftChars="257" w:hanging="540"/>
              <w:jc w:val="left"/>
              <w:rPr>
                <w:rFonts w:ascii="仿宋" w:hAnsi="仿宋" w:eastAsia="仿宋" w:cs="仿宋"/>
                <w:sz w:val="24"/>
                <w:szCs w:val="24"/>
              </w:rPr>
            </w:pPr>
          </w:p>
        </w:tc>
        <w:tc>
          <w:tcPr>
            <w:tcW w:w="1132" w:type="dxa"/>
            <w:vAlign w:val="center"/>
          </w:tcPr>
          <w:p w14:paraId="1677E258">
            <w:pPr>
              <w:pStyle w:val="13"/>
              <w:spacing w:line="240" w:lineRule="atLeast"/>
              <w:ind w:left="1080" w:leftChars="257" w:hanging="540"/>
              <w:jc w:val="left"/>
              <w:rPr>
                <w:rFonts w:ascii="仿宋" w:hAnsi="仿宋" w:eastAsia="仿宋" w:cs="仿宋"/>
                <w:sz w:val="24"/>
                <w:szCs w:val="24"/>
              </w:rPr>
            </w:pPr>
          </w:p>
        </w:tc>
      </w:tr>
      <w:tr w14:paraId="57B633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777" w:type="dxa"/>
            <w:vAlign w:val="center"/>
          </w:tcPr>
          <w:p w14:paraId="6920FC09">
            <w:pPr>
              <w:widowControl/>
              <w:jc w:val="center"/>
              <w:textAlignment w:val="center"/>
              <w:rPr>
                <w:rFonts w:ascii="宋体" w:hAnsi="宋体" w:cs="宋体"/>
                <w:color w:val="000000"/>
                <w:kern w:val="0"/>
                <w:sz w:val="22"/>
                <w:szCs w:val="22"/>
              </w:rPr>
            </w:pPr>
          </w:p>
        </w:tc>
        <w:tc>
          <w:tcPr>
            <w:tcW w:w="1588" w:type="dxa"/>
            <w:vAlign w:val="center"/>
          </w:tcPr>
          <w:p w14:paraId="1B1293AB">
            <w:pPr>
              <w:widowControl/>
              <w:jc w:val="left"/>
              <w:textAlignment w:val="center"/>
              <w:rPr>
                <w:rFonts w:ascii="宋体" w:hAnsi="宋体" w:cs="宋体"/>
                <w:color w:val="000000"/>
                <w:kern w:val="0"/>
                <w:sz w:val="22"/>
                <w:szCs w:val="22"/>
              </w:rPr>
            </w:pPr>
          </w:p>
        </w:tc>
        <w:tc>
          <w:tcPr>
            <w:tcW w:w="2225" w:type="dxa"/>
            <w:vAlign w:val="center"/>
          </w:tcPr>
          <w:p w14:paraId="6652A1E3">
            <w:pPr>
              <w:pStyle w:val="13"/>
              <w:spacing w:line="240" w:lineRule="atLeast"/>
              <w:jc w:val="left"/>
              <w:rPr>
                <w:rFonts w:hAnsi="宋体" w:cs="宋体"/>
                <w:color w:val="000000"/>
                <w:kern w:val="0"/>
                <w:sz w:val="22"/>
                <w:szCs w:val="22"/>
              </w:rPr>
            </w:pPr>
          </w:p>
        </w:tc>
        <w:tc>
          <w:tcPr>
            <w:tcW w:w="1167" w:type="dxa"/>
            <w:vAlign w:val="center"/>
          </w:tcPr>
          <w:p w14:paraId="6ADF97AF">
            <w:pPr>
              <w:widowControl/>
              <w:jc w:val="center"/>
              <w:textAlignment w:val="center"/>
              <w:rPr>
                <w:rFonts w:ascii="宋体" w:hAnsi="宋体" w:cs="宋体"/>
                <w:color w:val="000000"/>
                <w:kern w:val="0"/>
                <w:sz w:val="22"/>
                <w:szCs w:val="22"/>
              </w:rPr>
            </w:pPr>
          </w:p>
        </w:tc>
        <w:tc>
          <w:tcPr>
            <w:tcW w:w="1256" w:type="dxa"/>
            <w:vAlign w:val="center"/>
          </w:tcPr>
          <w:p w14:paraId="6FFE4E90">
            <w:pPr>
              <w:pStyle w:val="13"/>
              <w:spacing w:line="240" w:lineRule="atLeast"/>
              <w:ind w:left="1080" w:leftChars="257" w:hanging="540"/>
              <w:jc w:val="left"/>
              <w:rPr>
                <w:rFonts w:ascii="仿宋" w:hAnsi="仿宋" w:eastAsia="仿宋" w:cs="仿宋"/>
                <w:sz w:val="24"/>
                <w:szCs w:val="24"/>
              </w:rPr>
            </w:pPr>
          </w:p>
        </w:tc>
        <w:tc>
          <w:tcPr>
            <w:tcW w:w="1227" w:type="dxa"/>
            <w:vAlign w:val="center"/>
          </w:tcPr>
          <w:p w14:paraId="73E2166D">
            <w:pPr>
              <w:pStyle w:val="13"/>
              <w:spacing w:line="240" w:lineRule="atLeast"/>
              <w:ind w:left="1080" w:leftChars="257" w:hanging="540"/>
              <w:jc w:val="left"/>
              <w:rPr>
                <w:rFonts w:ascii="仿宋" w:hAnsi="仿宋" w:eastAsia="仿宋" w:cs="仿宋"/>
                <w:sz w:val="24"/>
                <w:szCs w:val="24"/>
              </w:rPr>
            </w:pPr>
          </w:p>
        </w:tc>
        <w:tc>
          <w:tcPr>
            <w:tcW w:w="1132" w:type="dxa"/>
            <w:vAlign w:val="center"/>
          </w:tcPr>
          <w:p w14:paraId="0264349C">
            <w:pPr>
              <w:pStyle w:val="13"/>
              <w:spacing w:line="240" w:lineRule="atLeast"/>
              <w:ind w:left="1080" w:leftChars="257" w:hanging="540"/>
              <w:jc w:val="left"/>
              <w:rPr>
                <w:rFonts w:ascii="仿宋" w:hAnsi="仿宋" w:eastAsia="仿宋" w:cs="仿宋"/>
                <w:sz w:val="24"/>
                <w:szCs w:val="24"/>
              </w:rPr>
            </w:pPr>
          </w:p>
        </w:tc>
      </w:tr>
      <w:tr w14:paraId="7857EC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777" w:type="dxa"/>
            <w:vAlign w:val="center"/>
          </w:tcPr>
          <w:p w14:paraId="74A98DFC">
            <w:pPr>
              <w:widowControl/>
              <w:jc w:val="center"/>
              <w:textAlignment w:val="center"/>
              <w:rPr>
                <w:rFonts w:ascii="宋体" w:hAnsi="宋体" w:cs="宋体"/>
                <w:color w:val="000000"/>
                <w:kern w:val="0"/>
                <w:sz w:val="22"/>
                <w:szCs w:val="22"/>
              </w:rPr>
            </w:pPr>
          </w:p>
        </w:tc>
        <w:tc>
          <w:tcPr>
            <w:tcW w:w="1588" w:type="dxa"/>
            <w:vAlign w:val="center"/>
          </w:tcPr>
          <w:p w14:paraId="7A45B175">
            <w:pPr>
              <w:widowControl/>
              <w:jc w:val="left"/>
              <w:textAlignment w:val="center"/>
              <w:rPr>
                <w:rFonts w:ascii="宋体" w:hAnsi="宋体" w:cs="宋体"/>
                <w:color w:val="000000"/>
                <w:kern w:val="0"/>
                <w:sz w:val="22"/>
                <w:szCs w:val="22"/>
              </w:rPr>
            </w:pPr>
          </w:p>
        </w:tc>
        <w:tc>
          <w:tcPr>
            <w:tcW w:w="2225" w:type="dxa"/>
            <w:vAlign w:val="center"/>
          </w:tcPr>
          <w:p w14:paraId="5AF0685D">
            <w:pPr>
              <w:pStyle w:val="13"/>
              <w:spacing w:line="240" w:lineRule="atLeast"/>
              <w:jc w:val="left"/>
              <w:rPr>
                <w:rFonts w:hAnsi="宋体" w:cs="宋体"/>
                <w:color w:val="000000"/>
                <w:kern w:val="0"/>
                <w:sz w:val="22"/>
                <w:szCs w:val="22"/>
              </w:rPr>
            </w:pPr>
          </w:p>
        </w:tc>
        <w:tc>
          <w:tcPr>
            <w:tcW w:w="1167" w:type="dxa"/>
            <w:vAlign w:val="center"/>
          </w:tcPr>
          <w:p w14:paraId="73B14C54">
            <w:pPr>
              <w:widowControl/>
              <w:jc w:val="center"/>
              <w:textAlignment w:val="center"/>
              <w:rPr>
                <w:rFonts w:ascii="宋体" w:hAnsi="宋体" w:cs="宋体"/>
                <w:color w:val="000000"/>
                <w:kern w:val="0"/>
                <w:sz w:val="22"/>
                <w:szCs w:val="22"/>
              </w:rPr>
            </w:pPr>
          </w:p>
        </w:tc>
        <w:tc>
          <w:tcPr>
            <w:tcW w:w="1256" w:type="dxa"/>
            <w:vAlign w:val="center"/>
          </w:tcPr>
          <w:p w14:paraId="052F7CBE">
            <w:pPr>
              <w:pStyle w:val="13"/>
              <w:spacing w:line="240" w:lineRule="atLeast"/>
              <w:ind w:left="1080" w:leftChars="257" w:hanging="540"/>
              <w:jc w:val="left"/>
              <w:rPr>
                <w:rFonts w:ascii="仿宋" w:hAnsi="仿宋" w:eastAsia="仿宋" w:cs="仿宋"/>
                <w:sz w:val="24"/>
                <w:szCs w:val="24"/>
              </w:rPr>
            </w:pPr>
          </w:p>
        </w:tc>
        <w:tc>
          <w:tcPr>
            <w:tcW w:w="1227" w:type="dxa"/>
            <w:vAlign w:val="center"/>
          </w:tcPr>
          <w:p w14:paraId="2C70E794">
            <w:pPr>
              <w:pStyle w:val="13"/>
              <w:spacing w:line="240" w:lineRule="atLeast"/>
              <w:ind w:left="1080" w:leftChars="257" w:hanging="540"/>
              <w:jc w:val="left"/>
              <w:rPr>
                <w:rFonts w:ascii="仿宋" w:hAnsi="仿宋" w:eastAsia="仿宋" w:cs="仿宋"/>
                <w:sz w:val="24"/>
                <w:szCs w:val="24"/>
              </w:rPr>
            </w:pPr>
          </w:p>
        </w:tc>
        <w:tc>
          <w:tcPr>
            <w:tcW w:w="1132" w:type="dxa"/>
            <w:vAlign w:val="center"/>
          </w:tcPr>
          <w:p w14:paraId="3ECD0933">
            <w:pPr>
              <w:pStyle w:val="13"/>
              <w:spacing w:line="240" w:lineRule="atLeast"/>
              <w:ind w:left="1080" w:leftChars="257" w:hanging="540"/>
              <w:jc w:val="left"/>
              <w:rPr>
                <w:rFonts w:ascii="仿宋" w:hAnsi="仿宋" w:eastAsia="仿宋" w:cs="仿宋"/>
                <w:sz w:val="24"/>
                <w:szCs w:val="24"/>
              </w:rPr>
            </w:pPr>
          </w:p>
        </w:tc>
      </w:tr>
      <w:tr w14:paraId="3EC96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777" w:type="dxa"/>
            <w:vAlign w:val="center"/>
          </w:tcPr>
          <w:p w14:paraId="590506D3">
            <w:pPr>
              <w:widowControl/>
              <w:jc w:val="center"/>
              <w:textAlignment w:val="center"/>
              <w:rPr>
                <w:rFonts w:ascii="宋体" w:hAnsi="宋体" w:cs="宋体"/>
                <w:color w:val="000000"/>
                <w:kern w:val="0"/>
                <w:sz w:val="22"/>
                <w:szCs w:val="22"/>
              </w:rPr>
            </w:pPr>
          </w:p>
        </w:tc>
        <w:tc>
          <w:tcPr>
            <w:tcW w:w="1588" w:type="dxa"/>
            <w:vAlign w:val="center"/>
          </w:tcPr>
          <w:p w14:paraId="2C622B85">
            <w:pPr>
              <w:widowControl/>
              <w:jc w:val="left"/>
              <w:textAlignment w:val="center"/>
              <w:rPr>
                <w:rFonts w:ascii="宋体" w:hAnsi="宋体" w:cs="宋体"/>
                <w:color w:val="000000"/>
                <w:kern w:val="0"/>
                <w:sz w:val="22"/>
                <w:szCs w:val="22"/>
              </w:rPr>
            </w:pPr>
          </w:p>
        </w:tc>
        <w:tc>
          <w:tcPr>
            <w:tcW w:w="2225" w:type="dxa"/>
            <w:vAlign w:val="center"/>
          </w:tcPr>
          <w:p w14:paraId="4E41C0A1">
            <w:pPr>
              <w:pStyle w:val="13"/>
              <w:spacing w:line="240" w:lineRule="atLeast"/>
              <w:jc w:val="left"/>
              <w:rPr>
                <w:rFonts w:hAnsi="宋体" w:cs="宋体"/>
                <w:color w:val="000000"/>
                <w:kern w:val="0"/>
                <w:sz w:val="22"/>
                <w:szCs w:val="22"/>
              </w:rPr>
            </w:pPr>
          </w:p>
        </w:tc>
        <w:tc>
          <w:tcPr>
            <w:tcW w:w="1167" w:type="dxa"/>
            <w:vAlign w:val="center"/>
          </w:tcPr>
          <w:p w14:paraId="1FCD2D7F">
            <w:pPr>
              <w:widowControl/>
              <w:jc w:val="center"/>
              <w:textAlignment w:val="center"/>
              <w:rPr>
                <w:rFonts w:ascii="宋体" w:hAnsi="宋体" w:cs="宋体"/>
                <w:color w:val="000000"/>
                <w:kern w:val="0"/>
                <w:sz w:val="22"/>
                <w:szCs w:val="22"/>
              </w:rPr>
            </w:pPr>
          </w:p>
        </w:tc>
        <w:tc>
          <w:tcPr>
            <w:tcW w:w="1256" w:type="dxa"/>
            <w:vAlign w:val="center"/>
          </w:tcPr>
          <w:p w14:paraId="48702DAC">
            <w:pPr>
              <w:pStyle w:val="13"/>
              <w:spacing w:line="240" w:lineRule="atLeast"/>
              <w:ind w:left="1080" w:leftChars="257" w:hanging="540"/>
              <w:jc w:val="left"/>
              <w:rPr>
                <w:rFonts w:ascii="仿宋" w:hAnsi="仿宋" w:eastAsia="仿宋" w:cs="仿宋"/>
                <w:sz w:val="24"/>
                <w:szCs w:val="24"/>
              </w:rPr>
            </w:pPr>
          </w:p>
        </w:tc>
        <w:tc>
          <w:tcPr>
            <w:tcW w:w="1227" w:type="dxa"/>
            <w:vAlign w:val="center"/>
          </w:tcPr>
          <w:p w14:paraId="401F7197">
            <w:pPr>
              <w:pStyle w:val="13"/>
              <w:spacing w:line="240" w:lineRule="atLeast"/>
              <w:ind w:left="1080" w:leftChars="257" w:hanging="540"/>
              <w:jc w:val="left"/>
              <w:rPr>
                <w:rFonts w:ascii="仿宋" w:hAnsi="仿宋" w:eastAsia="仿宋" w:cs="仿宋"/>
                <w:sz w:val="24"/>
                <w:szCs w:val="24"/>
              </w:rPr>
            </w:pPr>
          </w:p>
        </w:tc>
        <w:tc>
          <w:tcPr>
            <w:tcW w:w="1132" w:type="dxa"/>
            <w:vAlign w:val="center"/>
          </w:tcPr>
          <w:p w14:paraId="142FB98C">
            <w:pPr>
              <w:pStyle w:val="13"/>
              <w:spacing w:line="240" w:lineRule="atLeast"/>
              <w:ind w:left="1080" w:leftChars="257" w:hanging="540"/>
              <w:jc w:val="left"/>
              <w:rPr>
                <w:rFonts w:ascii="仿宋" w:hAnsi="仿宋" w:eastAsia="仿宋" w:cs="仿宋"/>
                <w:sz w:val="24"/>
                <w:szCs w:val="24"/>
              </w:rPr>
            </w:pPr>
          </w:p>
        </w:tc>
      </w:tr>
      <w:tr w14:paraId="18383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777" w:type="dxa"/>
            <w:vAlign w:val="center"/>
          </w:tcPr>
          <w:p w14:paraId="71293D5F">
            <w:pPr>
              <w:widowControl/>
              <w:jc w:val="center"/>
              <w:textAlignment w:val="center"/>
              <w:rPr>
                <w:rFonts w:ascii="宋体" w:hAnsi="宋体" w:cs="宋体"/>
                <w:color w:val="000000"/>
                <w:kern w:val="0"/>
                <w:sz w:val="22"/>
                <w:szCs w:val="22"/>
              </w:rPr>
            </w:pPr>
          </w:p>
        </w:tc>
        <w:tc>
          <w:tcPr>
            <w:tcW w:w="1588" w:type="dxa"/>
            <w:vAlign w:val="center"/>
          </w:tcPr>
          <w:p w14:paraId="13DFCEDB">
            <w:pPr>
              <w:widowControl/>
              <w:jc w:val="left"/>
              <w:textAlignment w:val="center"/>
              <w:rPr>
                <w:rFonts w:ascii="宋体" w:hAnsi="宋体" w:cs="宋体"/>
                <w:color w:val="000000"/>
                <w:kern w:val="0"/>
                <w:sz w:val="22"/>
                <w:szCs w:val="22"/>
              </w:rPr>
            </w:pPr>
          </w:p>
        </w:tc>
        <w:tc>
          <w:tcPr>
            <w:tcW w:w="2225" w:type="dxa"/>
            <w:vAlign w:val="center"/>
          </w:tcPr>
          <w:p w14:paraId="091D5432">
            <w:pPr>
              <w:pStyle w:val="13"/>
              <w:spacing w:line="240" w:lineRule="atLeast"/>
              <w:jc w:val="left"/>
              <w:rPr>
                <w:rFonts w:hAnsi="宋体" w:cs="宋体"/>
                <w:color w:val="000000"/>
                <w:kern w:val="0"/>
                <w:sz w:val="22"/>
                <w:szCs w:val="22"/>
              </w:rPr>
            </w:pPr>
          </w:p>
        </w:tc>
        <w:tc>
          <w:tcPr>
            <w:tcW w:w="1167" w:type="dxa"/>
            <w:vAlign w:val="center"/>
          </w:tcPr>
          <w:p w14:paraId="1275E468">
            <w:pPr>
              <w:widowControl/>
              <w:jc w:val="center"/>
              <w:textAlignment w:val="center"/>
              <w:rPr>
                <w:rFonts w:ascii="宋体" w:hAnsi="宋体" w:cs="宋体"/>
                <w:color w:val="000000"/>
                <w:kern w:val="0"/>
                <w:sz w:val="22"/>
                <w:szCs w:val="22"/>
              </w:rPr>
            </w:pPr>
          </w:p>
        </w:tc>
        <w:tc>
          <w:tcPr>
            <w:tcW w:w="1256" w:type="dxa"/>
            <w:vAlign w:val="center"/>
          </w:tcPr>
          <w:p w14:paraId="1D15B794">
            <w:pPr>
              <w:pStyle w:val="13"/>
              <w:spacing w:line="240" w:lineRule="atLeast"/>
              <w:ind w:left="1080" w:leftChars="257" w:hanging="540"/>
              <w:jc w:val="left"/>
              <w:rPr>
                <w:rFonts w:ascii="仿宋" w:hAnsi="仿宋" w:eastAsia="仿宋" w:cs="仿宋"/>
                <w:sz w:val="24"/>
                <w:szCs w:val="24"/>
              </w:rPr>
            </w:pPr>
          </w:p>
        </w:tc>
        <w:tc>
          <w:tcPr>
            <w:tcW w:w="1227" w:type="dxa"/>
            <w:vAlign w:val="center"/>
          </w:tcPr>
          <w:p w14:paraId="68EF0D96">
            <w:pPr>
              <w:pStyle w:val="13"/>
              <w:spacing w:line="240" w:lineRule="atLeast"/>
              <w:ind w:left="1080" w:leftChars="257" w:hanging="540"/>
              <w:jc w:val="left"/>
              <w:rPr>
                <w:rFonts w:ascii="仿宋" w:hAnsi="仿宋" w:eastAsia="仿宋" w:cs="仿宋"/>
                <w:sz w:val="24"/>
                <w:szCs w:val="24"/>
              </w:rPr>
            </w:pPr>
          </w:p>
        </w:tc>
        <w:tc>
          <w:tcPr>
            <w:tcW w:w="1132" w:type="dxa"/>
            <w:vAlign w:val="center"/>
          </w:tcPr>
          <w:p w14:paraId="426E4B38">
            <w:pPr>
              <w:pStyle w:val="13"/>
              <w:spacing w:line="240" w:lineRule="atLeast"/>
              <w:ind w:left="1080" w:leftChars="257" w:hanging="540"/>
              <w:jc w:val="left"/>
              <w:rPr>
                <w:rFonts w:ascii="仿宋" w:hAnsi="仿宋" w:eastAsia="仿宋" w:cs="仿宋"/>
                <w:sz w:val="24"/>
                <w:szCs w:val="24"/>
              </w:rPr>
            </w:pPr>
          </w:p>
        </w:tc>
      </w:tr>
      <w:tr w14:paraId="2A3EBE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777" w:type="dxa"/>
            <w:vAlign w:val="center"/>
          </w:tcPr>
          <w:p w14:paraId="3A8AD863">
            <w:pPr>
              <w:widowControl/>
              <w:jc w:val="center"/>
              <w:textAlignment w:val="center"/>
              <w:rPr>
                <w:rFonts w:ascii="宋体" w:hAnsi="宋体" w:cs="宋体"/>
                <w:color w:val="000000"/>
                <w:kern w:val="0"/>
                <w:sz w:val="22"/>
                <w:szCs w:val="22"/>
              </w:rPr>
            </w:pPr>
          </w:p>
        </w:tc>
        <w:tc>
          <w:tcPr>
            <w:tcW w:w="1588" w:type="dxa"/>
            <w:vAlign w:val="center"/>
          </w:tcPr>
          <w:p w14:paraId="4E72ADB8">
            <w:pPr>
              <w:widowControl/>
              <w:jc w:val="left"/>
              <w:textAlignment w:val="center"/>
              <w:rPr>
                <w:rFonts w:ascii="宋体" w:hAnsi="宋体" w:cs="宋体"/>
                <w:color w:val="000000"/>
                <w:kern w:val="0"/>
                <w:sz w:val="22"/>
                <w:szCs w:val="22"/>
              </w:rPr>
            </w:pPr>
          </w:p>
        </w:tc>
        <w:tc>
          <w:tcPr>
            <w:tcW w:w="2225" w:type="dxa"/>
            <w:vAlign w:val="center"/>
          </w:tcPr>
          <w:p w14:paraId="677861C3">
            <w:pPr>
              <w:pStyle w:val="13"/>
              <w:spacing w:line="240" w:lineRule="atLeast"/>
              <w:jc w:val="left"/>
              <w:rPr>
                <w:rFonts w:hAnsi="宋体" w:cs="宋体"/>
                <w:color w:val="000000"/>
                <w:kern w:val="0"/>
                <w:sz w:val="22"/>
                <w:szCs w:val="22"/>
              </w:rPr>
            </w:pPr>
          </w:p>
        </w:tc>
        <w:tc>
          <w:tcPr>
            <w:tcW w:w="1167" w:type="dxa"/>
            <w:vAlign w:val="center"/>
          </w:tcPr>
          <w:p w14:paraId="55C68FB6">
            <w:pPr>
              <w:widowControl/>
              <w:jc w:val="center"/>
              <w:textAlignment w:val="center"/>
              <w:rPr>
                <w:rFonts w:ascii="宋体" w:hAnsi="宋体" w:cs="宋体"/>
                <w:color w:val="000000"/>
                <w:kern w:val="0"/>
                <w:sz w:val="22"/>
                <w:szCs w:val="22"/>
              </w:rPr>
            </w:pPr>
          </w:p>
        </w:tc>
        <w:tc>
          <w:tcPr>
            <w:tcW w:w="1256" w:type="dxa"/>
            <w:vAlign w:val="center"/>
          </w:tcPr>
          <w:p w14:paraId="03D18AB1">
            <w:pPr>
              <w:pStyle w:val="13"/>
              <w:spacing w:line="240" w:lineRule="atLeast"/>
              <w:ind w:left="1080" w:leftChars="257" w:hanging="540"/>
              <w:jc w:val="left"/>
              <w:rPr>
                <w:rFonts w:ascii="仿宋" w:hAnsi="仿宋" w:eastAsia="仿宋" w:cs="仿宋"/>
                <w:sz w:val="24"/>
                <w:szCs w:val="24"/>
              </w:rPr>
            </w:pPr>
          </w:p>
        </w:tc>
        <w:tc>
          <w:tcPr>
            <w:tcW w:w="1227" w:type="dxa"/>
            <w:vAlign w:val="center"/>
          </w:tcPr>
          <w:p w14:paraId="77134910">
            <w:pPr>
              <w:pStyle w:val="13"/>
              <w:spacing w:line="240" w:lineRule="atLeast"/>
              <w:ind w:left="1080" w:leftChars="257" w:hanging="540"/>
              <w:jc w:val="left"/>
              <w:rPr>
                <w:rFonts w:ascii="仿宋" w:hAnsi="仿宋" w:eastAsia="仿宋" w:cs="仿宋"/>
                <w:sz w:val="24"/>
                <w:szCs w:val="24"/>
              </w:rPr>
            </w:pPr>
          </w:p>
        </w:tc>
        <w:tc>
          <w:tcPr>
            <w:tcW w:w="1132" w:type="dxa"/>
            <w:vAlign w:val="center"/>
          </w:tcPr>
          <w:p w14:paraId="2B750F4D">
            <w:pPr>
              <w:pStyle w:val="13"/>
              <w:spacing w:line="240" w:lineRule="atLeast"/>
              <w:ind w:left="1080" w:leftChars="257" w:hanging="540"/>
              <w:jc w:val="left"/>
              <w:rPr>
                <w:rFonts w:ascii="仿宋" w:hAnsi="仿宋" w:eastAsia="仿宋" w:cs="仿宋"/>
                <w:sz w:val="24"/>
                <w:szCs w:val="24"/>
              </w:rPr>
            </w:pPr>
          </w:p>
        </w:tc>
      </w:tr>
      <w:tr w14:paraId="57F549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777" w:type="dxa"/>
            <w:vAlign w:val="center"/>
          </w:tcPr>
          <w:p w14:paraId="69E16F66">
            <w:pPr>
              <w:widowControl/>
              <w:jc w:val="center"/>
              <w:textAlignment w:val="center"/>
              <w:rPr>
                <w:rFonts w:ascii="宋体" w:hAnsi="宋体" w:cs="宋体"/>
                <w:color w:val="000000"/>
                <w:kern w:val="0"/>
                <w:sz w:val="22"/>
                <w:szCs w:val="22"/>
              </w:rPr>
            </w:pPr>
          </w:p>
        </w:tc>
        <w:tc>
          <w:tcPr>
            <w:tcW w:w="1588" w:type="dxa"/>
            <w:vAlign w:val="center"/>
          </w:tcPr>
          <w:p w14:paraId="150EBFA4">
            <w:pPr>
              <w:widowControl/>
              <w:jc w:val="left"/>
              <w:textAlignment w:val="center"/>
              <w:rPr>
                <w:rFonts w:ascii="宋体" w:hAnsi="宋体" w:cs="宋体"/>
                <w:color w:val="000000"/>
                <w:kern w:val="0"/>
                <w:sz w:val="22"/>
                <w:szCs w:val="22"/>
              </w:rPr>
            </w:pPr>
          </w:p>
        </w:tc>
        <w:tc>
          <w:tcPr>
            <w:tcW w:w="2225" w:type="dxa"/>
            <w:vAlign w:val="center"/>
          </w:tcPr>
          <w:p w14:paraId="7422F3FD">
            <w:pPr>
              <w:pStyle w:val="13"/>
              <w:spacing w:line="240" w:lineRule="atLeast"/>
              <w:jc w:val="left"/>
              <w:rPr>
                <w:rFonts w:hAnsi="宋体" w:cs="宋体"/>
                <w:color w:val="000000"/>
                <w:kern w:val="0"/>
                <w:sz w:val="22"/>
                <w:szCs w:val="22"/>
              </w:rPr>
            </w:pPr>
          </w:p>
        </w:tc>
        <w:tc>
          <w:tcPr>
            <w:tcW w:w="1167" w:type="dxa"/>
            <w:vAlign w:val="center"/>
          </w:tcPr>
          <w:p w14:paraId="578779A1">
            <w:pPr>
              <w:widowControl/>
              <w:jc w:val="center"/>
              <w:textAlignment w:val="center"/>
              <w:rPr>
                <w:rFonts w:ascii="宋体" w:hAnsi="宋体" w:cs="宋体"/>
                <w:color w:val="000000"/>
                <w:kern w:val="0"/>
                <w:sz w:val="22"/>
                <w:szCs w:val="22"/>
              </w:rPr>
            </w:pPr>
          </w:p>
        </w:tc>
        <w:tc>
          <w:tcPr>
            <w:tcW w:w="1256" w:type="dxa"/>
            <w:vAlign w:val="center"/>
          </w:tcPr>
          <w:p w14:paraId="2C0E9DBE">
            <w:pPr>
              <w:pStyle w:val="13"/>
              <w:spacing w:line="240" w:lineRule="atLeast"/>
              <w:ind w:left="1080" w:leftChars="257" w:hanging="540"/>
              <w:jc w:val="left"/>
              <w:rPr>
                <w:rFonts w:ascii="仿宋" w:hAnsi="仿宋" w:eastAsia="仿宋" w:cs="仿宋"/>
                <w:sz w:val="24"/>
                <w:szCs w:val="24"/>
              </w:rPr>
            </w:pPr>
          </w:p>
        </w:tc>
        <w:tc>
          <w:tcPr>
            <w:tcW w:w="1227" w:type="dxa"/>
            <w:vAlign w:val="center"/>
          </w:tcPr>
          <w:p w14:paraId="4AB17E00">
            <w:pPr>
              <w:pStyle w:val="13"/>
              <w:spacing w:line="240" w:lineRule="atLeast"/>
              <w:ind w:left="1080" w:leftChars="257" w:hanging="540"/>
              <w:jc w:val="left"/>
              <w:rPr>
                <w:rFonts w:ascii="仿宋" w:hAnsi="仿宋" w:eastAsia="仿宋" w:cs="仿宋"/>
                <w:sz w:val="24"/>
                <w:szCs w:val="24"/>
              </w:rPr>
            </w:pPr>
          </w:p>
        </w:tc>
        <w:tc>
          <w:tcPr>
            <w:tcW w:w="1132" w:type="dxa"/>
            <w:vAlign w:val="center"/>
          </w:tcPr>
          <w:p w14:paraId="3632AE1E">
            <w:pPr>
              <w:pStyle w:val="13"/>
              <w:spacing w:line="240" w:lineRule="atLeast"/>
              <w:ind w:left="1080" w:leftChars="257" w:hanging="540"/>
              <w:jc w:val="left"/>
              <w:rPr>
                <w:rFonts w:ascii="仿宋" w:hAnsi="仿宋" w:eastAsia="仿宋" w:cs="仿宋"/>
                <w:sz w:val="24"/>
                <w:szCs w:val="24"/>
              </w:rPr>
            </w:pPr>
          </w:p>
        </w:tc>
      </w:tr>
      <w:tr w14:paraId="5539E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777" w:type="dxa"/>
            <w:vAlign w:val="center"/>
          </w:tcPr>
          <w:p w14:paraId="055D88B7">
            <w:pPr>
              <w:widowControl/>
              <w:jc w:val="center"/>
              <w:textAlignment w:val="center"/>
              <w:rPr>
                <w:rFonts w:ascii="宋体" w:hAnsi="宋体" w:cs="宋体"/>
                <w:color w:val="000000"/>
                <w:kern w:val="0"/>
                <w:sz w:val="22"/>
                <w:szCs w:val="22"/>
              </w:rPr>
            </w:pPr>
          </w:p>
        </w:tc>
        <w:tc>
          <w:tcPr>
            <w:tcW w:w="1588" w:type="dxa"/>
            <w:vAlign w:val="center"/>
          </w:tcPr>
          <w:p w14:paraId="28BFAFDD">
            <w:pPr>
              <w:widowControl/>
              <w:jc w:val="left"/>
              <w:textAlignment w:val="center"/>
              <w:rPr>
                <w:rFonts w:ascii="宋体" w:hAnsi="宋体" w:cs="宋体"/>
                <w:color w:val="000000"/>
                <w:kern w:val="0"/>
                <w:sz w:val="22"/>
                <w:szCs w:val="22"/>
              </w:rPr>
            </w:pPr>
          </w:p>
        </w:tc>
        <w:tc>
          <w:tcPr>
            <w:tcW w:w="2225" w:type="dxa"/>
            <w:vAlign w:val="center"/>
          </w:tcPr>
          <w:p w14:paraId="4388AFDD">
            <w:pPr>
              <w:pStyle w:val="13"/>
              <w:spacing w:line="240" w:lineRule="atLeast"/>
              <w:jc w:val="left"/>
              <w:rPr>
                <w:rFonts w:hAnsi="宋体" w:cs="宋体"/>
                <w:color w:val="000000"/>
                <w:kern w:val="0"/>
                <w:sz w:val="22"/>
                <w:szCs w:val="22"/>
              </w:rPr>
            </w:pPr>
          </w:p>
        </w:tc>
        <w:tc>
          <w:tcPr>
            <w:tcW w:w="1167" w:type="dxa"/>
            <w:vAlign w:val="center"/>
          </w:tcPr>
          <w:p w14:paraId="17BA165F">
            <w:pPr>
              <w:widowControl/>
              <w:jc w:val="center"/>
              <w:textAlignment w:val="center"/>
              <w:rPr>
                <w:rFonts w:ascii="宋体" w:hAnsi="宋体" w:cs="宋体"/>
                <w:color w:val="000000"/>
                <w:kern w:val="0"/>
                <w:sz w:val="22"/>
                <w:szCs w:val="22"/>
              </w:rPr>
            </w:pPr>
          </w:p>
        </w:tc>
        <w:tc>
          <w:tcPr>
            <w:tcW w:w="1256" w:type="dxa"/>
            <w:vAlign w:val="center"/>
          </w:tcPr>
          <w:p w14:paraId="6A27DF35">
            <w:pPr>
              <w:pStyle w:val="13"/>
              <w:spacing w:line="240" w:lineRule="atLeast"/>
              <w:ind w:left="1080" w:leftChars="257" w:hanging="540"/>
              <w:jc w:val="left"/>
              <w:rPr>
                <w:rFonts w:ascii="仿宋" w:hAnsi="仿宋" w:eastAsia="仿宋" w:cs="仿宋"/>
                <w:sz w:val="24"/>
                <w:szCs w:val="24"/>
              </w:rPr>
            </w:pPr>
          </w:p>
        </w:tc>
        <w:tc>
          <w:tcPr>
            <w:tcW w:w="1227" w:type="dxa"/>
            <w:vAlign w:val="center"/>
          </w:tcPr>
          <w:p w14:paraId="39736485">
            <w:pPr>
              <w:pStyle w:val="13"/>
              <w:spacing w:line="240" w:lineRule="atLeast"/>
              <w:ind w:left="1080" w:leftChars="257" w:hanging="540"/>
              <w:jc w:val="left"/>
              <w:rPr>
                <w:rFonts w:ascii="仿宋" w:hAnsi="仿宋" w:eastAsia="仿宋" w:cs="仿宋"/>
                <w:sz w:val="24"/>
                <w:szCs w:val="24"/>
              </w:rPr>
            </w:pPr>
          </w:p>
        </w:tc>
        <w:tc>
          <w:tcPr>
            <w:tcW w:w="1132" w:type="dxa"/>
            <w:vAlign w:val="center"/>
          </w:tcPr>
          <w:p w14:paraId="3856C358">
            <w:pPr>
              <w:pStyle w:val="13"/>
              <w:spacing w:line="240" w:lineRule="atLeast"/>
              <w:ind w:left="1080" w:leftChars="257" w:hanging="540"/>
              <w:jc w:val="left"/>
              <w:rPr>
                <w:rFonts w:ascii="仿宋" w:hAnsi="仿宋" w:eastAsia="仿宋" w:cs="仿宋"/>
                <w:sz w:val="24"/>
                <w:szCs w:val="24"/>
              </w:rPr>
            </w:pPr>
          </w:p>
        </w:tc>
      </w:tr>
      <w:bookmarkEnd w:id="379"/>
      <w:bookmarkEnd w:id="380"/>
      <w:bookmarkEnd w:id="381"/>
      <w:bookmarkEnd w:id="382"/>
      <w:bookmarkEnd w:id="383"/>
      <w:bookmarkEnd w:id="384"/>
      <w:bookmarkEnd w:id="385"/>
      <w:bookmarkEnd w:id="386"/>
      <w:bookmarkEnd w:id="387"/>
      <w:bookmarkEnd w:id="388"/>
      <w:bookmarkEnd w:id="389"/>
      <w:bookmarkEnd w:id="390"/>
    </w:tbl>
    <w:p w14:paraId="2439B3C1">
      <w:pPr>
        <w:pStyle w:val="13"/>
        <w:spacing w:line="240" w:lineRule="atLeast"/>
        <w:rPr>
          <w:rFonts w:ascii="仿宋" w:hAnsi="仿宋" w:eastAsia="仿宋" w:cs="仿宋"/>
          <w:sz w:val="24"/>
          <w:szCs w:val="24"/>
        </w:rPr>
      </w:pPr>
      <w:bookmarkStart w:id="391" w:name="_Toc16873"/>
    </w:p>
    <w:p w14:paraId="69B070FB">
      <w:pPr>
        <w:pStyle w:val="13"/>
        <w:spacing w:line="240" w:lineRule="atLeast"/>
        <w:rPr>
          <w:rFonts w:ascii="仿宋" w:hAnsi="仿宋" w:eastAsia="仿宋" w:cs="仿宋"/>
          <w:sz w:val="24"/>
          <w:szCs w:val="24"/>
        </w:rPr>
      </w:pPr>
      <w:r>
        <w:rPr>
          <w:rFonts w:hint="eastAsia" w:ascii="仿宋" w:hAnsi="仿宋" w:eastAsia="仿宋" w:cs="仿宋"/>
          <w:sz w:val="24"/>
          <w:szCs w:val="24"/>
        </w:rPr>
        <w:t>法定代表人或其委托代理人（</w:t>
      </w:r>
      <w:r>
        <w:rPr>
          <w:rFonts w:hint="eastAsia" w:ascii="仿宋" w:hAnsi="仿宋" w:eastAsia="仿宋" w:cs="仿宋"/>
          <w:sz w:val="24"/>
          <w:szCs w:val="24"/>
          <w:lang w:val="en-US" w:eastAsia="zh-CN"/>
        </w:rPr>
        <w:t>CA签字</w:t>
      </w:r>
      <w:r>
        <w:rPr>
          <w:rFonts w:hint="eastAsia" w:ascii="仿宋" w:hAnsi="仿宋" w:eastAsia="仿宋" w:cs="仿宋"/>
          <w:sz w:val="24"/>
          <w:szCs w:val="24"/>
        </w:rPr>
        <w:t>）:</w:t>
      </w:r>
      <w:r>
        <w:rPr>
          <w:rFonts w:hint="eastAsia" w:ascii="仿宋" w:hAnsi="仿宋" w:eastAsia="仿宋" w:cs="仿宋"/>
          <w:sz w:val="24"/>
          <w:szCs w:val="24"/>
          <w:u w:val="single"/>
        </w:rPr>
        <w:t xml:space="preserve"> </w:t>
      </w:r>
      <w:r>
        <w:rPr>
          <w:rFonts w:hint="eastAsia" w:ascii="仿宋" w:hAnsi="仿宋" w:eastAsia="仿宋" w:cs="仿宋"/>
          <w:sz w:val="24"/>
          <w:szCs w:val="24"/>
          <w:u w:val="single"/>
        </w:rPr>
        <w:tab/>
      </w:r>
      <w:r>
        <w:rPr>
          <w:rFonts w:hint="eastAsia" w:ascii="仿宋" w:hAnsi="仿宋" w:eastAsia="仿宋" w:cs="仿宋"/>
          <w:sz w:val="24"/>
          <w:szCs w:val="24"/>
          <w:u w:val="single"/>
        </w:rPr>
        <w:t xml:space="preserve">                 </w:t>
      </w:r>
    </w:p>
    <w:p w14:paraId="68335F88">
      <w:pPr>
        <w:pStyle w:val="13"/>
        <w:tabs>
          <w:tab w:val="left" w:pos="5370"/>
        </w:tabs>
        <w:spacing w:line="240" w:lineRule="atLeast"/>
        <w:rPr>
          <w:rFonts w:ascii="仿宋" w:hAnsi="仿宋" w:eastAsia="仿宋" w:cs="仿宋"/>
          <w:sz w:val="24"/>
          <w:szCs w:val="24"/>
          <w:u w:val="single"/>
        </w:rPr>
      </w:pPr>
      <w:r>
        <w:rPr>
          <w:rFonts w:hint="eastAsia" w:ascii="仿宋" w:hAnsi="仿宋" w:eastAsia="仿宋" w:cs="仿宋"/>
          <w:sz w:val="24"/>
          <w:szCs w:val="24"/>
        </w:rPr>
        <w:t>供应商(</w:t>
      </w:r>
      <w:r>
        <w:rPr>
          <w:rFonts w:hint="eastAsia" w:ascii="仿宋" w:hAnsi="仿宋" w:eastAsia="仿宋" w:cs="仿宋"/>
          <w:sz w:val="24"/>
          <w:szCs w:val="24"/>
          <w:lang w:eastAsia="zh-CN"/>
        </w:rPr>
        <w:t>电子签章</w:t>
      </w:r>
      <w:r>
        <w:rPr>
          <w:rFonts w:hint="eastAsia" w:ascii="仿宋" w:hAnsi="仿宋" w:eastAsia="仿宋" w:cs="仿宋"/>
          <w:sz w:val="24"/>
          <w:szCs w:val="24"/>
        </w:rPr>
        <w:t>):</w:t>
      </w:r>
      <w:r>
        <w:rPr>
          <w:rFonts w:hint="eastAsia" w:ascii="仿宋" w:hAnsi="仿宋" w:eastAsia="仿宋" w:cs="仿宋"/>
          <w:sz w:val="24"/>
          <w:szCs w:val="24"/>
          <w:u w:val="single"/>
        </w:rPr>
        <w:tab/>
      </w:r>
    </w:p>
    <w:p w14:paraId="072794EE">
      <w:pPr>
        <w:pStyle w:val="13"/>
        <w:tabs>
          <w:tab w:val="left" w:pos="5370"/>
        </w:tabs>
        <w:spacing w:line="240" w:lineRule="atLeast"/>
        <w:rPr>
          <w:rFonts w:ascii="仿宋" w:hAnsi="仿宋" w:eastAsia="仿宋" w:cs="仿宋"/>
          <w:sz w:val="24"/>
          <w:szCs w:val="24"/>
        </w:rPr>
      </w:pPr>
      <w:r>
        <w:rPr>
          <w:rFonts w:hint="eastAsia" w:ascii="仿宋" w:hAnsi="仿宋" w:eastAsia="仿宋" w:cs="仿宋"/>
          <w:sz w:val="24"/>
          <w:szCs w:val="24"/>
        </w:rPr>
        <w:t>日     期：</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w:t>
      </w:r>
    </w:p>
    <w:bookmarkEnd w:id="391"/>
    <w:p w14:paraId="3276AEF4">
      <w:pPr>
        <w:widowControl/>
        <w:jc w:val="left"/>
        <w:rPr>
          <w:rFonts w:ascii="仿宋" w:hAnsi="仿宋" w:eastAsia="仿宋" w:cs="仿宋"/>
          <w:b/>
          <w:kern w:val="0"/>
          <w:sz w:val="24"/>
        </w:rPr>
      </w:pPr>
      <w:bookmarkStart w:id="392" w:name="_Toc216582818"/>
      <w:bookmarkStart w:id="393" w:name="_Toc3484"/>
      <w:bookmarkStart w:id="394" w:name="_Toc3060"/>
      <w:bookmarkStart w:id="395" w:name="_Toc3332"/>
      <w:bookmarkStart w:id="396" w:name="_Toc4467"/>
      <w:bookmarkStart w:id="397" w:name="_Toc515647821"/>
      <w:bookmarkStart w:id="398" w:name="_Toc24350"/>
      <w:bookmarkStart w:id="399" w:name="_Toc23"/>
      <w:bookmarkStart w:id="400" w:name="_Toc1980"/>
      <w:bookmarkStart w:id="401" w:name="_Toc13810"/>
      <w:bookmarkStart w:id="402" w:name="_Toc15724"/>
      <w:bookmarkStart w:id="403" w:name="_Toc30176"/>
      <w:r>
        <w:rPr>
          <w:rFonts w:ascii="仿宋" w:hAnsi="仿宋" w:eastAsia="仿宋" w:cs="仿宋"/>
          <w:sz w:val="24"/>
        </w:rPr>
        <w:br w:type="page"/>
      </w:r>
    </w:p>
    <w:p w14:paraId="325FD914">
      <w:pPr>
        <w:pStyle w:val="6"/>
        <w:spacing w:before="0"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4、商务条款偏离表</w:t>
      </w:r>
      <w:bookmarkEnd w:id="392"/>
      <w:r>
        <w:rPr>
          <w:rFonts w:hint="eastAsia" w:ascii="仿宋" w:hAnsi="仿宋" w:eastAsia="仿宋" w:cs="仿宋"/>
          <w:sz w:val="24"/>
          <w:szCs w:val="24"/>
        </w:rPr>
        <w:t>（磋商文件格式十）</w:t>
      </w:r>
      <w:bookmarkEnd w:id="393"/>
      <w:bookmarkEnd w:id="394"/>
      <w:bookmarkEnd w:id="395"/>
      <w:bookmarkEnd w:id="396"/>
      <w:bookmarkEnd w:id="397"/>
      <w:bookmarkEnd w:id="398"/>
      <w:bookmarkEnd w:id="399"/>
      <w:bookmarkEnd w:id="400"/>
      <w:bookmarkEnd w:id="401"/>
      <w:bookmarkEnd w:id="402"/>
      <w:bookmarkEnd w:id="403"/>
    </w:p>
    <w:p w14:paraId="6E45441C">
      <w:pPr>
        <w:pStyle w:val="13"/>
        <w:spacing w:line="240" w:lineRule="atLeast"/>
        <w:rPr>
          <w:rFonts w:ascii="仿宋" w:hAnsi="仿宋" w:eastAsia="仿宋" w:cs="仿宋"/>
          <w:sz w:val="24"/>
          <w:szCs w:val="24"/>
        </w:rPr>
      </w:pPr>
      <w:r>
        <w:rPr>
          <w:rFonts w:hint="eastAsia" w:ascii="仿宋" w:hAnsi="仿宋" w:eastAsia="仿宋" w:cs="仿宋"/>
          <w:sz w:val="24"/>
          <w:szCs w:val="24"/>
        </w:rPr>
        <w:t xml:space="preserve">项目名称:                      </w:t>
      </w:r>
    </w:p>
    <w:p w14:paraId="27207D1B">
      <w:pPr>
        <w:pStyle w:val="13"/>
        <w:spacing w:line="240" w:lineRule="atLeast"/>
        <w:rPr>
          <w:rFonts w:ascii="仿宋" w:hAnsi="仿宋" w:eastAsia="仿宋" w:cs="仿宋"/>
          <w:sz w:val="24"/>
          <w:szCs w:val="24"/>
        </w:rPr>
      </w:pPr>
      <w:r>
        <w:rPr>
          <w:rFonts w:hint="eastAsia" w:ascii="仿宋" w:hAnsi="仿宋" w:eastAsia="仿宋" w:cs="仿宋"/>
          <w:sz w:val="24"/>
          <w:szCs w:val="24"/>
        </w:rPr>
        <w:t>项目编号:                                  包号:</w:t>
      </w:r>
    </w:p>
    <w:tbl>
      <w:tblPr>
        <w:tblStyle w:val="23"/>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8"/>
        <w:gridCol w:w="2040"/>
        <w:gridCol w:w="2520"/>
        <w:gridCol w:w="2520"/>
        <w:gridCol w:w="900"/>
      </w:tblGrid>
      <w:tr w14:paraId="56FCAF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5" w:hRule="atLeast"/>
          <w:jc w:val="center"/>
        </w:trPr>
        <w:tc>
          <w:tcPr>
            <w:tcW w:w="948" w:type="dxa"/>
          </w:tcPr>
          <w:p w14:paraId="19AB7C36">
            <w:pPr>
              <w:pStyle w:val="13"/>
              <w:spacing w:line="240" w:lineRule="atLeast"/>
              <w:jc w:val="center"/>
              <w:rPr>
                <w:rFonts w:ascii="仿宋" w:hAnsi="仿宋" w:eastAsia="仿宋" w:cs="仿宋"/>
                <w:sz w:val="24"/>
                <w:szCs w:val="24"/>
              </w:rPr>
            </w:pPr>
            <w:r>
              <w:rPr>
                <w:rFonts w:hint="eastAsia" w:ascii="仿宋" w:hAnsi="仿宋" w:eastAsia="仿宋" w:cs="仿宋"/>
                <w:sz w:val="24"/>
                <w:szCs w:val="24"/>
              </w:rPr>
              <w:t>序号</w:t>
            </w:r>
          </w:p>
        </w:tc>
        <w:tc>
          <w:tcPr>
            <w:tcW w:w="2040" w:type="dxa"/>
          </w:tcPr>
          <w:p w14:paraId="032C6006">
            <w:pPr>
              <w:pStyle w:val="13"/>
              <w:spacing w:line="240" w:lineRule="atLeast"/>
              <w:jc w:val="center"/>
              <w:rPr>
                <w:rFonts w:ascii="仿宋" w:hAnsi="仿宋" w:eastAsia="仿宋" w:cs="仿宋"/>
                <w:sz w:val="24"/>
                <w:szCs w:val="24"/>
              </w:rPr>
            </w:pPr>
            <w:r>
              <w:rPr>
                <w:rFonts w:hint="eastAsia" w:ascii="仿宋" w:hAnsi="仿宋" w:eastAsia="仿宋" w:cs="仿宋"/>
                <w:sz w:val="24"/>
                <w:szCs w:val="24"/>
              </w:rPr>
              <w:t>磋商文件条款号</w:t>
            </w:r>
          </w:p>
        </w:tc>
        <w:tc>
          <w:tcPr>
            <w:tcW w:w="2520" w:type="dxa"/>
          </w:tcPr>
          <w:p w14:paraId="451DA07F">
            <w:pPr>
              <w:pStyle w:val="13"/>
              <w:spacing w:line="240" w:lineRule="atLeast"/>
              <w:jc w:val="center"/>
              <w:rPr>
                <w:rFonts w:ascii="仿宋" w:hAnsi="仿宋" w:eastAsia="仿宋" w:cs="仿宋"/>
                <w:sz w:val="24"/>
                <w:szCs w:val="24"/>
              </w:rPr>
            </w:pPr>
            <w:r>
              <w:rPr>
                <w:rFonts w:hint="eastAsia" w:ascii="仿宋" w:hAnsi="仿宋" w:eastAsia="仿宋" w:cs="仿宋"/>
                <w:sz w:val="24"/>
                <w:szCs w:val="24"/>
              </w:rPr>
              <w:t>磋商文件的商务条款</w:t>
            </w:r>
          </w:p>
        </w:tc>
        <w:tc>
          <w:tcPr>
            <w:tcW w:w="2520" w:type="dxa"/>
          </w:tcPr>
          <w:p w14:paraId="5FEDC8BD">
            <w:pPr>
              <w:pStyle w:val="13"/>
              <w:spacing w:line="240" w:lineRule="atLeast"/>
              <w:jc w:val="center"/>
              <w:rPr>
                <w:rFonts w:ascii="仿宋" w:hAnsi="仿宋" w:eastAsia="仿宋" w:cs="仿宋"/>
                <w:sz w:val="24"/>
                <w:szCs w:val="24"/>
              </w:rPr>
            </w:pPr>
            <w:r>
              <w:rPr>
                <w:rFonts w:hint="eastAsia" w:ascii="仿宋" w:hAnsi="仿宋" w:eastAsia="仿宋" w:cs="仿宋"/>
                <w:sz w:val="24"/>
                <w:szCs w:val="24"/>
              </w:rPr>
              <w:t>磋商文件的商务条款</w:t>
            </w:r>
          </w:p>
        </w:tc>
        <w:tc>
          <w:tcPr>
            <w:tcW w:w="900" w:type="dxa"/>
          </w:tcPr>
          <w:p w14:paraId="3E912731">
            <w:pPr>
              <w:pStyle w:val="13"/>
              <w:spacing w:line="240" w:lineRule="atLeast"/>
              <w:jc w:val="center"/>
              <w:rPr>
                <w:rFonts w:ascii="仿宋" w:hAnsi="仿宋" w:eastAsia="仿宋" w:cs="仿宋"/>
                <w:sz w:val="24"/>
                <w:szCs w:val="24"/>
              </w:rPr>
            </w:pPr>
            <w:r>
              <w:rPr>
                <w:rFonts w:hint="eastAsia" w:ascii="仿宋" w:hAnsi="仿宋" w:eastAsia="仿宋" w:cs="仿宋"/>
                <w:sz w:val="24"/>
                <w:szCs w:val="24"/>
              </w:rPr>
              <w:t>说明</w:t>
            </w:r>
          </w:p>
        </w:tc>
      </w:tr>
      <w:tr w14:paraId="21EF48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6D1157EC">
            <w:pPr>
              <w:pStyle w:val="13"/>
              <w:spacing w:line="240" w:lineRule="atLeast"/>
              <w:ind w:left="1080" w:leftChars="257" w:hanging="540"/>
              <w:rPr>
                <w:rFonts w:ascii="仿宋" w:hAnsi="仿宋" w:eastAsia="仿宋" w:cs="仿宋"/>
                <w:sz w:val="24"/>
                <w:szCs w:val="24"/>
              </w:rPr>
            </w:pPr>
          </w:p>
        </w:tc>
        <w:tc>
          <w:tcPr>
            <w:tcW w:w="2040" w:type="dxa"/>
          </w:tcPr>
          <w:p w14:paraId="3D4BBDA0">
            <w:pPr>
              <w:pStyle w:val="13"/>
              <w:spacing w:line="240" w:lineRule="atLeast"/>
              <w:ind w:left="1080" w:leftChars="257" w:hanging="540"/>
              <w:rPr>
                <w:rFonts w:ascii="仿宋" w:hAnsi="仿宋" w:eastAsia="仿宋" w:cs="仿宋"/>
                <w:sz w:val="24"/>
                <w:szCs w:val="24"/>
              </w:rPr>
            </w:pPr>
          </w:p>
        </w:tc>
        <w:tc>
          <w:tcPr>
            <w:tcW w:w="2520" w:type="dxa"/>
          </w:tcPr>
          <w:p w14:paraId="5E511CEF">
            <w:pPr>
              <w:pStyle w:val="13"/>
              <w:spacing w:line="240" w:lineRule="atLeast"/>
              <w:ind w:left="1080" w:leftChars="257" w:hanging="540"/>
              <w:jc w:val="center"/>
              <w:rPr>
                <w:rFonts w:ascii="仿宋" w:hAnsi="仿宋" w:eastAsia="仿宋" w:cs="仿宋"/>
                <w:sz w:val="24"/>
                <w:szCs w:val="24"/>
              </w:rPr>
            </w:pPr>
          </w:p>
        </w:tc>
        <w:tc>
          <w:tcPr>
            <w:tcW w:w="2520" w:type="dxa"/>
          </w:tcPr>
          <w:p w14:paraId="67A896B3">
            <w:pPr>
              <w:pStyle w:val="13"/>
              <w:spacing w:line="240" w:lineRule="atLeast"/>
              <w:ind w:left="1080" w:leftChars="257" w:hanging="540"/>
              <w:jc w:val="center"/>
              <w:rPr>
                <w:rFonts w:ascii="仿宋" w:hAnsi="仿宋" w:eastAsia="仿宋" w:cs="仿宋"/>
                <w:sz w:val="24"/>
                <w:szCs w:val="24"/>
              </w:rPr>
            </w:pPr>
          </w:p>
        </w:tc>
        <w:tc>
          <w:tcPr>
            <w:tcW w:w="900" w:type="dxa"/>
          </w:tcPr>
          <w:p w14:paraId="3B3004FC">
            <w:pPr>
              <w:pStyle w:val="13"/>
              <w:spacing w:line="240" w:lineRule="atLeast"/>
              <w:ind w:left="1080" w:leftChars="257" w:hanging="540"/>
              <w:rPr>
                <w:rFonts w:ascii="仿宋" w:hAnsi="仿宋" w:eastAsia="仿宋" w:cs="仿宋"/>
                <w:sz w:val="24"/>
                <w:szCs w:val="24"/>
              </w:rPr>
            </w:pPr>
          </w:p>
        </w:tc>
      </w:tr>
      <w:tr w14:paraId="21DCFC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35765BAC">
            <w:pPr>
              <w:pStyle w:val="13"/>
              <w:spacing w:line="240" w:lineRule="atLeast"/>
              <w:ind w:left="1080" w:leftChars="257" w:hanging="540"/>
              <w:rPr>
                <w:rFonts w:ascii="仿宋" w:hAnsi="仿宋" w:eastAsia="仿宋" w:cs="仿宋"/>
                <w:sz w:val="24"/>
                <w:szCs w:val="24"/>
              </w:rPr>
            </w:pPr>
          </w:p>
        </w:tc>
        <w:tc>
          <w:tcPr>
            <w:tcW w:w="2040" w:type="dxa"/>
          </w:tcPr>
          <w:p w14:paraId="39E363DA">
            <w:pPr>
              <w:pStyle w:val="13"/>
              <w:spacing w:line="240" w:lineRule="atLeast"/>
              <w:ind w:left="1080" w:leftChars="257" w:hanging="540"/>
              <w:rPr>
                <w:rFonts w:ascii="仿宋" w:hAnsi="仿宋" w:eastAsia="仿宋" w:cs="仿宋"/>
                <w:sz w:val="24"/>
                <w:szCs w:val="24"/>
              </w:rPr>
            </w:pPr>
          </w:p>
        </w:tc>
        <w:tc>
          <w:tcPr>
            <w:tcW w:w="2520" w:type="dxa"/>
          </w:tcPr>
          <w:p w14:paraId="53F0BAA2">
            <w:pPr>
              <w:pStyle w:val="13"/>
              <w:spacing w:line="240" w:lineRule="atLeast"/>
              <w:ind w:left="1080" w:leftChars="257" w:hanging="540"/>
              <w:rPr>
                <w:rFonts w:ascii="仿宋" w:hAnsi="仿宋" w:eastAsia="仿宋" w:cs="仿宋"/>
                <w:sz w:val="24"/>
                <w:szCs w:val="24"/>
              </w:rPr>
            </w:pPr>
          </w:p>
        </w:tc>
        <w:tc>
          <w:tcPr>
            <w:tcW w:w="2520" w:type="dxa"/>
          </w:tcPr>
          <w:p w14:paraId="60815C21">
            <w:pPr>
              <w:pStyle w:val="13"/>
              <w:spacing w:line="240" w:lineRule="atLeast"/>
              <w:ind w:left="1080" w:leftChars="257" w:hanging="540"/>
              <w:rPr>
                <w:rFonts w:ascii="仿宋" w:hAnsi="仿宋" w:eastAsia="仿宋" w:cs="仿宋"/>
                <w:sz w:val="24"/>
                <w:szCs w:val="24"/>
              </w:rPr>
            </w:pPr>
          </w:p>
        </w:tc>
        <w:tc>
          <w:tcPr>
            <w:tcW w:w="900" w:type="dxa"/>
          </w:tcPr>
          <w:p w14:paraId="2E4B86B5">
            <w:pPr>
              <w:pStyle w:val="13"/>
              <w:spacing w:line="240" w:lineRule="atLeast"/>
              <w:ind w:left="1080" w:leftChars="257" w:hanging="540"/>
              <w:rPr>
                <w:rFonts w:ascii="仿宋" w:hAnsi="仿宋" w:eastAsia="仿宋" w:cs="仿宋"/>
                <w:sz w:val="24"/>
                <w:szCs w:val="24"/>
              </w:rPr>
            </w:pPr>
          </w:p>
        </w:tc>
      </w:tr>
      <w:tr w14:paraId="7B74F5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1F7FCA62">
            <w:pPr>
              <w:pStyle w:val="13"/>
              <w:spacing w:line="240" w:lineRule="atLeast"/>
              <w:ind w:left="1080" w:leftChars="257" w:hanging="540"/>
              <w:rPr>
                <w:rFonts w:ascii="仿宋" w:hAnsi="仿宋" w:eastAsia="仿宋" w:cs="仿宋"/>
                <w:sz w:val="24"/>
                <w:szCs w:val="24"/>
              </w:rPr>
            </w:pPr>
          </w:p>
        </w:tc>
        <w:tc>
          <w:tcPr>
            <w:tcW w:w="2040" w:type="dxa"/>
          </w:tcPr>
          <w:p w14:paraId="3393FDD6">
            <w:pPr>
              <w:pStyle w:val="13"/>
              <w:spacing w:line="240" w:lineRule="atLeast"/>
              <w:ind w:left="1080" w:leftChars="257" w:hanging="540"/>
              <w:rPr>
                <w:rFonts w:ascii="仿宋" w:hAnsi="仿宋" w:eastAsia="仿宋" w:cs="仿宋"/>
                <w:sz w:val="24"/>
                <w:szCs w:val="24"/>
              </w:rPr>
            </w:pPr>
          </w:p>
        </w:tc>
        <w:tc>
          <w:tcPr>
            <w:tcW w:w="2520" w:type="dxa"/>
          </w:tcPr>
          <w:p w14:paraId="0270CA69">
            <w:pPr>
              <w:pStyle w:val="13"/>
              <w:spacing w:line="240" w:lineRule="atLeast"/>
              <w:ind w:left="1080" w:leftChars="257" w:hanging="540"/>
              <w:rPr>
                <w:rFonts w:ascii="仿宋" w:hAnsi="仿宋" w:eastAsia="仿宋" w:cs="仿宋"/>
                <w:sz w:val="24"/>
                <w:szCs w:val="24"/>
              </w:rPr>
            </w:pPr>
          </w:p>
        </w:tc>
        <w:tc>
          <w:tcPr>
            <w:tcW w:w="2520" w:type="dxa"/>
          </w:tcPr>
          <w:p w14:paraId="404ACECE">
            <w:pPr>
              <w:pStyle w:val="13"/>
              <w:spacing w:line="240" w:lineRule="atLeast"/>
              <w:ind w:left="1080" w:leftChars="257" w:hanging="540"/>
              <w:rPr>
                <w:rFonts w:ascii="仿宋" w:hAnsi="仿宋" w:eastAsia="仿宋" w:cs="仿宋"/>
                <w:sz w:val="24"/>
                <w:szCs w:val="24"/>
              </w:rPr>
            </w:pPr>
          </w:p>
        </w:tc>
        <w:tc>
          <w:tcPr>
            <w:tcW w:w="900" w:type="dxa"/>
          </w:tcPr>
          <w:p w14:paraId="030C03BD">
            <w:pPr>
              <w:pStyle w:val="13"/>
              <w:spacing w:line="240" w:lineRule="atLeast"/>
              <w:ind w:left="1080" w:leftChars="257" w:hanging="540"/>
              <w:rPr>
                <w:rFonts w:ascii="仿宋" w:hAnsi="仿宋" w:eastAsia="仿宋" w:cs="仿宋"/>
                <w:sz w:val="24"/>
                <w:szCs w:val="24"/>
              </w:rPr>
            </w:pPr>
          </w:p>
        </w:tc>
      </w:tr>
      <w:tr w14:paraId="64FCB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6868B254">
            <w:pPr>
              <w:pStyle w:val="13"/>
              <w:spacing w:line="240" w:lineRule="atLeast"/>
              <w:ind w:left="1080" w:leftChars="257" w:hanging="540"/>
              <w:rPr>
                <w:rFonts w:ascii="仿宋" w:hAnsi="仿宋" w:eastAsia="仿宋" w:cs="仿宋"/>
                <w:sz w:val="24"/>
                <w:szCs w:val="24"/>
              </w:rPr>
            </w:pPr>
          </w:p>
        </w:tc>
        <w:tc>
          <w:tcPr>
            <w:tcW w:w="2040" w:type="dxa"/>
          </w:tcPr>
          <w:p w14:paraId="425DFF0A">
            <w:pPr>
              <w:pStyle w:val="13"/>
              <w:spacing w:line="240" w:lineRule="atLeast"/>
              <w:ind w:left="1080" w:leftChars="257" w:hanging="540"/>
              <w:rPr>
                <w:rFonts w:ascii="仿宋" w:hAnsi="仿宋" w:eastAsia="仿宋" w:cs="仿宋"/>
                <w:sz w:val="24"/>
                <w:szCs w:val="24"/>
              </w:rPr>
            </w:pPr>
          </w:p>
        </w:tc>
        <w:tc>
          <w:tcPr>
            <w:tcW w:w="2520" w:type="dxa"/>
          </w:tcPr>
          <w:p w14:paraId="7CCBE003">
            <w:pPr>
              <w:pStyle w:val="13"/>
              <w:spacing w:line="240" w:lineRule="atLeast"/>
              <w:ind w:left="1080" w:leftChars="257" w:hanging="540"/>
              <w:rPr>
                <w:rFonts w:ascii="仿宋" w:hAnsi="仿宋" w:eastAsia="仿宋" w:cs="仿宋"/>
                <w:sz w:val="24"/>
                <w:szCs w:val="24"/>
              </w:rPr>
            </w:pPr>
          </w:p>
        </w:tc>
        <w:tc>
          <w:tcPr>
            <w:tcW w:w="2520" w:type="dxa"/>
          </w:tcPr>
          <w:p w14:paraId="425113E9">
            <w:pPr>
              <w:pStyle w:val="13"/>
              <w:spacing w:line="240" w:lineRule="atLeast"/>
              <w:ind w:left="1080" w:leftChars="257" w:hanging="540"/>
              <w:rPr>
                <w:rFonts w:ascii="仿宋" w:hAnsi="仿宋" w:eastAsia="仿宋" w:cs="仿宋"/>
                <w:sz w:val="24"/>
                <w:szCs w:val="24"/>
              </w:rPr>
            </w:pPr>
          </w:p>
        </w:tc>
        <w:tc>
          <w:tcPr>
            <w:tcW w:w="900" w:type="dxa"/>
          </w:tcPr>
          <w:p w14:paraId="307F3EF9">
            <w:pPr>
              <w:pStyle w:val="13"/>
              <w:spacing w:line="240" w:lineRule="atLeast"/>
              <w:ind w:left="1080" w:leftChars="257" w:hanging="540"/>
              <w:rPr>
                <w:rFonts w:ascii="仿宋" w:hAnsi="仿宋" w:eastAsia="仿宋" w:cs="仿宋"/>
                <w:sz w:val="24"/>
                <w:szCs w:val="24"/>
              </w:rPr>
            </w:pPr>
          </w:p>
        </w:tc>
      </w:tr>
      <w:tr w14:paraId="4A1BC3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07043272">
            <w:pPr>
              <w:pStyle w:val="13"/>
              <w:spacing w:line="240" w:lineRule="atLeast"/>
              <w:ind w:left="1080" w:leftChars="257" w:hanging="540"/>
              <w:rPr>
                <w:rFonts w:ascii="仿宋" w:hAnsi="仿宋" w:eastAsia="仿宋" w:cs="仿宋"/>
                <w:sz w:val="24"/>
                <w:szCs w:val="24"/>
              </w:rPr>
            </w:pPr>
          </w:p>
        </w:tc>
        <w:tc>
          <w:tcPr>
            <w:tcW w:w="2040" w:type="dxa"/>
          </w:tcPr>
          <w:p w14:paraId="23DD506B">
            <w:pPr>
              <w:pStyle w:val="13"/>
              <w:spacing w:line="240" w:lineRule="atLeast"/>
              <w:ind w:left="1080" w:leftChars="257" w:hanging="540"/>
              <w:rPr>
                <w:rFonts w:ascii="仿宋" w:hAnsi="仿宋" w:eastAsia="仿宋" w:cs="仿宋"/>
                <w:sz w:val="24"/>
                <w:szCs w:val="24"/>
              </w:rPr>
            </w:pPr>
          </w:p>
        </w:tc>
        <w:tc>
          <w:tcPr>
            <w:tcW w:w="2520" w:type="dxa"/>
          </w:tcPr>
          <w:p w14:paraId="45158272">
            <w:pPr>
              <w:pStyle w:val="13"/>
              <w:spacing w:line="240" w:lineRule="atLeast"/>
              <w:ind w:left="1080" w:leftChars="257" w:hanging="540"/>
              <w:rPr>
                <w:rFonts w:ascii="仿宋" w:hAnsi="仿宋" w:eastAsia="仿宋" w:cs="仿宋"/>
                <w:sz w:val="24"/>
                <w:szCs w:val="24"/>
              </w:rPr>
            </w:pPr>
          </w:p>
        </w:tc>
        <w:tc>
          <w:tcPr>
            <w:tcW w:w="2520" w:type="dxa"/>
          </w:tcPr>
          <w:p w14:paraId="421D3CA2">
            <w:pPr>
              <w:pStyle w:val="13"/>
              <w:spacing w:line="240" w:lineRule="atLeast"/>
              <w:ind w:left="1080" w:leftChars="257" w:hanging="540"/>
              <w:rPr>
                <w:rFonts w:ascii="仿宋" w:hAnsi="仿宋" w:eastAsia="仿宋" w:cs="仿宋"/>
                <w:sz w:val="24"/>
                <w:szCs w:val="24"/>
              </w:rPr>
            </w:pPr>
          </w:p>
        </w:tc>
        <w:tc>
          <w:tcPr>
            <w:tcW w:w="900" w:type="dxa"/>
          </w:tcPr>
          <w:p w14:paraId="42986FC3">
            <w:pPr>
              <w:pStyle w:val="13"/>
              <w:spacing w:line="240" w:lineRule="atLeast"/>
              <w:ind w:left="1080" w:leftChars="257" w:hanging="540"/>
              <w:rPr>
                <w:rFonts w:ascii="仿宋" w:hAnsi="仿宋" w:eastAsia="仿宋" w:cs="仿宋"/>
                <w:sz w:val="24"/>
                <w:szCs w:val="24"/>
              </w:rPr>
            </w:pPr>
          </w:p>
        </w:tc>
      </w:tr>
      <w:tr w14:paraId="073B4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5C18F1C8">
            <w:pPr>
              <w:pStyle w:val="13"/>
              <w:spacing w:line="240" w:lineRule="atLeast"/>
              <w:ind w:left="1080" w:leftChars="257" w:hanging="540"/>
              <w:rPr>
                <w:rFonts w:ascii="仿宋" w:hAnsi="仿宋" w:eastAsia="仿宋" w:cs="仿宋"/>
                <w:sz w:val="24"/>
                <w:szCs w:val="24"/>
              </w:rPr>
            </w:pPr>
          </w:p>
        </w:tc>
        <w:tc>
          <w:tcPr>
            <w:tcW w:w="2040" w:type="dxa"/>
          </w:tcPr>
          <w:p w14:paraId="4C9B54A1">
            <w:pPr>
              <w:pStyle w:val="13"/>
              <w:spacing w:line="240" w:lineRule="atLeast"/>
              <w:ind w:left="1080" w:leftChars="257" w:hanging="540"/>
              <w:rPr>
                <w:rFonts w:ascii="仿宋" w:hAnsi="仿宋" w:eastAsia="仿宋" w:cs="仿宋"/>
                <w:sz w:val="24"/>
                <w:szCs w:val="24"/>
              </w:rPr>
            </w:pPr>
          </w:p>
        </w:tc>
        <w:tc>
          <w:tcPr>
            <w:tcW w:w="2520" w:type="dxa"/>
          </w:tcPr>
          <w:p w14:paraId="7258CADA">
            <w:pPr>
              <w:pStyle w:val="13"/>
              <w:spacing w:line="240" w:lineRule="atLeast"/>
              <w:ind w:left="1080" w:leftChars="257" w:hanging="540"/>
              <w:rPr>
                <w:rFonts w:ascii="仿宋" w:hAnsi="仿宋" w:eastAsia="仿宋" w:cs="仿宋"/>
                <w:sz w:val="24"/>
                <w:szCs w:val="24"/>
              </w:rPr>
            </w:pPr>
          </w:p>
        </w:tc>
        <w:tc>
          <w:tcPr>
            <w:tcW w:w="2520" w:type="dxa"/>
          </w:tcPr>
          <w:p w14:paraId="02109F10">
            <w:pPr>
              <w:pStyle w:val="13"/>
              <w:spacing w:line="240" w:lineRule="atLeast"/>
              <w:ind w:left="1080" w:leftChars="257" w:hanging="540"/>
              <w:rPr>
                <w:rFonts w:ascii="仿宋" w:hAnsi="仿宋" w:eastAsia="仿宋" w:cs="仿宋"/>
                <w:sz w:val="24"/>
                <w:szCs w:val="24"/>
              </w:rPr>
            </w:pPr>
          </w:p>
        </w:tc>
        <w:tc>
          <w:tcPr>
            <w:tcW w:w="900" w:type="dxa"/>
          </w:tcPr>
          <w:p w14:paraId="722927CB">
            <w:pPr>
              <w:pStyle w:val="13"/>
              <w:spacing w:line="240" w:lineRule="atLeast"/>
              <w:ind w:left="1080" w:leftChars="257" w:hanging="540"/>
              <w:rPr>
                <w:rFonts w:ascii="仿宋" w:hAnsi="仿宋" w:eastAsia="仿宋" w:cs="仿宋"/>
                <w:sz w:val="24"/>
                <w:szCs w:val="24"/>
              </w:rPr>
            </w:pPr>
          </w:p>
        </w:tc>
      </w:tr>
      <w:tr w14:paraId="70A560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1F3C5A14">
            <w:pPr>
              <w:pStyle w:val="13"/>
              <w:spacing w:line="240" w:lineRule="atLeast"/>
              <w:ind w:left="1080" w:leftChars="257" w:hanging="540"/>
              <w:rPr>
                <w:rFonts w:ascii="仿宋" w:hAnsi="仿宋" w:eastAsia="仿宋" w:cs="仿宋"/>
                <w:sz w:val="24"/>
                <w:szCs w:val="24"/>
              </w:rPr>
            </w:pPr>
          </w:p>
        </w:tc>
        <w:tc>
          <w:tcPr>
            <w:tcW w:w="2040" w:type="dxa"/>
          </w:tcPr>
          <w:p w14:paraId="4E5A7718">
            <w:pPr>
              <w:pStyle w:val="13"/>
              <w:spacing w:line="240" w:lineRule="atLeast"/>
              <w:ind w:left="1080" w:leftChars="257" w:hanging="540"/>
              <w:rPr>
                <w:rFonts w:ascii="仿宋" w:hAnsi="仿宋" w:eastAsia="仿宋" w:cs="仿宋"/>
                <w:sz w:val="24"/>
                <w:szCs w:val="24"/>
              </w:rPr>
            </w:pPr>
          </w:p>
        </w:tc>
        <w:tc>
          <w:tcPr>
            <w:tcW w:w="2520" w:type="dxa"/>
          </w:tcPr>
          <w:p w14:paraId="60E4EF05">
            <w:pPr>
              <w:pStyle w:val="13"/>
              <w:spacing w:line="240" w:lineRule="atLeast"/>
              <w:ind w:left="1080" w:leftChars="257" w:hanging="540"/>
              <w:rPr>
                <w:rFonts w:ascii="仿宋" w:hAnsi="仿宋" w:eastAsia="仿宋" w:cs="仿宋"/>
                <w:sz w:val="24"/>
                <w:szCs w:val="24"/>
              </w:rPr>
            </w:pPr>
          </w:p>
        </w:tc>
        <w:tc>
          <w:tcPr>
            <w:tcW w:w="2520" w:type="dxa"/>
          </w:tcPr>
          <w:p w14:paraId="75FAF4F5">
            <w:pPr>
              <w:pStyle w:val="13"/>
              <w:spacing w:line="240" w:lineRule="atLeast"/>
              <w:ind w:left="1080" w:leftChars="257" w:hanging="540"/>
              <w:rPr>
                <w:rFonts w:ascii="仿宋" w:hAnsi="仿宋" w:eastAsia="仿宋" w:cs="仿宋"/>
                <w:sz w:val="24"/>
                <w:szCs w:val="24"/>
              </w:rPr>
            </w:pPr>
          </w:p>
        </w:tc>
        <w:tc>
          <w:tcPr>
            <w:tcW w:w="900" w:type="dxa"/>
          </w:tcPr>
          <w:p w14:paraId="5405E8BB">
            <w:pPr>
              <w:pStyle w:val="13"/>
              <w:spacing w:line="240" w:lineRule="atLeast"/>
              <w:ind w:left="1080" w:leftChars="257" w:hanging="540"/>
              <w:rPr>
                <w:rFonts w:ascii="仿宋" w:hAnsi="仿宋" w:eastAsia="仿宋" w:cs="仿宋"/>
                <w:sz w:val="24"/>
                <w:szCs w:val="24"/>
              </w:rPr>
            </w:pPr>
          </w:p>
        </w:tc>
      </w:tr>
      <w:tr w14:paraId="18609B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290E3DCD">
            <w:pPr>
              <w:pStyle w:val="13"/>
              <w:spacing w:line="240" w:lineRule="atLeast"/>
              <w:ind w:left="1080" w:leftChars="257" w:hanging="540"/>
              <w:rPr>
                <w:rFonts w:ascii="仿宋" w:hAnsi="仿宋" w:eastAsia="仿宋" w:cs="仿宋"/>
                <w:sz w:val="24"/>
                <w:szCs w:val="24"/>
              </w:rPr>
            </w:pPr>
          </w:p>
        </w:tc>
        <w:tc>
          <w:tcPr>
            <w:tcW w:w="2040" w:type="dxa"/>
          </w:tcPr>
          <w:p w14:paraId="7D2EAF76">
            <w:pPr>
              <w:pStyle w:val="13"/>
              <w:spacing w:line="240" w:lineRule="atLeast"/>
              <w:ind w:left="1080" w:leftChars="257" w:hanging="540"/>
              <w:rPr>
                <w:rFonts w:ascii="仿宋" w:hAnsi="仿宋" w:eastAsia="仿宋" w:cs="仿宋"/>
                <w:sz w:val="24"/>
                <w:szCs w:val="24"/>
              </w:rPr>
            </w:pPr>
          </w:p>
        </w:tc>
        <w:tc>
          <w:tcPr>
            <w:tcW w:w="2520" w:type="dxa"/>
          </w:tcPr>
          <w:p w14:paraId="1F1F4E5B">
            <w:pPr>
              <w:pStyle w:val="13"/>
              <w:spacing w:line="240" w:lineRule="atLeast"/>
              <w:ind w:left="1080" w:leftChars="257" w:hanging="540"/>
              <w:rPr>
                <w:rFonts w:ascii="仿宋" w:hAnsi="仿宋" w:eastAsia="仿宋" w:cs="仿宋"/>
                <w:sz w:val="24"/>
                <w:szCs w:val="24"/>
              </w:rPr>
            </w:pPr>
          </w:p>
        </w:tc>
        <w:tc>
          <w:tcPr>
            <w:tcW w:w="2520" w:type="dxa"/>
          </w:tcPr>
          <w:p w14:paraId="602026CC">
            <w:pPr>
              <w:pStyle w:val="13"/>
              <w:spacing w:line="240" w:lineRule="atLeast"/>
              <w:ind w:left="1080" w:leftChars="257" w:hanging="540"/>
              <w:rPr>
                <w:rFonts w:ascii="仿宋" w:hAnsi="仿宋" w:eastAsia="仿宋" w:cs="仿宋"/>
                <w:sz w:val="24"/>
                <w:szCs w:val="24"/>
              </w:rPr>
            </w:pPr>
          </w:p>
        </w:tc>
        <w:tc>
          <w:tcPr>
            <w:tcW w:w="900" w:type="dxa"/>
          </w:tcPr>
          <w:p w14:paraId="6A1E3CA7">
            <w:pPr>
              <w:pStyle w:val="13"/>
              <w:spacing w:line="240" w:lineRule="atLeast"/>
              <w:ind w:left="1080" w:leftChars="257" w:hanging="540"/>
              <w:rPr>
                <w:rFonts w:ascii="仿宋" w:hAnsi="仿宋" w:eastAsia="仿宋" w:cs="仿宋"/>
                <w:sz w:val="24"/>
                <w:szCs w:val="24"/>
              </w:rPr>
            </w:pPr>
          </w:p>
        </w:tc>
      </w:tr>
      <w:tr w14:paraId="6E2FBC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40200C4E">
            <w:pPr>
              <w:pStyle w:val="13"/>
              <w:spacing w:line="240" w:lineRule="atLeast"/>
              <w:ind w:left="1080" w:leftChars="257" w:hanging="540"/>
              <w:rPr>
                <w:rFonts w:ascii="仿宋" w:hAnsi="仿宋" w:eastAsia="仿宋" w:cs="仿宋"/>
                <w:sz w:val="24"/>
                <w:szCs w:val="24"/>
              </w:rPr>
            </w:pPr>
          </w:p>
        </w:tc>
        <w:tc>
          <w:tcPr>
            <w:tcW w:w="2040" w:type="dxa"/>
          </w:tcPr>
          <w:p w14:paraId="2A1631E3">
            <w:pPr>
              <w:pStyle w:val="13"/>
              <w:spacing w:line="240" w:lineRule="atLeast"/>
              <w:ind w:left="1080" w:leftChars="257" w:hanging="540"/>
              <w:rPr>
                <w:rFonts w:ascii="仿宋" w:hAnsi="仿宋" w:eastAsia="仿宋" w:cs="仿宋"/>
                <w:sz w:val="24"/>
                <w:szCs w:val="24"/>
              </w:rPr>
            </w:pPr>
          </w:p>
        </w:tc>
        <w:tc>
          <w:tcPr>
            <w:tcW w:w="2520" w:type="dxa"/>
          </w:tcPr>
          <w:p w14:paraId="2295B634">
            <w:pPr>
              <w:pStyle w:val="13"/>
              <w:spacing w:line="240" w:lineRule="atLeast"/>
              <w:ind w:left="1080" w:leftChars="257" w:hanging="540"/>
              <w:rPr>
                <w:rFonts w:ascii="仿宋" w:hAnsi="仿宋" w:eastAsia="仿宋" w:cs="仿宋"/>
                <w:sz w:val="24"/>
                <w:szCs w:val="24"/>
              </w:rPr>
            </w:pPr>
          </w:p>
        </w:tc>
        <w:tc>
          <w:tcPr>
            <w:tcW w:w="2520" w:type="dxa"/>
          </w:tcPr>
          <w:p w14:paraId="1D94F213">
            <w:pPr>
              <w:pStyle w:val="13"/>
              <w:spacing w:line="240" w:lineRule="atLeast"/>
              <w:ind w:left="1080" w:leftChars="257" w:hanging="540"/>
              <w:rPr>
                <w:rFonts w:ascii="仿宋" w:hAnsi="仿宋" w:eastAsia="仿宋" w:cs="仿宋"/>
                <w:sz w:val="24"/>
                <w:szCs w:val="24"/>
              </w:rPr>
            </w:pPr>
          </w:p>
        </w:tc>
        <w:tc>
          <w:tcPr>
            <w:tcW w:w="900" w:type="dxa"/>
          </w:tcPr>
          <w:p w14:paraId="6E52293A">
            <w:pPr>
              <w:pStyle w:val="13"/>
              <w:spacing w:line="240" w:lineRule="atLeast"/>
              <w:ind w:left="1080" w:leftChars="257" w:hanging="540"/>
              <w:rPr>
                <w:rFonts w:ascii="仿宋" w:hAnsi="仿宋" w:eastAsia="仿宋" w:cs="仿宋"/>
                <w:sz w:val="24"/>
                <w:szCs w:val="24"/>
              </w:rPr>
            </w:pPr>
          </w:p>
        </w:tc>
      </w:tr>
      <w:tr w14:paraId="229EF8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3B785936">
            <w:pPr>
              <w:pStyle w:val="13"/>
              <w:spacing w:line="240" w:lineRule="atLeast"/>
              <w:ind w:left="1080" w:leftChars="257" w:hanging="540"/>
              <w:rPr>
                <w:rFonts w:ascii="仿宋" w:hAnsi="仿宋" w:eastAsia="仿宋" w:cs="仿宋"/>
                <w:sz w:val="24"/>
                <w:szCs w:val="24"/>
              </w:rPr>
            </w:pPr>
          </w:p>
        </w:tc>
        <w:tc>
          <w:tcPr>
            <w:tcW w:w="2040" w:type="dxa"/>
          </w:tcPr>
          <w:p w14:paraId="35F7CF99">
            <w:pPr>
              <w:pStyle w:val="13"/>
              <w:spacing w:line="240" w:lineRule="atLeast"/>
              <w:ind w:left="1080" w:leftChars="257" w:hanging="540"/>
              <w:rPr>
                <w:rFonts w:ascii="仿宋" w:hAnsi="仿宋" w:eastAsia="仿宋" w:cs="仿宋"/>
                <w:sz w:val="24"/>
                <w:szCs w:val="24"/>
              </w:rPr>
            </w:pPr>
          </w:p>
        </w:tc>
        <w:tc>
          <w:tcPr>
            <w:tcW w:w="2520" w:type="dxa"/>
          </w:tcPr>
          <w:p w14:paraId="47EE1BE9">
            <w:pPr>
              <w:pStyle w:val="13"/>
              <w:spacing w:line="240" w:lineRule="atLeast"/>
              <w:ind w:left="1080" w:leftChars="257" w:hanging="540"/>
              <w:rPr>
                <w:rFonts w:ascii="仿宋" w:hAnsi="仿宋" w:eastAsia="仿宋" w:cs="仿宋"/>
                <w:sz w:val="24"/>
                <w:szCs w:val="24"/>
              </w:rPr>
            </w:pPr>
          </w:p>
        </w:tc>
        <w:tc>
          <w:tcPr>
            <w:tcW w:w="2520" w:type="dxa"/>
          </w:tcPr>
          <w:p w14:paraId="32AD93BB">
            <w:pPr>
              <w:pStyle w:val="13"/>
              <w:spacing w:line="240" w:lineRule="atLeast"/>
              <w:ind w:left="1080" w:leftChars="257" w:hanging="540"/>
              <w:rPr>
                <w:rFonts w:ascii="仿宋" w:hAnsi="仿宋" w:eastAsia="仿宋" w:cs="仿宋"/>
                <w:sz w:val="24"/>
                <w:szCs w:val="24"/>
              </w:rPr>
            </w:pPr>
          </w:p>
        </w:tc>
        <w:tc>
          <w:tcPr>
            <w:tcW w:w="900" w:type="dxa"/>
          </w:tcPr>
          <w:p w14:paraId="060E43B2">
            <w:pPr>
              <w:pStyle w:val="13"/>
              <w:spacing w:line="240" w:lineRule="atLeast"/>
              <w:ind w:left="1080" w:leftChars="257" w:hanging="540"/>
              <w:rPr>
                <w:rFonts w:ascii="仿宋" w:hAnsi="仿宋" w:eastAsia="仿宋" w:cs="仿宋"/>
                <w:sz w:val="24"/>
                <w:szCs w:val="24"/>
              </w:rPr>
            </w:pPr>
          </w:p>
        </w:tc>
      </w:tr>
      <w:tr w14:paraId="0766F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772DD2D8">
            <w:pPr>
              <w:pStyle w:val="13"/>
              <w:spacing w:line="240" w:lineRule="atLeast"/>
              <w:ind w:left="1080" w:leftChars="257" w:hanging="540"/>
              <w:rPr>
                <w:rFonts w:ascii="仿宋" w:hAnsi="仿宋" w:eastAsia="仿宋" w:cs="仿宋"/>
                <w:sz w:val="24"/>
                <w:szCs w:val="24"/>
              </w:rPr>
            </w:pPr>
          </w:p>
        </w:tc>
        <w:tc>
          <w:tcPr>
            <w:tcW w:w="2040" w:type="dxa"/>
          </w:tcPr>
          <w:p w14:paraId="72384F9D">
            <w:pPr>
              <w:pStyle w:val="13"/>
              <w:spacing w:line="240" w:lineRule="atLeast"/>
              <w:ind w:left="1080" w:leftChars="257" w:hanging="540"/>
              <w:rPr>
                <w:rFonts w:ascii="仿宋" w:hAnsi="仿宋" w:eastAsia="仿宋" w:cs="仿宋"/>
                <w:sz w:val="24"/>
                <w:szCs w:val="24"/>
              </w:rPr>
            </w:pPr>
          </w:p>
        </w:tc>
        <w:tc>
          <w:tcPr>
            <w:tcW w:w="2520" w:type="dxa"/>
          </w:tcPr>
          <w:p w14:paraId="0A07F327">
            <w:pPr>
              <w:pStyle w:val="13"/>
              <w:spacing w:line="240" w:lineRule="atLeast"/>
              <w:ind w:left="1080" w:leftChars="257" w:hanging="540"/>
              <w:rPr>
                <w:rFonts w:ascii="仿宋" w:hAnsi="仿宋" w:eastAsia="仿宋" w:cs="仿宋"/>
                <w:sz w:val="24"/>
                <w:szCs w:val="24"/>
              </w:rPr>
            </w:pPr>
          </w:p>
        </w:tc>
        <w:tc>
          <w:tcPr>
            <w:tcW w:w="2520" w:type="dxa"/>
          </w:tcPr>
          <w:p w14:paraId="7ED62ECC">
            <w:pPr>
              <w:pStyle w:val="13"/>
              <w:spacing w:line="240" w:lineRule="atLeast"/>
              <w:ind w:left="1080" w:leftChars="257" w:hanging="540"/>
              <w:rPr>
                <w:rFonts w:ascii="仿宋" w:hAnsi="仿宋" w:eastAsia="仿宋" w:cs="仿宋"/>
                <w:sz w:val="24"/>
                <w:szCs w:val="24"/>
              </w:rPr>
            </w:pPr>
          </w:p>
        </w:tc>
        <w:tc>
          <w:tcPr>
            <w:tcW w:w="900" w:type="dxa"/>
          </w:tcPr>
          <w:p w14:paraId="0AB4C4BA">
            <w:pPr>
              <w:pStyle w:val="13"/>
              <w:spacing w:line="240" w:lineRule="atLeast"/>
              <w:ind w:left="1080" w:leftChars="257" w:hanging="540"/>
              <w:rPr>
                <w:rFonts w:ascii="仿宋" w:hAnsi="仿宋" w:eastAsia="仿宋" w:cs="仿宋"/>
                <w:sz w:val="24"/>
                <w:szCs w:val="24"/>
              </w:rPr>
            </w:pPr>
          </w:p>
        </w:tc>
      </w:tr>
      <w:tr w14:paraId="1BB49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7326A432">
            <w:pPr>
              <w:pStyle w:val="13"/>
              <w:spacing w:line="240" w:lineRule="atLeast"/>
              <w:ind w:left="1080" w:leftChars="257" w:hanging="540"/>
              <w:rPr>
                <w:rFonts w:ascii="仿宋" w:hAnsi="仿宋" w:eastAsia="仿宋" w:cs="仿宋"/>
                <w:sz w:val="24"/>
                <w:szCs w:val="24"/>
              </w:rPr>
            </w:pPr>
          </w:p>
        </w:tc>
        <w:tc>
          <w:tcPr>
            <w:tcW w:w="2040" w:type="dxa"/>
          </w:tcPr>
          <w:p w14:paraId="72C81285">
            <w:pPr>
              <w:pStyle w:val="13"/>
              <w:spacing w:line="240" w:lineRule="atLeast"/>
              <w:ind w:left="1080" w:leftChars="257" w:hanging="540"/>
              <w:rPr>
                <w:rFonts w:ascii="仿宋" w:hAnsi="仿宋" w:eastAsia="仿宋" w:cs="仿宋"/>
                <w:sz w:val="24"/>
                <w:szCs w:val="24"/>
              </w:rPr>
            </w:pPr>
          </w:p>
        </w:tc>
        <w:tc>
          <w:tcPr>
            <w:tcW w:w="2520" w:type="dxa"/>
          </w:tcPr>
          <w:p w14:paraId="73C66FE5">
            <w:pPr>
              <w:pStyle w:val="13"/>
              <w:spacing w:line="240" w:lineRule="atLeast"/>
              <w:ind w:left="1080" w:leftChars="257" w:hanging="540"/>
              <w:rPr>
                <w:rFonts w:ascii="仿宋" w:hAnsi="仿宋" w:eastAsia="仿宋" w:cs="仿宋"/>
                <w:sz w:val="24"/>
                <w:szCs w:val="24"/>
              </w:rPr>
            </w:pPr>
          </w:p>
        </w:tc>
        <w:tc>
          <w:tcPr>
            <w:tcW w:w="2520" w:type="dxa"/>
          </w:tcPr>
          <w:p w14:paraId="38D22C7C">
            <w:pPr>
              <w:pStyle w:val="13"/>
              <w:spacing w:line="240" w:lineRule="atLeast"/>
              <w:ind w:left="1080" w:leftChars="257" w:hanging="540"/>
              <w:rPr>
                <w:rFonts w:ascii="仿宋" w:hAnsi="仿宋" w:eastAsia="仿宋" w:cs="仿宋"/>
                <w:sz w:val="24"/>
                <w:szCs w:val="24"/>
              </w:rPr>
            </w:pPr>
          </w:p>
        </w:tc>
        <w:tc>
          <w:tcPr>
            <w:tcW w:w="900" w:type="dxa"/>
          </w:tcPr>
          <w:p w14:paraId="2129127A">
            <w:pPr>
              <w:pStyle w:val="13"/>
              <w:spacing w:line="240" w:lineRule="atLeast"/>
              <w:ind w:left="1080" w:leftChars="257" w:hanging="540"/>
              <w:rPr>
                <w:rFonts w:ascii="仿宋" w:hAnsi="仿宋" w:eastAsia="仿宋" w:cs="仿宋"/>
                <w:sz w:val="24"/>
                <w:szCs w:val="24"/>
              </w:rPr>
            </w:pPr>
          </w:p>
        </w:tc>
      </w:tr>
      <w:tr w14:paraId="17E462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511BB63E">
            <w:pPr>
              <w:pStyle w:val="13"/>
              <w:spacing w:line="240" w:lineRule="atLeast"/>
              <w:ind w:left="1080" w:leftChars="257" w:hanging="540"/>
              <w:rPr>
                <w:rFonts w:ascii="仿宋" w:hAnsi="仿宋" w:eastAsia="仿宋" w:cs="仿宋"/>
                <w:sz w:val="24"/>
                <w:szCs w:val="24"/>
              </w:rPr>
            </w:pPr>
          </w:p>
        </w:tc>
        <w:tc>
          <w:tcPr>
            <w:tcW w:w="2040" w:type="dxa"/>
          </w:tcPr>
          <w:p w14:paraId="20A9A50B">
            <w:pPr>
              <w:pStyle w:val="13"/>
              <w:spacing w:line="240" w:lineRule="atLeast"/>
              <w:ind w:left="1080" w:leftChars="257" w:hanging="540"/>
              <w:rPr>
                <w:rFonts w:ascii="仿宋" w:hAnsi="仿宋" w:eastAsia="仿宋" w:cs="仿宋"/>
                <w:sz w:val="24"/>
                <w:szCs w:val="24"/>
              </w:rPr>
            </w:pPr>
          </w:p>
        </w:tc>
        <w:tc>
          <w:tcPr>
            <w:tcW w:w="2520" w:type="dxa"/>
          </w:tcPr>
          <w:p w14:paraId="17830355">
            <w:pPr>
              <w:pStyle w:val="13"/>
              <w:spacing w:line="240" w:lineRule="atLeast"/>
              <w:ind w:left="1080" w:leftChars="257" w:hanging="540"/>
              <w:rPr>
                <w:rFonts w:ascii="仿宋" w:hAnsi="仿宋" w:eastAsia="仿宋" w:cs="仿宋"/>
                <w:sz w:val="24"/>
                <w:szCs w:val="24"/>
              </w:rPr>
            </w:pPr>
          </w:p>
        </w:tc>
        <w:tc>
          <w:tcPr>
            <w:tcW w:w="2520" w:type="dxa"/>
          </w:tcPr>
          <w:p w14:paraId="50298060">
            <w:pPr>
              <w:pStyle w:val="13"/>
              <w:spacing w:line="240" w:lineRule="atLeast"/>
              <w:ind w:left="1080" w:leftChars="257" w:hanging="540"/>
              <w:rPr>
                <w:rFonts w:ascii="仿宋" w:hAnsi="仿宋" w:eastAsia="仿宋" w:cs="仿宋"/>
                <w:sz w:val="24"/>
                <w:szCs w:val="24"/>
              </w:rPr>
            </w:pPr>
          </w:p>
        </w:tc>
        <w:tc>
          <w:tcPr>
            <w:tcW w:w="900" w:type="dxa"/>
          </w:tcPr>
          <w:p w14:paraId="67966402">
            <w:pPr>
              <w:pStyle w:val="13"/>
              <w:spacing w:line="240" w:lineRule="atLeast"/>
              <w:ind w:left="1080" w:leftChars="257" w:hanging="540"/>
              <w:rPr>
                <w:rFonts w:ascii="仿宋" w:hAnsi="仿宋" w:eastAsia="仿宋" w:cs="仿宋"/>
                <w:sz w:val="24"/>
                <w:szCs w:val="24"/>
              </w:rPr>
            </w:pPr>
          </w:p>
        </w:tc>
      </w:tr>
      <w:tr w14:paraId="257B0D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216C4D93">
            <w:pPr>
              <w:pStyle w:val="13"/>
              <w:spacing w:line="240" w:lineRule="atLeast"/>
              <w:ind w:left="1080" w:leftChars="257" w:hanging="540"/>
              <w:rPr>
                <w:rFonts w:ascii="仿宋" w:hAnsi="仿宋" w:eastAsia="仿宋" w:cs="仿宋"/>
                <w:sz w:val="24"/>
                <w:szCs w:val="24"/>
              </w:rPr>
            </w:pPr>
          </w:p>
        </w:tc>
        <w:tc>
          <w:tcPr>
            <w:tcW w:w="2040" w:type="dxa"/>
          </w:tcPr>
          <w:p w14:paraId="4C0E95C1">
            <w:pPr>
              <w:pStyle w:val="13"/>
              <w:spacing w:line="240" w:lineRule="atLeast"/>
              <w:ind w:left="1080" w:leftChars="257" w:hanging="540"/>
              <w:rPr>
                <w:rFonts w:ascii="仿宋" w:hAnsi="仿宋" w:eastAsia="仿宋" w:cs="仿宋"/>
                <w:sz w:val="24"/>
                <w:szCs w:val="24"/>
              </w:rPr>
            </w:pPr>
          </w:p>
        </w:tc>
        <w:tc>
          <w:tcPr>
            <w:tcW w:w="2520" w:type="dxa"/>
          </w:tcPr>
          <w:p w14:paraId="51206603">
            <w:pPr>
              <w:pStyle w:val="13"/>
              <w:spacing w:line="240" w:lineRule="atLeast"/>
              <w:ind w:left="1080" w:leftChars="257" w:hanging="540"/>
              <w:rPr>
                <w:rFonts w:ascii="仿宋" w:hAnsi="仿宋" w:eastAsia="仿宋" w:cs="仿宋"/>
                <w:sz w:val="24"/>
                <w:szCs w:val="24"/>
              </w:rPr>
            </w:pPr>
          </w:p>
        </w:tc>
        <w:tc>
          <w:tcPr>
            <w:tcW w:w="2520" w:type="dxa"/>
          </w:tcPr>
          <w:p w14:paraId="2A6C5744">
            <w:pPr>
              <w:pStyle w:val="13"/>
              <w:spacing w:line="240" w:lineRule="atLeast"/>
              <w:ind w:left="1080" w:leftChars="257" w:hanging="540"/>
              <w:rPr>
                <w:rFonts w:ascii="仿宋" w:hAnsi="仿宋" w:eastAsia="仿宋" w:cs="仿宋"/>
                <w:sz w:val="24"/>
                <w:szCs w:val="24"/>
              </w:rPr>
            </w:pPr>
          </w:p>
        </w:tc>
        <w:tc>
          <w:tcPr>
            <w:tcW w:w="900" w:type="dxa"/>
          </w:tcPr>
          <w:p w14:paraId="28A92CE6">
            <w:pPr>
              <w:pStyle w:val="13"/>
              <w:spacing w:line="240" w:lineRule="atLeast"/>
              <w:ind w:left="1080" w:leftChars="257" w:hanging="540"/>
              <w:rPr>
                <w:rFonts w:ascii="仿宋" w:hAnsi="仿宋" w:eastAsia="仿宋" w:cs="仿宋"/>
                <w:sz w:val="24"/>
                <w:szCs w:val="24"/>
              </w:rPr>
            </w:pPr>
          </w:p>
        </w:tc>
      </w:tr>
      <w:tr w14:paraId="0CCEF1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4AAB5029">
            <w:pPr>
              <w:pStyle w:val="13"/>
              <w:spacing w:line="240" w:lineRule="atLeast"/>
              <w:ind w:left="1080" w:leftChars="257" w:hanging="540"/>
              <w:rPr>
                <w:rFonts w:ascii="仿宋" w:hAnsi="仿宋" w:eastAsia="仿宋" w:cs="仿宋"/>
                <w:sz w:val="24"/>
                <w:szCs w:val="24"/>
              </w:rPr>
            </w:pPr>
          </w:p>
        </w:tc>
        <w:tc>
          <w:tcPr>
            <w:tcW w:w="2040" w:type="dxa"/>
          </w:tcPr>
          <w:p w14:paraId="05E062B5">
            <w:pPr>
              <w:pStyle w:val="13"/>
              <w:spacing w:line="240" w:lineRule="atLeast"/>
              <w:ind w:left="1080" w:leftChars="257" w:hanging="540"/>
              <w:rPr>
                <w:rFonts w:ascii="仿宋" w:hAnsi="仿宋" w:eastAsia="仿宋" w:cs="仿宋"/>
                <w:sz w:val="24"/>
                <w:szCs w:val="24"/>
              </w:rPr>
            </w:pPr>
          </w:p>
        </w:tc>
        <w:tc>
          <w:tcPr>
            <w:tcW w:w="2520" w:type="dxa"/>
          </w:tcPr>
          <w:p w14:paraId="3075721D">
            <w:pPr>
              <w:pStyle w:val="13"/>
              <w:spacing w:line="240" w:lineRule="atLeast"/>
              <w:ind w:left="1080" w:leftChars="257" w:hanging="540"/>
              <w:rPr>
                <w:rFonts w:ascii="仿宋" w:hAnsi="仿宋" w:eastAsia="仿宋" w:cs="仿宋"/>
                <w:sz w:val="24"/>
                <w:szCs w:val="24"/>
              </w:rPr>
            </w:pPr>
          </w:p>
        </w:tc>
        <w:tc>
          <w:tcPr>
            <w:tcW w:w="2520" w:type="dxa"/>
          </w:tcPr>
          <w:p w14:paraId="16F57152">
            <w:pPr>
              <w:pStyle w:val="13"/>
              <w:spacing w:line="240" w:lineRule="atLeast"/>
              <w:ind w:left="1080" w:leftChars="257" w:hanging="540"/>
              <w:rPr>
                <w:rFonts w:ascii="仿宋" w:hAnsi="仿宋" w:eastAsia="仿宋" w:cs="仿宋"/>
                <w:sz w:val="24"/>
                <w:szCs w:val="24"/>
              </w:rPr>
            </w:pPr>
          </w:p>
        </w:tc>
        <w:tc>
          <w:tcPr>
            <w:tcW w:w="900" w:type="dxa"/>
          </w:tcPr>
          <w:p w14:paraId="3D6A38DA">
            <w:pPr>
              <w:pStyle w:val="13"/>
              <w:spacing w:line="240" w:lineRule="atLeast"/>
              <w:ind w:left="1080" w:leftChars="257" w:hanging="540"/>
              <w:rPr>
                <w:rFonts w:ascii="仿宋" w:hAnsi="仿宋" w:eastAsia="仿宋" w:cs="仿宋"/>
                <w:sz w:val="24"/>
                <w:szCs w:val="24"/>
              </w:rPr>
            </w:pPr>
          </w:p>
        </w:tc>
      </w:tr>
      <w:tr w14:paraId="156986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5" w:hRule="atLeast"/>
          <w:jc w:val="center"/>
        </w:trPr>
        <w:tc>
          <w:tcPr>
            <w:tcW w:w="948" w:type="dxa"/>
          </w:tcPr>
          <w:p w14:paraId="4C3EEB6D">
            <w:pPr>
              <w:pStyle w:val="13"/>
              <w:spacing w:line="240" w:lineRule="atLeast"/>
              <w:ind w:left="1080" w:leftChars="257" w:hanging="540"/>
              <w:rPr>
                <w:rFonts w:ascii="仿宋" w:hAnsi="仿宋" w:eastAsia="仿宋" w:cs="仿宋"/>
                <w:sz w:val="24"/>
                <w:szCs w:val="24"/>
              </w:rPr>
            </w:pPr>
          </w:p>
        </w:tc>
        <w:tc>
          <w:tcPr>
            <w:tcW w:w="2040" w:type="dxa"/>
          </w:tcPr>
          <w:p w14:paraId="42C2B749">
            <w:pPr>
              <w:pStyle w:val="13"/>
              <w:spacing w:line="240" w:lineRule="atLeast"/>
              <w:ind w:left="1080" w:leftChars="257" w:hanging="540"/>
              <w:rPr>
                <w:rFonts w:ascii="仿宋" w:hAnsi="仿宋" w:eastAsia="仿宋" w:cs="仿宋"/>
                <w:sz w:val="24"/>
                <w:szCs w:val="24"/>
              </w:rPr>
            </w:pPr>
          </w:p>
        </w:tc>
        <w:tc>
          <w:tcPr>
            <w:tcW w:w="2520" w:type="dxa"/>
          </w:tcPr>
          <w:p w14:paraId="5D667F6C">
            <w:pPr>
              <w:pStyle w:val="13"/>
              <w:spacing w:line="240" w:lineRule="atLeast"/>
              <w:ind w:left="1080" w:leftChars="257" w:hanging="540"/>
              <w:rPr>
                <w:rFonts w:ascii="仿宋" w:hAnsi="仿宋" w:eastAsia="仿宋" w:cs="仿宋"/>
                <w:sz w:val="24"/>
                <w:szCs w:val="24"/>
              </w:rPr>
            </w:pPr>
          </w:p>
        </w:tc>
        <w:tc>
          <w:tcPr>
            <w:tcW w:w="2520" w:type="dxa"/>
          </w:tcPr>
          <w:p w14:paraId="39DEC00E">
            <w:pPr>
              <w:pStyle w:val="13"/>
              <w:spacing w:line="240" w:lineRule="atLeast"/>
              <w:ind w:left="1080" w:leftChars="257" w:hanging="540"/>
              <w:rPr>
                <w:rFonts w:ascii="仿宋" w:hAnsi="仿宋" w:eastAsia="仿宋" w:cs="仿宋"/>
                <w:sz w:val="24"/>
                <w:szCs w:val="24"/>
              </w:rPr>
            </w:pPr>
          </w:p>
        </w:tc>
        <w:tc>
          <w:tcPr>
            <w:tcW w:w="900" w:type="dxa"/>
          </w:tcPr>
          <w:p w14:paraId="5DB37317">
            <w:pPr>
              <w:pStyle w:val="13"/>
              <w:spacing w:line="240" w:lineRule="atLeast"/>
              <w:ind w:left="1080" w:leftChars="257" w:hanging="540"/>
              <w:rPr>
                <w:rFonts w:ascii="仿宋" w:hAnsi="仿宋" w:eastAsia="仿宋" w:cs="仿宋"/>
                <w:sz w:val="24"/>
                <w:szCs w:val="24"/>
              </w:rPr>
            </w:pPr>
          </w:p>
        </w:tc>
      </w:tr>
      <w:tr w14:paraId="171B8A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1414C145">
            <w:pPr>
              <w:pStyle w:val="13"/>
              <w:spacing w:line="240" w:lineRule="atLeast"/>
              <w:ind w:left="1080" w:leftChars="257" w:hanging="540"/>
              <w:rPr>
                <w:rFonts w:ascii="仿宋" w:hAnsi="仿宋" w:eastAsia="仿宋" w:cs="仿宋"/>
                <w:sz w:val="24"/>
                <w:szCs w:val="24"/>
              </w:rPr>
            </w:pPr>
          </w:p>
        </w:tc>
        <w:tc>
          <w:tcPr>
            <w:tcW w:w="2040" w:type="dxa"/>
          </w:tcPr>
          <w:p w14:paraId="2766A626">
            <w:pPr>
              <w:pStyle w:val="13"/>
              <w:spacing w:line="240" w:lineRule="atLeast"/>
              <w:ind w:left="1080" w:leftChars="257" w:hanging="540"/>
              <w:rPr>
                <w:rFonts w:ascii="仿宋" w:hAnsi="仿宋" w:eastAsia="仿宋" w:cs="仿宋"/>
                <w:sz w:val="24"/>
                <w:szCs w:val="24"/>
              </w:rPr>
            </w:pPr>
          </w:p>
        </w:tc>
        <w:tc>
          <w:tcPr>
            <w:tcW w:w="2520" w:type="dxa"/>
          </w:tcPr>
          <w:p w14:paraId="25388F67">
            <w:pPr>
              <w:pStyle w:val="13"/>
              <w:spacing w:line="240" w:lineRule="atLeast"/>
              <w:ind w:left="1080" w:leftChars="257" w:hanging="540"/>
              <w:rPr>
                <w:rFonts w:ascii="仿宋" w:hAnsi="仿宋" w:eastAsia="仿宋" w:cs="仿宋"/>
                <w:sz w:val="24"/>
                <w:szCs w:val="24"/>
              </w:rPr>
            </w:pPr>
          </w:p>
        </w:tc>
        <w:tc>
          <w:tcPr>
            <w:tcW w:w="2520" w:type="dxa"/>
          </w:tcPr>
          <w:p w14:paraId="6F78BA82">
            <w:pPr>
              <w:pStyle w:val="13"/>
              <w:spacing w:line="240" w:lineRule="atLeast"/>
              <w:ind w:left="1080" w:leftChars="257" w:hanging="540"/>
              <w:rPr>
                <w:rFonts w:ascii="仿宋" w:hAnsi="仿宋" w:eastAsia="仿宋" w:cs="仿宋"/>
                <w:sz w:val="24"/>
                <w:szCs w:val="24"/>
              </w:rPr>
            </w:pPr>
          </w:p>
        </w:tc>
        <w:tc>
          <w:tcPr>
            <w:tcW w:w="900" w:type="dxa"/>
          </w:tcPr>
          <w:p w14:paraId="50111955">
            <w:pPr>
              <w:pStyle w:val="13"/>
              <w:spacing w:line="240" w:lineRule="atLeast"/>
              <w:ind w:left="1080" w:leftChars="257" w:hanging="540"/>
              <w:rPr>
                <w:rFonts w:ascii="仿宋" w:hAnsi="仿宋" w:eastAsia="仿宋" w:cs="仿宋"/>
                <w:sz w:val="24"/>
                <w:szCs w:val="24"/>
              </w:rPr>
            </w:pPr>
          </w:p>
        </w:tc>
      </w:tr>
    </w:tbl>
    <w:p w14:paraId="65EF307A">
      <w:pPr>
        <w:pStyle w:val="13"/>
        <w:spacing w:line="240" w:lineRule="atLeast"/>
        <w:ind w:left="1080" w:leftChars="257" w:hanging="540"/>
        <w:rPr>
          <w:rFonts w:ascii="仿宋" w:hAnsi="仿宋" w:eastAsia="仿宋" w:cs="仿宋"/>
          <w:sz w:val="24"/>
          <w:szCs w:val="24"/>
        </w:rPr>
      </w:pPr>
    </w:p>
    <w:p w14:paraId="2F73A313">
      <w:pPr>
        <w:pStyle w:val="13"/>
        <w:spacing w:line="240" w:lineRule="atLeast"/>
        <w:ind w:left="1080" w:leftChars="257" w:hanging="540"/>
        <w:rPr>
          <w:rFonts w:ascii="仿宋" w:hAnsi="仿宋" w:eastAsia="仿宋" w:cs="仿宋"/>
          <w:sz w:val="24"/>
          <w:szCs w:val="24"/>
        </w:rPr>
      </w:pPr>
    </w:p>
    <w:p w14:paraId="4D033703">
      <w:pPr>
        <w:pStyle w:val="13"/>
        <w:spacing w:line="240" w:lineRule="atLeast"/>
        <w:rPr>
          <w:rFonts w:ascii="仿宋" w:hAnsi="仿宋" w:eastAsia="仿宋" w:cs="仿宋"/>
          <w:sz w:val="24"/>
          <w:szCs w:val="24"/>
        </w:rPr>
      </w:pPr>
      <w:r>
        <w:rPr>
          <w:rFonts w:hint="eastAsia" w:ascii="仿宋" w:hAnsi="仿宋" w:eastAsia="仿宋" w:cs="仿宋"/>
          <w:sz w:val="24"/>
          <w:szCs w:val="24"/>
        </w:rPr>
        <w:t>法定代表人或其委托代理人（</w:t>
      </w:r>
      <w:r>
        <w:rPr>
          <w:rFonts w:hint="eastAsia" w:ascii="仿宋" w:hAnsi="仿宋" w:eastAsia="仿宋" w:cs="仿宋"/>
          <w:sz w:val="24"/>
          <w:szCs w:val="24"/>
          <w:lang w:val="en-US" w:eastAsia="zh-CN"/>
        </w:rPr>
        <w:t>CA签字</w:t>
      </w:r>
      <w:r>
        <w:rPr>
          <w:rFonts w:hint="eastAsia" w:ascii="仿宋" w:hAnsi="仿宋" w:eastAsia="仿宋" w:cs="仿宋"/>
          <w:sz w:val="24"/>
          <w:szCs w:val="24"/>
        </w:rPr>
        <w:t>）:</w:t>
      </w:r>
      <w:r>
        <w:rPr>
          <w:rFonts w:hint="eastAsia" w:ascii="仿宋" w:hAnsi="仿宋" w:eastAsia="仿宋" w:cs="仿宋"/>
          <w:sz w:val="24"/>
          <w:szCs w:val="24"/>
          <w:u w:val="single"/>
        </w:rPr>
        <w:t xml:space="preserve"> </w:t>
      </w:r>
      <w:r>
        <w:rPr>
          <w:rFonts w:hint="eastAsia" w:ascii="仿宋" w:hAnsi="仿宋" w:eastAsia="仿宋" w:cs="仿宋"/>
          <w:sz w:val="24"/>
          <w:szCs w:val="24"/>
          <w:u w:val="single"/>
        </w:rPr>
        <w:tab/>
      </w:r>
      <w:r>
        <w:rPr>
          <w:rFonts w:hint="eastAsia" w:ascii="仿宋" w:hAnsi="仿宋" w:eastAsia="仿宋" w:cs="仿宋"/>
          <w:sz w:val="24"/>
          <w:szCs w:val="24"/>
          <w:u w:val="single"/>
        </w:rPr>
        <w:t xml:space="preserve">                 </w:t>
      </w:r>
    </w:p>
    <w:p w14:paraId="6ED3A40F">
      <w:pPr>
        <w:pStyle w:val="13"/>
        <w:tabs>
          <w:tab w:val="left" w:pos="5370"/>
        </w:tabs>
        <w:spacing w:line="240" w:lineRule="atLeast"/>
        <w:rPr>
          <w:rFonts w:ascii="仿宋" w:hAnsi="仿宋" w:eastAsia="仿宋" w:cs="仿宋"/>
          <w:sz w:val="24"/>
          <w:szCs w:val="24"/>
          <w:u w:val="single"/>
        </w:rPr>
      </w:pPr>
      <w:r>
        <w:rPr>
          <w:rFonts w:hint="eastAsia" w:ascii="仿宋" w:hAnsi="仿宋" w:eastAsia="仿宋" w:cs="仿宋"/>
          <w:sz w:val="24"/>
          <w:szCs w:val="24"/>
        </w:rPr>
        <w:t>供应商(</w:t>
      </w:r>
      <w:r>
        <w:rPr>
          <w:rFonts w:hint="eastAsia" w:ascii="仿宋" w:hAnsi="仿宋" w:eastAsia="仿宋" w:cs="仿宋"/>
          <w:sz w:val="24"/>
          <w:szCs w:val="24"/>
          <w:lang w:eastAsia="zh-CN"/>
        </w:rPr>
        <w:t>电子签章</w:t>
      </w:r>
      <w:r>
        <w:rPr>
          <w:rFonts w:hint="eastAsia" w:ascii="仿宋" w:hAnsi="仿宋" w:eastAsia="仿宋" w:cs="仿宋"/>
          <w:sz w:val="24"/>
          <w:szCs w:val="24"/>
        </w:rPr>
        <w:t>):</w:t>
      </w:r>
      <w:r>
        <w:rPr>
          <w:rFonts w:hint="eastAsia" w:ascii="仿宋" w:hAnsi="仿宋" w:eastAsia="仿宋" w:cs="仿宋"/>
          <w:sz w:val="24"/>
          <w:szCs w:val="24"/>
          <w:u w:val="single"/>
        </w:rPr>
        <w:tab/>
      </w:r>
    </w:p>
    <w:p w14:paraId="31126CCF">
      <w:pPr>
        <w:pStyle w:val="13"/>
        <w:spacing w:line="240" w:lineRule="atLeast"/>
        <w:rPr>
          <w:rFonts w:ascii="仿宋" w:hAnsi="仿宋" w:eastAsia="仿宋" w:cs="仿宋"/>
          <w:sz w:val="24"/>
          <w:szCs w:val="24"/>
        </w:rPr>
      </w:pPr>
      <w:r>
        <w:rPr>
          <w:rFonts w:hint="eastAsia" w:ascii="仿宋" w:hAnsi="仿宋" w:eastAsia="仿宋" w:cs="仿宋"/>
          <w:sz w:val="24"/>
          <w:szCs w:val="24"/>
        </w:rPr>
        <w:t>日     期：</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w:t>
      </w:r>
    </w:p>
    <w:p w14:paraId="52DEE6F5">
      <w:pPr>
        <w:pStyle w:val="13"/>
        <w:spacing w:line="240" w:lineRule="atLeast"/>
        <w:rPr>
          <w:rFonts w:ascii="仿宋" w:hAnsi="仿宋" w:eastAsia="仿宋" w:cs="仿宋"/>
          <w:sz w:val="24"/>
          <w:szCs w:val="24"/>
        </w:rPr>
      </w:pPr>
    </w:p>
    <w:p w14:paraId="05142773">
      <w:pPr>
        <w:pStyle w:val="13"/>
        <w:spacing w:line="240" w:lineRule="atLeast"/>
        <w:rPr>
          <w:rFonts w:ascii="仿宋" w:hAnsi="仿宋" w:eastAsia="仿宋" w:cs="仿宋"/>
          <w:sz w:val="24"/>
          <w:szCs w:val="24"/>
        </w:rPr>
      </w:pPr>
    </w:p>
    <w:p w14:paraId="52199011">
      <w:pPr>
        <w:pStyle w:val="13"/>
        <w:spacing w:line="240" w:lineRule="atLeast"/>
        <w:rPr>
          <w:rFonts w:ascii="仿宋" w:hAnsi="仿宋" w:eastAsia="仿宋" w:cs="仿宋"/>
          <w:sz w:val="24"/>
          <w:szCs w:val="24"/>
        </w:rPr>
      </w:pPr>
    </w:p>
    <w:p w14:paraId="14D05628">
      <w:pPr>
        <w:pStyle w:val="13"/>
        <w:spacing w:line="240" w:lineRule="atLeast"/>
        <w:rPr>
          <w:rFonts w:ascii="仿宋" w:hAnsi="仿宋" w:eastAsia="仿宋" w:cs="仿宋"/>
          <w:sz w:val="24"/>
          <w:szCs w:val="24"/>
        </w:rPr>
      </w:pPr>
    </w:p>
    <w:p w14:paraId="127AAA97">
      <w:pPr>
        <w:pStyle w:val="13"/>
        <w:spacing w:line="240" w:lineRule="atLeast"/>
        <w:rPr>
          <w:rFonts w:ascii="仿宋" w:hAnsi="仿宋" w:eastAsia="仿宋" w:cs="仿宋"/>
          <w:sz w:val="24"/>
          <w:szCs w:val="24"/>
        </w:rPr>
      </w:pPr>
    </w:p>
    <w:p w14:paraId="7397761A">
      <w:pPr>
        <w:pStyle w:val="13"/>
        <w:spacing w:line="240" w:lineRule="atLeast"/>
        <w:rPr>
          <w:rFonts w:ascii="仿宋" w:hAnsi="仿宋" w:eastAsia="仿宋" w:cs="仿宋"/>
          <w:sz w:val="24"/>
          <w:szCs w:val="24"/>
        </w:rPr>
      </w:pPr>
    </w:p>
    <w:p w14:paraId="21319B48">
      <w:pPr>
        <w:pStyle w:val="13"/>
        <w:spacing w:line="240" w:lineRule="atLeast"/>
        <w:rPr>
          <w:rFonts w:ascii="仿宋" w:hAnsi="仿宋" w:eastAsia="仿宋" w:cs="仿宋"/>
          <w:sz w:val="24"/>
          <w:szCs w:val="24"/>
        </w:rPr>
      </w:pPr>
    </w:p>
    <w:p w14:paraId="5281C753">
      <w:pPr>
        <w:pStyle w:val="6"/>
        <w:spacing w:before="0" w:line="240" w:lineRule="atLeast"/>
        <w:ind w:left="1080" w:leftChars="257" w:hanging="540"/>
        <w:rPr>
          <w:rFonts w:ascii="仿宋" w:hAnsi="仿宋" w:eastAsia="仿宋" w:cs="仿宋"/>
          <w:sz w:val="24"/>
          <w:szCs w:val="24"/>
        </w:rPr>
      </w:pPr>
      <w:bookmarkStart w:id="404" w:name="_Hlt520274065"/>
      <w:bookmarkEnd w:id="404"/>
      <w:bookmarkStart w:id="405" w:name="_Hlt520273711"/>
      <w:bookmarkEnd w:id="405"/>
      <w:bookmarkStart w:id="406" w:name="_Hlt520343000"/>
      <w:bookmarkEnd w:id="406"/>
      <w:bookmarkStart w:id="407" w:name="_Hlt520271212"/>
      <w:bookmarkEnd w:id="407"/>
      <w:bookmarkStart w:id="408" w:name="_Hlt520343392"/>
      <w:bookmarkEnd w:id="408"/>
      <w:bookmarkStart w:id="409" w:name="_Hlt520350957"/>
      <w:bookmarkEnd w:id="409"/>
      <w:bookmarkStart w:id="410" w:name="_Hlt520273973"/>
      <w:bookmarkEnd w:id="410"/>
      <w:bookmarkStart w:id="411" w:name="_Hlt520274911"/>
      <w:bookmarkEnd w:id="411"/>
      <w:bookmarkStart w:id="412" w:name="_Hlt520350918"/>
      <w:bookmarkEnd w:id="412"/>
      <w:bookmarkStart w:id="413" w:name="_Hlt520274407"/>
      <w:bookmarkEnd w:id="413"/>
      <w:bookmarkStart w:id="414" w:name="_Hlt520274393"/>
      <w:bookmarkEnd w:id="414"/>
      <w:bookmarkStart w:id="415" w:name="_Toc6055"/>
      <w:bookmarkStart w:id="416" w:name="_Toc32368"/>
      <w:bookmarkStart w:id="417" w:name="_Toc515647823"/>
      <w:bookmarkStart w:id="418" w:name="_Toc10725"/>
      <w:bookmarkStart w:id="419" w:name="_Toc22578"/>
      <w:bookmarkStart w:id="420" w:name="_Toc10444"/>
      <w:bookmarkStart w:id="421" w:name="_Toc29837"/>
      <w:bookmarkStart w:id="422" w:name="_Toc15566"/>
      <w:bookmarkStart w:id="423" w:name="_Toc388"/>
      <w:bookmarkStart w:id="424" w:name="_Toc6526"/>
      <w:bookmarkStart w:id="425" w:name="_Toc21312"/>
      <w:r>
        <w:rPr>
          <w:rFonts w:hint="eastAsia" w:ascii="仿宋" w:hAnsi="仿宋" w:eastAsia="仿宋" w:cs="仿宋"/>
          <w:sz w:val="24"/>
          <w:szCs w:val="24"/>
        </w:rPr>
        <w:t>5、供应商企业（单位）类型声明函（磋商文件格式十一）</w:t>
      </w:r>
      <w:bookmarkEnd w:id="415"/>
      <w:bookmarkEnd w:id="416"/>
      <w:bookmarkEnd w:id="417"/>
      <w:bookmarkEnd w:id="418"/>
      <w:bookmarkEnd w:id="419"/>
      <w:bookmarkEnd w:id="420"/>
      <w:bookmarkEnd w:id="421"/>
      <w:bookmarkEnd w:id="422"/>
      <w:bookmarkEnd w:id="423"/>
      <w:bookmarkEnd w:id="424"/>
      <w:bookmarkEnd w:id="425"/>
    </w:p>
    <w:p w14:paraId="582F86CA">
      <w:pPr>
        <w:pStyle w:val="7"/>
        <w:jc w:val="center"/>
        <w:rPr>
          <w:rFonts w:hint="eastAsia" w:ascii="仿宋" w:hAnsi="仿宋" w:eastAsia="仿宋" w:cs="仿宋"/>
          <w:b/>
          <w:kern w:val="0"/>
          <w:sz w:val="24"/>
          <w:szCs w:val="24"/>
          <w:u w:val="none"/>
          <w:lang w:val="en-US" w:eastAsia="zh-CN" w:bidi="ar-SA"/>
        </w:rPr>
      </w:pPr>
      <w:r>
        <w:rPr>
          <w:rFonts w:hint="eastAsia" w:ascii="仿宋" w:hAnsi="仿宋" w:eastAsia="仿宋" w:cs="仿宋"/>
          <w:b/>
          <w:kern w:val="0"/>
          <w:sz w:val="24"/>
          <w:szCs w:val="24"/>
          <w:u w:val="none"/>
          <w:lang w:val="en-US" w:eastAsia="zh-CN" w:bidi="ar-SA"/>
        </w:rPr>
        <w:t>5-1、中小企业声明函（工程、服务）</w:t>
      </w:r>
    </w:p>
    <w:p w14:paraId="206E6C40">
      <w:pPr>
        <w:widowControl/>
        <w:spacing w:line="500" w:lineRule="exact"/>
        <w:ind w:firstLine="480" w:firstLineChars="200"/>
        <w:jc w:val="left"/>
        <w:rPr>
          <w:sz w:val="24"/>
        </w:rPr>
      </w:pPr>
      <w:r>
        <w:rPr>
          <w:rFonts w:ascii="仿宋" w:hAnsi="仿宋" w:eastAsia="仿宋" w:cs="仿宋"/>
          <w:color w:val="000000"/>
          <w:kern w:val="0"/>
          <w:sz w:val="24"/>
        </w:rPr>
        <w:t>本公司（联合体）郑重声明，根据《政府采购促进中小</w:t>
      </w:r>
      <w:r>
        <w:rPr>
          <w:rFonts w:hint="eastAsia" w:ascii="仿宋" w:hAnsi="仿宋" w:eastAsia="仿宋" w:cs="仿宋"/>
          <w:color w:val="000000"/>
          <w:kern w:val="0"/>
          <w:sz w:val="24"/>
        </w:rPr>
        <w:t>企业发展管理办法》（财库</w:t>
      </w:r>
      <w:r>
        <w:rPr>
          <w:rFonts w:hint="eastAsia" w:ascii="宋体" w:hAnsi="宋体" w:cs="宋体"/>
          <w:color w:val="000000"/>
          <w:kern w:val="0"/>
          <w:sz w:val="24"/>
        </w:rPr>
        <w:t>﹝</w:t>
      </w:r>
      <w:r>
        <w:rPr>
          <w:rFonts w:hint="eastAsia" w:ascii="仿宋" w:hAnsi="仿宋" w:eastAsia="仿宋" w:cs="仿宋"/>
          <w:color w:val="000000"/>
          <w:kern w:val="0"/>
          <w:sz w:val="24"/>
        </w:rPr>
        <w:t>2020</w:t>
      </w:r>
      <w:r>
        <w:rPr>
          <w:rFonts w:hint="eastAsia" w:ascii="宋体" w:hAnsi="宋体" w:cs="宋体"/>
          <w:color w:val="000000"/>
          <w:kern w:val="0"/>
          <w:sz w:val="24"/>
        </w:rPr>
        <w:t>﹞</w:t>
      </w:r>
      <w:r>
        <w:rPr>
          <w:rFonts w:hint="eastAsia" w:ascii="仿宋" w:hAnsi="仿宋" w:eastAsia="仿宋" w:cs="仿宋"/>
          <w:color w:val="000000"/>
          <w:kern w:val="0"/>
          <w:sz w:val="24"/>
        </w:rPr>
        <w:t>46 号）的规定，本公司（联合体）参加</w:t>
      </w:r>
      <w:r>
        <w:rPr>
          <w:rFonts w:hint="eastAsia" w:ascii="仿宋" w:hAnsi="仿宋" w:eastAsia="仿宋" w:cs="仿宋"/>
          <w:i/>
          <w:color w:val="000000"/>
          <w:kern w:val="0"/>
          <w:sz w:val="24"/>
          <w:u w:val="single"/>
        </w:rPr>
        <w:t>（单位名称）</w:t>
      </w:r>
      <w:r>
        <w:rPr>
          <w:rFonts w:hint="eastAsia" w:ascii="仿宋" w:hAnsi="仿宋" w:eastAsia="仿宋" w:cs="仿宋"/>
          <w:color w:val="000000"/>
          <w:kern w:val="0"/>
          <w:sz w:val="24"/>
        </w:rPr>
        <w:t>的</w:t>
      </w:r>
      <w:r>
        <w:rPr>
          <w:rFonts w:hint="eastAsia" w:ascii="仿宋" w:hAnsi="仿宋" w:eastAsia="仿宋" w:cs="仿宋"/>
          <w:i/>
          <w:color w:val="000000"/>
          <w:kern w:val="0"/>
          <w:sz w:val="24"/>
          <w:u w:val="single"/>
        </w:rPr>
        <w:t>（项目名称）</w:t>
      </w:r>
      <w:r>
        <w:rPr>
          <w:rFonts w:hint="eastAsia" w:ascii="仿宋" w:hAnsi="仿宋" w:eastAsia="仿宋" w:cs="仿宋"/>
          <w:color w:val="000000"/>
          <w:kern w:val="0"/>
          <w:sz w:val="24"/>
        </w:rPr>
        <w:t>采购活动，工程的施工单位全部为符合政策要求的中小企业（或者：服务全部由符合政策要求的中小企业承接）。相关企业（含联合体中的中小企业、签订分包意向协议的中小企业）的具体情况如下：</w:t>
      </w:r>
    </w:p>
    <w:p w14:paraId="357648E6">
      <w:pPr>
        <w:widowControl/>
        <w:spacing w:line="500" w:lineRule="exact"/>
        <w:ind w:firstLine="480" w:firstLineChars="200"/>
        <w:jc w:val="left"/>
        <w:rPr>
          <w:sz w:val="24"/>
        </w:rPr>
      </w:pPr>
      <w:r>
        <w:rPr>
          <w:rFonts w:hint="eastAsia" w:ascii="仿宋" w:hAnsi="仿宋" w:eastAsia="仿宋" w:cs="仿宋"/>
          <w:color w:val="000000"/>
          <w:kern w:val="0"/>
          <w:sz w:val="24"/>
        </w:rPr>
        <w:t xml:space="preserve">1. </w:t>
      </w:r>
      <w:r>
        <w:rPr>
          <w:rFonts w:hint="eastAsia" w:ascii="仿宋" w:hAnsi="仿宋" w:eastAsia="仿宋" w:cs="仿宋"/>
          <w:i/>
          <w:color w:val="000000"/>
          <w:kern w:val="0"/>
          <w:sz w:val="24"/>
          <w:u w:val="single"/>
        </w:rPr>
        <w:t>（标的名称）</w:t>
      </w:r>
      <w:r>
        <w:rPr>
          <w:rFonts w:hint="eastAsia" w:ascii="仿宋" w:hAnsi="仿宋" w:eastAsia="仿宋" w:cs="仿宋"/>
          <w:i/>
          <w:color w:val="000000"/>
          <w:kern w:val="0"/>
          <w:sz w:val="24"/>
        </w:rPr>
        <w:t xml:space="preserve"> </w:t>
      </w:r>
      <w:r>
        <w:rPr>
          <w:rFonts w:hint="eastAsia" w:ascii="仿宋" w:hAnsi="仿宋" w:eastAsia="仿宋" w:cs="仿宋"/>
          <w:color w:val="000000"/>
          <w:kern w:val="0"/>
          <w:sz w:val="24"/>
        </w:rPr>
        <w:t>，属于</w:t>
      </w:r>
      <w:r>
        <w:rPr>
          <w:rFonts w:hint="eastAsia" w:ascii="仿宋" w:hAnsi="仿宋" w:eastAsia="仿宋" w:cs="仿宋"/>
          <w:i/>
          <w:color w:val="000000"/>
          <w:kern w:val="0"/>
          <w:sz w:val="24"/>
          <w:u w:val="single"/>
        </w:rPr>
        <w:t>（采购文件中明确的所属行业）</w:t>
      </w:r>
      <w:r>
        <w:rPr>
          <w:rFonts w:hint="eastAsia" w:ascii="仿宋" w:hAnsi="仿宋" w:eastAsia="仿宋" w:cs="仿宋"/>
          <w:color w:val="000000"/>
          <w:kern w:val="0"/>
          <w:sz w:val="24"/>
        </w:rPr>
        <w:t>；承建（承接）企业为</w:t>
      </w:r>
      <w:r>
        <w:rPr>
          <w:rFonts w:hint="eastAsia" w:ascii="仿宋" w:hAnsi="仿宋" w:eastAsia="仿宋" w:cs="仿宋"/>
          <w:i/>
          <w:color w:val="000000"/>
          <w:kern w:val="0"/>
          <w:sz w:val="24"/>
          <w:u w:val="single"/>
        </w:rPr>
        <w:t>（企业名称）</w:t>
      </w:r>
      <w:r>
        <w:rPr>
          <w:rFonts w:hint="eastAsia" w:ascii="仿宋" w:hAnsi="仿宋" w:eastAsia="仿宋" w:cs="仿宋"/>
          <w:color w:val="000000"/>
          <w:kern w:val="0"/>
          <w:sz w:val="24"/>
        </w:rPr>
        <w:t>，从业人员</w:t>
      </w:r>
      <w:r>
        <w:rPr>
          <w:rFonts w:hint="eastAsia" w:ascii="仿宋" w:hAnsi="仿宋" w:eastAsia="仿宋" w:cs="仿宋"/>
          <w:color w:val="000000"/>
          <w:kern w:val="0"/>
          <w:sz w:val="24"/>
          <w:u w:val="single"/>
        </w:rPr>
        <w:t xml:space="preserve">   </w:t>
      </w:r>
      <w:r>
        <w:rPr>
          <w:rFonts w:hint="eastAsia" w:ascii="仿宋" w:hAnsi="仿宋" w:eastAsia="仿宋" w:cs="仿宋"/>
          <w:color w:val="000000"/>
          <w:kern w:val="0"/>
          <w:sz w:val="24"/>
        </w:rPr>
        <w:t>人，营业收入为</w:t>
      </w:r>
      <w:r>
        <w:rPr>
          <w:rFonts w:hint="eastAsia" w:ascii="仿宋" w:hAnsi="仿宋" w:eastAsia="仿宋" w:cs="仿宋"/>
          <w:color w:val="000000"/>
          <w:kern w:val="0"/>
          <w:sz w:val="24"/>
          <w:u w:val="single"/>
        </w:rPr>
        <w:t xml:space="preserve">     </w:t>
      </w:r>
      <w:r>
        <w:rPr>
          <w:rFonts w:hint="eastAsia" w:ascii="仿宋" w:hAnsi="仿宋" w:eastAsia="仿宋" w:cs="仿宋"/>
          <w:color w:val="000000"/>
          <w:kern w:val="0"/>
          <w:sz w:val="24"/>
        </w:rPr>
        <w:t>万元，资产总额为</w:t>
      </w:r>
      <w:r>
        <w:rPr>
          <w:rFonts w:hint="eastAsia" w:ascii="仿宋" w:hAnsi="仿宋" w:eastAsia="仿宋" w:cs="仿宋"/>
          <w:color w:val="000000"/>
          <w:kern w:val="0"/>
          <w:sz w:val="24"/>
          <w:u w:val="single"/>
        </w:rPr>
        <w:t xml:space="preserve">    </w:t>
      </w:r>
      <w:r>
        <w:rPr>
          <w:rFonts w:hint="eastAsia" w:ascii="仿宋" w:hAnsi="仿宋" w:eastAsia="仿宋" w:cs="仿宋"/>
          <w:color w:val="000000"/>
          <w:kern w:val="0"/>
          <w:sz w:val="24"/>
        </w:rPr>
        <w:t>万元，属于</w:t>
      </w:r>
      <w:r>
        <w:rPr>
          <w:rFonts w:hint="eastAsia" w:ascii="仿宋" w:hAnsi="仿宋" w:eastAsia="仿宋" w:cs="仿宋"/>
          <w:i/>
          <w:color w:val="000000"/>
          <w:kern w:val="0"/>
          <w:sz w:val="24"/>
          <w:u w:val="single"/>
        </w:rPr>
        <w:t>（中型企业、 小型企业、微型企业）</w:t>
      </w:r>
      <w:r>
        <w:rPr>
          <w:rFonts w:hint="eastAsia" w:ascii="仿宋" w:hAnsi="仿宋" w:eastAsia="仿宋" w:cs="仿宋"/>
          <w:color w:val="000000"/>
          <w:kern w:val="0"/>
          <w:sz w:val="24"/>
        </w:rPr>
        <w:t xml:space="preserve">； </w:t>
      </w:r>
    </w:p>
    <w:p w14:paraId="5DFA4159">
      <w:pPr>
        <w:widowControl/>
        <w:spacing w:line="500" w:lineRule="exact"/>
        <w:ind w:firstLine="480" w:firstLineChars="200"/>
        <w:jc w:val="left"/>
        <w:rPr>
          <w:rFonts w:ascii="仿宋" w:hAnsi="仿宋" w:eastAsia="仿宋" w:cs="仿宋"/>
          <w:color w:val="000000"/>
          <w:kern w:val="0"/>
          <w:sz w:val="24"/>
        </w:rPr>
      </w:pPr>
      <w:r>
        <w:rPr>
          <w:rFonts w:hint="eastAsia" w:ascii="仿宋" w:hAnsi="仿宋" w:eastAsia="仿宋" w:cs="仿宋"/>
          <w:color w:val="000000"/>
          <w:kern w:val="0"/>
          <w:sz w:val="24"/>
        </w:rPr>
        <w:t xml:space="preserve">2. </w:t>
      </w:r>
      <w:r>
        <w:rPr>
          <w:rFonts w:hint="eastAsia" w:ascii="仿宋" w:hAnsi="仿宋" w:eastAsia="仿宋" w:cs="仿宋"/>
          <w:i/>
          <w:color w:val="000000"/>
          <w:kern w:val="0"/>
          <w:sz w:val="24"/>
          <w:u w:val="single"/>
        </w:rPr>
        <w:t>（标的名称）</w:t>
      </w:r>
      <w:r>
        <w:rPr>
          <w:rFonts w:hint="eastAsia" w:ascii="仿宋" w:hAnsi="仿宋" w:eastAsia="仿宋" w:cs="仿宋"/>
          <w:i/>
          <w:color w:val="000000"/>
          <w:kern w:val="0"/>
          <w:sz w:val="24"/>
        </w:rPr>
        <w:t xml:space="preserve"> </w:t>
      </w:r>
      <w:r>
        <w:rPr>
          <w:rFonts w:hint="eastAsia" w:ascii="仿宋" w:hAnsi="仿宋" w:eastAsia="仿宋" w:cs="仿宋"/>
          <w:color w:val="000000"/>
          <w:kern w:val="0"/>
          <w:sz w:val="24"/>
        </w:rPr>
        <w:t>，属于</w:t>
      </w:r>
      <w:r>
        <w:rPr>
          <w:rFonts w:hint="eastAsia" w:ascii="仿宋" w:hAnsi="仿宋" w:eastAsia="仿宋" w:cs="仿宋"/>
          <w:i/>
          <w:color w:val="000000"/>
          <w:kern w:val="0"/>
          <w:sz w:val="24"/>
          <w:u w:val="single"/>
        </w:rPr>
        <w:t>（采购文件中明确的所属行业）</w:t>
      </w:r>
      <w:r>
        <w:rPr>
          <w:rFonts w:hint="eastAsia" w:ascii="仿宋" w:hAnsi="仿宋" w:eastAsia="仿宋" w:cs="仿宋"/>
          <w:color w:val="000000"/>
          <w:kern w:val="0"/>
          <w:sz w:val="24"/>
        </w:rPr>
        <w:t>；承建（承接）企业为</w:t>
      </w:r>
      <w:r>
        <w:rPr>
          <w:rFonts w:hint="eastAsia" w:ascii="仿宋" w:hAnsi="仿宋" w:eastAsia="仿宋" w:cs="仿宋"/>
          <w:i/>
          <w:color w:val="000000"/>
          <w:kern w:val="0"/>
          <w:sz w:val="24"/>
          <w:u w:val="single"/>
        </w:rPr>
        <w:t>（企业名称）</w:t>
      </w:r>
      <w:r>
        <w:rPr>
          <w:rFonts w:hint="eastAsia" w:ascii="仿宋" w:hAnsi="仿宋" w:eastAsia="仿宋" w:cs="仿宋"/>
          <w:color w:val="000000"/>
          <w:kern w:val="0"/>
          <w:sz w:val="24"/>
        </w:rPr>
        <w:t>，从业人员</w:t>
      </w:r>
      <w:r>
        <w:rPr>
          <w:rFonts w:hint="eastAsia" w:ascii="仿宋" w:hAnsi="仿宋" w:eastAsia="仿宋" w:cs="仿宋"/>
          <w:color w:val="000000"/>
          <w:kern w:val="0"/>
          <w:sz w:val="24"/>
          <w:u w:val="single"/>
        </w:rPr>
        <w:t xml:space="preserve">   </w:t>
      </w:r>
      <w:r>
        <w:rPr>
          <w:rFonts w:hint="eastAsia" w:ascii="仿宋" w:hAnsi="仿宋" w:eastAsia="仿宋" w:cs="仿宋"/>
          <w:color w:val="000000"/>
          <w:kern w:val="0"/>
          <w:sz w:val="24"/>
        </w:rPr>
        <w:t>人，营业收入为</w:t>
      </w:r>
      <w:r>
        <w:rPr>
          <w:rFonts w:hint="eastAsia" w:ascii="仿宋" w:hAnsi="仿宋" w:eastAsia="仿宋" w:cs="仿宋"/>
          <w:color w:val="000000"/>
          <w:kern w:val="0"/>
          <w:sz w:val="24"/>
          <w:u w:val="single"/>
        </w:rPr>
        <w:t xml:space="preserve">     </w:t>
      </w:r>
      <w:r>
        <w:rPr>
          <w:rFonts w:hint="eastAsia" w:ascii="仿宋" w:hAnsi="仿宋" w:eastAsia="仿宋" w:cs="仿宋"/>
          <w:color w:val="000000"/>
          <w:kern w:val="0"/>
          <w:sz w:val="24"/>
        </w:rPr>
        <w:t>万元，资产总额为</w:t>
      </w:r>
      <w:r>
        <w:rPr>
          <w:rFonts w:hint="eastAsia" w:ascii="仿宋" w:hAnsi="仿宋" w:eastAsia="仿宋" w:cs="仿宋"/>
          <w:color w:val="000000"/>
          <w:kern w:val="0"/>
          <w:sz w:val="24"/>
          <w:u w:val="single"/>
        </w:rPr>
        <w:t xml:space="preserve">    </w:t>
      </w:r>
      <w:r>
        <w:rPr>
          <w:rFonts w:hint="eastAsia" w:ascii="仿宋" w:hAnsi="仿宋" w:eastAsia="仿宋" w:cs="仿宋"/>
          <w:color w:val="000000"/>
          <w:kern w:val="0"/>
          <w:sz w:val="24"/>
        </w:rPr>
        <w:t>万元，属于</w:t>
      </w:r>
      <w:r>
        <w:rPr>
          <w:rFonts w:hint="eastAsia" w:ascii="仿宋" w:hAnsi="仿宋" w:eastAsia="仿宋" w:cs="仿宋"/>
          <w:i/>
          <w:color w:val="000000"/>
          <w:kern w:val="0"/>
          <w:sz w:val="24"/>
          <w:u w:val="single"/>
        </w:rPr>
        <w:t>（中型企业、小型企业、微型企业）</w:t>
      </w:r>
      <w:r>
        <w:rPr>
          <w:rFonts w:hint="eastAsia" w:ascii="仿宋" w:hAnsi="仿宋" w:eastAsia="仿宋" w:cs="仿宋"/>
          <w:color w:val="000000"/>
          <w:kern w:val="0"/>
          <w:sz w:val="24"/>
        </w:rPr>
        <w:t xml:space="preserve">； </w:t>
      </w:r>
    </w:p>
    <w:p w14:paraId="39B9854E">
      <w:pPr>
        <w:widowControl/>
        <w:spacing w:line="500" w:lineRule="exact"/>
        <w:ind w:firstLine="720" w:firstLineChars="300"/>
        <w:jc w:val="left"/>
        <w:rPr>
          <w:sz w:val="24"/>
        </w:rPr>
      </w:pPr>
      <w:r>
        <w:rPr>
          <w:rFonts w:ascii="仿宋" w:hAnsi="仿宋" w:eastAsia="仿宋" w:cs="仿宋"/>
          <w:color w:val="000000"/>
          <w:kern w:val="0"/>
          <w:sz w:val="24"/>
        </w:rPr>
        <w:t>……</w:t>
      </w:r>
    </w:p>
    <w:p w14:paraId="66E05459">
      <w:pPr>
        <w:widowControl/>
        <w:spacing w:line="500" w:lineRule="exact"/>
        <w:ind w:firstLine="480" w:firstLineChars="200"/>
        <w:jc w:val="left"/>
        <w:rPr>
          <w:sz w:val="24"/>
        </w:rPr>
      </w:pPr>
      <w:r>
        <w:rPr>
          <w:rFonts w:hint="eastAsia" w:ascii="仿宋" w:hAnsi="仿宋" w:eastAsia="仿宋" w:cs="仿宋"/>
          <w:color w:val="000000"/>
          <w:kern w:val="0"/>
          <w:sz w:val="24"/>
        </w:rPr>
        <w:t>以上企业，不属于大企业的分支机构，不存在控股股东为大企业的情形，也不存在与大企业的负责人为同一人的情 形。</w:t>
      </w:r>
    </w:p>
    <w:p w14:paraId="2C52DF43">
      <w:pPr>
        <w:widowControl/>
        <w:spacing w:line="500" w:lineRule="exact"/>
        <w:ind w:firstLine="480" w:firstLineChars="200"/>
        <w:jc w:val="left"/>
        <w:rPr>
          <w:sz w:val="24"/>
        </w:rPr>
      </w:pPr>
      <w:r>
        <w:rPr>
          <w:rFonts w:hint="eastAsia" w:ascii="仿宋" w:hAnsi="仿宋" w:eastAsia="仿宋" w:cs="仿宋"/>
          <w:color w:val="000000"/>
          <w:kern w:val="0"/>
          <w:sz w:val="24"/>
        </w:rPr>
        <w:t xml:space="preserve">本企业对上述声明内容的真实性负责。如有虚假，将依法承担相应责任。 </w:t>
      </w:r>
    </w:p>
    <w:p w14:paraId="2D5BAABC">
      <w:pPr>
        <w:widowControl/>
        <w:jc w:val="center"/>
        <w:rPr>
          <w:rFonts w:ascii="仿宋" w:hAnsi="仿宋" w:eastAsia="仿宋" w:cs="仿宋"/>
          <w:color w:val="000000"/>
          <w:kern w:val="0"/>
          <w:sz w:val="24"/>
        </w:rPr>
      </w:pPr>
      <w:r>
        <w:rPr>
          <w:rFonts w:hint="eastAsia" w:ascii="仿宋" w:hAnsi="仿宋" w:eastAsia="仿宋" w:cs="仿宋"/>
          <w:color w:val="000000"/>
          <w:kern w:val="0"/>
          <w:sz w:val="24"/>
        </w:rPr>
        <w:t xml:space="preserve"> </w:t>
      </w:r>
    </w:p>
    <w:p w14:paraId="7EDF7652">
      <w:pPr>
        <w:widowControl/>
        <w:jc w:val="center"/>
        <w:rPr>
          <w:sz w:val="24"/>
        </w:rPr>
      </w:pPr>
      <w:r>
        <w:rPr>
          <w:rFonts w:hint="eastAsia" w:ascii="仿宋" w:hAnsi="仿宋" w:eastAsia="仿宋" w:cs="仿宋"/>
          <w:color w:val="000000"/>
          <w:kern w:val="0"/>
          <w:sz w:val="24"/>
        </w:rPr>
        <w:t xml:space="preserve"> 企业名称（</w:t>
      </w:r>
      <w:r>
        <w:rPr>
          <w:rFonts w:hint="eastAsia" w:ascii="仿宋" w:hAnsi="仿宋" w:eastAsia="仿宋" w:cs="仿宋"/>
          <w:color w:val="000000"/>
          <w:kern w:val="0"/>
          <w:sz w:val="24"/>
          <w:lang w:eastAsia="zh-CN"/>
        </w:rPr>
        <w:t>电子签章</w:t>
      </w:r>
      <w:r>
        <w:rPr>
          <w:rFonts w:hint="eastAsia" w:ascii="仿宋" w:hAnsi="仿宋" w:eastAsia="仿宋" w:cs="仿宋"/>
          <w:color w:val="000000"/>
          <w:kern w:val="0"/>
          <w:sz w:val="24"/>
        </w:rPr>
        <w:t>）：</w:t>
      </w:r>
    </w:p>
    <w:p w14:paraId="294D8C05">
      <w:pPr>
        <w:widowControl/>
        <w:ind w:firstLine="3600" w:firstLineChars="1500"/>
        <w:rPr>
          <w:rFonts w:ascii="仿宋" w:hAnsi="仿宋" w:eastAsia="仿宋" w:cs="仿宋"/>
          <w:color w:val="000000"/>
          <w:kern w:val="0"/>
          <w:sz w:val="24"/>
        </w:rPr>
      </w:pPr>
      <w:r>
        <w:rPr>
          <w:rFonts w:hint="eastAsia" w:ascii="仿宋" w:hAnsi="仿宋" w:eastAsia="仿宋" w:cs="仿宋"/>
          <w:color w:val="000000"/>
          <w:kern w:val="0"/>
          <w:sz w:val="24"/>
        </w:rPr>
        <w:t>日 期：</w:t>
      </w:r>
    </w:p>
    <w:p w14:paraId="617E2057">
      <w:pPr>
        <w:pStyle w:val="22"/>
        <w:ind w:firstLine="0" w:firstLineChars="0"/>
        <w:rPr>
          <w:rFonts w:ascii="仿宋" w:hAnsi="仿宋" w:eastAsia="仿宋" w:cs="仿宋"/>
          <w:color w:val="000000"/>
          <w:kern w:val="0"/>
        </w:rPr>
      </w:pPr>
    </w:p>
    <w:p w14:paraId="32422EF5">
      <w:pPr>
        <w:pStyle w:val="22"/>
        <w:ind w:firstLine="0" w:firstLineChars="0"/>
        <w:rPr>
          <w:rFonts w:ascii="仿宋" w:hAnsi="仿宋" w:eastAsia="仿宋" w:cs="仿宋"/>
          <w:b/>
          <w:bCs/>
          <w:color w:val="000000"/>
          <w:kern w:val="0"/>
        </w:rPr>
      </w:pPr>
      <w:r>
        <w:rPr>
          <w:rFonts w:hint="eastAsia" w:ascii="仿宋" w:hAnsi="仿宋" w:eastAsia="仿宋" w:cs="仿宋"/>
          <w:b/>
          <w:bCs/>
          <w:color w:val="000000"/>
          <w:kern w:val="0"/>
        </w:rPr>
        <w:t>注：1、从业人员、营业收入、资产总额填报上一年度数据，无上一年度数据的新成立企业可不填报。</w:t>
      </w:r>
    </w:p>
    <w:p w14:paraId="27ADDC81">
      <w:bookmarkStart w:id="426" w:name="_Toc4255"/>
      <w:bookmarkStart w:id="427" w:name="_Toc10958"/>
      <w:bookmarkStart w:id="428" w:name="_Toc31112"/>
      <w:bookmarkStart w:id="429" w:name="_Toc1721"/>
      <w:bookmarkStart w:id="430" w:name="_Toc515647824"/>
      <w:bookmarkStart w:id="431" w:name="_Toc24122"/>
      <w:bookmarkStart w:id="432" w:name="_Toc10977"/>
      <w:bookmarkStart w:id="433" w:name="_Toc17987"/>
      <w:bookmarkStart w:id="434" w:name="_Toc11803"/>
      <w:bookmarkStart w:id="435" w:name="_Toc10872"/>
      <w:bookmarkStart w:id="436" w:name="_Toc27426"/>
      <w:r>
        <w:rPr>
          <w:rFonts w:hint="eastAsia"/>
        </w:rPr>
        <w:br w:type="page"/>
      </w:r>
    </w:p>
    <w:p w14:paraId="01A6D213">
      <w:pPr>
        <w:pStyle w:val="7"/>
        <w:jc w:val="center"/>
        <w:rPr>
          <w:rFonts w:hint="eastAsia" w:ascii="仿宋" w:hAnsi="仿宋" w:eastAsia="仿宋" w:cs="仿宋"/>
          <w:b/>
          <w:bCs/>
          <w:color w:val="000000"/>
          <w:kern w:val="0"/>
          <w:sz w:val="24"/>
          <w:szCs w:val="24"/>
          <w:u w:val="none"/>
          <w:lang w:val="en-US" w:eastAsia="zh-CN" w:bidi="ar-SA"/>
        </w:rPr>
      </w:pPr>
      <w:r>
        <w:rPr>
          <w:rFonts w:hint="eastAsia" w:ascii="仿宋" w:hAnsi="仿宋" w:eastAsia="仿宋" w:cs="仿宋"/>
          <w:b/>
          <w:bCs/>
          <w:color w:val="000000"/>
          <w:kern w:val="0"/>
          <w:sz w:val="24"/>
          <w:szCs w:val="24"/>
          <w:u w:val="none"/>
          <w:lang w:val="en-US" w:eastAsia="zh-CN" w:bidi="ar-SA"/>
        </w:rPr>
        <w:t>5-2</w:t>
      </w:r>
      <w:bookmarkEnd w:id="426"/>
      <w:bookmarkEnd w:id="427"/>
      <w:bookmarkEnd w:id="428"/>
      <w:bookmarkEnd w:id="429"/>
      <w:bookmarkEnd w:id="430"/>
      <w:bookmarkEnd w:id="431"/>
      <w:bookmarkEnd w:id="432"/>
      <w:bookmarkEnd w:id="433"/>
      <w:bookmarkEnd w:id="434"/>
      <w:bookmarkEnd w:id="435"/>
      <w:bookmarkStart w:id="437" w:name="_Toc5825"/>
      <w:bookmarkStart w:id="438" w:name="_Toc10900"/>
      <w:bookmarkStart w:id="439" w:name="_Toc515647825"/>
      <w:bookmarkStart w:id="440" w:name="_Toc23068"/>
      <w:bookmarkStart w:id="441" w:name="_Toc30321"/>
      <w:bookmarkStart w:id="442" w:name="OLE_LINK13"/>
      <w:bookmarkStart w:id="443" w:name="_Toc19284"/>
      <w:bookmarkStart w:id="444" w:name="OLE_LINK14"/>
      <w:bookmarkStart w:id="445" w:name="_Toc15209"/>
      <w:bookmarkStart w:id="446" w:name="_Toc13191"/>
      <w:bookmarkStart w:id="447" w:name="_Toc26116"/>
      <w:bookmarkStart w:id="448" w:name="_Toc14068"/>
      <w:r>
        <w:rPr>
          <w:rFonts w:hint="eastAsia" w:ascii="仿宋" w:hAnsi="仿宋" w:eastAsia="仿宋" w:cs="仿宋"/>
          <w:b/>
          <w:bCs/>
          <w:color w:val="000000"/>
          <w:kern w:val="0"/>
          <w:sz w:val="24"/>
          <w:szCs w:val="24"/>
          <w:u w:val="none"/>
          <w:lang w:val="en-US" w:eastAsia="zh-CN" w:bidi="ar-SA"/>
        </w:rPr>
        <w:t>、残疾人福利性单位声明函（磋商文件格式十三）</w:t>
      </w:r>
      <w:bookmarkEnd w:id="436"/>
      <w:bookmarkEnd w:id="437"/>
      <w:bookmarkEnd w:id="438"/>
      <w:bookmarkEnd w:id="439"/>
      <w:bookmarkEnd w:id="440"/>
      <w:bookmarkEnd w:id="441"/>
      <w:bookmarkEnd w:id="442"/>
      <w:bookmarkEnd w:id="443"/>
      <w:bookmarkEnd w:id="444"/>
      <w:bookmarkEnd w:id="445"/>
      <w:bookmarkEnd w:id="446"/>
      <w:bookmarkEnd w:id="447"/>
      <w:bookmarkEnd w:id="448"/>
    </w:p>
    <w:p w14:paraId="4D0B6D93">
      <w:pPr>
        <w:spacing w:line="240" w:lineRule="atLeast"/>
        <w:ind w:left="1080" w:leftChars="257" w:hanging="540"/>
        <w:jc w:val="center"/>
        <w:rPr>
          <w:rFonts w:ascii="仿宋" w:hAnsi="仿宋" w:eastAsia="仿宋" w:cs="仿宋"/>
          <w:kern w:val="0"/>
          <w:sz w:val="24"/>
        </w:rPr>
      </w:pPr>
    </w:p>
    <w:p w14:paraId="2E6578B7">
      <w:pPr>
        <w:spacing w:line="240" w:lineRule="atLeast"/>
        <w:ind w:firstLine="567"/>
        <w:rPr>
          <w:rFonts w:ascii="仿宋" w:hAnsi="仿宋" w:eastAsia="仿宋" w:cs="仿宋"/>
          <w:kern w:val="0"/>
          <w:sz w:val="24"/>
        </w:rPr>
      </w:pPr>
      <w:r>
        <w:rPr>
          <w:rFonts w:hint="eastAsia" w:ascii="仿宋" w:hAnsi="仿宋" w:eastAsia="仿宋" w:cs="仿宋"/>
          <w:kern w:val="0"/>
          <w:sz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服务，或者提供其他残疾人福利性单位的服务。</w:t>
      </w:r>
    </w:p>
    <w:p w14:paraId="036F80F2">
      <w:pPr>
        <w:spacing w:line="240" w:lineRule="atLeast"/>
        <w:ind w:left="1080" w:leftChars="257" w:hanging="540"/>
        <w:rPr>
          <w:rFonts w:ascii="仿宋" w:hAnsi="仿宋" w:eastAsia="仿宋" w:cs="仿宋"/>
          <w:kern w:val="0"/>
          <w:sz w:val="24"/>
        </w:rPr>
      </w:pPr>
      <w:r>
        <w:rPr>
          <w:rFonts w:hint="eastAsia" w:ascii="仿宋" w:hAnsi="仿宋" w:eastAsia="仿宋" w:cs="仿宋"/>
          <w:kern w:val="0"/>
          <w:sz w:val="24"/>
        </w:rPr>
        <w:t>本单位对上述声明的真实性负责。如有虚假，将依法承担相应责任。</w:t>
      </w:r>
    </w:p>
    <w:p w14:paraId="00A03462">
      <w:pPr>
        <w:spacing w:line="240" w:lineRule="atLeast"/>
        <w:ind w:left="1080" w:leftChars="257" w:hanging="540"/>
        <w:jc w:val="center"/>
        <w:rPr>
          <w:rFonts w:ascii="仿宋" w:hAnsi="仿宋" w:eastAsia="仿宋" w:cs="仿宋"/>
          <w:kern w:val="0"/>
          <w:sz w:val="24"/>
        </w:rPr>
      </w:pPr>
    </w:p>
    <w:p w14:paraId="1ABB8D14">
      <w:pPr>
        <w:spacing w:line="240" w:lineRule="atLeast"/>
        <w:ind w:left="1080" w:leftChars="257" w:hanging="540"/>
        <w:jc w:val="center"/>
        <w:rPr>
          <w:rFonts w:ascii="仿宋" w:hAnsi="仿宋" w:eastAsia="仿宋" w:cs="仿宋"/>
          <w:kern w:val="0"/>
          <w:sz w:val="24"/>
        </w:rPr>
      </w:pPr>
    </w:p>
    <w:p w14:paraId="4DF9B46F">
      <w:pPr>
        <w:spacing w:line="240" w:lineRule="atLeast"/>
        <w:ind w:left="1080" w:leftChars="257" w:hanging="540"/>
        <w:jc w:val="center"/>
        <w:rPr>
          <w:rFonts w:ascii="仿宋" w:hAnsi="仿宋" w:eastAsia="仿宋" w:cs="仿宋"/>
          <w:kern w:val="0"/>
          <w:sz w:val="24"/>
        </w:rPr>
      </w:pPr>
      <w:r>
        <w:rPr>
          <w:rFonts w:hint="eastAsia" w:ascii="仿宋" w:hAnsi="仿宋" w:eastAsia="仿宋" w:cs="仿宋"/>
          <w:kern w:val="0"/>
          <w:sz w:val="24"/>
        </w:rPr>
        <w:t xml:space="preserve">              残疾人福利性单位名称（</w:t>
      </w:r>
      <w:r>
        <w:rPr>
          <w:rFonts w:hint="eastAsia" w:ascii="仿宋" w:hAnsi="仿宋" w:eastAsia="仿宋" w:cs="仿宋"/>
          <w:kern w:val="0"/>
          <w:sz w:val="24"/>
          <w:lang w:eastAsia="zh-CN"/>
        </w:rPr>
        <w:t>电子签章</w:t>
      </w:r>
      <w:r>
        <w:rPr>
          <w:rFonts w:hint="eastAsia" w:ascii="仿宋" w:hAnsi="仿宋" w:eastAsia="仿宋" w:cs="仿宋"/>
          <w:kern w:val="0"/>
          <w:sz w:val="24"/>
        </w:rPr>
        <w:t>）：______________</w:t>
      </w:r>
    </w:p>
    <w:p w14:paraId="3AD87144">
      <w:pPr>
        <w:spacing w:line="240" w:lineRule="atLeast"/>
        <w:ind w:left="1080" w:leftChars="257" w:hanging="540"/>
        <w:jc w:val="center"/>
        <w:rPr>
          <w:rFonts w:ascii="仿宋" w:hAnsi="仿宋" w:eastAsia="仿宋" w:cs="仿宋"/>
          <w:b/>
          <w:kern w:val="0"/>
          <w:sz w:val="24"/>
        </w:rPr>
      </w:pPr>
      <w:r>
        <w:rPr>
          <w:rFonts w:hint="eastAsia" w:ascii="仿宋" w:hAnsi="仿宋" w:eastAsia="仿宋" w:cs="仿宋"/>
          <w:kern w:val="0"/>
          <w:sz w:val="24"/>
        </w:rPr>
        <w:t xml:space="preserve">                 日  期：_____________________________________</w:t>
      </w:r>
    </w:p>
    <w:p w14:paraId="1D6D86F1">
      <w:pPr>
        <w:spacing w:line="240" w:lineRule="atLeast"/>
        <w:ind w:left="1080" w:leftChars="257" w:hanging="540"/>
        <w:jc w:val="center"/>
        <w:rPr>
          <w:rFonts w:ascii="仿宋" w:hAnsi="仿宋" w:eastAsia="仿宋" w:cs="仿宋"/>
          <w:b/>
          <w:kern w:val="0"/>
          <w:sz w:val="24"/>
        </w:rPr>
      </w:pPr>
    </w:p>
    <w:p w14:paraId="229200FD">
      <w:pPr>
        <w:spacing w:line="240" w:lineRule="atLeast"/>
        <w:ind w:left="1080" w:leftChars="257" w:hanging="540"/>
        <w:jc w:val="center"/>
        <w:rPr>
          <w:rFonts w:ascii="仿宋" w:hAnsi="仿宋" w:eastAsia="仿宋" w:cs="仿宋"/>
          <w:b/>
          <w:kern w:val="0"/>
          <w:sz w:val="24"/>
        </w:rPr>
      </w:pPr>
    </w:p>
    <w:p w14:paraId="3CE8541B">
      <w:pPr>
        <w:pStyle w:val="22"/>
        <w:ind w:firstLine="480"/>
        <w:rPr>
          <w:rFonts w:ascii="仿宋" w:hAnsi="仿宋" w:eastAsia="仿宋" w:cs="仿宋"/>
        </w:rPr>
      </w:pPr>
    </w:p>
    <w:p w14:paraId="45B5DA4F">
      <w:pPr>
        <w:spacing w:line="240" w:lineRule="atLeast"/>
        <w:rPr>
          <w:rFonts w:ascii="仿宋" w:hAnsi="仿宋" w:eastAsia="仿宋" w:cs="仿宋"/>
          <w:b/>
          <w:kern w:val="0"/>
          <w:sz w:val="24"/>
        </w:rPr>
      </w:pPr>
    </w:p>
    <w:p w14:paraId="621FEB0F">
      <w:pPr>
        <w:pStyle w:val="9"/>
        <w:rPr>
          <w:rFonts w:ascii="仿宋" w:hAnsi="仿宋" w:eastAsia="仿宋" w:cs="仿宋"/>
          <w:szCs w:val="24"/>
        </w:rPr>
      </w:pPr>
    </w:p>
    <w:p w14:paraId="792B0F23">
      <w:pPr>
        <w:pStyle w:val="6"/>
        <w:spacing w:before="0" w:line="240" w:lineRule="atLeast"/>
        <w:ind w:left="1080" w:leftChars="257" w:hanging="540"/>
        <w:jc w:val="both"/>
        <w:rPr>
          <w:rFonts w:ascii="仿宋" w:hAnsi="仿宋" w:eastAsia="仿宋" w:cs="仿宋"/>
          <w:sz w:val="24"/>
          <w:szCs w:val="24"/>
        </w:rPr>
      </w:pPr>
      <w:bookmarkStart w:id="449" w:name="_Toc515647827"/>
      <w:bookmarkStart w:id="450" w:name="_Toc30054"/>
      <w:bookmarkStart w:id="451" w:name="_Toc4574"/>
      <w:bookmarkStart w:id="452" w:name="_Toc17196"/>
      <w:bookmarkStart w:id="453" w:name="_Toc6531"/>
      <w:bookmarkStart w:id="454" w:name="_Toc28516"/>
      <w:bookmarkStart w:id="455" w:name="_Toc30795"/>
      <w:bookmarkStart w:id="456" w:name="_Toc18365"/>
      <w:bookmarkStart w:id="457" w:name="_Toc6452"/>
      <w:bookmarkStart w:id="458" w:name="_Toc28099"/>
      <w:bookmarkStart w:id="459" w:name="_Toc3587"/>
      <w:r>
        <w:rPr>
          <w:rFonts w:hint="eastAsia" w:ascii="仿宋" w:hAnsi="仿宋" w:eastAsia="仿宋" w:cs="仿宋"/>
          <w:sz w:val="24"/>
          <w:szCs w:val="24"/>
        </w:rPr>
        <w:t>6、供应商关联单位的说明</w:t>
      </w:r>
      <w:bookmarkEnd w:id="449"/>
      <w:bookmarkEnd w:id="450"/>
      <w:bookmarkEnd w:id="451"/>
      <w:bookmarkEnd w:id="452"/>
      <w:bookmarkEnd w:id="453"/>
      <w:bookmarkEnd w:id="454"/>
      <w:bookmarkEnd w:id="455"/>
      <w:bookmarkEnd w:id="456"/>
      <w:bookmarkEnd w:id="457"/>
      <w:bookmarkEnd w:id="458"/>
      <w:bookmarkEnd w:id="459"/>
    </w:p>
    <w:p w14:paraId="37EB0326">
      <w:pPr>
        <w:pStyle w:val="9"/>
        <w:jc w:val="center"/>
        <w:rPr>
          <w:rFonts w:ascii="仿宋" w:hAnsi="仿宋" w:eastAsia="仿宋" w:cs="仿宋"/>
          <w:szCs w:val="24"/>
        </w:rPr>
      </w:pPr>
    </w:p>
    <w:p w14:paraId="58691301">
      <w:pPr>
        <w:pStyle w:val="9"/>
        <w:ind w:firstLine="480" w:firstLineChars="200"/>
        <w:rPr>
          <w:rFonts w:ascii="仿宋" w:hAnsi="仿宋" w:eastAsia="仿宋" w:cs="仿宋"/>
          <w:szCs w:val="24"/>
        </w:rPr>
      </w:pPr>
      <w:r>
        <w:rPr>
          <w:rFonts w:hint="eastAsia" w:ascii="仿宋" w:hAnsi="仿宋" w:eastAsia="仿宋" w:cs="仿宋"/>
          <w:szCs w:val="24"/>
        </w:rPr>
        <w:t>说明：供应商应当如实披露与本单位存在下列关联关系的单位名称：</w:t>
      </w:r>
    </w:p>
    <w:p w14:paraId="3D89DC96">
      <w:pPr>
        <w:pStyle w:val="9"/>
        <w:numPr>
          <w:ilvl w:val="0"/>
          <w:numId w:val="6"/>
        </w:numPr>
        <w:ind w:firstLine="480" w:firstLineChars="200"/>
        <w:rPr>
          <w:rFonts w:ascii="仿宋" w:hAnsi="仿宋" w:eastAsia="仿宋" w:cs="仿宋"/>
          <w:szCs w:val="24"/>
        </w:rPr>
      </w:pPr>
      <w:r>
        <w:rPr>
          <w:rFonts w:hint="eastAsia" w:ascii="仿宋" w:hAnsi="仿宋" w:eastAsia="仿宋" w:cs="仿宋"/>
          <w:szCs w:val="24"/>
        </w:rPr>
        <w:t>与供应商单位负责人为同一人的其他单位；</w:t>
      </w:r>
    </w:p>
    <w:p w14:paraId="316E7B6F">
      <w:pPr>
        <w:pStyle w:val="9"/>
        <w:ind w:firstLine="480" w:firstLineChars="200"/>
        <w:rPr>
          <w:rFonts w:ascii="仿宋" w:hAnsi="仿宋" w:eastAsia="仿宋" w:cs="仿宋"/>
          <w:szCs w:val="24"/>
        </w:rPr>
      </w:pPr>
      <w:r>
        <w:rPr>
          <w:rFonts w:hint="eastAsia" w:ascii="仿宋" w:hAnsi="仿宋" w:eastAsia="仿宋" w:cs="仿宋"/>
          <w:szCs w:val="24"/>
        </w:rPr>
        <w:t>（2）与供应商存在直接控股、管理关系的其他单位。</w:t>
      </w:r>
    </w:p>
    <w:p w14:paraId="5FF3453A">
      <w:pPr>
        <w:pStyle w:val="9"/>
        <w:ind w:firstLine="0"/>
        <w:rPr>
          <w:rFonts w:ascii="仿宋" w:hAnsi="仿宋" w:eastAsia="仿宋" w:cs="仿宋"/>
          <w:szCs w:val="24"/>
        </w:rPr>
      </w:pPr>
    </w:p>
    <w:p w14:paraId="6CFD8E8C">
      <w:pPr>
        <w:rPr>
          <w:rFonts w:ascii="仿宋" w:hAnsi="仿宋" w:eastAsia="仿宋" w:cs="仿宋"/>
          <w:sz w:val="24"/>
        </w:rPr>
      </w:pPr>
    </w:p>
    <w:p w14:paraId="23045B64">
      <w:pPr>
        <w:pStyle w:val="6"/>
        <w:spacing w:before="0" w:line="240" w:lineRule="atLeast"/>
        <w:ind w:left="1080" w:leftChars="257" w:hanging="540"/>
        <w:jc w:val="both"/>
        <w:rPr>
          <w:rFonts w:ascii="仿宋" w:hAnsi="仿宋" w:eastAsia="仿宋" w:cs="仿宋"/>
          <w:sz w:val="24"/>
          <w:szCs w:val="24"/>
        </w:rPr>
      </w:pPr>
      <w:bookmarkStart w:id="460" w:name="_Toc9124"/>
      <w:bookmarkStart w:id="461" w:name="_Toc28910"/>
      <w:bookmarkStart w:id="462" w:name="_Toc9517"/>
      <w:bookmarkStart w:id="463" w:name="_Toc9060"/>
      <w:r>
        <w:rPr>
          <w:rFonts w:hint="eastAsia" w:ascii="仿宋" w:hAnsi="仿宋" w:eastAsia="仿宋" w:cs="仿宋"/>
          <w:sz w:val="24"/>
          <w:szCs w:val="24"/>
        </w:rPr>
        <w:t>7、响应文件还应包括供应商须知第10条的所有技术文件</w:t>
      </w:r>
      <w:bookmarkEnd w:id="460"/>
      <w:bookmarkEnd w:id="461"/>
      <w:bookmarkEnd w:id="462"/>
      <w:bookmarkEnd w:id="463"/>
    </w:p>
    <w:p w14:paraId="6E537913">
      <w:pPr>
        <w:pStyle w:val="22"/>
        <w:ind w:firstLine="0" w:firstLineChars="0"/>
        <w:rPr>
          <w:rFonts w:ascii="仿宋" w:hAnsi="仿宋" w:eastAsia="仿宋" w:cs="仿宋"/>
        </w:rPr>
      </w:pPr>
    </w:p>
    <w:p w14:paraId="22AFBA35">
      <w:pPr>
        <w:pStyle w:val="22"/>
        <w:ind w:firstLine="0" w:firstLineChars="0"/>
        <w:rPr>
          <w:rFonts w:ascii="仿宋" w:hAnsi="仿宋" w:eastAsia="仿宋" w:cs="仿宋"/>
          <w:b/>
          <w:bCs/>
        </w:rPr>
      </w:pPr>
    </w:p>
    <w:p w14:paraId="015CA128">
      <w:pPr>
        <w:pStyle w:val="6"/>
        <w:spacing w:before="0" w:line="240" w:lineRule="atLeast"/>
        <w:ind w:left="1080" w:leftChars="257" w:hanging="540"/>
        <w:jc w:val="both"/>
        <w:rPr>
          <w:rFonts w:ascii="仿宋" w:hAnsi="仿宋" w:eastAsia="仿宋" w:cs="仿宋"/>
          <w:bCs/>
          <w:sz w:val="24"/>
          <w:szCs w:val="24"/>
        </w:rPr>
      </w:pPr>
      <w:bookmarkStart w:id="464" w:name="_Toc13906"/>
      <w:bookmarkStart w:id="465" w:name="_Toc10150"/>
      <w:bookmarkStart w:id="466" w:name="_Toc20570"/>
      <w:r>
        <w:rPr>
          <w:rFonts w:hint="eastAsia" w:ascii="仿宋" w:hAnsi="仿宋" w:eastAsia="仿宋" w:cs="仿宋"/>
          <w:bCs/>
          <w:sz w:val="24"/>
          <w:szCs w:val="24"/>
        </w:rPr>
        <w:t>8、提供有利于磋商的其他证明材料</w:t>
      </w:r>
      <w:bookmarkEnd w:id="464"/>
      <w:bookmarkEnd w:id="465"/>
      <w:bookmarkEnd w:id="466"/>
    </w:p>
    <w:p w14:paraId="63E6A9A0">
      <w:pPr>
        <w:spacing w:line="240" w:lineRule="atLeast"/>
        <w:ind w:left="1079" w:leftChars="257" w:hanging="539"/>
        <w:jc w:val="left"/>
        <w:outlineLvl w:val="1"/>
        <w:rPr>
          <w:rFonts w:ascii="仿宋" w:hAnsi="仿宋" w:eastAsia="仿宋" w:cs="仿宋"/>
          <w:b/>
          <w:kern w:val="0"/>
          <w:sz w:val="24"/>
          <w:szCs w:val="20"/>
        </w:rPr>
      </w:pPr>
      <w:r>
        <w:rPr>
          <w:rFonts w:hint="eastAsia" w:ascii="仿宋" w:hAnsi="仿宋" w:eastAsia="仿宋" w:cs="仿宋"/>
          <w:sz w:val="24"/>
        </w:rPr>
        <w:br w:type="page"/>
      </w:r>
      <w:bookmarkStart w:id="467" w:name="_Toc2099"/>
      <w:bookmarkStart w:id="468" w:name="_Toc20471"/>
      <w:bookmarkStart w:id="469" w:name="_Toc25307"/>
      <w:bookmarkStart w:id="470" w:name="_Toc24705"/>
      <w:bookmarkStart w:id="471" w:name="_Toc13385"/>
      <w:bookmarkStart w:id="472" w:name="_Toc8814"/>
      <w:bookmarkStart w:id="473" w:name="_Toc8073"/>
      <w:bookmarkStart w:id="474" w:name="_Toc29345"/>
      <w:r>
        <w:rPr>
          <w:rFonts w:hint="eastAsia" w:ascii="仿宋" w:hAnsi="仿宋" w:eastAsia="仿宋" w:cs="仿宋"/>
          <w:sz w:val="24"/>
          <w:lang w:val="en-US" w:eastAsia="zh-CN"/>
        </w:rPr>
        <w:t>8</w:t>
      </w:r>
      <w:r>
        <w:rPr>
          <w:rFonts w:hint="eastAsia" w:ascii="仿宋" w:hAnsi="仿宋" w:eastAsia="仿宋" w:cs="仿宋"/>
          <w:b/>
          <w:kern w:val="0"/>
          <w:sz w:val="24"/>
          <w:szCs w:val="20"/>
        </w:rPr>
        <w:t>、响应文件格式范本</w:t>
      </w:r>
      <w:bookmarkEnd w:id="467"/>
      <w:bookmarkEnd w:id="468"/>
      <w:bookmarkEnd w:id="469"/>
      <w:bookmarkEnd w:id="470"/>
      <w:bookmarkEnd w:id="471"/>
      <w:bookmarkEnd w:id="472"/>
      <w:bookmarkEnd w:id="473"/>
      <w:bookmarkEnd w:id="474"/>
    </w:p>
    <w:tbl>
      <w:tblPr>
        <w:tblStyle w:val="23"/>
        <w:tblpPr w:leftFromText="180" w:rightFromText="180" w:vertAnchor="text" w:horzAnchor="page" w:tblpX="1380" w:tblpY="440"/>
        <w:tblOverlap w:val="never"/>
        <w:tblW w:w="9120" w:type="dxa"/>
        <w:tblInd w:w="0" w:type="dxa"/>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shd w:val="clear" w:color="auto" w:fill="FCFEEA"/>
        <w:tblLayout w:type="fixed"/>
        <w:tblCellMar>
          <w:top w:w="0" w:type="dxa"/>
          <w:left w:w="108" w:type="dxa"/>
          <w:bottom w:w="0" w:type="dxa"/>
          <w:right w:w="108" w:type="dxa"/>
        </w:tblCellMar>
      </w:tblPr>
      <w:tblGrid>
        <w:gridCol w:w="9120"/>
      </w:tblGrid>
      <w:tr w14:paraId="6A2CE0AD">
        <w:tblPrEx>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shd w:val="clear" w:color="auto" w:fill="FCFEEA"/>
          <w:tblCellMar>
            <w:top w:w="0" w:type="dxa"/>
            <w:left w:w="108" w:type="dxa"/>
            <w:bottom w:w="0" w:type="dxa"/>
            <w:right w:w="108" w:type="dxa"/>
          </w:tblCellMar>
        </w:tblPrEx>
        <w:trPr>
          <w:trHeight w:val="11132" w:hRule="atLeast"/>
        </w:trPr>
        <w:tc>
          <w:tcPr>
            <w:tcW w:w="9120" w:type="dxa"/>
            <w:shd w:val="clear" w:color="auto" w:fill="FCFEEA"/>
          </w:tcPr>
          <w:p w14:paraId="4372DE2C">
            <w:pPr>
              <w:pStyle w:val="2"/>
              <w:jc w:val="center"/>
              <w:rPr>
                <w:rFonts w:ascii="仿宋" w:hAnsi="仿宋" w:eastAsia="仿宋" w:cs="仿宋"/>
                <w:b/>
                <w:bCs/>
                <w:sz w:val="28"/>
                <w:szCs w:val="28"/>
              </w:rPr>
            </w:pPr>
            <w:r>
              <w:rPr>
                <w:rFonts w:hint="eastAsia" w:ascii="仿宋" w:hAnsi="仿宋" w:eastAsia="仿宋" w:cs="仿宋"/>
                <w:b/>
                <w:bCs/>
                <w:sz w:val="28"/>
                <w:szCs w:val="28"/>
              </w:rPr>
              <w:t xml:space="preserve">                                                （正本/副本）</w:t>
            </w:r>
          </w:p>
          <w:p w14:paraId="3B4B40BB">
            <w:pPr>
              <w:pStyle w:val="2"/>
              <w:ind w:firstLine="4216" w:firstLineChars="1500"/>
              <w:rPr>
                <w:rFonts w:ascii="仿宋" w:hAnsi="仿宋" w:eastAsia="仿宋" w:cs="仿宋"/>
                <w:b/>
                <w:bCs/>
                <w:sz w:val="28"/>
                <w:szCs w:val="28"/>
              </w:rPr>
            </w:pPr>
          </w:p>
          <w:p w14:paraId="40D47E8C">
            <w:pPr>
              <w:pStyle w:val="2"/>
              <w:ind w:firstLine="4216" w:firstLineChars="1500"/>
              <w:rPr>
                <w:rFonts w:ascii="仿宋" w:hAnsi="仿宋" w:eastAsia="仿宋" w:cs="仿宋"/>
                <w:b/>
                <w:bCs/>
                <w:sz w:val="28"/>
                <w:szCs w:val="28"/>
              </w:rPr>
            </w:pPr>
          </w:p>
          <w:p w14:paraId="1AAC712E">
            <w:pPr>
              <w:pStyle w:val="2"/>
              <w:rPr>
                <w:rFonts w:ascii="仿宋" w:hAnsi="仿宋" w:eastAsia="仿宋" w:cs="仿宋"/>
                <w:b/>
                <w:bCs/>
                <w:sz w:val="28"/>
                <w:szCs w:val="28"/>
              </w:rPr>
            </w:pPr>
          </w:p>
          <w:p w14:paraId="2B35C810">
            <w:pPr>
              <w:pStyle w:val="2"/>
              <w:ind w:firstLine="2530" w:firstLineChars="900"/>
              <w:rPr>
                <w:rFonts w:ascii="仿宋" w:hAnsi="仿宋" w:eastAsia="仿宋" w:cs="仿宋"/>
                <w:b/>
                <w:bCs/>
                <w:sz w:val="28"/>
                <w:szCs w:val="28"/>
              </w:rPr>
            </w:pPr>
            <w:r>
              <w:rPr>
                <w:rFonts w:hint="eastAsia" w:ascii="仿宋" w:hAnsi="仿宋" w:eastAsia="仿宋" w:cs="仿宋"/>
                <w:b/>
                <w:bCs/>
                <w:sz w:val="28"/>
                <w:szCs w:val="28"/>
              </w:rPr>
              <w:t>***** *** *** *** ***   项目***</w:t>
            </w:r>
          </w:p>
          <w:p w14:paraId="0255BF8F">
            <w:pPr>
              <w:pStyle w:val="2"/>
              <w:jc w:val="center"/>
              <w:rPr>
                <w:rFonts w:ascii="仿宋" w:hAnsi="仿宋" w:eastAsia="仿宋" w:cs="仿宋"/>
                <w:b/>
                <w:bCs/>
                <w:sz w:val="21"/>
                <w:szCs w:val="21"/>
              </w:rPr>
            </w:pPr>
          </w:p>
          <w:p w14:paraId="4A71425E">
            <w:pPr>
              <w:pStyle w:val="2"/>
              <w:ind w:firstLine="3162" w:firstLineChars="1500"/>
              <w:rPr>
                <w:rFonts w:ascii="仿宋" w:hAnsi="仿宋" w:eastAsia="仿宋" w:cs="仿宋"/>
                <w:b/>
                <w:bCs/>
                <w:sz w:val="21"/>
                <w:szCs w:val="21"/>
              </w:rPr>
            </w:pPr>
            <w:r>
              <w:rPr>
                <w:rFonts w:hint="eastAsia" w:ascii="仿宋" w:hAnsi="仿宋" w:eastAsia="仿宋" w:cs="仿宋"/>
                <w:b/>
                <w:bCs/>
                <w:sz w:val="21"/>
                <w:szCs w:val="21"/>
              </w:rPr>
              <w:t>编号 ＊＊＊</w:t>
            </w:r>
          </w:p>
          <w:p w14:paraId="6076A5D2">
            <w:pPr>
              <w:pStyle w:val="2"/>
              <w:jc w:val="center"/>
              <w:rPr>
                <w:rFonts w:ascii="仿宋" w:hAnsi="仿宋" w:eastAsia="仿宋" w:cs="仿宋"/>
                <w:b/>
                <w:bCs/>
                <w:sz w:val="48"/>
              </w:rPr>
            </w:pPr>
          </w:p>
          <w:p w14:paraId="30523B21">
            <w:pPr>
              <w:pStyle w:val="2"/>
              <w:jc w:val="center"/>
              <w:rPr>
                <w:rFonts w:ascii="仿宋" w:hAnsi="仿宋" w:eastAsia="仿宋" w:cs="仿宋"/>
                <w:b/>
                <w:bCs/>
                <w:sz w:val="48"/>
              </w:rPr>
            </w:pPr>
            <w:r>
              <w:rPr>
                <w:rFonts w:hint="eastAsia" w:ascii="仿宋" w:hAnsi="仿宋" w:eastAsia="仿宋" w:cs="仿宋"/>
                <w:b/>
                <w:bCs/>
                <w:sz w:val="48"/>
              </w:rPr>
              <w:t>响 应 文 件</w:t>
            </w:r>
          </w:p>
          <w:p w14:paraId="21237820">
            <w:pPr>
              <w:jc w:val="center"/>
              <w:rPr>
                <w:rFonts w:ascii="仿宋" w:hAnsi="仿宋" w:eastAsia="仿宋" w:cs="仿宋"/>
                <w:b/>
                <w:sz w:val="32"/>
              </w:rPr>
            </w:pPr>
          </w:p>
          <w:p w14:paraId="044B0570">
            <w:pPr>
              <w:pStyle w:val="9"/>
              <w:ind w:firstLine="0"/>
              <w:rPr>
                <w:rFonts w:ascii="仿宋" w:hAnsi="仿宋" w:eastAsia="仿宋" w:cs="仿宋"/>
                <w:b/>
                <w:sz w:val="32"/>
              </w:rPr>
            </w:pPr>
          </w:p>
          <w:p w14:paraId="0FF60CF5">
            <w:pPr>
              <w:spacing w:line="360" w:lineRule="auto"/>
              <w:ind w:left="176" w:leftChars="84" w:firstLine="840" w:firstLineChars="400"/>
              <w:rPr>
                <w:rFonts w:ascii="仿宋" w:hAnsi="仿宋" w:eastAsia="仿宋" w:cs="仿宋"/>
                <w:szCs w:val="21"/>
              </w:rPr>
            </w:pPr>
            <w:r>
              <w:rPr>
                <w:rFonts w:hint="eastAsia" w:ascii="仿宋" w:hAnsi="仿宋" w:eastAsia="仿宋" w:cs="仿宋"/>
                <w:szCs w:val="21"/>
              </w:rPr>
              <w:t>磋商单位：</w:t>
            </w:r>
            <w:r>
              <w:rPr>
                <w:rFonts w:hint="eastAsia" w:ascii="仿宋" w:hAnsi="仿宋" w:eastAsia="仿宋" w:cs="仿宋"/>
                <w:szCs w:val="21"/>
                <w:u w:val="single"/>
              </w:rPr>
              <w:t xml:space="preserve">                                       </w:t>
            </w:r>
            <w:r>
              <w:rPr>
                <w:rFonts w:hint="eastAsia" w:ascii="仿宋" w:hAnsi="仿宋" w:eastAsia="仿宋" w:cs="仿宋"/>
                <w:szCs w:val="21"/>
              </w:rPr>
              <w:t>（公章）</w:t>
            </w:r>
          </w:p>
          <w:p w14:paraId="691ACE5B">
            <w:pPr>
              <w:spacing w:line="360" w:lineRule="auto"/>
              <w:ind w:left="176" w:leftChars="84" w:firstLine="840" w:firstLineChars="400"/>
              <w:rPr>
                <w:rFonts w:ascii="仿宋" w:hAnsi="仿宋" w:eastAsia="仿宋" w:cs="仿宋"/>
                <w:szCs w:val="21"/>
                <w:u w:val="single"/>
              </w:rPr>
            </w:pPr>
            <w:r>
              <w:rPr>
                <w:rFonts w:hint="eastAsia" w:ascii="仿宋" w:hAnsi="仿宋" w:eastAsia="仿宋" w:cs="仿宋"/>
                <w:szCs w:val="21"/>
              </w:rPr>
              <w:t>项目名称：</w:t>
            </w:r>
            <w:r>
              <w:rPr>
                <w:rFonts w:hint="eastAsia" w:ascii="仿宋" w:hAnsi="仿宋" w:eastAsia="仿宋" w:cs="仿宋"/>
                <w:szCs w:val="21"/>
                <w:u w:val="single"/>
              </w:rPr>
              <w:t xml:space="preserve">                                          </w:t>
            </w:r>
          </w:p>
          <w:p w14:paraId="51477C99">
            <w:pPr>
              <w:spacing w:line="360" w:lineRule="auto"/>
              <w:ind w:left="176" w:leftChars="84" w:firstLine="840" w:firstLineChars="400"/>
              <w:rPr>
                <w:rFonts w:ascii="仿宋" w:hAnsi="仿宋" w:eastAsia="仿宋" w:cs="仿宋"/>
                <w:szCs w:val="21"/>
                <w:u w:val="single"/>
              </w:rPr>
            </w:pPr>
            <w:r>
              <w:rPr>
                <w:rFonts w:hint="eastAsia" w:ascii="仿宋" w:hAnsi="仿宋" w:eastAsia="仿宋" w:cs="仿宋"/>
                <w:szCs w:val="21"/>
              </w:rPr>
              <w:t>项目编号：</w:t>
            </w:r>
            <w:r>
              <w:rPr>
                <w:rFonts w:hint="eastAsia" w:ascii="仿宋" w:hAnsi="仿宋" w:eastAsia="仿宋" w:cs="仿宋"/>
                <w:szCs w:val="21"/>
                <w:u w:val="single"/>
              </w:rPr>
              <w:t xml:space="preserve">                                        </w:t>
            </w:r>
          </w:p>
          <w:p w14:paraId="4D974144">
            <w:pPr>
              <w:spacing w:line="360" w:lineRule="auto"/>
              <w:ind w:left="176" w:leftChars="84" w:firstLine="840" w:firstLineChars="400"/>
              <w:rPr>
                <w:rFonts w:ascii="仿宋" w:hAnsi="仿宋" w:eastAsia="仿宋" w:cs="仿宋"/>
                <w:szCs w:val="21"/>
                <w:u w:val="single"/>
              </w:rPr>
            </w:pPr>
            <w:r>
              <w:rPr>
                <w:rFonts w:hint="eastAsia" w:ascii="仿宋" w:hAnsi="仿宋" w:eastAsia="仿宋" w:cs="仿宋"/>
                <w:szCs w:val="21"/>
              </w:rPr>
              <w:t>联 系 人：</w:t>
            </w:r>
            <w:r>
              <w:rPr>
                <w:rFonts w:hint="eastAsia" w:ascii="仿宋" w:hAnsi="仿宋" w:eastAsia="仿宋" w:cs="仿宋"/>
                <w:szCs w:val="21"/>
                <w:u w:val="single"/>
              </w:rPr>
              <w:t xml:space="preserve">                                        </w:t>
            </w:r>
          </w:p>
          <w:p w14:paraId="256EC9F5">
            <w:pPr>
              <w:spacing w:line="360" w:lineRule="auto"/>
              <w:ind w:left="176" w:leftChars="84" w:firstLine="840" w:firstLineChars="400"/>
              <w:rPr>
                <w:rFonts w:ascii="仿宋" w:hAnsi="仿宋" w:eastAsia="仿宋" w:cs="仿宋"/>
                <w:szCs w:val="21"/>
              </w:rPr>
            </w:pPr>
            <w:r>
              <w:rPr>
                <w:rFonts w:hint="eastAsia" w:ascii="仿宋" w:hAnsi="仿宋" w:eastAsia="仿宋" w:cs="仿宋"/>
                <w:szCs w:val="21"/>
              </w:rPr>
              <w:t>电    话：</w:t>
            </w:r>
            <w:r>
              <w:rPr>
                <w:rFonts w:hint="eastAsia" w:ascii="仿宋" w:hAnsi="仿宋" w:eastAsia="仿宋" w:cs="仿宋"/>
                <w:szCs w:val="21"/>
                <w:u w:val="single"/>
              </w:rPr>
              <w:t xml:space="preserve">                                        </w:t>
            </w:r>
          </w:p>
          <w:p w14:paraId="0E2C522A">
            <w:pPr>
              <w:spacing w:line="360" w:lineRule="auto"/>
              <w:ind w:left="176" w:leftChars="84" w:firstLine="840" w:firstLineChars="400"/>
              <w:rPr>
                <w:rFonts w:ascii="仿宋" w:hAnsi="仿宋" w:eastAsia="仿宋" w:cs="仿宋"/>
                <w:szCs w:val="21"/>
                <w:u w:val="single"/>
              </w:rPr>
            </w:pPr>
            <w:r>
              <w:rPr>
                <w:rFonts w:hint="eastAsia" w:ascii="仿宋" w:hAnsi="仿宋" w:eastAsia="仿宋" w:cs="仿宋"/>
                <w:szCs w:val="21"/>
              </w:rPr>
              <w:t xml:space="preserve">地    址  ：  </w:t>
            </w:r>
            <w:r>
              <w:rPr>
                <w:rFonts w:hint="eastAsia" w:ascii="仿宋" w:hAnsi="仿宋" w:eastAsia="仿宋" w:cs="仿宋"/>
                <w:szCs w:val="21"/>
                <w:u w:val="single"/>
              </w:rPr>
              <w:t xml:space="preserve">                                    </w:t>
            </w:r>
          </w:p>
          <w:p w14:paraId="797E485A">
            <w:pPr>
              <w:spacing w:line="360" w:lineRule="auto"/>
              <w:ind w:left="176" w:leftChars="84" w:firstLine="960" w:firstLineChars="400"/>
              <w:rPr>
                <w:rFonts w:ascii="仿宋" w:hAnsi="仿宋" w:eastAsia="仿宋" w:cs="仿宋"/>
                <w:sz w:val="24"/>
              </w:rPr>
            </w:pPr>
          </w:p>
          <w:p w14:paraId="6E954AC5">
            <w:pPr>
              <w:jc w:val="center"/>
              <w:rPr>
                <w:rFonts w:ascii="仿宋" w:hAnsi="仿宋" w:eastAsia="仿宋" w:cs="仿宋"/>
                <w:b/>
                <w:bCs/>
              </w:rPr>
            </w:pPr>
          </w:p>
          <w:p w14:paraId="10F917EA">
            <w:pPr>
              <w:jc w:val="center"/>
              <w:rPr>
                <w:rFonts w:ascii="仿宋" w:hAnsi="仿宋" w:eastAsia="仿宋" w:cs="仿宋"/>
                <w:b/>
                <w:bCs/>
              </w:rPr>
            </w:pPr>
          </w:p>
          <w:p w14:paraId="28D23343">
            <w:pPr>
              <w:jc w:val="center"/>
              <w:rPr>
                <w:rFonts w:ascii="仿宋" w:hAnsi="仿宋" w:eastAsia="仿宋" w:cs="仿宋"/>
                <w:b/>
                <w:bCs/>
              </w:rPr>
            </w:pPr>
          </w:p>
          <w:p w14:paraId="6974E6BD">
            <w:pPr>
              <w:jc w:val="center"/>
              <w:rPr>
                <w:rFonts w:ascii="仿宋" w:hAnsi="仿宋" w:eastAsia="仿宋" w:cs="仿宋"/>
                <w:b/>
                <w:bCs/>
              </w:rPr>
            </w:pPr>
            <w:r>
              <w:rPr>
                <w:rFonts w:hint="eastAsia" w:ascii="仿宋" w:hAnsi="仿宋" w:eastAsia="仿宋" w:cs="仿宋"/>
                <w:b/>
                <w:bCs/>
              </w:rPr>
              <w:t>注：   在20XX年   月  日 X午</w:t>
            </w:r>
            <w:r>
              <w:rPr>
                <w:rFonts w:hint="eastAsia" w:ascii="仿宋" w:hAnsi="仿宋" w:eastAsia="仿宋" w:cs="仿宋"/>
                <w:kern w:val="0"/>
                <w:szCs w:val="21"/>
                <w:lang w:bidi="ar"/>
              </w:rPr>
              <w:t>XX</w:t>
            </w:r>
            <w:r>
              <w:rPr>
                <w:rFonts w:hint="eastAsia" w:ascii="仿宋" w:hAnsi="仿宋" w:eastAsia="仿宋" w:cs="仿宋"/>
                <w:b/>
                <w:bCs/>
              </w:rPr>
              <w:t>之前不得启封</w:t>
            </w:r>
          </w:p>
          <w:p w14:paraId="5CEF2248">
            <w:pPr>
              <w:jc w:val="center"/>
              <w:rPr>
                <w:rFonts w:ascii="仿宋" w:hAnsi="仿宋" w:eastAsia="仿宋" w:cs="仿宋"/>
                <w:b/>
                <w:bCs/>
              </w:rPr>
            </w:pPr>
          </w:p>
        </w:tc>
      </w:tr>
    </w:tbl>
    <w:p w14:paraId="2980334F">
      <w:pPr>
        <w:spacing w:line="240" w:lineRule="atLeast"/>
        <w:rPr>
          <w:rFonts w:ascii="仿宋" w:hAnsi="仿宋" w:eastAsia="仿宋" w:cs="仿宋"/>
          <w:b/>
          <w:sz w:val="30"/>
          <w:szCs w:val="30"/>
        </w:rPr>
      </w:pPr>
      <w:r>
        <w:rPr>
          <w:rFonts w:hint="eastAsia" w:ascii="仿宋" w:hAnsi="仿宋" w:eastAsia="仿宋" w:cs="仿宋"/>
          <w:sz w:val="24"/>
        </w:rPr>
        <w:br w:type="page"/>
      </w:r>
    </w:p>
    <w:p w14:paraId="5BCD7F5C">
      <w:pPr>
        <w:spacing w:line="240" w:lineRule="atLeast"/>
        <w:jc w:val="center"/>
        <w:rPr>
          <w:rFonts w:ascii="仿宋" w:hAnsi="仿宋" w:eastAsia="仿宋" w:cs="仿宋"/>
          <w:b/>
          <w:sz w:val="44"/>
          <w:szCs w:val="44"/>
        </w:rPr>
      </w:pPr>
    </w:p>
    <w:p w14:paraId="3A8459DA">
      <w:pPr>
        <w:pStyle w:val="22"/>
        <w:ind w:firstLine="0" w:firstLineChars="0"/>
        <w:rPr>
          <w:rFonts w:ascii="仿宋" w:hAnsi="仿宋" w:eastAsia="仿宋" w:cs="仿宋"/>
          <w:b/>
          <w:sz w:val="44"/>
          <w:szCs w:val="44"/>
        </w:rPr>
      </w:pPr>
    </w:p>
    <w:p w14:paraId="1CD84FCD">
      <w:pPr>
        <w:pStyle w:val="22"/>
        <w:ind w:firstLine="0" w:firstLineChars="0"/>
        <w:rPr>
          <w:rFonts w:ascii="仿宋" w:hAnsi="仿宋" w:eastAsia="仿宋" w:cs="仿宋"/>
          <w:b/>
          <w:sz w:val="44"/>
          <w:szCs w:val="44"/>
        </w:rPr>
      </w:pPr>
    </w:p>
    <w:p w14:paraId="3499F2B5">
      <w:pPr>
        <w:spacing w:line="240" w:lineRule="atLeast"/>
        <w:jc w:val="center"/>
        <w:rPr>
          <w:rFonts w:ascii="仿宋" w:hAnsi="仿宋" w:eastAsia="仿宋" w:cs="仿宋"/>
          <w:b/>
          <w:sz w:val="44"/>
          <w:szCs w:val="44"/>
        </w:rPr>
      </w:pPr>
    </w:p>
    <w:p w14:paraId="09619D81">
      <w:pPr>
        <w:spacing w:line="240" w:lineRule="atLeast"/>
        <w:ind w:left="0" w:leftChars="0" w:firstLine="0" w:firstLineChars="0"/>
        <w:jc w:val="center"/>
        <w:rPr>
          <w:rFonts w:hint="eastAsia" w:ascii="仿宋" w:hAnsi="仿宋" w:eastAsia="仿宋" w:cs="仿宋"/>
          <w:b/>
          <w:sz w:val="52"/>
          <w:szCs w:val="52"/>
        </w:rPr>
      </w:pPr>
      <w:r>
        <w:rPr>
          <w:rFonts w:hint="eastAsia" w:ascii="仿宋" w:hAnsi="仿宋" w:eastAsia="仿宋" w:cs="仿宋"/>
          <w:b/>
          <w:sz w:val="52"/>
          <w:szCs w:val="52"/>
        </w:rPr>
        <w:t>竞争性磋商文件</w:t>
      </w:r>
    </w:p>
    <w:p w14:paraId="4863A05D">
      <w:pPr>
        <w:spacing w:line="240" w:lineRule="atLeast"/>
        <w:ind w:left="0" w:leftChars="0" w:firstLine="0" w:firstLineChars="0"/>
        <w:jc w:val="center"/>
        <w:rPr>
          <w:rFonts w:hint="eastAsia" w:ascii="仿宋" w:hAnsi="仿宋" w:eastAsia="仿宋" w:cs="仿宋"/>
          <w:b/>
          <w:sz w:val="48"/>
          <w:szCs w:val="48"/>
        </w:rPr>
      </w:pPr>
      <w:r>
        <w:rPr>
          <w:rFonts w:hint="eastAsia" w:ascii="仿宋" w:hAnsi="仿宋" w:eastAsia="仿宋" w:cs="仿宋"/>
          <w:b/>
          <w:color w:val="FF0000"/>
          <w:kern w:val="2"/>
          <w:sz w:val="52"/>
          <w:szCs w:val="52"/>
          <w:highlight w:val="none"/>
          <w:u w:val="none"/>
          <w:lang w:val="en-US" w:eastAsia="zh-CN"/>
        </w:rPr>
        <w:t>ZPDL（2025）023</w:t>
      </w:r>
      <w:r>
        <w:rPr>
          <w:rFonts w:hint="eastAsia" w:ascii="仿宋" w:hAnsi="仿宋" w:eastAsia="仿宋" w:cs="仿宋"/>
          <w:b/>
          <w:color w:val="auto"/>
          <w:kern w:val="2"/>
          <w:sz w:val="52"/>
          <w:szCs w:val="52"/>
          <w:highlight w:val="none"/>
          <w:u w:val="none"/>
          <w:lang w:val="en-US" w:eastAsia="zh-CN"/>
        </w:rPr>
        <w:t xml:space="preserve"> </w:t>
      </w:r>
    </w:p>
    <w:p w14:paraId="471325E1">
      <w:pPr>
        <w:spacing w:line="240" w:lineRule="atLeast"/>
        <w:ind w:left="1976" w:leftChars="941" w:firstLine="1648" w:firstLineChars="342"/>
        <w:rPr>
          <w:rFonts w:ascii="仿宋" w:hAnsi="仿宋" w:eastAsia="仿宋" w:cs="仿宋"/>
          <w:sz w:val="52"/>
        </w:rPr>
      </w:pPr>
      <w:r>
        <w:rPr>
          <w:rFonts w:hint="eastAsia" w:ascii="仿宋" w:hAnsi="仿宋" w:eastAsia="仿宋" w:cs="仿宋"/>
          <w:b/>
          <w:sz w:val="48"/>
          <w:szCs w:val="48"/>
        </w:rPr>
        <w:t>第二册</w:t>
      </w:r>
    </w:p>
    <w:p w14:paraId="06CCF55B">
      <w:pPr>
        <w:pStyle w:val="9"/>
        <w:rPr>
          <w:rFonts w:ascii="仿宋" w:hAnsi="仿宋" w:eastAsia="仿宋" w:cs="仿宋"/>
          <w:b/>
          <w:sz w:val="52"/>
        </w:rPr>
      </w:pPr>
    </w:p>
    <w:p w14:paraId="155FD092">
      <w:pPr>
        <w:pStyle w:val="10"/>
      </w:pPr>
    </w:p>
    <w:p w14:paraId="2350EC63">
      <w:pPr>
        <w:rPr>
          <w:rFonts w:ascii="仿宋" w:hAnsi="仿宋" w:eastAsia="仿宋" w:cs="仿宋"/>
        </w:rPr>
      </w:pPr>
      <w:bookmarkStart w:id="475" w:name="_Toc16370"/>
      <w:bookmarkStart w:id="476" w:name="_Toc7145"/>
      <w:bookmarkStart w:id="477" w:name="_Toc18056"/>
      <w:bookmarkStart w:id="478" w:name="_Toc28765"/>
      <w:bookmarkStart w:id="479" w:name="_Toc216582822"/>
      <w:bookmarkStart w:id="480" w:name="_Toc515647829"/>
      <w:bookmarkStart w:id="481" w:name="_Toc219175634"/>
      <w:bookmarkStart w:id="482" w:name="_Toc218935350"/>
      <w:bookmarkStart w:id="483" w:name="_Toc507399902"/>
      <w:r>
        <w:rPr>
          <w:rFonts w:hint="eastAsia" w:ascii="仿宋" w:hAnsi="仿宋" w:eastAsia="仿宋" w:cs="仿宋"/>
        </w:rPr>
        <w:br w:type="page"/>
      </w:r>
    </w:p>
    <w:p w14:paraId="290B6B19">
      <w:pPr>
        <w:pStyle w:val="5"/>
        <w:tabs>
          <w:tab w:val="left" w:pos="0"/>
        </w:tabs>
        <w:spacing w:before="0" w:after="0" w:line="240" w:lineRule="atLeast"/>
        <w:rPr>
          <w:rFonts w:hint="eastAsia" w:ascii="仿宋" w:hAnsi="仿宋" w:eastAsia="仿宋" w:cs="仿宋"/>
          <w:color w:val="auto"/>
          <w:sz w:val="44"/>
          <w:szCs w:val="24"/>
          <w:lang w:eastAsia="zh-CN"/>
        </w:rPr>
      </w:pPr>
      <w:r>
        <w:rPr>
          <w:rFonts w:hint="eastAsia" w:ascii="仿宋" w:hAnsi="仿宋" w:eastAsia="仿宋" w:cs="仿宋"/>
          <w:color w:val="auto"/>
          <w:sz w:val="44"/>
          <w:szCs w:val="24"/>
        </w:rPr>
        <w:t>第3章</w:t>
      </w:r>
      <w:r>
        <w:rPr>
          <w:rFonts w:hint="eastAsia" w:ascii="仿宋" w:hAnsi="仿宋" w:eastAsia="仿宋" w:cs="仿宋"/>
        </w:rPr>
        <w:t xml:space="preserve"> </w:t>
      </w:r>
      <w:bookmarkEnd w:id="475"/>
      <w:bookmarkEnd w:id="476"/>
      <w:bookmarkEnd w:id="477"/>
      <w:bookmarkEnd w:id="478"/>
      <w:bookmarkEnd w:id="479"/>
      <w:bookmarkEnd w:id="480"/>
      <w:bookmarkEnd w:id="481"/>
      <w:bookmarkEnd w:id="482"/>
      <w:bookmarkEnd w:id="483"/>
      <w:bookmarkStart w:id="484" w:name="_Toc13821"/>
      <w:bookmarkStart w:id="485" w:name="_Toc512937850"/>
      <w:bookmarkStart w:id="486" w:name="_Toc216582823"/>
      <w:bookmarkStart w:id="487" w:name="_Toc10488"/>
      <w:bookmarkStart w:id="488" w:name="_Toc5474"/>
      <w:bookmarkStart w:id="489" w:name="_Toc31583"/>
      <w:bookmarkStart w:id="490" w:name="_Toc515647830"/>
      <w:bookmarkStart w:id="491" w:name="_Toc507399903"/>
      <w:r>
        <w:rPr>
          <w:rFonts w:hint="eastAsia" w:ascii="仿宋" w:hAnsi="仿宋" w:eastAsia="仿宋" w:cs="仿宋"/>
          <w:color w:val="auto"/>
          <w:sz w:val="44"/>
          <w:szCs w:val="24"/>
        </w:rPr>
        <w:t>磋商</w:t>
      </w:r>
      <w:r>
        <w:rPr>
          <w:rFonts w:hint="eastAsia" w:ascii="仿宋" w:hAnsi="仿宋" w:eastAsia="仿宋" w:cs="仿宋"/>
          <w:color w:val="auto"/>
          <w:sz w:val="44"/>
          <w:szCs w:val="24"/>
          <w:lang w:eastAsia="zh-CN"/>
        </w:rPr>
        <w:t>公告</w:t>
      </w:r>
    </w:p>
    <w:p w14:paraId="4B4CC5C0">
      <w:pPr>
        <w:spacing w:line="400" w:lineRule="exact"/>
        <w:jc w:val="center"/>
        <w:rPr>
          <w:rFonts w:hint="eastAsia" w:ascii="仿宋" w:hAnsi="仿宋" w:eastAsia="仿宋" w:cs="仿宋"/>
          <w:b/>
          <w:bCs/>
          <w:sz w:val="36"/>
          <w:szCs w:val="36"/>
          <w:highlight w:val="yellow"/>
          <w:u w:val="none"/>
        </w:rPr>
      </w:pPr>
      <w:r>
        <w:rPr>
          <w:rFonts w:hint="eastAsia" w:ascii="仿宋" w:hAnsi="仿宋" w:eastAsia="仿宋" w:cs="Times New Roman"/>
          <w:b/>
          <w:bCs/>
          <w:i w:val="0"/>
          <w:iCs w:val="0"/>
          <w:caps w:val="0"/>
          <w:color w:val="auto"/>
          <w:spacing w:val="0"/>
          <w:kern w:val="2"/>
          <w:sz w:val="36"/>
          <w:szCs w:val="36"/>
          <w:u w:val="none"/>
          <w:shd w:val="clear" w:fill="auto"/>
          <w:lang w:eastAsia="zh-CN"/>
        </w:rPr>
        <w:t>新疆全咨建设工程项目管理咨询有限公司</w:t>
      </w:r>
      <w:r>
        <w:rPr>
          <w:rFonts w:hint="eastAsia" w:ascii="仿宋" w:hAnsi="仿宋" w:eastAsia="仿宋" w:cs="Times New Roman"/>
          <w:b/>
          <w:bCs/>
          <w:sz w:val="36"/>
          <w:szCs w:val="36"/>
          <w:u w:val="none"/>
          <w:lang w:val="en-US" w:eastAsia="zh-CN"/>
        </w:rPr>
        <w:t>关于泽普县中等职业技术学校精品在线开放课程建设项目的</w:t>
      </w:r>
      <w:r>
        <w:rPr>
          <w:rFonts w:hint="eastAsia" w:ascii="仿宋" w:hAnsi="仿宋" w:eastAsia="仿宋"/>
          <w:b/>
          <w:bCs/>
          <w:sz w:val="36"/>
          <w:szCs w:val="36"/>
          <w:u w:val="none"/>
          <w:lang w:val="en-US" w:eastAsia="zh-CN"/>
        </w:rPr>
        <w:t>竞争性磋商公告</w:t>
      </w:r>
    </w:p>
    <w:p w14:paraId="76A24429">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150" w:afterAutospacing="0" w:line="200" w:lineRule="exact"/>
        <w:ind w:left="0" w:right="0"/>
        <w:textAlignment w:val="auto"/>
        <w:outlineLvl w:val="1"/>
        <w:rPr>
          <w:rFonts w:hint="eastAsia" w:ascii="仿宋" w:hAnsi="仿宋" w:eastAsia="仿宋" w:cs="仿宋"/>
          <w:sz w:val="21"/>
          <w:szCs w:val="21"/>
        </w:rPr>
      </w:pPr>
      <w:bookmarkStart w:id="492" w:name="_Toc20479"/>
      <w:r>
        <w:rPr>
          <w:rFonts w:hint="eastAsia" w:ascii="仿宋" w:hAnsi="仿宋" w:eastAsia="仿宋" w:cs="仿宋"/>
          <w:b/>
          <w:bCs/>
          <w:i w:val="0"/>
          <w:iCs w:val="0"/>
          <w:caps w:val="0"/>
          <w:color w:val="000000"/>
          <w:spacing w:val="0"/>
          <w:sz w:val="28"/>
          <w:szCs w:val="28"/>
        </w:rPr>
        <w:t xml:space="preserve">项目概况   </w:t>
      </w:r>
      <w:r>
        <w:rPr>
          <w:rFonts w:hint="eastAsia" w:ascii="仿宋" w:hAnsi="仿宋" w:eastAsia="仿宋" w:cs="仿宋"/>
          <w:b/>
          <w:bCs/>
          <w:i w:val="0"/>
          <w:iCs w:val="0"/>
          <w:caps w:val="0"/>
          <w:color w:val="000000"/>
          <w:spacing w:val="0"/>
          <w:sz w:val="21"/>
          <w:szCs w:val="21"/>
        </w:rPr>
        <w:t xml:space="preserve">  </w:t>
      </w:r>
      <w:r>
        <w:rPr>
          <w:rFonts w:hint="eastAsia" w:ascii="仿宋" w:hAnsi="仿宋" w:eastAsia="仿宋" w:cs="仿宋"/>
          <w:i w:val="0"/>
          <w:iCs w:val="0"/>
          <w:caps w:val="0"/>
          <w:color w:val="000000"/>
          <w:spacing w:val="0"/>
          <w:sz w:val="21"/>
          <w:szCs w:val="21"/>
        </w:rPr>
        <w:t>                                               </w:t>
      </w:r>
      <w:bookmarkEnd w:id="492"/>
    </w:p>
    <w:p w14:paraId="0572FFB6">
      <w:pPr>
        <w:pStyle w:val="18"/>
        <w:keepNext w:val="0"/>
        <w:keepLines w:val="0"/>
        <w:widowControl/>
        <w:suppressLineNumbers w:val="0"/>
        <w:spacing w:before="75" w:beforeAutospacing="0" w:after="75" w:afterAutospacing="0" w:line="360" w:lineRule="auto"/>
        <w:ind w:left="0" w:right="0"/>
        <w:rPr>
          <w:rFonts w:hint="eastAsia" w:ascii="仿宋" w:hAnsi="仿宋" w:eastAsia="仿宋"/>
          <w:sz w:val="24"/>
          <w:szCs w:val="24"/>
          <w:highlight w:val="none"/>
          <w:u w:val="none"/>
          <w:lang w:val="en-US" w:eastAsia="zh-CN"/>
        </w:rPr>
      </w:pPr>
      <w:r>
        <w:rPr>
          <w:rFonts w:hint="eastAsia" w:ascii="仿宋" w:hAnsi="仿宋" w:eastAsia="仿宋"/>
          <w:sz w:val="24"/>
          <w:szCs w:val="24"/>
          <w:u w:val="none"/>
          <w:lang w:val="en-US" w:eastAsia="zh-CN"/>
        </w:rPr>
        <w:t> </w:t>
      </w:r>
      <w:r>
        <w:rPr>
          <w:rFonts w:hint="eastAsia" w:ascii="仿宋" w:hAnsi="仿宋" w:eastAsia="仿宋" w:cs="Times New Roman"/>
          <w:sz w:val="24"/>
          <w:szCs w:val="24"/>
          <w:u w:val="none"/>
          <w:lang w:val="en-US" w:eastAsia="zh-CN"/>
        </w:rPr>
        <w:t xml:space="preserve"> </w:t>
      </w:r>
      <w:r>
        <w:rPr>
          <w:rFonts w:hint="eastAsia" w:ascii="仿宋" w:hAnsi="仿宋" w:eastAsia="仿宋" w:cs="Times New Roman"/>
          <w:sz w:val="24"/>
          <w:szCs w:val="24"/>
          <w:u w:val="single"/>
          <w:lang w:val="en-US" w:eastAsia="zh-CN"/>
        </w:rPr>
        <w:t>  泽普县中等职业技术学校精品在线开放课程建设项目</w:t>
      </w:r>
      <w:r>
        <w:rPr>
          <w:rFonts w:hint="eastAsia" w:ascii="仿宋" w:hAnsi="仿宋" w:eastAsia="仿宋"/>
          <w:sz w:val="24"/>
          <w:szCs w:val="24"/>
          <w:u w:val="none"/>
          <w:lang w:val="en-US" w:eastAsia="zh-CN"/>
        </w:rPr>
        <w:t>的潜在供应商应通过</w:t>
      </w:r>
      <w:r>
        <w:rPr>
          <w:rFonts w:hint="eastAsia" w:ascii="仿宋" w:hAnsi="仿宋" w:eastAsia="仿宋"/>
          <w:sz w:val="24"/>
          <w:szCs w:val="24"/>
          <w:u w:val="single"/>
          <w:lang w:val="en-US" w:eastAsia="zh-CN"/>
        </w:rPr>
        <w:t xml:space="preserve">政采云http://www.ccgp-xinjiang.gov.cn/ </w:t>
      </w:r>
      <w:r>
        <w:rPr>
          <w:rFonts w:hint="eastAsia" w:ascii="仿宋" w:hAnsi="仿宋" w:eastAsia="仿宋"/>
          <w:sz w:val="24"/>
          <w:szCs w:val="24"/>
          <w:u w:val="none"/>
          <w:lang w:val="en-US" w:eastAsia="zh-CN"/>
        </w:rPr>
        <w:t>获取招标文件，并于</w:t>
      </w:r>
      <w:r>
        <w:rPr>
          <w:rFonts w:hint="eastAsia" w:ascii="仿宋" w:hAnsi="仿宋" w:eastAsia="仿宋"/>
          <w:color w:val="FF0000"/>
          <w:sz w:val="24"/>
          <w:szCs w:val="24"/>
          <w:highlight w:val="none"/>
          <w:u w:val="none"/>
          <w:lang w:val="en-US" w:eastAsia="zh-CN"/>
        </w:rPr>
        <w:t>2025年</w:t>
      </w:r>
      <w:r>
        <w:rPr>
          <w:rFonts w:hint="eastAsia" w:ascii="仿宋" w:hAnsi="仿宋" w:eastAsia="仿宋"/>
          <w:b w:val="0"/>
          <w:bCs w:val="0"/>
          <w:color w:val="FF0000"/>
          <w:sz w:val="24"/>
          <w:szCs w:val="24"/>
          <w:highlight w:val="none"/>
          <w:u w:val="none"/>
          <w:lang w:val="en-US" w:eastAsia="zh-CN"/>
        </w:rPr>
        <w:t>4月21</w:t>
      </w:r>
      <w:r>
        <w:rPr>
          <w:rFonts w:hint="eastAsia" w:ascii="仿宋" w:hAnsi="仿宋" w:eastAsia="仿宋"/>
          <w:color w:val="FF0000"/>
          <w:sz w:val="24"/>
          <w:szCs w:val="24"/>
          <w:highlight w:val="none"/>
          <w:u w:val="none"/>
          <w:lang w:val="en-US" w:eastAsia="zh-CN"/>
        </w:rPr>
        <w:t>日11:00（北京时间）</w:t>
      </w:r>
      <w:r>
        <w:rPr>
          <w:rFonts w:hint="eastAsia" w:ascii="仿宋" w:hAnsi="仿宋" w:eastAsia="仿宋"/>
          <w:sz w:val="24"/>
          <w:szCs w:val="24"/>
          <w:highlight w:val="none"/>
          <w:u w:val="none"/>
          <w:lang w:val="en-US" w:eastAsia="zh-CN"/>
        </w:rPr>
        <w:t>前提交响应文件。 </w:t>
      </w:r>
    </w:p>
    <w:p w14:paraId="7E0F5666">
      <w:pPr>
        <w:pStyle w:val="18"/>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200" w:lineRule="exact"/>
        <w:ind w:left="0" w:right="0" w:firstLine="0"/>
        <w:jc w:val="both"/>
        <w:textAlignment w:val="auto"/>
        <w:outlineLvl w:val="1"/>
        <w:rPr>
          <w:rFonts w:hint="eastAsia" w:ascii="仿宋" w:hAnsi="仿宋" w:eastAsia="仿宋" w:cs="仿宋"/>
          <w:b/>
          <w:bCs/>
          <w:i w:val="0"/>
          <w:iCs w:val="0"/>
          <w:caps w:val="0"/>
          <w:color w:val="000000"/>
          <w:spacing w:val="0"/>
          <w:sz w:val="22"/>
          <w:szCs w:val="22"/>
          <w:highlight w:val="none"/>
        </w:rPr>
      </w:pPr>
      <w:bookmarkStart w:id="493" w:name="_Toc17175"/>
      <w:r>
        <w:rPr>
          <w:rStyle w:val="26"/>
          <w:rFonts w:hint="eastAsia" w:ascii="仿宋" w:hAnsi="仿宋" w:eastAsia="仿宋" w:cs="仿宋"/>
          <w:b/>
          <w:bCs/>
          <w:i w:val="0"/>
          <w:iCs w:val="0"/>
          <w:caps w:val="0"/>
          <w:color w:val="000000"/>
          <w:spacing w:val="0"/>
          <w:sz w:val="24"/>
          <w:szCs w:val="24"/>
          <w:highlight w:val="none"/>
        </w:rPr>
        <w:t>一、项目基本情况</w:t>
      </w:r>
      <w:bookmarkEnd w:id="493"/>
    </w:p>
    <w:p w14:paraId="44E75035">
      <w:pPr>
        <w:keepNext w:val="0"/>
        <w:keepLines w:val="0"/>
        <w:pageBreakBefore w:val="0"/>
        <w:kinsoku/>
        <w:wordWrap/>
        <w:overflowPunct/>
        <w:topLinePunct w:val="0"/>
        <w:autoSpaceDE/>
        <w:autoSpaceDN/>
        <w:bidi w:val="0"/>
        <w:adjustRightInd/>
        <w:snapToGrid/>
        <w:spacing w:before="75" w:after="75" w:line="360" w:lineRule="auto"/>
        <w:jc w:val="both"/>
        <w:textAlignment w:val="auto"/>
        <w:rPr>
          <w:rFonts w:hint="default" w:ascii="仿宋" w:hAnsi="仿宋" w:eastAsia="仿宋" w:cs="Times New Roman"/>
          <w:kern w:val="2"/>
          <w:sz w:val="24"/>
          <w:szCs w:val="24"/>
          <w:highlight w:val="none"/>
          <w:u w:val="none"/>
          <w:lang w:val="en-US" w:eastAsia="zh-CN" w:bidi="ar-SA"/>
        </w:rPr>
      </w:pPr>
      <w:r>
        <w:rPr>
          <w:rFonts w:hint="eastAsia" w:ascii="仿宋" w:hAnsi="仿宋" w:eastAsia="仿宋" w:cs="Times New Roman"/>
          <w:kern w:val="2"/>
          <w:sz w:val="24"/>
          <w:szCs w:val="24"/>
          <w:highlight w:val="none"/>
          <w:u w:val="none"/>
          <w:lang w:val="en-US" w:eastAsia="zh-CN" w:bidi="ar-SA"/>
        </w:rPr>
        <w:t>项目编号：</w:t>
      </w:r>
      <w:r>
        <w:rPr>
          <w:rFonts w:hint="eastAsia" w:ascii="仿宋" w:hAnsi="仿宋" w:eastAsia="仿宋" w:cs="Times New Roman"/>
          <w:b w:val="0"/>
          <w:color w:val="auto"/>
          <w:kern w:val="2"/>
          <w:sz w:val="24"/>
          <w:szCs w:val="24"/>
          <w:highlight w:val="none"/>
          <w:u w:val="none"/>
          <w:lang w:val="en-US" w:eastAsia="zh-CN"/>
        </w:rPr>
        <w:t>ZPDL（2025）023</w:t>
      </w:r>
    </w:p>
    <w:p w14:paraId="19C66FFB">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jc w:val="both"/>
        <w:textAlignment w:val="auto"/>
        <w:rPr>
          <w:rFonts w:hint="eastAsia" w:ascii="仿宋" w:hAnsi="仿宋" w:eastAsia="仿宋" w:cs="Times New Roman"/>
          <w:kern w:val="2"/>
          <w:sz w:val="24"/>
          <w:szCs w:val="24"/>
          <w:highlight w:val="none"/>
          <w:u w:val="none"/>
          <w:lang w:val="en-US" w:eastAsia="zh-CN" w:bidi="ar-SA"/>
        </w:rPr>
      </w:pPr>
      <w:r>
        <w:rPr>
          <w:rFonts w:hint="eastAsia" w:ascii="仿宋" w:hAnsi="仿宋" w:eastAsia="仿宋" w:cs="Times New Roman"/>
          <w:kern w:val="2"/>
          <w:sz w:val="24"/>
          <w:szCs w:val="24"/>
          <w:highlight w:val="none"/>
          <w:u w:val="none"/>
          <w:lang w:val="en-US" w:eastAsia="zh-CN" w:bidi="ar-SA"/>
        </w:rPr>
        <w:t xml:space="preserve">项目名称：泽普县中等职业技术学校精品在线开放课程建设项目  </w:t>
      </w:r>
    </w:p>
    <w:p w14:paraId="14CA9578">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jc w:val="both"/>
        <w:textAlignment w:val="auto"/>
        <w:rPr>
          <w:rFonts w:hint="eastAsia" w:ascii="仿宋" w:hAnsi="仿宋" w:eastAsia="仿宋" w:cs="Times New Roman"/>
          <w:kern w:val="2"/>
          <w:sz w:val="24"/>
          <w:szCs w:val="24"/>
          <w:highlight w:val="none"/>
          <w:u w:val="none"/>
          <w:lang w:val="en-US" w:eastAsia="zh-CN" w:bidi="ar-SA"/>
        </w:rPr>
      </w:pPr>
      <w:r>
        <w:rPr>
          <w:rFonts w:hint="eastAsia" w:ascii="仿宋" w:hAnsi="仿宋" w:eastAsia="仿宋" w:cs="Times New Roman"/>
          <w:kern w:val="2"/>
          <w:sz w:val="24"/>
          <w:szCs w:val="24"/>
          <w:highlight w:val="none"/>
          <w:u w:val="none"/>
          <w:lang w:val="en-US" w:eastAsia="zh-CN" w:bidi="ar-SA"/>
        </w:rPr>
        <w:t>采购方式：竞争性磋商 </w:t>
      </w:r>
    </w:p>
    <w:p w14:paraId="46D4E2C4">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jc w:val="both"/>
        <w:textAlignment w:val="auto"/>
        <w:rPr>
          <w:rFonts w:hint="default" w:ascii="仿宋" w:hAnsi="仿宋" w:eastAsia="仿宋" w:cs="Times New Roman"/>
          <w:kern w:val="2"/>
          <w:sz w:val="24"/>
          <w:szCs w:val="24"/>
          <w:highlight w:val="none"/>
          <w:u w:val="none"/>
          <w:lang w:val="en-US" w:eastAsia="zh-CN" w:bidi="ar-SA"/>
        </w:rPr>
      </w:pPr>
      <w:r>
        <w:rPr>
          <w:rFonts w:hint="eastAsia" w:ascii="仿宋" w:hAnsi="仿宋" w:eastAsia="仿宋" w:cs="Times New Roman"/>
          <w:kern w:val="2"/>
          <w:sz w:val="24"/>
          <w:szCs w:val="24"/>
          <w:highlight w:val="none"/>
          <w:u w:val="none"/>
          <w:lang w:val="en-US" w:eastAsia="zh-CN" w:bidi="ar-SA"/>
        </w:rPr>
        <w:t> 预算金额（万元）： 580200.4元</w:t>
      </w:r>
    </w:p>
    <w:p w14:paraId="7A2239A1">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right="0"/>
        <w:jc w:val="both"/>
        <w:textAlignment w:val="auto"/>
        <w:rPr>
          <w:rFonts w:hint="default" w:ascii="仿宋" w:hAnsi="仿宋" w:eastAsia="仿宋" w:cs="Times New Roman"/>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Times New Roman"/>
          <w:kern w:val="2"/>
          <w:sz w:val="24"/>
          <w:szCs w:val="24"/>
          <w:highlight w:val="none"/>
          <w:u w:val="none"/>
          <w:lang w:val="en-US" w:eastAsia="zh-CN" w:bidi="ar-SA"/>
        </w:rPr>
        <w:t>最高限价（万元）</w:t>
      </w:r>
      <w:r>
        <w:rPr>
          <w:rFonts w:hint="eastAsia" w:ascii="仿宋" w:hAnsi="仿宋" w:eastAsia="仿宋" w:cs="Times New Roman"/>
          <w:color w:val="000000" w:themeColor="text1"/>
          <w:kern w:val="2"/>
          <w:sz w:val="24"/>
          <w:szCs w:val="24"/>
          <w:highlight w:val="none"/>
          <w:u w:val="none"/>
          <w:lang w:val="en-US" w:eastAsia="zh-CN" w:bidi="ar-SA"/>
          <w14:textFill>
            <w14:solidFill>
              <w14:schemeClr w14:val="tx1"/>
            </w14:solidFill>
          </w14:textFill>
        </w:rPr>
        <w:t>： 580200.4元</w:t>
      </w:r>
    </w:p>
    <w:p w14:paraId="3243679B">
      <w:pPr>
        <w:keepNext w:val="0"/>
        <w:keepLines w:val="0"/>
        <w:widowControl/>
        <w:suppressLineNumbers w:val="0"/>
        <w:spacing w:before="75" w:beforeAutospacing="0" w:after="75" w:afterAutospacing="0" w:line="360" w:lineRule="auto"/>
        <w:ind w:right="0"/>
        <w:rPr>
          <w:rFonts w:hint="eastAsia" w:ascii="仿宋" w:hAnsi="仿宋" w:eastAsia="仿宋"/>
          <w:sz w:val="24"/>
          <w:szCs w:val="24"/>
          <w:highlight w:val="none"/>
          <w:u w:val="none"/>
          <w:lang w:val="en-US" w:eastAsia="zh-CN"/>
        </w:rPr>
      </w:pPr>
      <w:r>
        <w:rPr>
          <w:rFonts w:hint="eastAsia" w:ascii="仿宋" w:hAnsi="仿宋" w:eastAsia="仿宋" w:cs="Times New Roman"/>
          <w:kern w:val="2"/>
          <w:sz w:val="24"/>
          <w:szCs w:val="24"/>
          <w:highlight w:val="none"/>
          <w:u w:val="none"/>
          <w:lang w:val="en-US" w:eastAsia="zh-CN" w:bidi="ar-SA"/>
        </w:rPr>
        <w:t>采购需求：</w:t>
      </w:r>
      <w:r>
        <w:rPr>
          <w:rFonts w:hint="eastAsia" w:ascii="仿宋" w:hAnsi="仿宋" w:eastAsia="仿宋" w:cs="Times New Roman"/>
          <w:color w:val="FF0000"/>
          <w:kern w:val="2"/>
          <w:sz w:val="24"/>
          <w:szCs w:val="24"/>
          <w:highlight w:val="none"/>
          <w:u w:val="none"/>
          <w:lang w:val="en-US" w:eastAsia="zh-CN" w:bidi="ar-SA"/>
        </w:rPr>
        <w:t>在线开放课程-餐饮服务与管理、老年沟通与照护、摄影摄像技术、果树生产技术（具体内容详见清单）</w:t>
      </w:r>
    </w:p>
    <w:p w14:paraId="62B1912C">
      <w:pPr>
        <w:pStyle w:val="18"/>
        <w:keepNext w:val="0"/>
        <w:keepLines w:val="0"/>
        <w:widowControl/>
        <w:suppressLineNumbers w:val="0"/>
        <w:spacing w:before="75" w:beforeAutospacing="0" w:after="75" w:afterAutospacing="0" w:line="360" w:lineRule="auto"/>
        <w:ind w:left="0" w:right="0"/>
        <w:rPr>
          <w:rFonts w:hint="eastAsia" w:ascii="仿宋" w:hAnsi="仿宋" w:eastAsia="仿宋"/>
          <w:sz w:val="24"/>
          <w:szCs w:val="24"/>
          <w:highlight w:val="none"/>
          <w:u w:val="none"/>
          <w:lang w:val="en-US" w:eastAsia="zh-CN"/>
        </w:rPr>
      </w:pPr>
      <w:r>
        <w:rPr>
          <w:rFonts w:hint="eastAsia" w:ascii="仿宋" w:hAnsi="仿宋" w:eastAsia="仿宋"/>
          <w:sz w:val="24"/>
          <w:szCs w:val="24"/>
          <w:highlight w:val="none"/>
          <w:u w:val="none"/>
          <w:lang w:val="en-US" w:eastAsia="zh-CN"/>
        </w:rPr>
        <w:t>备注： 1、合同履约期限：</w:t>
      </w:r>
      <w:r>
        <w:rPr>
          <w:rFonts w:hint="eastAsia" w:ascii="仿宋" w:hAnsi="仿宋" w:eastAsia="仿宋"/>
          <w:color w:val="auto"/>
          <w:sz w:val="24"/>
          <w:szCs w:val="24"/>
          <w:highlight w:val="none"/>
          <w:u w:val="none"/>
          <w:lang w:val="en-US" w:eastAsia="zh-CN"/>
        </w:rPr>
        <w:t>签订合同后12个月内完成(具体以签约合同为准)。</w:t>
      </w:r>
    </w:p>
    <w:p w14:paraId="651DB821">
      <w:pPr>
        <w:pStyle w:val="18"/>
        <w:keepNext w:val="0"/>
        <w:keepLines w:val="0"/>
        <w:widowControl/>
        <w:suppressLineNumbers w:val="0"/>
        <w:spacing w:before="75" w:beforeAutospacing="0" w:after="75" w:afterAutospacing="0" w:line="360" w:lineRule="auto"/>
        <w:ind w:right="0" w:firstLine="720" w:firstLineChars="300"/>
        <w:rPr>
          <w:rFonts w:hint="eastAsia" w:ascii="仿宋" w:hAnsi="仿宋" w:eastAsia="仿宋" w:cs="Times New Roman"/>
          <w:kern w:val="2"/>
          <w:sz w:val="24"/>
          <w:szCs w:val="24"/>
          <w:u w:val="none"/>
          <w:lang w:val="en-US" w:eastAsia="zh-CN" w:bidi="ar-SA"/>
        </w:rPr>
      </w:pPr>
      <w:r>
        <w:rPr>
          <w:rFonts w:hint="eastAsia" w:ascii="仿宋" w:hAnsi="仿宋" w:eastAsia="仿宋" w:cs="Times New Roman"/>
          <w:kern w:val="2"/>
          <w:sz w:val="24"/>
          <w:szCs w:val="24"/>
          <w:u w:val="none"/>
          <w:lang w:val="en-US" w:eastAsia="zh-CN" w:bidi="ar-SA"/>
        </w:rPr>
        <w:t>2、本项目不接受联合体投标。  </w:t>
      </w:r>
    </w:p>
    <w:p w14:paraId="20F43D66">
      <w:pPr>
        <w:pStyle w:val="18"/>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290" w:lineRule="atLeast"/>
        <w:ind w:left="0" w:right="0" w:firstLine="0"/>
        <w:jc w:val="both"/>
        <w:textAlignment w:val="auto"/>
        <w:outlineLvl w:val="1"/>
        <w:rPr>
          <w:rFonts w:hint="eastAsia" w:ascii="仿宋" w:hAnsi="仿宋" w:eastAsia="仿宋" w:cs="Times New Roman"/>
          <w:kern w:val="2"/>
          <w:sz w:val="24"/>
          <w:szCs w:val="24"/>
          <w:u w:val="none"/>
          <w:lang w:val="en-US" w:eastAsia="zh-CN" w:bidi="ar-SA"/>
        </w:rPr>
      </w:pPr>
      <w:bookmarkStart w:id="494" w:name="_Toc10484"/>
      <w:r>
        <w:rPr>
          <w:rFonts w:hint="eastAsia" w:ascii="仿宋" w:hAnsi="仿宋" w:eastAsia="仿宋" w:cs="Times New Roman"/>
          <w:kern w:val="2"/>
          <w:sz w:val="24"/>
          <w:szCs w:val="24"/>
          <w:u w:val="none"/>
          <w:lang w:val="en-US" w:eastAsia="zh-CN" w:bidi="ar-SA"/>
        </w:rPr>
        <w:t>二、申请人的资格要求：</w:t>
      </w:r>
      <w:bookmarkEnd w:id="494"/>
    </w:p>
    <w:p w14:paraId="362D449A">
      <w:pPr>
        <w:pStyle w:val="18"/>
        <w:keepNext w:val="0"/>
        <w:keepLines w:val="0"/>
        <w:pageBreakBefore w:val="0"/>
        <w:widowControl/>
        <w:kinsoku/>
        <w:wordWrap/>
        <w:overflowPunct/>
        <w:topLinePunct w:val="0"/>
        <w:autoSpaceDE/>
        <w:autoSpaceDN/>
        <w:bidi w:val="0"/>
        <w:adjustRightInd/>
        <w:snapToGrid/>
        <w:spacing w:before="75" w:after="75" w:line="400" w:lineRule="exact"/>
        <w:ind w:firstLine="240" w:firstLineChars="100"/>
        <w:textAlignment w:val="auto"/>
        <w:rPr>
          <w:rFonts w:hint="eastAsia" w:ascii="仿宋" w:hAnsi="仿宋" w:eastAsia="仿宋" w:cs="Times New Roman"/>
          <w:kern w:val="2"/>
          <w:sz w:val="24"/>
          <w:szCs w:val="24"/>
          <w:u w:val="none"/>
          <w:lang w:val="en-US" w:eastAsia="zh-CN" w:bidi="ar-SA"/>
        </w:rPr>
      </w:pPr>
      <w:r>
        <w:rPr>
          <w:rFonts w:hint="eastAsia" w:ascii="仿宋" w:hAnsi="仿宋" w:eastAsia="仿宋" w:cs="Times New Roman"/>
          <w:kern w:val="2"/>
          <w:sz w:val="24"/>
          <w:szCs w:val="24"/>
          <w:u w:val="none"/>
          <w:lang w:val="en-US" w:eastAsia="zh-CN" w:bidi="ar-SA"/>
        </w:rPr>
        <w:t>满足《中华人民共和国政府采购法》第二十二条规定；</w:t>
      </w:r>
    </w:p>
    <w:p w14:paraId="44974F4C">
      <w:pPr>
        <w:pStyle w:val="11"/>
        <w:spacing w:line="360" w:lineRule="auto"/>
        <w:jc w:val="left"/>
        <w:rPr>
          <w:rFonts w:hint="eastAsia" w:ascii="仿宋" w:hAnsi="仿宋" w:eastAsia="仿宋" w:cs="Times New Roman"/>
          <w:kern w:val="2"/>
          <w:sz w:val="24"/>
          <w:szCs w:val="24"/>
          <w:u w:val="none"/>
          <w:lang w:val="en-US" w:eastAsia="zh-CN" w:bidi="ar-SA"/>
        </w:rPr>
      </w:pPr>
      <w:r>
        <w:rPr>
          <w:rFonts w:hint="eastAsia" w:ascii="仿宋" w:hAnsi="仿宋" w:eastAsia="仿宋" w:cs="Times New Roman"/>
          <w:kern w:val="2"/>
          <w:sz w:val="24"/>
          <w:szCs w:val="24"/>
          <w:u w:val="none"/>
          <w:lang w:val="en-US" w:eastAsia="zh-CN" w:bidi="ar-SA"/>
        </w:rPr>
        <w:t>1、合格有效的营业执照（三证合一）副本（原件、复印件、影印件均可）或电子营业执照打印件（需加盖公章）或同等法律效力的证明文件（发证机关或公证机关出具的证明材料原件）；法人或者非法人组织营业执照等证明文件复印件（须加盖本单位章）或自然人的身份证明复印件;</w:t>
      </w:r>
    </w:p>
    <w:p w14:paraId="752C44A0">
      <w:pPr>
        <w:pStyle w:val="11"/>
        <w:spacing w:line="360" w:lineRule="auto"/>
        <w:jc w:val="left"/>
        <w:rPr>
          <w:rFonts w:hint="eastAsia" w:ascii="仿宋" w:hAnsi="仿宋" w:eastAsia="仿宋" w:cs="Times New Roman"/>
          <w:kern w:val="2"/>
          <w:sz w:val="24"/>
          <w:szCs w:val="24"/>
          <w:u w:val="none"/>
          <w:lang w:val="en-US" w:eastAsia="zh-CN" w:bidi="ar-SA"/>
        </w:rPr>
      </w:pPr>
      <w:r>
        <w:rPr>
          <w:rFonts w:hint="eastAsia" w:ascii="仿宋" w:hAnsi="仿宋" w:eastAsia="仿宋" w:cs="Times New Roman"/>
          <w:kern w:val="2"/>
          <w:sz w:val="24"/>
          <w:szCs w:val="24"/>
          <w:u w:val="none"/>
          <w:lang w:val="en-US" w:eastAsia="zh-CN" w:bidi="ar-SA"/>
        </w:rPr>
        <w:t>2、法定代表人身份证明或法定代表人授权委托书及被授权人身份证；</w:t>
      </w:r>
    </w:p>
    <w:p w14:paraId="510D4DEF">
      <w:pPr>
        <w:pStyle w:val="11"/>
        <w:spacing w:line="360" w:lineRule="auto"/>
        <w:jc w:val="left"/>
        <w:rPr>
          <w:rFonts w:hint="eastAsia" w:ascii="仿宋" w:hAnsi="仿宋" w:eastAsia="仿宋" w:cs="Times New Roman"/>
          <w:kern w:val="2"/>
          <w:sz w:val="24"/>
          <w:szCs w:val="24"/>
          <w:u w:val="none"/>
          <w:lang w:val="en-US" w:eastAsia="zh-CN" w:bidi="ar-SA"/>
        </w:rPr>
      </w:pPr>
      <w:r>
        <w:rPr>
          <w:rFonts w:hint="eastAsia" w:ascii="仿宋" w:hAnsi="仿宋" w:eastAsia="仿宋" w:cs="Times New Roman"/>
          <w:kern w:val="2"/>
          <w:sz w:val="24"/>
          <w:szCs w:val="24"/>
          <w:u w:val="none"/>
          <w:lang w:val="en-US" w:eastAsia="zh-CN" w:bidi="ar-SA"/>
        </w:rPr>
        <w:t>3、近期（投标截止日期前六个月内任意一个月）依法缴纳社会保障金的缴费证明或银行出具的“银行电子缴纳社会保障金付款凭证”（新成立公司提供相关证明文件）；</w:t>
      </w:r>
    </w:p>
    <w:p w14:paraId="091E9FD6">
      <w:pPr>
        <w:pStyle w:val="11"/>
        <w:spacing w:line="360" w:lineRule="auto"/>
        <w:jc w:val="left"/>
        <w:rPr>
          <w:rFonts w:hint="eastAsia" w:ascii="仿宋" w:hAnsi="仿宋" w:eastAsia="仿宋" w:cs="Times New Roman"/>
          <w:kern w:val="2"/>
          <w:sz w:val="24"/>
          <w:szCs w:val="24"/>
          <w:u w:val="none"/>
          <w:lang w:val="en-US" w:eastAsia="zh-CN" w:bidi="ar-SA"/>
        </w:rPr>
      </w:pPr>
      <w:r>
        <w:rPr>
          <w:rFonts w:hint="eastAsia" w:ascii="仿宋" w:hAnsi="仿宋" w:eastAsia="仿宋" w:cs="Times New Roman"/>
          <w:kern w:val="2"/>
          <w:sz w:val="24"/>
          <w:szCs w:val="24"/>
          <w:u w:val="none"/>
          <w:lang w:val="en-US" w:eastAsia="zh-CN" w:bidi="ar-SA"/>
        </w:rPr>
        <w:t>4、近期（投标截止日期前六个月内任意一个月）依法缴纳税收的证明材料（税务部门出具的完税凭证或缴税证明或银行出具的“银行电子缴税付款凭证”；新成立公司提供相关证明文件）；注：①若为零申报企业，需提供无欠税证明或国家税务总局电子税务局“申报结果查询截图”。②“税种”非社会保险；</w:t>
      </w:r>
    </w:p>
    <w:p w14:paraId="7BC50AFA">
      <w:pPr>
        <w:pStyle w:val="11"/>
        <w:spacing w:line="360" w:lineRule="auto"/>
        <w:jc w:val="left"/>
        <w:rPr>
          <w:rFonts w:hint="eastAsia" w:ascii="仿宋" w:hAnsi="仿宋" w:eastAsia="仿宋" w:cs="Times New Roman"/>
          <w:kern w:val="2"/>
          <w:sz w:val="24"/>
          <w:szCs w:val="24"/>
          <w:u w:val="none"/>
          <w:lang w:val="en-US" w:eastAsia="zh-CN" w:bidi="ar-SA"/>
        </w:rPr>
      </w:pPr>
      <w:r>
        <w:rPr>
          <w:rFonts w:hint="eastAsia" w:ascii="仿宋" w:hAnsi="仿宋" w:eastAsia="仿宋" w:cs="Times New Roman"/>
          <w:kern w:val="2"/>
          <w:sz w:val="24"/>
          <w:szCs w:val="24"/>
          <w:u w:val="none"/>
          <w:lang w:val="en-US" w:eastAsia="zh-CN" w:bidi="ar-SA"/>
        </w:rPr>
        <w:t>5、具有良好的商业信誉和健全的财务会计制度(2023年或2024年的年度财务审计报告书，2025年成立公司提供银行资信证明)；</w:t>
      </w:r>
    </w:p>
    <w:p w14:paraId="0FFD3214">
      <w:pPr>
        <w:pStyle w:val="11"/>
        <w:spacing w:line="360" w:lineRule="auto"/>
        <w:jc w:val="left"/>
        <w:rPr>
          <w:rFonts w:hint="eastAsia" w:ascii="仿宋" w:hAnsi="仿宋" w:eastAsia="仿宋" w:cs="Times New Roman"/>
          <w:kern w:val="2"/>
          <w:sz w:val="24"/>
          <w:szCs w:val="24"/>
          <w:u w:val="none"/>
          <w:lang w:val="en-US" w:eastAsia="zh-CN" w:bidi="ar-SA"/>
        </w:rPr>
      </w:pPr>
      <w:r>
        <w:rPr>
          <w:rFonts w:hint="eastAsia" w:ascii="仿宋" w:hAnsi="仿宋" w:eastAsia="仿宋" w:cs="Times New Roman"/>
          <w:kern w:val="2"/>
          <w:sz w:val="24"/>
          <w:szCs w:val="24"/>
          <w:u w:val="none"/>
          <w:lang w:val="en-US" w:eastAsia="zh-CN" w:bidi="ar-SA"/>
        </w:rPr>
        <w:t>6、凡拟参加本次采购项目的供应商，如在“信用中国”网站（ www.creditchina.gov.cn） 被列入失信被执行人、重大税收违法案件当事人名单(信用服务-重点领域严重失信主体名单查询-搜索栏输入单位全称-截图)、中国政府采购网（http://www.ccgp.gov.cn/search/cr/）严重违法失信行为记录名单的（尚在处罚期内的），“国家企业信用信息公示系（http://www.gsxt.gov.cn）”列入严重违法失信企业名单（黑名单）信息及企业信用信息公示报告；将拒绝其参加本次采购活动；（以招标代理或采购人查询为准）；；</w:t>
      </w:r>
    </w:p>
    <w:p w14:paraId="412A4943">
      <w:pPr>
        <w:pStyle w:val="11"/>
        <w:spacing w:line="360" w:lineRule="auto"/>
        <w:jc w:val="left"/>
        <w:rPr>
          <w:rFonts w:hint="eastAsia" w:ascii="仿宋" w:hAnsi="仿宋" w:eastAsia="仿宋" w:cs="Times New Roman"/>
          <w:kern w:val="2"/>
          <w:sz w:val="24"/>
          <w:szCs w:val="24"/>
          <w:u w:val="none"/>
          <w:lang w:val="en-US" w:eastAsia="zh-CN" w:bidi="ar-SA"/>
        </w:rPr>
      </w:pPr>
      <w:r>
        <w:rPr>
          <w:rFonts w:hint="eastAsia" w:ascii="仿宋" w:hAnsi="仿宋" w:eastAsia="仿宋" w:cs="Times New Roman"/>
          <w:kern w:val="2"/>
          <w:sz w:val="24"/>
          <w:szCs w:val="24"/>
          <w:u w:val="none"/>
          <w:lang w:val="en-US" w:eastAsia="zh-CN" w:bidi="ar-SA"/>
        </w:rPr>
        <w:t>7、参加政府采购活动前3年内在经营活动中没有重大违法记录的书面声明；</w:t>
      </w:r>
    </w:p>
    <w:p w14:paraId="0B895AF9">
      <w:pPr>
        <w:pStyle w:val="11"/>
        <w:spacing w:line="360" w:lineRule="auto"/>
        <w:jc w:val="left"/>
        <w:rPr>
          <w:rFonts w:hint="eastAsia" w:ascii="仿宋" w:hAnsi="仿宋" w:eastAsia="仿宋" w:cs="Times New Roman"/>
          <w:kern w:val="2"/>
          <w:sz w:val="24"/>
          <w:szCs w:val="24"/>
          <w:u w:val="none"/>
          <w:lang w:val="en-US" w:eastAsia="zh-CN" w:bidi="ar-SA"/>
        </w:rPr>
      </w:pPr>
      <w:r>
        <w:rPr>
          <w:rFonts w:hint="eastAsia" w:ascii="仿宋" w:hAnsi="仿宋" w:eastAsia="仿宋" w:cs="Times New Roman"/>
          <w:kern w:val="2"/>
          <w:sz w:val="24"/>
          <w:szCs w:val="24"/>
          <w:u w:val="none"/>
          <w:lang w:val="en-US" w:eastAsia="zh-CN" w:bidi="ar-SA"/>
        </w:rPr>
        <w:t>8、具有履行合同所必需的设备和专业技术能力的证明材料；</w:t>
      </w:r>
    </w:p>
    <w:p w14:paraId="06F2CC70">
      <w:pPr>
        <w:pStyle w:val="11"/>
        <w:spacing w:line="360" w:lineRule="auto"/>
        <w:jc w:val="left"/>
        <w:rPr>
          <w:rFonts w:hint="eastAsia" w:ascii="仿宋" w:hAnsi="仿宋" w:eastAsia="仿宋" w:cs="Times New Roman"/>
          <w:kern w:val="2"/>
          <w:sz w:val="24"/>
          <w:szCs w:val="24"/>
          <w:u w:val="none"/>
          <w:lang w:val="en-US" w:eastAsia="zh-CN" w:bidi="ar-SA"/>
        </w:rPr>
      </w:pPr>
      <w:r>
        <w:rPr>
          <w:rFonts w:hint="eastAsia" w:ascii="仿宋" w:hAnsi="仿宋" w:eastAsia="仿宋" w:cs="Times New Roman"/>
          <w:kern w:val="2"/>
          <w:sz w:val="24"/>
          <w:szCs w:val="24"/>
          <w:u w:val="none"/>
          <w:lang w:val="en-US" w:eastAsia="zh-CN" w:bidi="ar-SA"/>
        </w:rPr>
        <w:t>9、提供针对本次项目《反商业贿赂承诺书》；</w:t>
      </w:r>
    </w:p>
    <w:p w14:paraId="33B3CECF">
      <w:pPr>
        <w:pStyle w:val="11"/>
        <w:spacing w:line="360" w:lineRule="auto"/>
        <w:jc w:val="left"/>
        <w:rPr>
          <w:rFonts w:hint="eastAsia" w:ascii="仿宋" w:hAnsi="仿宋" w:eastAsia="仿宋" w:cs="Times New Roman"/>
          <w:kern w:val="2"/>
          <w:sz w:val="24"/>
          <w:szCs w:val="24"/>
          <w:u w:val="none"/>
          <w:lang w:val="en-US" w:eastAsia="zh-CN" w:bidi="ar-SA"/>
        </w:rPr>
      </w:pPr>
      <w:r>
        <w:rPr>
          <w:rFonts w:hint="eastAsia" w:ascii="仿宋" w:hAnsi="仿宋" w:eastAsia="仿宋" w:cs="Times New Roman"/>
          <w:kern w:val="2"/>
          <w:sz w:val="24"/>
          <w:szCs w:val="24"/>
          <w:u w:val="none"/>
          <w:lang w:val="en-US" w:eastAsia="zh-CN" w:bidi="ar-SA"/>
        </w:rPr>
        <w:t>10、本项目不接受联合体投标。</w:t>
      </w:r>
    </w:p>
    <w:p w14:paraId="7D861BF4">
      <w:pPr>
        <w:pStyle w:val="18"/>
        <w:keepNext w:val="0"/>
        <w:keepLines w:val="0"/>
        <w:widowControl/>
        <w:suppressLineNumbers w:val="0"/>
        <w:spacing w:before="75" w:beforeAutospacing="0" w:after="75" w:afterAutospacing="0" w:line="360" w:lineRule="auto"/>
        <w:ind w:left="0" w:right="0" w:firstLine="373"/>
        <w:rPr>
          <w:rFonts w:hint="eastAsia" w:ascii="仿宋" w:hAnsi="仿宋" w:eastAsia="仿宋" w:cs="Times New Roman"/>
          <w:kern w:val="2"/>
          <w:sz w:val="24"/>
          <w:szCs w:val="24"/>
          <w:u w:val="none"/>
          <w:lang w:val="en-US" w:eastAsia="zh-CN" w:bidi="ar-SA"/>
        </w:rPr>
      </w:pPr>
      <w:r>
        <w:rPr>
          <w:rFonts w:hint="eastAsia" w:ascii="仿宋" w:hAnsi="仿宋" w:eastAsia="仿宋" w:cs="Times New Roman"/>
          <w:kern w:val="2"/>
          <w:sz w:val="24"/>
          <w:szCs w:val="24"/>
          <w:u w:val="none"/>
          <w:lang w:val="en-US" w:eastAsia="zh-CN" w:bidi="ar-SA"/>
        </w:rPr>
        <w:t>2.落实政府采购政策需满足的资格要求：</w:t>
      </w:r>
    </w:p>
    <w:p w14:paraId="19A9E28A">
      <w:pPr>
        <w:pStyle w:val="18"/>
        <w:widowControl/>
        <w:spacing w:before="75" w:after="75" w:line="360" w:lineRule="auto"/>
        <w:ind w:firstLine="240" w:firstLineChars="100"/>
        <w:rPr>
          <w:rFonts w:ascii="仿宋" w:hAnsi="仿宋" w:eastAsia="仿宋"/>
        </w:rPr>
      </w:pPr>
      <w:r>
        <w:rPr>
          <w:rFonts w:hint="eastAsia" w:ascii="仿宋" w:hAnsi="仿宋" w:eastAsia="仿宋"/>
        </w:rPr>
        <w:t xml:space="preserve">（1）采购政策政府采购应当优先采购本国货物、工程和服务，并执行节能产品、环境标志产品、中小企业、残疾人福利性单位、监狱企业、商品外包装等适宜本项目的政府采购政策。  </w:t>
      </w:r>
    </w:p>
    <w:p w14:paraId="32A2BE77">
      <w:pPr>
        <w:pStyle w:val="18"/>
        <w:widowControl/>
        <w:spacing w:before="75" w:after="75" w:line="360" w:lineRule="auto"/>
        <w:ind w:firstLine="240" w:firstLineChars="100"/>
        <w:rPr>
          <w:rFonts w:ascii="仿宋" w:hAnsi="仿宋" w:eastAsia="仿宋"/>
        </w:rPr>
      </w:pPr>
      <w:r>
        <w:rPr>
          <w:rFonts w:hint="eastAsia" w:ascii="仿宋" w:hAnsi="仿宋" w:eastAsia="仿宋"/>
        </w:rPr>
        <w:t xml:space="preserve">（2）政策依据  </w:t>
      </w:r>
    </w:p>
    <w:p w14:paraId="1A601EEB">
      <w:pPr>
        <w:pStyle w:val="18"/>
        <w:widowControl/>
        <w:spacing w:before="75" w:after="75" w:line="360" w:lineRule="auto"/>
        <w:ind w:firstLine="240" w:firstLineChars="100"/>
        <w:rPr>
          <w:rFonts w:ascii="仿宋" w:hAnsi="仿宋" w:eastAsia="仿宋"/>
        </w:rPr>
      </w:pPr>
      <w:r>
        <w:rPr>
          <w:rFonts w:hint="eastAsia" w:ascii="仿宋" w:hAnsi="仿宋" w:eastAsia="仿宋"/>
        </w:rPr>
        <w:t xml:space="preserve">1）财政部、国家发展改革委、生态环境部、市场监管总局《关于调整优化节能产品、环境标志产品政府采购执行机制的通知》（财库[2019]9号文）；  </w:t>
      </w:r>
    </w:p>
    <w:p w14:paraId="118DB199">
      <w:pPr>
        <w:pStyle w:val="18"/>
        <w:widowControl/>
        <w:spacing w:before="75" w:after="75" w:line="360" w:lineRule="auto"/>
        <w:ind w:firstLine="240" w:firstLineChars="100"/>
        <w:rPr>
          <w:rFonts w:ascii="仿宋" w:hAnsi="仿宋" w:eastAsia="仿宋"/>
        </w:rPr>
      </w:pPr>
      <w:r>
        <w:rPr>
          <w:rFonts w:hint="eastAsia" w:ascii="仿宋" w:hAnsi="仿宋" w:eastAsia="仿宋"/>
        </w:rPr>
        <w:t xml:space="preserve">2）财政部、生态环境部《关于印发环境标志产品政府采购品目清单的通知》（财库[2019]18号文）；  </w:t>
      </w:r>
    </w:p>
    <w:p w14:paraId="0DA34169">
      <w:pPr>
        <w:pStyle w:val="18"/>
        <w:widowControl/>
        <w:spacing w:before="75" w:after="75" w:line="360" w:lineRule="auto"/>
        <w:ind w:firstLine="240" w:firstLineChars="100"/>
        <w:rPr>
          <w:rFonts w:ascii="仿宋" w:hAnsi="仿宋" w:eastAsia="仿宋"/>
        </w:rPr>
      </w:pPr>
      <w:r>
        <w:rPr>
          <w:rFonts w:hint="eastAsia" w:ascii="仿宋" w:hAnsi="仿宋" w:eastAsia="仿宋"/>
        </w:rPr>
        <w:t xml:space="preserve">3）财政部、发展改革委《关于印发节能产品政府采购品目清单的通知》（财库[2019]19号文）； </w:t>
      </w:r>
    </w:p>
    <w:p w14:paraId="26432B6D">
      <w:pPr>
        <w:pStyle w:val="18"/>
        <w:widowControl/>
        <w:spacing w:before="75" w:after="75" w:line="360" w:lineRule="auto"/>
        <w:ind w:firstLine="240" w:firstLineChars="100"/>
        <w:rPr>
          <w:rFonts w:ascii="仿宋" w:hAnsi="仿宋" w:eastAsia="仿宋"/>
        </w:rPr>
      </w:pPr>
      <w:r>
        <w:rPr>
          <w:rFonts w:hint="eastAsia" w:ascii="仿宋" w:hAnsi="仿宋" w:eastAsia="仿宋"/>
        </w:rPr>
        <w:t xml:space="preserve">4）市场监管总局《市场监管总局关于发布参与实施政府采购节能产品、环境标志产品认证机构名录的公告》（2019年第16号）；  </w:t>
      </w:r>
    </w:p>
    <w:p w14:paraId="112166E7">
      <w:pPr>
        <w:pStyle w:val="18"/>
        <w:widowControl/>
        <w:spacing w:before="75" w:after="75" w:line="360" w:lineRule="auto"/>
        <w:ind w:firstLine="240" w:firstLineChars="100"/>
        <w:rPr>
          <w:rFonts w:ascii="仿宋" w:hAnsi="仿宋" w:eastAsia="仿宋"/>
        </w:rPr>
      </w:pPr>
      <w:r>
        <w:rPr>
          <w:rFonts w:hint="eastAsia" w:ascii="仿宋" w:hAnsi="仿宋" w:eastAsia="仿宋"/>
        </w:rPr>
        <w:t xml:space="preserve">5）财政部、工业和信息化部《关于印发《政府采购促进中小企业发展管理办法》的通知》（财库[2020]46号文）； </w:t>
      </w:r>
    </w:p>
    <w:p w14:paraId="632E551D">
      <w:pPr>
        <w:pStyle w:val="18"/>
        <w:widowControl/>
        <w:spacing w:before="75" w:after="75" w:line="360" w:lineRule="auto"/>
        <w:ind w:firstLine="240" w:firstLineChars="100"/>
        <w:rPr>
          <w:rFonts w:ascii="仿宋" w:hAnsi="仿宋" w:eastAsia="仿宋"/>
        </w:rPr>
      </w:pPr>
      <w:r>
        <w:rPr>
          <w:rFonts w:hint="eastAsia" w:ascii="仿宋" w:hAnsi="仿宋" w:eastAsia="仿宋"/>
        </w:rPr>
        <w:t xml:space="preserve">6）财政部、民政部、中国残疾人联合会《关于促进残疾人就业政府采购政策的通知》（财库[2017]141号）；  </w:t>
      </w:r>
    </w:p>
    <w:p w14:paraId="038BE1F2">
      <w:pPr>
        <w:pStyle w:val="18"/>
        <w:widowControl/>
        <w:spacing w:before="75" w:after="75" w:line="360" w:lineRule="auto"/>
        <w:ind w:firstLine="240" w:firstLineChars="100"/>
        <w:rPr>
          <w:rFonts w:ascii="仿宋" w:hAnsi="仿宋" w:eastAsia="仿宋"/>
        </w:rPr>
      </w:pPr>
      <w:r>
        <w:rPr>
          <w:rFonts w:hint="eastAsia" w:ascii="仿宋" w:hAnsi="仿宋" w:eastAsia="仿宋"/>
        </w:rPr>
        <w:t xml:space="preserve">7）财政部、司法部《关于政府采购支持监狱企业发展有关问题的通知》（财库[2014]68号文）； </w:t>
      </w:r>
    </w:p>
    <w:p w14:paraId="03345FA1">
      <w:pPr>
        <w:pStyle w:val="18"/>
        <w:widowControl/>
        <w:spacing w:before="75" w:after="75" w:line="360" w:lineRule="auto"/>
        <w:ind w:firstLine="240" w:firstLineChars="100"/>
        <w:rPr>
          <w:rFonts w:hint="eastAsia" w:ascii="仿宋" w:hAnsi="仿宋" w:eastAsia="仿宋" w:cs="Times New Roman"/>
          <w:kern w:val="2"/>
          <w:sz w:val="24"/>
          <w:szCs w:val="24"/>
          <w:highlight w:val="yellow"/>
          <w:u w:val="none"/>
          <w:lang w:val="en-US" w:eastAsia="zh-CN" w:bidi="ar-SA"/>
        </w:rPr>
      </w:pPr>
      <w:r>
        <w:rPr>
          <w:rFonts w:hint="eastAsia" w:ascii="仿宋" w:hAnsi="仿宋" w:eastAsia="仿宋"/>
        </w:rPr>
        <w:t>8）财政部、生态环境部、国家邮政局《关于印发《商品包装政府采购需求标准（试行）》、 《快递包装政府采购需求标准（试行）》的通知》（财办库〔2020〕123号）。</w:t>
      </w:r>
    </w:p>
    <w:p w14:paraId="4A258548">
      <w:pPr>
        <w:pStyle w:val="18"/>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200" w:lineRule="atLeast"/>
        <w:ind w:left="0" w:right="0" w:firstLine="0"/>
        <w:jc w:val="both"/>
        <w:textAlignment w:val="auto"/>
        <w:outlineLvl w:val="1"/>
        <w:rPr>
          <w:rFonts w:hint="eastAsia" w:ascii="仿宋" w:hAnsi="仿宋" w:eastAsia="仿宋" w:cs="Times New Roman"/>
          <w:kern w:val="2"/>
          <w:sz w:val="24"/>
          <w:szCs w:val="24"/>
          <w:u w:val="none"/>
          <w:lang w:val="en-US" w:eastAsia="zh-CN" w:bidi="ar-SA"/>
        </w:rPr>
      </w:pPr>
      <w:bookmarkStart w:id="495" w:name="_Toc12898"/>
      <w:r>
        <w:rPr>
          <w:rFonts w:hint="eastAsia" w:ascii="仿宋" w:hAnsi="仿宋" w:eastAsia="仿宋" w:cs="Times New Roman"/>
          <w:kern w:val="2"/>
          <w:sz w:val="24"/>
          <w:szCs w:val="24"/>
          <w:u w:val="none"/>
          <w:lang w:val="en-US" w:eastAsia="zh-CN" w:bidi="ar-SA"/>
        </w:rPr>
        <w:t>三、获取采购文件</w:t>
      </w:r>
      <w:bookmarkEnd w:id="495"/>
    </w:p>
    <w:p w14:paraId="63698536">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textAlignment w:val="auto"/>
        <w:rPr>
          <w:rFonts w:hint="eastAsia" w:ascii="仿宋" w:hAnsi="仿宋" w:eastAsia="仿宋" w:cs="Times New Roman"/>
          <w:kern w:val="2"/>
          <w:sz w:val="24"/>
          <w:szCs w:val="24"/>
          <w:highlight w:val="none"/>
          <w:u w:val="none"/>
          <w:lang w:val="en-US" w:eastAsia="zh-CN" w:bidi="ar-SA"/>
        </w:rPr>
      </w:pPr>
      <w:r>
        <w:rPr>
          <w:rFonts w:hint="eastAsia" w:ascii="仿宋" w:hAnsi="仿宋" w:eastAsia="仿宋" w:cs="Times New Roman"/>
          <w:kern w:val="2"/>
          <w:sz w:val="24"/>
          <w:szCs w:val="24"/>
          <w:u w:val="none"/>
          <w:lang w:val="en-US" w:eastAsia="zh-CN" w:bidi="ar-SA"/>
        </w:rPr>
        <w:t>  时</w:t>
      </w:r>
      <w:r>
        <w:rPr>
          <w:rFonts w:hint="eastAsia" w:ascii="仿宋" w:hAnsi="仿宋" w:eastAsia="仿宋" w:cs="Times New Roman"/>
          <w:kern w:val="2"/>
          <w:sz w:val="24"/>
          <w:szCs w:val="24"/>
          <w:highlight w:val="none"/>
          <w:u w:val="none"/>
          <w:lang w:val="en-US" w:eastAsia="zh-CN" w:bidi="ar-SA"/>
        </w:rPr>
        <w:t>间：</w:t>
      </w:r>
      <w:r>
        <w:rPr>
          <w:rFonts w:hint="eastAsia" w:ascii="仿宋" w:hAnsi="仿宋" w:eastAsia="仿宋" w:cs="Times New Roman"/>
          <w:kern w:val="2"/>
          <w:sz w:val="24"/>
          <w:szCs w:val="24"/>
          <w:highlight w:val="none"/>
          <w:u w:val="single"/>
          <w:lang w:val="en-US" w:eastAsia="zh-CN" w:bidi="ar-SA"/>
        </w:rPr>
        <w:t>2025年</w:t>
      </w:r>
      <w:r>
        <w:rPr>
          <w:rFonts w:hint="eastAsia" w:ascii="仿宋" w:hAnsi="仿宋" w:eastAsia="仿宋" w:cs="Times New Roman"/>
          <w:color w:val="FF0000"/>
          <w:kern w:val="2"/>
          <w:sz w:val="24"/>
          <w:szCs w:val="24"/>
          <w:highlight w:val="none"/>
          <w:u w:val="single"/>
          <w:lang w:val="en-US" w:eastAsia="zh-CN" w:bidi="ar-SA"/>
        </w:rPr>
        <w:t>4月9日至2025年4月16</w:t>
      </w:r>
      <w:r>
        <w:rPr>
          <w:rFonts w:hint="eastAsia" w:ascii="仿宋" w:hAnsi="仿宋" w:eastAsia="仿宋" w:cs="Times New Roman"/>
          <w:kern w:val="2"/>
          <w:sz w:val="24"/>
          <w:szCs w:val="24"/>
          <w:highlight w:val="none"/>
          <w:u w:val="single"/>
          <w:lang w:val="en-US" w:eastAsia="zh-CN" w:bidi="ar-SA"/>
        </w:rPr>
        <w:t>日，每天00:00至23:59</w:t>
      </w:r>
      <w:r>
        <w:rPr>
          <w:rFonts w:hint="eastAsia" w:ascii="仿宋" w:hAnsi="仿宋" w:eastAsia="仿宋" w:cs="Times New Roman"/>
          <w:kern w:val="2"/>
          <w:sz w:val="24"/>
          <w:szCs w:val="24"/>
          <w:highlight w:val="none"/>
          <w:u w:val="none"/>
          <w:lang w:val="en-US" w:eastAsia="zh-CN" w:bidi="ar-SA"/>
        </w:rPr>
        <w:t>，（北京时间，法定节假日除外）</w:t>
      </w:r>
    </w:p>
    <w:p w14:paraId="2F0F52E9">
      <w:pPr>
        <w:pStyle w:val="19"/>
        <w:spacing w:line="360" w:lineRule="auto"/>
        <w:ind w:left="0" w:firstLine="240" w:firstLineChars="100"/>
        <w:rPr>
          <w:rFonts w:hint="eastAsia"/>
          <w:highlight w:val="none"/>
          <w:lang w:val="en-US" w:eastAsia="zh-CN"/>
        </w:rPr>
      </w:pPr>
      <w:r>
        <w:rPr>
          <w:rFonts w:hint="eastAsia" w:ascii="仿宋" w:hAnsi="仿宋" w:eastAsia="仿宋" w:cs="Times New Roman"/>
          <w:kern w:val="2"/>
          <w:sz w:val="24"/>
          <w:szCs w:val="24"/>
          <w:highlight w:val="none"/>
          <w:u w:val="none"/>
          <w:lang w:val="en-US" w:eastAsia="zh-CN" w:bidi="ar-SA"/>
        </w:rPr>
        <w:t>地点：</w:t>
      </w:r>
      <w:r>
        <w:rPr>
          <w:rFonts w:hint="eastAsia" w:ascii="仿宋" w:hAnsi="仿宋" w:eastAsia="仿宋" w:cs="Times New Roman"/>
          <w:color w:val="auto"/>
          <w:sz w:val="24"/>
          <w:szCs w:val="24"/>
          <w:highlight w:val="none"/>
          <w:u w:val="single"/>
          <w:lang w:eastAsia="zh-CN"/>
        </w:rPr>
        <w:t>政采云平台http://www.zcygov.cn/</w:t>
      </w:r>
    </w:p>
    <w:p w14:paraId="1CCCBC68">
      <w:pPr>
        <w:spacing w:line="360" w:lineRule="auto"/>
        <w:ind w:firstLine="240" w:firstLineChars="100"/>
        <w:rPr>
          <w:rFonts w:hint="default" w:ascii="仿宋" w:hAnsi="仿宋" w:eastAsia="仿宋" w:cs="Times New Roman"/>
          <w:kern w:val="2"/>
          <w:sz w:val="24"/>
          <w:szCs w:val="24"/>
          <w:highlight w:val="none"/>
          <w:u w:val="none"/>
          <w:lang w:val="en-US" w:eastAsia="zh-CN" w:bidi="ar-SA"/>
        </w:rPr>
      </w:pPr>
      <w:r>
        <w:rPr>
          <w:rFonts w:hint="eastAsia" w:ascii="仿宋" w:hAnsi="仿宋" w:eastAsia="仿宋" w:cs="Times New Roman"/>
          <w:kern w:val="2"/>
          <w:sz w:val="24"/>
          <w:szCs w:val="24"/>
          <w:highlight w:val="none"/>
          <w:u w:val="none"/>
          <w:lang w:val="en-US" w:eastAsia="zh-CN" w:bidi="ar-SA"/>
        </w:rPr>
        <w:t>方式：</w:t>
      </w:r>
      <w:r>
        <w:rPr>
          <w:rFonts w:hint="eastAsia" w:ascii="仿宋" w:hAnsi="仿宋" w:eastAsia="仿宋" w:cs="仿宋"/>
          <w:kern w:val="2"/>
          <w:sz w:val="24"/>
          <w:szCs w:val="24"/>
          <w:highlight w:val="none"/>
          <w:u w:val="single"/>
          <w:lang w:val="en-US" w:eastAsia="zh-CN" w:bidi="ar-SA"/>
        </w:rPr>
        <w:t>政采云http://www.ccgp-xinjiang.gov.cn/（线上下载（供应商登陆政采云平台→ 项目采购 → 获取招标文件，通过后可下载招标文件） ）</w:t>
      </w:r>
    </w:p>
    <w:p w14:paraId="034AD5AB">
      <w:pPr>
        <w:pStyle w:val="18"/>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360" w:lineRule="auto"/>
        <w:ind w:left="0" w:right="0" w:firstLine="0"/>
        <w:jc w:val="both"/>
        <w:textAlignment w:val="auto"/>
        <w:outlineLvl w:val="1"/>
        <w:rPr>
          <w:rFonts w:hint="eastAsia" w:ascii="仿宋" w:hAnsi="仿宋" w:eastAsia="仿宋" w:cs="Times New Roman"/>
          <w:kern w:val="2"/>
          <w:sz w:val="24"/>
          <w:szCs w:val="24"/>
          <w:highlight w:val="none"/>
          <w:u w:val="none"/>
          <w:lang w:val="en-US" w:eastAsia="zh-CN" w:bidi="ar-SA"/>
        </w:rPr>
      </w:pPr>
      <w:bookmarkStart w:id="496" w:name="_Toc15286"/>
      <w:r>
        <w:rPr>
          <w:rFonts w:hint="eastAsia" w:ascii="仿宋" w:hAnsi="仿宋" w:eastAsia="仿宋" w:cs="Times New Roman"/>
          <w:kern w:val="2"/>
          <w:sz w:val="24"/>
          <w:szCs w:val="24"/>
          <w:highlight w:val="none"/>
          <w:u w:val="none"/>
          <w:lang w:val="en-US" w:eastAsia="zh-CN" w:bidi="ar-SA"/>
        </w:rPr>
        <w:t>四、响应文件提交 </w:t>
      </w:r>
      <w:bookmarkEnd w:id="496"/>
    </w:p>
    <w:p w14:paraId="295E01EB">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textAlignment w:val="auto"/>
        <w:rPr>
          <w:rFonts w:hint="eastAsia" w:ascii="仿宋" w:hAnsi="仿宋" w:eastAsia="仿宋" w:cs="Times New Roman"/>
          <w:kern w:val="2"/>
          <w:sz w:val="24"/>
          <w:szCs w:val="24"/>
          <w:highlight w:val="none"/>
          <w:u w:val="none"/>
          <w:lang w:val="en-US" w:eastAsia="zh-CN" w:bidi="ar-SA"/>
        </w:rPr>
      </w:pPr>
      <w:r>
        <w:rPr>
          <w:rFonts w:hint="eastAsia" w:ascii="仿宋" w:hAnsi="仿宋" w:eastAsia="仿宋" w:cs="Times New Roman"/>
          <w:kern w:val="2"/>
          <w:sz w:val="24"/>
          <w:szCs w:val="24"/>
          <w:highlight w:val="none"/>
          <w:u w:val="none"/>
          <w:lang w:val="en-US" w:eastAsia="zh-CN" w:bidi="ar-SA"/>
        </w:rPr>
        <w:t>    截止时间：</w:t>
      </w:r>
      <w:r>
        <w:rPr>
          <w:rFonts w:hint="eastAsia" w:ascii="仿宋" w:hAnsi="仿宋" w:eastAsia="仿宋" w:cs="Times New Roman"/>
          <w:kern w:val="2"/>
          <w:sz w:val="24"/>
          <w:szCs w:val="24"/>
          <w:highlight w:val="none"/>
          <w:u w:val="single"/>
          <w:lang w:val="en-US" w:eastAsia="zh-CN" w:bidi="ar-SA"/>
        </w:rPr>
        <w:t>2025年</w:t>
      </w:r>
      <w:r>
        <w:rPr>
          <w:rFonts w:hint="eastAsia" w:ascii="仿宋" w:hAnsi="仿宋" w:eastAsia="仿宋" w:cs="Times New Roman"/>
          <w:color w:val="FF0000"/>
          <w:kern w:val="2"/>
          <w:sz w:val="24"/>
          <w:szCs w:val="24"/>
          <w:highlight w:val="none"/>
          <w:u w:val="single"/>
          <w:lang w:val="en-US" w:eastAsia="zh-CN" w:bidi="ar-SA"/>
        </w:rPr>
        <w:t>4月21</w:t>
      </w:r>
      <w:r>
        <w:rPr>
          <w:rFonts w:hint="eastAsia" w:ascii="仿宋" w:hAnsi="仿宋" w:eastAsia="仿宋" w:cs="Times New Roman"/>
          <w:kern w:val="2"/>
          <w:sz w:val="24"/>
          <w:szCs w:val="24"/>
          <w:highlight w:val="none"/>
          <w:u w:val="single"/>
          <w:lang w:val="en-US" w:eastAsia="zh-CN" w:bidi="ar-SA"/>
        </w:rPr>
        <w:t>日11:00（北京时间）</w:t>
      </w:r>
    </w:p>
    <w:p w14:paraId="0453667B">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textAlignment w:val="auto"/>
        <w:rPr>
          <w:rFonts w:hint="default" w:ascii="仿宋" w:hAnsi="仿宋" w:eastAsia="仿宋" w:cs="Times New Roman"/>
          <w:kern w:val="2"/>
          <w:sz w:val="24"/>
          <w:szCs w:val="24"/>
          <w:highlight w:val="none"/>
          <w:u w:val="none"/>
          <w:lang w:val="en-US" w:eastAsia="zh-CN" w:bidi="ar-SA"/>
        </w:rPr>
      </w:pPr>
      <w:r>
        <w:rPr>
          <w:rFonts w:hint="eastAsia" w:ascii="仿宋" w:hAnsi="仿宋" w:eastAsia="仿宋" w:cs="Times New Roman"/>
          <w:kern w:val="2"/>
          <w:sz w:val="24"/>
          <w:szCs w:val="24"/>
          <w:highlight w:val="none"/>
          <w:u w:val="none"/>
          <w:lang w:val="en-US" w:eastAsia="zh-CN" w:bidi="ar-SA"/>
        </w:rPr>
        <w:t>    地点：</w:t>
      </w:r>
      <w:r>
        <w:rPr>
          <w:rFonts w:hint="eastAsia" w:ascii="仿宋" w:hAnsi="仿宋" w:eastAsia="仿宋" w:cs="Times New Roman"/>
          <w:color w:val="auto"/>
          <w:sz w:val="24"/>
          <w:szCs w:val="24"/>
          <w:highlight w:val="none"/>
          <w:u w:val="single"/>
          <w:lang w:eastAsia="zh-CN"/>
        </w:rPr>
        <w:t>政采云平台http://www.zcygov.cn/</w:t>
      </w:r>
    </w:p>
    <w:p w14:paraId="7295B1F2">
      <w:pPr>
        <w:pStyle w:val="18"/>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360" w:lineRule="auto"/>
        <w:ind w:left="0" w:right="0" w:firstLine="0"/>
        <w:jc w:val="both"/>
        <w:textAlignment w:val="auto"/>
        <w:outlineLvl w:val="1"/>
        <w:rPr>
          <w:rFonts w:hint="eastAsia" w:ascii="仿宋" w:hAnsi="仿宋" w:eastAsia="仿宋" w:cs="Times New Roman"/>
          <w:kern w:val="2"/>
          <w:sz w:val="24"/>
          <w:szCs w:val="24"/>
          <w:highlight w:val="none"/>
          <w:u w:val="none"/>
          <w:lang w:val="en-US" w:eastAsia="zh-CN" w:bidi="ar-SA"/>
        </w:rPr>
      </w:pPr>
      <w:bookmarkStart w:id="497" w:name="_Toc27343"/>
      <w:r>
        <w:rPr>
          <w:rFonts w:hint="eastAsia" w:ascii="仿宋" w:hAnsi="仿宋" w:eastAsia="仿宋" w:cs="Times New Roman"/>
          <w:kern w:val="2"/>
          <w:sz w:val="24"/>
          <w:szCs w:val="24"/>
          <w:highlight w:val="none"/>
          <w:u w:val="none"/>
          <w:lang w:val="en-US" w:eastAsia="zh-CN" w:bidi="ar-SA"/>
        </w:rPr>
        <w:t>五、响应文件开启 </w:t>
      </w:r>
      <w:bookmarkEnd w:id="497"/>
    </w:p>
    <w:p w14:paraId="35FD2EE8">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textAlignment w:val="auto"/>
        <w:rPr>
          <w:rFonts w:hint="eastAsia" w:ascii="仿宋" w:hAnsi="仿宋" w:eastAsia="仿宋" w:cs="Times New Roman"/>
          <w:kern w:val="2"/>
          <w:sz w:val="24"/>
          <w:szCs w:val="24"/>
          <w:highlight w:val="none"/>
          <w:u w:val="none"/>
          <w:lang w:val="en-US" w:eastAsia="zh-CN" w:bidi="ar-SA"/>
        </w:rPr>
      </w:pPr>
      <w:r>
        <w:rPr>
          <w:rFonts w:hint="eastAsia" w:ascii="仿宋" w:hAnsi="仿宋" w:eastAsia="仿宋" w:cs="Times New Roman"/>
          <w:kern w:val="2"/>
          <w:sz w:val="24"/>
          <w:szCs w:val="24"/>
          <w:highlight w:val="none"/>
          <w:u w:val="none"/>
          <w:lang w:val="en-US" w:eastAsia="zh-CN" w:bidi="ar-SA"/>
        </w:rPr>
        <w:t>    开启时间：</w:t>
      </w:r>
      <w:r>
        <w:rPr>
          <w:rFonts w:hint="eastAsia" w:ascii="仿宋" w:hAnsi="仿宋" w:eastAsia="仿宋" w:cs="Times New Roman"/>
          <w:kern w:val="2"/>
          <w:sz w:val="24"/>
          <w:szCs w:val="24"/>
          <w:highlight w:val="none"/>
          <w:u w:val="single"/>
          <w:lang w:val="en-US" w:eastAsia="zh-CN" w:bidi="ar-SA"/>
        </w:rPr>
        <w:t>2025年</w:t>
      </w:r>
      <w:r>
        <w:rPr>
          <w:rFonts w:hint="eastAsia" w:ascii="仿宋" w:hAnsi="仿宋" w:eastAsia="仿宋" w:cs="Times New Roman"/>
          <w:color w:val="FF0000"/>
          <w:kern w:val="2"/>
          <w:sz w:val="24"/>
          <w:szCs w:val="24"/>
          <w:highlight w:val="none"/>
          <w:u w:val="single"/>
          <w:lang w:val="en-US" w:eastAsia="zh-CN" w:bidi="ar-SA"/>
        </w:rPr>
        <w:t>4月21</w:t>
      </w:r>
      <w:r>
        <w:rPr>
          <w:rFonts w:hint="eastAsia" w:ascii="仿宋" w:hAnsi="仿宋" w:eastAsia="仿宋" w:cs="Times New Roman"/>
          <w:kern w:val="2"/>
          <w:sz w:val="24"/>
          <w:szCs w:val="24"/>
          <w:highlight w:val="none"/>
          <w:u w:val="single"/>
          <w:lang w:val="en-US" w:eastAsia="zh-CN" w:bidi="ar-SA"/>
        </w:rPr>
        <w:t>日11:00（北京时间）</w:t>
      </w:r>
    </w:p>
    <w:p w14:paraId="7A943372">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textAlignment w:val="auto"/>
        <w:rPr>
          <w:rFonts w:hint="eastAsia" w:ascii="仿宋" w:hAnsi="仿宋" w:eastAsia="仿宋" w:cs="Times New Roman"/>
          <w:kern w:val="2"/>
          <w:sz w:val="24"/>
          <w:szCs w:val="24"/>
          <w:highlight w:val="none"/>
          <w:u w:val="none"/>
          <w:lang w:val="en-US" w:eastAsia="zh-CN" w:bidi="ar-SA"/>
        </w:rPr>
      </w:pPr>
      <w:r>
        <w:rPr>
          <w:rFonts w:hint="eastAsia" w:ascii="仿宋" w:hAnsi="仿宋" w:eastAsia="仿宋" w:cs="Times New Roman"/>
          <w:kern w:val="2"/>
          <w:sz w:val="24"/>
          <w:szCs w:val="24"/>
          <w:highlight w:val="none"/>
          <w:u w:val="none"/>
          <w:lang w:val="en-US" w:eastAsia="zh-CN" w:bidi="ar-SA"/>
        </w:rPr>
        <w:t>    地点：</w:t>
      </w:r>
      <w:r>
        <w:rPr>
          <w:rFonts w:hint="eastAsia" w:ascii="仿宋" w:hAnsi="仿宋" w:eastAsia="仿宋" w:cs="Times New Roman"/>
          <w:color w:val="auto"/>
          <w:sz w:val="24"/>
          <w:szCs w:val="24"/>
          <w:highlight w:val="none"/>
          <w:u w:val="none"/>
          <w:lang w:eastAsia="zh-CN"/>
        </w:rPr>
        <w:t>政采云平台http://www.zcygov.cn/</w:t>
      </w:r>
    </w:p>
    <w:p w14:paraId="247ED9B0">
      <w:pPr>
        <w:pStyle w:val="18"/>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200" w:lineRule="atLeast"/>
        <w:ind w:left="0" w:right="0" w:firstLine="0"/>
        <w:jc w:val="both"/>
        <w:textAlignment w:val="auto"/>
        <w:outlineLvl w:val="1"/>
        <w:rPr>
          <w:rFonts w:hint="eastAsia" w:ascii="仿宋" w:hAnsi="仿宋" w:eastAsia="仿宋" w:cs="Times New Roman"/>
          <w:kern w:val="2"/>
          <w:sz w:val="24"/>
          <w:szCs w:val="24"/>
          <w:highlight w:val="none"/>
          <w:u w:val="none"/>
          <w:lang w:val="en-US" w:eastAsia="zh-CN" w:bidi="ar-SA"/>
        </w:rPr>
      </w:pPr>
      <w:bookmarkStart w:id="498" w:name="_Toc2166"/>
      <w:r>
        <w:rPr>
          <w:rFonts w:hint="eastAsia" w:ascii="仿宋" w:hAnsi="仿宋" w:eastAsia="仿宋" w:cs="Times New Roman"/>
          <w:kern w:val="2"/>
          <w:sz w:val="24"/>
          <w:szCs w:val="24"/>
          <w:highlight w:val="none"/>
          <w:u w:val="none"/>
          <w:lang w:val="en-US" w:eastAsia="zh-CN" w:bidi="ar-SA"/>
        </w:rPr>
        <w:t>六、公告期限</w:t>
      </w:r>
      <w:bookmarkEnd w:id="498"/>
    </w:p>
    <w:p w14:paraId="0631B150">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200" w:lineRule="atLeast"/>
        <w:ind w:left="0" w:right="0" w:firstLine="373"/>
        <w:textAlignment w:val="auto"/>
        <w:rPr>
          <w:rFonts w:hint="eastAsia" w:ascii="仿宋" w:hAnsi="仿宋" w:eastAsia="仿宋" w:cs="Times New Roman"/>
          <w:kern w:val="2"/>
          <w:sz w:val="24"/>
          <w:szCs w:val="24"/>
          <w:highlight w:val="none"/>
          <w:u w:val="none"/>
          <w:lang w:val="en-US" w:eastAsia="zh-CN" w:bidi="ar-SA"/>
        </w:rPr>
      </w:pPr>
      <w:r>
        <w:rPr>
          <w:rFonts w:hint="eastAsia" w:ascii="仿宋" w:hAnsi="仿宋" w:eastAsia="仿宋" w:cs="Times New Roman"/>
          <w:kern w:val="2"/>
          <w:sz w:val="24"/>
          <w:szCs w:val="24"/>
          <w:highlight w:val="none"/>
          <w:u w:val="none"/>
          <w:lang w:val="en-US" w:eastAsia="zh-CN" w:bidi="ar-SA"/>
        </w:rPr>
        <w:t>自本公告发布之日起3个工作日。</w:t>
      </w:r>
      <w:bookmarkStart w:id="499" w:name="_Toc18977"/>
    </w:p>
    <w:p w14:paraId="743C7324">
      <w:pPr>
        <w:pStyle w:val="18"/>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200" w:lineRule="atLeast"/>
        <w:ind w:left="0" w:right="0" w:firstLine="0"/>
        <w:jc w:val="both"/>
        <w:textAlignment w:val="auto"/>
        <w:outlineLvl w:val="1"/>
        <w:rPr>
          <w:rFonts w:hint="eastAsia" w:ascii="仿宋" w:hAnsi="仿宋" w:eastAsia="仿宋" w:cs="Times New Roman"/>
          <w:kern w:val="2"/>
          <w:sz w:val="24"/>
          <w:szCs w:val="24"/>
          <w:highlight w:val="none"/>
          <w:u w:val="none"/>
          <w:lang w:val="en-US" w:eastAsia="zh-CN" w:bidi="ar-SA"/>
        </w:rPr>
      </w:pPr>
      <w:r>
        <w:rPr>
          <w:rFonts w:hint="eastAsia" w:ascii="仿宋" w:hAnsi="仿宋" w:eastAsia="仿宋" w:cs="Times New Roman"/>
          <w:kern w:val="2"/>
          <w:sz w:val="24"/>
          <w:szCs w:val="24"/>
          <w:highlight w:val="none"/>
          <w:u w:val="none"/>
          <w:lang w:val="en-US" w:eastAsia="zh-CN" w:bidi="ar-SA"/>
        </w:rPr>
        <w:t>七、其他补充事宜 </w:t>
      </w:r>
      <w:bookmarkEnd w:id="499"/>
    </w:p>
    <w:p w14:paraId="7A373546">
      <w:pPr>
        <w:pStyle w:val="22"/>
        <w:ind w:left="0" w:leftChars="0" w:firstLine="480" w:firstLineChars="200"/>
        <w:rPr>
          <w:rFonts w:hint="eastAsia" w:ascii="仿宋" w:hAnsi="仿宋" w:eastAsia="仿宋" w:cs="Times New Roman"/>
          <w:b w:val="0"/>
          <w:bCs w:val="0"/>
          <w:color w:val="auto"/>
          <w:kern w:val="2"/>
          <w:sz w:val="24"/>
          <w:szCs w:val="24"/>
          <w:highlight w:val="none"/>
          <w:u w:val="none"/>
          <w:lang w:val="en-US" w:eastAsia="zh-CN"/>
        </w:rPr>
      </w:pPr>
      <w:r>
        <w:rPr>
          <w:rFonts w:hint="eastAsia" w:ascii="仿宋" w:hAnsi="仿宋" w:eastAsia="仿宋" w:cs="Times New Roman"/>
          <w:b w:val="0"/>
          <w:bCs w:val="0"/>
          <w:color w:val="auto"/>
          <w:kern w:val="2"/>
          <w:sz w:val="24"/>
          <w:szCs w:val="24"/>
          <w:highlight w:val="none"/>
          <w:u w:val="none"/>
          <w:lang w:val="en-US" w:eastAsia="zh-CN"/>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w:t>
      </w:r>
    </w:p>
    <w:p w14:paraId="660CE321">
      <w:pPr>
        <w:pStyle w:val="22"/>
        <w:ind w:left="0" w:leftChars="0" w:firstLine="480" w:firstLineChars="200"/>
        <w:rPr>
          <w:rFonts w:hint="eastAsia" w:ascii="仿宋" w:hAnsi="仿宋" w:eastAsia="仿宋" w:cs="Times New Roman"/>
          <w:b w:val="0"/>
          <w:bCs w:val="0"/>
          <w:color w:val="auto"/>
          <w:kern w:val="2"/>
          <w:sz w:val="24"/>
          <w:szCs w:val="24"/>
          <w:highlight w:val="none"/>
          <w:u w:val="none"/>
          <w:lang w:val="en-US" w:eastAsia="zh-CN"/>
        </w:rPr>
      </w:pPr>
      <w:r>
        <w:rPr>
          <w:rFonts w:hint="eastAsia" w:ascii="仿宋" w:hAnsi="仿宋" w:eastAsia="仿宋" w:cs="Times New Roman"/>
          <w:b w:val="0"/>
          <w:bCs w:val="0"/>
          <w:color w:val="auto"/>
          <w:kern w:val="2"/>
          <w:sz w:val="24"/>
          <w:szCs w:val="24"/>
          <w:highlight w:val="none"/>
          <w:u w:val="none"/>
          <w:lang w:val="en-US" w:eastAsia="zh-CN"/>
        </w:rPr>
        <w:t>2.本项目实行网上投标，采用电子投标文件(供应商须使用CA加密设备通过政采云电子投标客户端制作投标文件)。若供应商参与投标，自行承担投标一切费用。</w:t>
      </w:r>
    </w:p>
    <w:p w14:paraId="5A66F1D7">
      <w:pPr>
        <w:pStyle w:val="22"/>
        <w:ind w:left="0" w:leftChars="0" w:firstLine="480" w:firstLineChars="200"/>
        <w:rPr>
          <w:rFonts w:hint="eastAsia" w:ascii="仿宋" w:hAnsi="仿宋" w:eastAsia="仿宋" w:cs="Times New Roman"/>
          <w:b w:val="0"/>
          <w:bCs w:val="0"/>
          <w:color w:val="auto"/>
          <w:kern w:val="2"/>
          <w:sz w:val="24"/>
          <w:szCs w:val="24"/>
          <w:highlight w:val="none"/>
          <w:u w:val="none"/>
          <w:lang w:val="en-US" w:eastAsia="zh-CN"/>
        </w:rPr>
      </w:pPr>
      <w:r>
        <w:rPr>
          <w:rFonts w:hint="eastAsia" w:ascii="仿宋" w:hAnsi="仿宋" w:eastAsia="仿宋" w:cs="Times New Roman"/>
          <w:b w:val="0"/>
          <w:bCs w:val="0"/>
          <w:color w:val="auto"/>
          <w:kern w:val="2"/>
          <w:sz w:val="24"/>
          <w:szCs w:val="24"/>
          <w:highlight w:val="none"/>
          <w:u w:val="none"/>
          <w:lang w:val="en-US" w:eastAsia="zh-CN"/>
        </w:rPr>
        <w:t>3.各供应商应在开标前应确保成为新疆维吾尔自治区政府采购网正式注册入库供应商，并完成CA数字证书申领。因未注册入库、未办理CA数字证书等原因造成无法投标或投标失败等后果由供应商自行承担。</w:t>
      </w:r>
    </w:p>
    <w:p w14:paraId="577CB226">
      <w:pPr>
        <w:pStyle w:val="22"/>
        <w:ind w:left="0" w:leftChars="0" w:firstLine="480" w:firstLineChars="200"/>
        <w:rPr>
          <w:rFonts w:hint="eastAsia" w:ascii="仿宋" w:hAnsi="仿宋" w:eastAsia="仿宋" w:cs="Times New Roman"/>
          <w:b w:val="0"/>
          <w:bCs w:val="0"/>
          <w:color w:val="auto"/>
          <w:kern w:val="2"/>
          <w:sz w:val="24"/>
          <w:szCs w:val="24"/>
          <w:highlight w:val="none"/>
          <w:u w:val="none"/>
          <w:lang w:val="en-US" w:eastAsia="zh-CN"/>
        </w:rPr>
      </w:pPr>
      <w:r>
        <w:rPr>
          <w:rFonts w:hint="eastAsia" w:ascii="仿宋" w:hAnsi="仿宋" w:eastAsia="仿宋" w:cs="Times New Roman"/>
          <w:b w:val="0"/>
          <w:bCs w:val="0"/>
          <w:color w:val="auto"/>
          <w:kern w:val="2"/>
          <w:sz w:val="24"/>
          <w:szCs w:val="24"/>
          <w:highlight w:val="none"/>
          <w:u w:val="none"/>
          <w:lang w:val="en-US" w:eastAsia="zh-CN"/>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1D11CC11">
      <w:pPr>
        <w:pStyle w:val="22"/>
        <w:ind w:left="0" w:leftChars="0" w:firstLine="480" w:firstLineChars="200"/>
        <w:rPr>
          <w:rFonts w:hint="eastAsia" w:ascii="仿宋" w:hAnsi="仿宋" w:eastAsia="仿宋" w:cs="Times New Roman"/>
          <w:b w:val="0"/>
          <w:bCs w:val="0"/>
          <w:color w:val="auto"/>
          <w:kern w:val="2"/>
          <w:sz w:val="24"/>
          <w:szCs w:val="24"/>
          <w:highlight w:val="none"/>
          <w:u w:val="none"/>
          <w:lang w:val="en-US" w:eastAsia="zh-CN"/>
        </w:rPr>
      </w:pPr>
      <w:r>
        <w:rPr>
          <w:rFonts w:hint="eastAsia" w:ascii="仿宋" w:hAnsi="仿宋" w:eastAsia="仿宋" w:cs="Times New Roman"/>
          <w:b w:val="0"/>
          <w:bCs w:val="0"/>
          <w:color w:val="auto"/>
          <w:kern w:val="2"/>
          <w:sz w:val="24"/>
          <w:szCs w:val="24"/>
          <w:highlight w:val="none"/>
          <w:u w:val="none"/>
          <w:lang w:val="en-US" w:eastAsia="zh-CN"/>
        </w:rPr>
        <w:t>5.供应商在开标时须使用制作加密电子投标文件所使用的CA锁及电脑，电脑须提前配置好浏览器（建议使用谷歌浏览器），以便开标时解锁。</w:t>
      </w:r>
    </w:p>
    <w:p w14:paraId="1A825952">
      <w:pPr>
        <w:pStyle w:val="22"/>
        <w:ind w:left="0" w:leftChars="0" w:firstLine="480" w:firstLineChars="200"/>
        <w:rPr>
          <w:rFonts w:hint="eastAsia" w:ascii="仿宋" w:hAnsi="仿宋" w:eastAsia="仿宋" w:cs="Times New Roman"/>
          <w:b w:val="0"/>
          <w:bCs w:val="0"/>
          <w:color w:val="auto"/>
          <w:kern w:val="2"/>
          <w:sz w:val="24"/>
          <w:szCs w:val="24"/>
          <w:highlight w:val="none"/>
          <w:u w:val="none"/>
          <w:lang w:val="en-US" w:eastAsia="zh-CN"/>
        </w:rPr>
      </w:pPr>
      <w:r>
        <w:rPr>
          <w:rFonts w:hint="eastAsia" w:ascii="仿宋" w:hAnsi="仿宋" w:eastAsia="仿宋" w:cs="Times New Roman"/>
          <w:b w:val="0"/>
          <w:bCs w:val="0"/>
          <w:color w:val="auto"/>
          <w:kern w:val="2"/>
          <w:sz w:val="24"/>
          <w:szCs w:val="24"/>
          <w:highlight w:val="none"/>
          <w:u w:val="none"/>
          <w:lang w:val="en-US" w:eastAsia="zh-CN"/>
        </w:rPr>
        <w:t>6.投标保证金缴纳及确认时间：凡拟参加本次招标项目的供应商，必须在开标前将投标保证金汇入指定账户。投标保证金汇款凭证上用途栏应注明:招标项目名称+投标保证金。</w:t>
      </w:r>
    </w:p>
    <w:p w14:paraId="0FCCF39A">
      <w:pPr>
        <w:pStyle w:val="22"/>
        <w:ind w:left="0" w:leftChars="0" w:firstLine="480" w:firstLineChars="200"/>
        <w:rPr>
          <w:rFonts w:hint="eastAsia" w:ascii="仿宋" w:hAnsi="仿宋" w:eastAsia="仿宋" w:cs="Times New Roman"/>
          <w:b w:val="0"/>
          <w:bCs w:val="0"/>
          <w:color w:val="auto"/>
          <w:kern w:val="2"/>
          <w:sz w:val="24"/>
          <w:szCs w:val="24"/>
          <w:highlight w:val="none"/>
          <w:u w:val="none"/>
          <w:lang w:val="en-US" w:eastAsia="zh-CN"/>
        </w:rPr>
      </w:pPr>
      <w:r>
        <w:rPr>
          <w:rFonts w:hint="eastAsia" w:ascii="仿宋" w:hAnsi="仿宋" w:eastAsia="仿宋" w:cs="Times New Roman"/>
          <w:b w:val="0"/>
          <w:bCs w:val="0"/>
          <w:color w:val="auto"/>
          <w:kern w:val="2"/>
          <w:sz w:val="24"/>
          <w:szCs w:val="24"/>
          <w:highlight w:val="none"/>
          <w:u w:val="none"/>
          <w:lang w:val="en-US" w:eastAsia="zh-CN"/>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供应商服务1号群：30349928（如已加入1-11群，无需重复加入，十一个群联动直播），钉钉工具软件具有回放功能，直播培训结束后可在钉钉群中回放观看学习。</w:t>
      </w:r>
    </w:p>
    <w:p w14:paraId="1719F01E">
      <w:pPr>
        <w:pStyle w:val="22"/>
        <w:ind w:left="0" w:leftChars="0" w:firstLine="480" w:firstLineChars="200"/>
        <w:rPr>
          <w:rFonts w:hint="eastAsia" w:ascii="仿宋" w:hAnsi="仿宋" w:eastAsia="仿宋" w:cs="Times New Roman"/>
          <w:b w:val="0"/>
          <w:bCs w:val="0"/>
          <w:color w:val="auto"/>
          <w:kern w:val="2"/>
          <w:sz w:val="24"/>
          <w:szCs w:val="24"/>
          <w:highlight w:val="none"/>
          <w:u w:val="none"/>
          <w:lang w:val="en-US" w:eastAsia="zh-CN"/>
        </w:rPr>
      </w:pPr>
      <w:r>
        <w:rPr>
          <w:rFonts w:hint="eastAsia" w:ascii="仿宋" w:hAnsi="仿宋" w:eastAsia="仿宋" w:cs="Times New Roman"/>
          <w:b w:val="0"/>
          <w:bCs w:val="0"/>
          <w:color w:val="auto"/>
          <w:kern w:val="2"/>
          <w:sz w:val="24"/>
          <w:szCs w:val="24"/>
          <w:highlight w:val="none"/>
          <w:u w:val="none"/>
          <w:lang w:val="en-US" w:eastAsia="zh-CN"/>
        </w:rPr>
        <w:t>8.政采云线上获取招标文件方法：供应商登陆政采云平台http://www.zcygov.cn/，在线申请获取采购文件（登录政府采购云平台 → 项目采购 → 获取采购文件 → 申请，审核通过后可下载招标文件，如有操作性问题，可与政采云在线客服进行咨询，咨询电话：95763）</w:t>
      </w:r>
    </w:p>
    <w:p w14:paraId="3B81A108">
      <w:pPr>
        <w:pStyle w:val="19"/>
        <w:rPr>
          <w:rFonts w:hint="eastAsia"/>
          <w:b/>
          <w:bCs/>
          <w:lang w:val="en-US" w:eastAsia="zh-CN"/>
        </w:rPr>
      </w:pPr>
    </w:p>
    <w:p w14:paraId="3959F4D7">
      <w:pPr>
        <w:pStyle w:val="22"/>
        <w:ind w:left="0" w:leftChars="0" w:firstLine="482" w:firstLineChars="200"/>
        <w:rPr>
          <w:rFonts w:hint="default"/>
          <w:b/>
          <w:bCs/>
          <w:lang w:val="en-US" w:eastAsia="zh-CN"/>
        </w:rPr>
      </w:pPr>
      <w:r>
        <w:rPr>
          <w:rFonts w:hint="default" w:ascii="仿宋" w:hAnsi="仿宋" w:eastAsia="仿宋" w:cs="Times New Roman"/>
          <w:b/>
          <w:bCs/>
          <w:kern w:val="2"/>
          <w:sz w:val="24"/>
          <w:szCs w:val="24"/>
          <w:u w:val="none"/>
          <w:lang w:val="en-US" w:eastAsia="zh-CN" w:bidi="ar-SA"/>
        </w:rPr>
        <w:t>根据《政府采购促进中小企业发展管理办法》，本项目专门面向中小企业</w:t>
      </w:r>
      <w:r>
        <w:rPr>
          <w:rFonts w:hint="eastAsia" w:ascii="仿宋" w:hAnsi="仿宋" w:eastAsia="仿宋" w:cs="Times New Roman"/>
          <w:b/>
          <w:bCs/>
          <w:kern w:val="2"/>
          <w:sz w:val="24"/>
          <w:szCs w:val="24"/>
          <w:u w:val="none"/>
          <w:lang w:val="en-US" w:eastAsia="zh-CN" w:bidi="ar-SA"/>
        </w:rPr>
        <w:t>预留</w:t>
      </w:r>
      <w:r>
        <w:rPr>
          <w:rFonts w:hint="default" w:ascii="仿宋" w:hAnsi="仿宋" w:eastAsia="仿宋" w:cs="Times New Roman"/>
          <w:b/>
          <w:bCs/>
          <w:kern w:val="2"/>
          <w:sz w:val="24"/>
          <w:szCs w:val="24"/>
          <w:u w:val="none"/>
          <w:lang w:val="en-US" w:eastAsia="zh-CN" w:bidi="ar-SA"/>
        </w:rPr>
        <w:t>采购</w:t>
      </w:r>
      <w:r>
        <w:rPr>
          <w:rFonts w:hint="eastAsia" w:ascii="仿宋" w:hAnsi="仿宋" w:eastAsia="仿宋" w:cs="Times New Roman"/>
          <w:b/>
          <w:bCs/>
          <w:kern w:val="2"/>
          <w:sz w:val="24"/>
          <w:szCs w:val="24"/>
          <w:u w:val="none"/>
          <w:lang w:val="en-US" w:eastAsia="zh-CN" w:bidi="ar-SA"/>
        </w:rPr>
        <w:t>份额。</w:t>
      </w:r>
    </w:p>
    <w:p w14:paraId="2BB64229">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textAlignment w:val="auto"/>
        <w:rPr>
          <w:rFonts w:hint="default" w:ascii="仿宋" w:hAnsi="仿宋" w:eastAsia="仿宋" w:cs="Times New Roman"/>
          <w:b/>
          <w:bCs/>
          <w:kern w:val="2"/>
          <w:sz w:val="24"/>
          <w:szCs w:val="24"/>
          <w:u w:val="none"/>
          <w:lang w:val="en-US" w:eastAsia="zh-CN" w:bidi="ar-SA"/>
        </w:rPr>
      </w:pPr>
      <w:r>
        <w:rPr>
          <w:rFonts w:hint="default" w:ascii="仿宋" w:hAnsi="仿宋" w:eastAsia="仿宋" w:cs="Times New Roman"/>
          <w:b/>
          <w:bCs/>
          <w:kern w:val="2"/>
          <w:sz w:val="24"/>
          <w:szCs w:val="24"/>
          <w:u w:val="none"/>
          <w:lang w:val="en-US" w:eastAsia="zh-CN" w:bidi="ar-SA"/>
        </w:rPr>
        <w:t>特别提示：</w:t>
      </w:r>
    </w:p>
    <w:p w14:paraId="397050FC">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eastAsia" w:ascii="仿宋" w:hAnsi="仿宋" w:eastAsia="仿宋" w:cs="Times New Roman"/>
          <w:kern w:val="2"/>
          <w:sz w:val="24"/>
          <w:szCs w:val="24"/>
          <w:u w:val="none"/>
          <w:lang w:val="en-US" w:eastAsia="zh-CN" w:bidi="ar-SA"/>
        </w:rPr>
      </w:pPr>
      <w:r>
        <w:rPr>
          <w:rFonts w:hint="eastAsia" w:ascii="仿宋" w:hAnsi="仿宋" w:eastAsia="仿宋" w:cs="Times New Roman"/>
          <w:kern w:val="2"/>
          <w:sz w:val="24"/>
          <w:szCs w:val="24"/>
          <w:u w:val="none"/>
          <w:lang w:val="en-US" w:eastAsia="zh-CN" w:bidi="ar-SA"/>
        </w:rPr>
        <w:t>1、采购限额标准以上，200万元以下的货物和服务采购项目、400万元以下的工程采购项目，适宜由中小企业提供的，采购人应当专门面向中小企业采购。</w:t>
      </w:r>
    </w:p>
    <w:p w14:paraId="602DCFD3">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eastAsia" w:ascii="仿宋" w:hAnsi="仿宋" w:eastAsia="仿宋" w:cs="Times New Roman"/>
          <w:kern w:val="2"/>
          <w:sz w:val="24"/>
          <w:szCs w:val="24"/>
          <w:u w:val="none"/>
          <w:lang w:val="en-US" w:eastAsia="zh-CN" w:bidi="ar-SA"/>
        </w:rPr>
      </w:pPr>
      <w:r>
        <w:rPr>
          <w:rFonts w:hint="eastAsia" w:ascii="仿宋" w:hAnsi="仿宋" w:eastAsia="仿宋" w:cs="Times New Roman"/>
          <w:kern w:val="2"/>
          <w:sz w:val="24"/>
          <w:szCs w:val="24"/>
          <w:u w:val="none"/>
          <w:lang w:val="en-US" w:eastAsia="zh-CN" w:bidi="ar-SA"/>
        </w:rPr>
        <w:t>2、超过200万元的货物和服务采购项目，预留该部分采购项目预算总额的30%以上专门面向中小企业采购，其中预留给小微企业的比例不低于60%。</w:t>
      </w:r>
    </w:p>
    <w:p w14:paraId="01734132">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eastAsia" w:ascii="仿宋" w:hAnsi="仿宋" w:eastAsia="仿宋" w:cs="Times New Roman"/>
          <w:kern w:val="2"/>
          <w:sz w:val="24"/>
          <w:szCs w:val="24"/>
          <w:u w:val="none"/>
          <w:lang w:val="en-US" w:eastAsia="zh-CN" w:bidi="ar-SA"/>
        </w:rPr>
      </w:pPr>
      <w:r>
        <w:rPr>
          <w:rFonts w:hint="eastAsia" w:ascii="仿宋" w:hAnsi="仿宋" w:eastAsia="仿宋" w:cs="Times New Roman"/>
          <w:kern w:val="2"/>
          <w:sz w:val="24"/>
          <w:szCs w:val="24"/>
          <w:u w:val="none"/>
          <w:lang w:val="en-US" w:eastAsia="zh-CN" w:bidi="ar-SA"/>
        </w:rPr>
        <w:t>3、超过400万元的工程采购项目中适宜由中小企业提供的，预留该部分采购项目预算总额的40%以上专门面向中小企业采购，其中预留给小微企业的比例不低于60%。</w:t>
      </w:r>
    </w:p>
    <w:p w14:paraId="108B3291">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eastAsia" w:ascii="仿宋" w:hAnsi="仿宋" w:eastAsia="仿宋" w:cs="Times New Roman"/>
          <w:kern w:val="2"/>
          <w:sz w:val="24"/>
          <w:szCs w:val="24"/>
          <w:u w:val="none"/>
          <w:lang w:val="en-US" w:eastAsia="zh-CN" w:bidi="ar-SA"/>
        </w:rPr>
      </w:pPr>
      <w:r>
        <w:rPr>
          <w:rFonts w:hint="eastAsia" w:ascii="仿宋" w:hAnsi="仿宋" w:eastAsia="仿宋" w:cs="Times New Roman"/>
          <w:kern w:val="2"/>
          <w:sz w:val="24"/>
          <w:szCs w:val="24"/>
          <w:u w:val="none"/>
          <w:lang w:val="en-US" w:eastAsia="zh-CN" w:bidi="ar-SA"/>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2EECA5CB">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eastAsia" w:ascii="仿宋" w:hAnsi="仿宋" w:eastAsia="仿宋" w:cs="Times New Roman"/>
          <w:kern w:val="2"/>
          <w:sz w:val="24"/>
          <w:szCs w:val="24"/>
          <w:u w:val="none"/>
          <w:lang w:val="en-US" w:eastAsia="zh-CN" w:bidi="ar-SA"/>
        </w:rPr>
      </w:pPr>
      <w:r>
        <w:rPr>
          <w:rFonts w:hint="eastAsia" w:ascii="仿宋" w:hAnsi="仿宋" w:eastAsia="仿宋" w:cs="Times New Roman"/>
          <w:kern w:val="2"/>
          <w:sz w:val="24"/>
          <w:szCs w:val="24"/>
          <w:u w:val="none"/>
          <w:lang w:val="en-US" w:eastAsia="zh-CN" w:bidi="ar-SA"/>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35DD70CD">
      <w:pPr>
        <w:pStyle w:val="19"/>
        <w:rPr>
          <w:rFonts w:hint="eastAsia"/>
          <w:lang w:val="en-US" w:eastAsia="zh-CN"/>
        </w:rPr>
      </w:pPr>
    </w:p>
    <w:p w14:paraId="7F0E9830">
      <w:pPr>
        <w:pStyle w:val="18"/>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200" w:lineRule="atLeast"/>
        <w:ind w:left="0" w:right="0" w:firstLine="0"/>
        <w:jc w:val="both"/>
        <w:textAlignment w:val="auto"/>
        <w:outlineLvl w:val="1"/>
        <w:rPr>
          <w:rFonts w:hint="eastAsia" w:ascii="仿宋" w:hAnsi="仿宋" w:eastAsia="仿宋" w:cs="Times New Roman"/>
          <w:kern w:val="2"/>
          <w:sz w:val="24"/>
          <w:szCs w:val="24"/>
          <w:u w:val="none"/>
          <w:lang w:val="en-US" w:eastAsia="zh-CN" w:bidi="ar-SA"/>
        </w:rPr>
      </w:pPr>
      <w:bookmarkStart w:id="500" w:name="_Toc8945"/>
      <w:r>
        <w:rPr>
          <w:rFonts w:hint="eastAsia" w:ascii="仿宋" w:hAnsi="仿宋" w:eastAsia="仿宋" w:cs="Times New Roman"/>
          <w:kern w:val="2"/>
          <w:sz w:val="24"/>
          <w:szCs w:val="24"/>
          <w:u w:val="none"/>
          <w:lang w:val="en-US" w:eastAsia="zh-CN" w:bidi="ar-SA"/>
        </w:rPr>
        <w:t>八、凡对本次招标提出询问，请按以下方式联系</w:t>
      </w:r>
      <w:bookmarkEnd w:id="500"/>
    </w:p>
    <w:p w14:paraId="6616DBAB">
      <w:pPr>
        <w:pStyle w:val="18"/>
        <w:keepNext w:val="0"/>
        <w:keepLines w:val="0"/>
        <w:widowControl/>
        <w:suppressLineNumbers w:val="0"/>
        <w:spacing w:before="75" w:beforeAutospacing="0" w:after="75" w:afterAutospacing="0" w:line="360" w:lineRule="auto"/>
        <w:ind w:left="0" w:right="0" w:firstLine="420"/>
        <w:rPr>
          <w:rFonts w:hint="eastAsia" w:ascii="仿宋" w:hAnsi="仿宋" w:eastAsia="仿宋" w:cs="Times New Roman"/>
          <w:kern w:val="2"/>
          <w:sz w:val="24"/>
          <w:szCs w:val="24"/>
          <w:u w:val="none"/>
          <w:lang w:val="en-US" w:eastAsia="zh-CN" w:bidi="ar-SA"/>
        </w:rPr>
      </w:pPr>
      <w:r>
        <w:rPr>
          <w:rFonts w:hint="eastAsia" w:ascii="仿宋" w:hAnsi="仿宋" w:eastAsia="仿宋" w:cs="Times New Roman"/>
          <w:kern w:val="2"/>
          <w:sz w:val="24"/>
          <w:szCs w:val="24"/>
          <w:u w:val="none"/>
          <w:lang w:val="en-US" w:eastAsia="zh-CN" w:bidi="ar-SA"/>
        </w:rPr>
        <w:t>1.采购人信息</w:t>
      </w:r>
    </w:p>
    <w:p w14:paraId="1200571A">
      <w:pPr>
        <w:pStyle w:val="18"/>
        <w:keepNext w:val="0"/>
        <w:keepLines w:val="0"/>
        <w:widowControl/>
        <w:suppressLineNumbers w:val="0"/>
        <w:spacing w:before="75" w:beforeAutospacing="0" w:after="75" w:afterAutospacing="0" w:line="360" w:lineRule="auto"/>
        <w:ind w:left="0" w:right="0" w:firstLine="420"/>
        <w:rPr>
          <w:rFonts w:hint="eastAsia" w:ascii="仿宋" w:hAnsi="仿宋" w:eastAsia="仿宋" w:cs="Times New Roman"/>
          <w:kern w:val="2"/>
          <w:sz w:val="24"/>
          <w:szCs w:val="24"/>
          <w:u w:val="none"/>
          <w:lang w:val="en-US" w:eastAsia="zh-CN" w:bidi="ar-SA"/>
        </w:rPr>
      </w:pPr>
      <w:r>
        <w:rPr>
          <w:rFonts w:hint="eastAsia" w:ascii="仿宋" w:hAnsi="仿宋" w:eastAsia="仿宋" w:cs="Times New Roman"/>
          <w:kern w:val="2"/>
          <w:sz w:val="24"/>
          <w:szCs w:val="24"/>
          <w:u w:val="none"/>
          <w:lang w:val="en-US" w:eastAsia="zh-CN" w:bidi="ar-SA"/>
        </w:rPr>
        <w:t>采购单位：</w:t>
      </w:r>
      <w:r>
        <w:rPr>
          <w:rFonts w:hint="eastAsia" w:ascii="仿宋" w:hAnsi="仿宋" w:eastAsia="仿宋" w:cs="仿宋"/>
          <w:b w:val="0"/>
          <w:bCs w:val="0"/>
          <w:i w:val="0"/>
          <w:iCs w:val="0"/>
          <w:caps w:val="0"/>
          <w:color w:val="auto"/>
          <w:spacing w:val="0"/>
          <w:kern w:val="2"/>
          <w:sz w:val="24"/>
          <w:szCs w:val="24"/>
          <w:u w:val="single"/>
          <w:shd w:val="clear" w:fill="auto"/>
          <w:lang w:eastAsia="zh-CN"/>
        </w:rPr>
        <w:t>泽普县中等职业技术学校</w:t>
      </w:r>
    </w:p>
    <w:p w14:paraId="3A1B0F88">
      <w:pPr>
        <w:spacing w:line="360" w:lineRule="auto"/>
        <w:ind w:firstLine="480" w:firstLineChars="200"/>
        <w:rPr>
          <w:rFonts w:ascii="仿宋" w:hAnsi="仿宋" w:eastAsia="仿宋" w:cs="仿宋"/>
          <w:sz w:val="24"/>
        </w:rPr>
      </w:pPr>
      <w:r>
        <w:rPr>
          <w:rFonts w:hint="eastAsia" w:ascii="仿宋" w:hAnsi="仿宋" w:eastAsia="仿宋" w:cs="仿宋"/>
          <w:sz w:val="24"/>
        </w:rPr>
        <w:t>联 系 人：</w:t>
      </w:r>
      <w:r>
        <w:rPr>
          <w:rFonts w:hint="eastAsia" w:ascii="仿宋" w:hAnsi="仿宋" w:eastAsia="仿宋" w:cs="仿宋"/>
          <w:sz w:val="24"/>
          <w:u w:val="single"/>
        </w:rPr>
        <w:t xml:space="preserve">  </w:t>
      </w:r>
      <w:r>
        <w:rPr>
          <w:rFonts w:hint="eastAsia" w:ascii="仿宋" w:hAnsi="仿宋" w:eastAsia="仿宋" w:cs="仿宋"/>
          <w:b w:val="0"/>
          <w:bCs w:val="0"/>
          <w:i w:val="0"/>
          <w:iCs w:val="0"/>
          <w:caps w:val="0"/>
          <w:color w:val="auto"/>
          <w:spacing w:val="0"/>
          <w:kern w:val="2"/>
          <w:sz w:val="24"/>
          <w:szCs w:val="24"/>
          <w:highlight w:val="none"/>
          <w:u w:val="single"/>
          <w:shd w:val="clear" w:fill="auto"/>
          <w:lang w:eastAsia="zh-CN"/>
        </w:rPr>
        <w:t xml:space="preserve"> 黄老师</w:t>
      </w:r>
      <w:r>
        <w:rPr>
          <w:rFonts w:hint="eastAsia" w:ascii="仿宋" w:hAnsi="仿宋" w:eastAsia="仿宋" w:cs="仿宋"/>
          <w:b w:val="0"/>
          <w:bCs w:val="0"/>
          <w:i w:val="0"/>
          <w:iCs w:val="0"/>
          <w:caps w:val="0"/>
          <w:color w:val="auto"/>
          <w:spacing w:val="0"/>
          <w:kern w:val="2"/>
          <w:sz w:val="24"/>
          <w:szCs w:val="24"/>
          <w:highlight w:val="none"/>
          <w:u w:val="single"/>
          <w:shd w:val="clear" w:fill="auto"/>
        </w:rPr>
        <w:t xml:space="preserve"> </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rPr>
        <w:t xml:space="preserve">     </w:t>
      </w:r>
    </w:p>
    <w:p w14:paraId="444304B7">
      <w:pPr>
        <w:pStyle w:val="18"/>
        <w:keepNext w:val="0"/>
        <w:keepLines w:val="0"/>
        <w:widowControl/>
        <w:suppressLineNumbers w:val="0"/>
        <w:spacing w:before="75" w:beforeAutospacing="0" w:after="75" w:afterAutospacing="0" w:line="360" w:lineRule="auto"/>
        <w:ind w:left="0" w:right="0" w:firstLine="420"/>
        <w:rPr>
          <w:rFonts w:hint="eastAsia" w:ascii="仿宋" w:hAnsi="仿宋" w:eastAsia="仿宋" w:cs="Times New Roman"/>
          <w:kern w:val="2"/>
          <w:sz w:val="24"/>
          <w:szCs w:val="24"/>
          <w:u w:val="none"/>
          <w:lang w:val="en-US" w:eastAsia="zh-CN" w:bidi="ar-SA"/>
        </w:rPr>
      </w:pPr>
      <w:r>
        <w:rPr>
          <w:rFonts w:hint="eastAsia" w:ascii="仿宋" w:hAnsi="仿宋" w:eastAsia="仿宋" w:cs="仿宋"/>
          <w:sz w:val="24"/>
        </w:rPr>
        <w:t>联系电话：</w:t>
      </w:r>
      <w:r>
        <w:rPr>
          <w:rFonts w:hint="eastAsia" w:ascii="仿宋" w:hAnsi="仿宋" w:eastAsia="仿宋" w:cs="仿宋"/>
          <w:sz w:val="24"/>
          <w:u w:val="single"/>
          <w:lang w:eastAsia="zh-CN"/>
        </w:rPr>
        <w:t>19909984334</w:t>
      </w:r>
      <w:r>
        <w:rPr>
          <w:rFonts w:hint="eastAsia" w:ascii="仿宋" w:hAnsi="仿宋" w:eastAsia="仿宋" w:cs="仿宋"/>
          <w:sz w:val="24"/>
          <w:u w:val="single"/>
          <w:lang w:val="en-US" w:eastAsia="zh-CN"/>
        </w:rPr>
        <w:t xml:space="preserve"> </w:t>
      </w:r>
      <w:r>
        <w:rPr>
          <w:rFonts w:hint="eastAsia" w:ascii="仿宋" w:hAnsi="仿宋" w:eastAsia="仿宋" w:cs="Times New Roman"/>
          <w:kern w:val="2"/>
          <w:sz w:val="24"/>
          <w:szCs w:val="24"/>
          <w:u w:val="none"/>
          <w:lang w:val="en-US" w:eastAsia="zh-CN" w:bidi="ar-SA"/>
        </w:rPr>
        <w:t xml:space="preserve"> </w:t>
      </w:r>
    </w:p>
    <w:p w14:paraId="00745C84">
      <w:pPr>
        <w:pStyle w:val="18"/>
        <w:keepNext w:val="0"/>
        <w:keepLines w:val="0"/>
        <w:widowControl/>
        <w:suppressLineNumbers w:val="0"/>
        <w:spacing w:before="75" w:beforeAutospacing="0" w:after="75" w:afterAutospacing="0" w:line="360" w:lineRule="auto"/>
        <w:ind w:left="0" w:right="0" w:firstLine="420"/>
        <w:rPr>
          <w:rFonts w:hint="eastAsia" w:ascii="仿宋" w:hAnsi="仿宋" w:eastAsia="仿宋" w:cs="Times New Roman"/>
          <w:kern w:val="2"/>
          <w:sz w:val="24"/>
          <w:szCs w:val="24"/>
          <w:u w:val="none"/>
          <w:lang w:val="en-US" w:eastAsia="zh-CN" w:bidi="ar-SA"/>
        </w:rPr>
      </w:pPr>
      <w:r>
        <w:rPr>
          <w:rFonts w:hint="eastAsia" w:ascii="仿宋" w:hAnsi="仿宋" w:eastAsia="仿宋" w:cs="Times New Roman"/>
          <w:kern w:val="2"/>
          <w:sz w:val="24"/>
          <w:szCs w:val="24"/>
          <w:u w:val="none"/>
          <w:lang w:val="en-US" w:eastAsia="zh-CN" w:bidi="ar-SA"/>
        </w:rPr>
        <w:t>2.采购代理机构信息</w:t>
      </w:r>
    </w:p>
    <w:p w14:paraId="7A127B7D">
      <w:pPr>
        <w:pStyle w:val="18"/>
        <w:keepNext w:val="0"/>
        <w:keepLines w:val="0"/>
        <w:widowControl/>
        <w:suppressLineNumbers w:val="0"/>
        <w:spacing w:before="75" w:beforeAutospacing="0" w:after="75" w:afterAutospacing="0" w:line="360" w:lineRule="auto"/>
        <w:ind w:left="0" w:right="0" w:firstLine="420"/>
        <w:rPr>
          <w:rFonts w:hint="eastAsia" w:ascii="仿宋" w:hAnsi="仿宋" w:eastAsia="仿宋" w:cs="Times New Roman"/>
          <w:kern w:val="2"/>
          <w:sz w:val="24"/>
          <w:szCs w:val="24"/>
          <w:u w:val="single"/>
          <w:lang w:val="en-US" w:eastAsia="zh-CN" w:bidi="ar-SA"/>
        </w:rPr>
      </w:pPr>
      <w:r>
        <w:rPr>
          <w:rFonts w:hint="eastAsia" w:ascii="仿宋" w:hAnsi="仿宋" w:eastAsia="仿宋" w:cs="Times New Roman"/>
          <w:kern w:val="2"/>
          <w:sz w:val="24"/>
          <w:szCs w:val="24"/>
          <w:u w:val="none"/>
          <w:lang w:val="en-US" w:eastAsia="zh-CN" w:bidi="ar-SA"/>
        </w:rPr>
        <w:t>代理机构：</w:t>
      </w:r>
      <w:r>
        <w:rPr>
          <w:rFonts w:hint="eastAsia" w:ascii="仿宋" w:hAnsi="仿宋" w:eastAsia="仿宋" w:cs="仿宋"/>
          <w:b w:val="0"/>
          <w:bCs w:val="0"/>
          <w:i w:val="0"/>
          <w:iCs w:val="0"/>
          <w:caps w:val="0"/>
          <w:color w:val="auto"/>
          <w:spacing w:val="0"/>
          <w:kern w:val="2"/>
          <w:sz w:val="24"/>
          <w:szCs w:val="24"/>
          <w:u w:val="single"/>
          <w:shd w:val="clear" w:fill="auto"/>
          <w:lang w:eastAsia="zh-CN"/>
        </w:rPr>
        <w:t>新疆全咨建设工程项目管理咨询有限公司</w:t>
      </w:r>
    </w:p>
    <w:p w14:paraId="530A2A30">
      <w:pPr>
        <w:pStyle w:val="19"/>
        <w:spacing w:line="360" w:lineRule="auto"/>
        <w:ind w:left="1439" w:leftChars="228" w:hanging="960" w:hangingChars="400"/>
        <w:rPr>
          <w:rFonts w:hint="eastAsia" w:eastAsia="宋体"/>
          <w:highlight w:val="yellow"/>
          <w:lang w:val="en-US" w:eastAsia="zh-CN"/>
        </w:rPr>
      </w:pPr>
      <w:r>
        <w:rPr>
          <w:rFonts w:hint="eastAsia" w:ascii="仿宋" w:hAnsi="仿宋" w:eastAsia="仿宋" w:cs="Times New Roman"/>
          <w:kern w:val="2"/>
          <w:sz w:val="24"/>
          <w:szCs w:val="24"/>
          <w:u w:val="none"/>
          <w:lang w:val="en-US" w:eastAsia="zh-CN" w:bidi="ar-SA"/>
        </w:rPr>
        <w:t>联系地址</w:t>
      </w:r>
      <w:r>
        <w:rPr>
          <w:rFonts w:hint="eastAsia"/>
          <w:lang w:val="en-US" w:eastAsia="zh-CN"/>
        </w:rPr>
        <w:t>：</w:t>
      </w:r>
      <w:r>
        <w:rPr>
          <w:rFonts w:hint="eastAsia" w:ascii="仿宋" w:hAnsi="仿宋" w:eastAsia="仿宋" w:cs="仿宋"/>
          <w:sz w:val="24"/>
          <w:u w:val="single"/>
          <w:lang w:eastAsia="zh-CN"/>
        </w:rPr>
        <w:t>新疆喀什地区喀什经济开发区深喀大道总部经济区深圳城2号楼9层1-1号</w:t>
      </w:r>
    </w:p>
    <w:p w14:paraId="328C4CE8">
      <w:pPr>
        <w:pStyle w:val="18"/>
        <w:keepNext w:val="0"/>
        <w:keepLines w:val="0"/>
        <w:widowControl/>
        <w:suppressLineNumbers w:val="0"/>
        <w:spacing w:before="75" w:beforeAutospacing="0" w:after="75" w:afterAutospacing="0" w:line="360" w:lineRule="auto"/>
        <w:ind w:left="0" w:right="0" w:firstLine="420"/>
        <w:rPr>
          <w:rFonts w:hint="eastAsia" w:ascii="仿宋" w:hAnsi="仿宋" w:eastAsia="仿宋" w:cs="Times New Roman"/>
          <w:kern w:val="2"/>
          <w:sz w:val="24"/>
          <w:szCs w:val="24"/>
          <w:u w:val="none"/>
          <w:lang w:val="en-US" w:eastAsia="zh-CN" w:bidi="ar-SA"/>
        </w:rPr>
      </w:pPr>
      <w:r>
        <w:rPr>
          <w:rFonts w:hint="eastAsia" w:ascii="仿宋" w:hAnsi="仿宋" w:eastAsia="仿宋" w:cs="Times New Roman"/>
          <w:kern w:val="2"/>
          <w:sz w:val="24"/>
          <w:szCs w:val="24"/>
          <w:u w:val="none"/>
          <w:lang w:val="en-US" w:eastAsia="zh-CN" w:bidi="ar-SA"/>
        </w:rPr>
        <w:t>联 系 人:</w:t>
      </w:r>
      <w:r>
        <w:rPr>
          <w:rFonts w:hint="eastAsia" w:ascii="仿宋" w:hAnsi="仿宋" w:eastAsia="仿宋" w:cs="Times New Roman"/>
          <w:kern w:val="2"/>
          <w:sz w:val="24"/>
          <w:szCs w:val="24"/>
          <w:u w:val="single"/>
          <w:lang w:val="en-US" w:eastAsia="zh-CN" w:bidi="ar-SA"/>
        </w:rPr>
        <w:t xml:space="preserve">    魏会娟    </w:t>
      </w:r>
      <w:r>
        <w:rPr>
          <w:rFonts w:hint="eastAsia" w:ascii="仿宋" w:hAnsi="仿宋" w:eastAsia="仿宋" w:cs="Times New Roman"/>
          <w:kern w:val="2"/>
          <w:sz w:val="24"/>
          <w:szCs w:val="24"/>
          <w:u w:val="none"/>
          <w:lang w:val="en-US" w:eastAsia="zh-CN" w:bidi="ar-SA"/>
        </w:rPr>
        <w:t xml:space="preserve">         </w:t>
      </w:r>
    </w:p>
    <w:p w14:paraId="4BC71221">
      <w:pPr>
        <w:pStyle w:val="18"/>
        <w:keepNext w:val="0"/>
        <w:keepLines w:val="0"/>
        <w:widowControl/>
        <w:suppressLineNumbers w:val="0"/>
        <w:spacing w:before="75" w:beforeAutospacing="0" w:after="75" w:afterAutospacing="0" w:line="360" w:lineRule="auto"/>
        <w:ind w:left="0" w:right="0" w:firstLine="420"/>
      </w:pPr>
      <w:r>
        <w:rPr>
          <w:rFonts w:hint="eastAsia" w:ascii="仿宋" w:hAnsi="仿宋" w:eastAsia="仿宋" w:cs="Times New Roman"/>
          <w:kern w:val="2"/>
          <w:sz w:val="24"/>
          <w:szCs w:val="24"/>
          <w:u w:val="none"/>
          <w:lang w:val="en-US" w:eastAsia="zh-CN" w:bidi="ar-SA"/>
        </w:rPr>
        <w:t>联系电话：</w:t>
      </w:r>
      <w:r>
        <w:rPr>
          <w:rFonts w:hint="eastAsia" w:ascii="仿宋" w:hAnsi="仿宋" w:eastAsia="仿宋" w:cs="Times New Roman"/>
          <w:kern w:val="2"/>
          <w:sz w:val="24"/>
          <w:szCs w:val="24"/>
          <w:u w:val="single"/>
          <w:lang w:val="en-US" w:eastAsia="zh-CN" w:bidi="ar-SA"/>
        </w:rPr>
        <w:t xml:space="preserve"> 15276075795</w:t>
      </w:r>
      <w:r>
        <w:rPr>
          <w:rFonts w:hint="eastAsia" w:ascii="仿宋" w:hAnsi="仿宋" w:eastAsia="仿宋" w:cs="Times New Roman"/>
          <w:kern w:val="2"/>
          <w:sz w:val="24"/>
          <w:szCs w:val="24"/>
          <w:u w:val="none"/>
          <w:lang w:val="en-US" w:eastAsia="zh-CN" w:bidi="ar-SA"/>
        </w:rPr>
        <w:t xml:space="preserve">        </w:t>
      </w:r>
    </w:p>
    <w:p w14:paraId="096A7F2E">
      <w:pPr>
        <w:pStyle w:val="5"/>
        <w:tabs>
          <w:tab w:val="left" w:pos="0"/>
        </w:tabs>
        <w:spacing w:before="0" w:after="0" w:line="240" w:lineRule="atLeast"/>
        <w:ind w:firstLine="1928" w:firstLineChars="600"/>
        <w:jc w:val="both"/>
        <w:rPr>
          <w:rFonts w:hint="eastAsia" w:ascii="仿宋" w:hAnsi="仿宋" w:eastAsia="仿宋" w:cs="仿宋"/>
          <w:szCs w:val="32"/>
        </w:rPr>
        <w:sectPr>
          <w:headerReference r:id="rId7" w:type="default"/>
          <w:footerReference r:id="rId8" w:type="default"/>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linePitch="312" w:charSpace="0"/>
        </w:sectPr>
      </w:pPr>
    </w:p>
    <w:p w14:paraId="7749C991">
      <w:pPr>
        <w:pStyle w:val="5"/>
        <w:tabs>
          <w:tab w:val="left" w:pos="0"/>
        </w:tabs>
        <w:spacing w:before="0" w:after="0" w:line="240" w:lineRule="atLeast"/>
        <w:ind w:firstLine="1928" w:firstLineChars="600"/>
        <w:jc w:val="both"/>
        <w:rPr>
          <w:rFonts w:ascii="仿宋" w:hAnsi="仿宋" w:eastAsia="仿宋" w:cs="仿宋"/>
          <w:szCs w:val="32"/>
        </w:rPr>
      </w:pPr>
      <w:r>
        <w:rPr>
          <w:rFonts w:hint="eastAsia" w:ascii="仿宋" w:hAnsi="仿宋" w:eastAsia="仿宋" w:cs="仿宋"/>
          <w:szCs w:val="32"/>
        </w:rPr>
        <w:t>第4章 供应商须知资料表</w:t>
      </w:r>
      <w:bookmarkEnd w:id="484"/>
      <w:bookmarkEnd w:id="485"/>
      <w:bookmarkEnd w:id="486"/>
      <w:bookmarkEnd w:id="487"/>
      <w:bookmarkEnd w:id="488"/>
      <w:bookmarkEnd w:id="489"/>
      <w:bookmarkEnd w:id="490"/>
      <w:bookmarkEnd w:id="491"/>
    </w:p>
    <w:p w14:paraId="04E4424A">
      <w:pPr>
        <w:spacing w:line="240" w:lineRule="atLeast"/>
        <w:ind w:firstLine="361" w:firstLineChars="150"/>
        <w:rPr>
          <w:rFonts w:ascii="仿宋" w:hAnsi="仿宋" w:eastAsia="仿宋" w:cs="仿宋"/>
          <w:b/>
          <w:bCs/>
          <w:sz w:val="24"/>
        </w:rPr>
      </w:pPr>
      <w:r>
        <w:rPr>
          <w:rFonts w:hint="eastAsia" w:ascii="仿宋" w:hAnsi="仿宋" w:eastAsia="仿宋" w:cs="仿宋"/>
          <w:b/>
          <w:bCs/>
          <w:sz w:val="24"/>
        </w:rPr>
        <w:t xml:space="preserve"> 本表是本招标项目的具体资料，是对供应商须知的具体补充和修改，如有矛盾，应以本资料表为准。</w:t>
      </w:r>
    </w:p>
    <w:tbl>
      <w:tblPr>
        <w:tblStyle w:val="23"/>
        <w:tblW w:w="9267"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55"/>
        <w:gridCol w:w="8312"/>
      </w:tblGrid>
      <w:tr w14:paraId="1B0A36A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0" w:hRule="atLeast"/>
          <w:jc w:val="center"/>
        </w:trPr>
        <w:tc>
          <w:tcPr>
            <w:tcW w:w="955" w:type="dxa"/>
            <w:vAlign w:val="center"/>
          </w:tcPr>
          <w:p w14:paraId="1D36C861">
            <w:pPr>
              <w:spacing w:line="240" w:lineRule="atLeast"/>
              <w:jc w:val="center"/>
              <w:rPr>
                <w:rFonts w:ascii="仿宋" w:hAnsi="仿宋" w:eastAsia="仿宋" w:cs="仿宋"/>
                <w:sz w:val="24"/>
              </w:rPr>
            </w:pPr>
            <w:r>
              <w:rPr>
                <w:rFonts w:hint="eastAsia" w:ascii="仿宋" w:hAnsi="仿宋" w:eastAsia="仿宋" w:cs="仿宋"/>
                <w:sz w:val="24"/>
              </w:rPr>
              <w:t>条款号</w:t>
            </w:r>
          </w:p>
        </w:tc>
        <w:tc>
          <w:tcPr>
            <w:tcW w:w="8312" w:type="dxa"/>
            <w:vAlign w:val="center"/>
          </w:tcPr>
          <w:p w14:paraId="4CD6C3C0">
            <w:pPr>
              <w:spacing w:line="240" w:lineRule="atLeast"/>
              <w:ind w:left="1080" w:leftChars="257" w:hanging="540"/>
              <w:rPr>
                <w:rFonts w:ascii="仿宋" w:hAnsi="仿宋" w:eastAsia="仿宋" w:cs="仿宋"/>
                <w:b/>
                <w:sz w:val="24"/>
              </w:rPr>
            </w:pPr>
            <w:r>
              <w:rPr>
                <w:rFonts w:hint="eastAsia" w:ascii="仿宋" w:hAnsi="仿宋" w:eastAsia="仿宋" w:cs="仿宋"/>
                <w:b/>
                <w:sz w:val="24"/>
              </w:rPr>
              <w:t>内      容</w:t>
            </w:r>
          </w:p>
        </w:tc>
      </w:tr>
      <w:tr w14:paraId="560A870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10" w:hRule="atLeast"/>
          <w:jc w:val="center"/>
        </w:trPr>
        <w:tc>
          <w:tcPr>
            <w:tcW w:w="955" w:type="dxa"/>
            <w:vAlign w:val="center"/>
          </w:tcPr>
          <w:p w14:paraId="51B73FEC">
            <w:pPr>
              <w:spacing w:line="240" w:lineRule="atLeast"/>
              <w:jc w:val="center"/>
              <w:rPr>
                <w:rFonts w:ascii="仿宋" w:hAnsi="仿宋" w:eastAsia="仿宋" w:cs="仿宋"/>
                <w:sz w:val="24"/>
              </w:rPr>
            </w:pPr>
            <w:r>
              <w:rPr>
                <w:rFonts w:hint="eastAsia" w:ascii="仿宋" w:hAnsi="仿宋" w:eastAsia="仿宋" w:cs="仿宋"/>
                <w:sz w:val="24"/>
              </w:rPr>
              <w:t>1.1</w:t>
            </w:r>
          </w:p>
        </w:tc>
        <w:tc>
          <w:tcPr>
            <w:tcW w:w="8312" w:type="dxa"/>
            <w:vAlign w:val="center"/>
          </w:tcPr>
          <w:p w14:paraId="66A5D85E">
            <w:pPr>
              <w:pStyle w:val="18"/>
              <w:keepNext w:val="0"/>
              <w:keepLines w:val="0"/>
              <w:widowControl/>
              <w:suppressLineNumbers w:val="0"/>
              <w:spacing w:before="75" w:beforeAutospacing="0" w:after="75" w:afterAutospacing="0"/>
              <w:ind w:left="0" w:right="0" w:firstLine="0"/>
              <w:rPr>
                <w:rFonts w:hint="eastAsia" w:ascii="仿宋" w:hAnsi="仿宋" w:eastAsia="仿宋" w:cs="Times New Roman"/>
                <w:kern w:val="2"/>
                <w:sz w:val="24"/>
                <w:szCs w:val="24"/>
                <w:u w:val="none"/>
                <w:lang w:val="en-US" w:eastAsia="zh-CN" w:bidi="ar-SA"/>
              </w:rPr>
            </w:pPr>
            <w:r>
              <w:rPr>
                <w:rFonts w:hint="eastAsia" w:ascii="仿宋" w:hAnsi="仿宋" w:eastAsia="仿宋" w:cs="Times New Roman"/>
                <w:kern w:val="2"/>
                <w:sz w:val="24"/>
                <w:szCs w:val="24"/>
                <w:u w:val="none"/>
                <w:lang w:val="en-US" w:eastAsia="zh-CN" w:bidi="ar-SA"/>
              </w:rPr>
              <w:t>采购单位：</w:t>
            </w:r>
            <w:r>
              <w:rPr>
                <w:rFonts w:hint="eastAsia" w:ascii="仿宋" w:hAnsi="仿宋" w:eastAsia="仿宋" w:cs="仿宋"/>
                <w:b w:val="0"/>
                <w:bCs w:val="0"/>
                <w:i w:val="0"/>
                <w:iCs w:val="0"/>
                <w:caps w:val="0"/>
                <w:spacing w:val="0"/>
                <w:kern w:val="2"/>
                <w:sz w:val="24"/>
                <w:szCs w:val="24"/>
                <w:u w:val="single"/>
                <w:shd w:val="clear"/>
                <w:lang w:eastAsia="zh-CN"/>
              </w:rPr>
              <w:t>泽普县中等职业技术学校</w:t>
            </w:r>
          </w:p>
          <w:p w14:paraId="46602E06">
            <w:pPr>
              <w:spacing w:line="240" w:lineRule="atLeast"/>
              <w:ind w:firstLine="0" w:firstLineChars="0"/>
              <w:rPr>
                <w:rFonts w:ascii="仿宋" w:hAnsi="仿宋" w:eastAsia="仿宋" w:cs="仿宋"/>
                <w:sz w:val="24"/>
              </w:rPr>
            </w:pPr>
            <w:r>
              <w:rPr>
                <w:rFonts w:hint="eastAsia" w:ascii="仿宋" w:hAnsi="仿宋" w:eastAsia="仿宋" w:cs="仿宋"/>
                <w:sz w:val="24"/>
              </w:rPr>
              <w:t>联 系 人：</w:t>
            </w:r>
            <w:r>
              <w:rPr>
                <w:rFonts w:hint="eastAsia" w:ascii="仿宋" w:hAnsi="仿宋" w:eastAsia="仿宋" w:cs="仿宋"/>
                <w:sz w:val="24"/>
                <w:u w:val="single"/>
              </w:rPr>
              <w:t xml:space="preserve"> </w:t>
            </w:r>
            <w:r>
              <w:rPr>
                <w:rFonts w:hint="eastAsia" w:ascii="仿宋" w:hAnsi="仿宋" w:eastAsia="仿宋" w:cs="仿宋"/>
                <w:b w:val="0"/>
                <w:bCs w:val="0"/>
                <w:i w:val="0"/>
                <w:iCs w:val="0"/>
                <w:caps w:val="0"/>
                <w:spacing w:val="0"/>
                <w:kern w:val="2"/>
                <w:sz w:val="24"/>
                <w:szCs w:val="24"/>
                <w:highlight w:val="none"/>
                <w:u w:val="single"/>
                <w:shd w:val="clear"/>
                <w:lang w:eastAsia="zh-CN"/>
              </w:rPr>
              <w:t xml:space="preserve"> 黄老师</w:t>
            </w:r>
            <w:r>
              <w:rPr>
                <w:rFonts w:hint="eastAsia" w:ascii="仿宋" w:hAnsi="仿宋" w:eastAsia="仿宋" w:cs="仿宋"/>
                <w:sz w:val="24"/>
                <w:u w:val="single"/>
              </w:rPr>
              <w:t xml:space="preserve">   </w:t>
            </w:r>
            <w:r>
              <w:rPr>
                <w:rFonts w:hint="eastAsia" w:ascii="仿宋" w:hAnsi="仿宋" w:eastAsia="仿宋" w:cs="仿宋"/>
                <w:sz w:val="24"/>
              </w:rPr>
              <w:t xml:space="preserve">     </w:t>
            </w:r>
          </w:p>
          <w:p w14:paraId="00A37462">
            <w:pPr>
              <w:spacing w:line="240" w:lineRule="atLeast"/>
              <w:rPr>
                <w:rFonts w:ascii="仿宋" w:hAnsi="仿宋" w:eastAsia="仿宋" w:cs="仿宋"/>
              </w:rPr>
            </w:pPr>
            <w:r>
              <w:rPr>
                <w:rFonts w:hint="eastAsia" w:ascii="仿宋" w:hAnsi="仿宋" w:eastAsia="仿宋" w:cs="仿宋"/>
                <w:sz w:val="24"/>
              </w:rPr>
              <w:t>联系电话：</w:t>
            </w:r>
            <w:r>
              <w:rPr>
                <w:rFonts w:hint="eastAsia" w:ascii="仿宋" w:hAnsi="仿宋" w:eastAsia="仿宋" w:cs="仿宋"/>
                <w:sz w:val="24"/>
                <w:u w:val="single"/>
                <w:lang w:eastAsia="zh-CN"/>
              </w:rPr>
              <w:t>19909984334</w:t>
            </w:r>
            <w:r>
              <w:rPr>
                <w:rFonts w:hint="eastAsia" w:ascii="仿宋" w:hAnsi="仿宋" w:eastAsia="仿宋" w:cs="仿宋"/>
                <w:sz w:val="24"/>
              </w:rPr>
              <w:t xml:space="preserve"> </w:t>
            </w:r>
          </w:p>
        </w:tc>
      </w:tr>
      <w:tr w14:paraId="1BDDE8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209" w:hRule="atLeast"/>
          <w:jc w:val="center"/>
        </w:trPr>
        <w:tc>
          <w:tcPr>
            <w:tcW w:w="955" w:type="dxa"/>
            <w:vAlign w:val="center"/>
          </w:tcPr>
          <w:p w14:paraId="5C8467D5">
            <w:pPr>
              <w:spacing w:line="240" w:lineRule="atLeast"/>
              <w:jc w:val="center"/>
              <w:rPr>
                <w:rFonts w:ascii="仿宋" w:hAnsi="仿宋" w:eastAsia="仿宋" w:cs="仿宋"/>
                <w:sz w:val="24"/>
              </w:rPr>
            </w:pPr>
            <w:r>
              <w:rPr>
                <w:rFonts w:hint="eastAsia" w:ascii="仿宋" w:hAnsi="仿宋" w:eastAsia="仿宋" w:cs="仿宋"/>
                <w:sz w:val="24"/>
              </w:rPr>
              <w:t>1.2</w:t>
            </w:r>
          </w:p>
        </w:tc>
        <w:tc>
          <w:tcPr>
            <w:tcW w:w="8312" w:type="dxa"/>
            <w:vAlign w:val="center"/>
          </w:tcPr>
          <w:p w14:paraId="7F8E37BC">
            <w:pPr>
              <w:pStyle w:val="18"/>
              <w:keepNext w:val="0"/>
              <w:keepLines w:val="0"/>
              <w:widowControl/>
              <w:suppressLineNumbers w:val="0"/>
              <w:spacing w:before="75" w:beforeAutospacing="0" w:after="75" w:afterAutospacing="0"/>
              <w:ind w:left="0" w:right="0" w:firstLine="0"/>
              <w:rPr>
                <w:rFonts w:hint="eastAsia" w:ascii="仿宋" w:hAnsi="仿宋" w:eastAsia="仿宋" w:cs="Times New Roman"/>
                <w:kern w:val="2"/>
                <w:sz w:val="24"/>
                <w:szCs w:val="24"/>
                <w:u w:val="single"/>
                <w:lang w:val="en-US" w:eastAsia="zh-CN" w:bidi="ar-SA"/>
              </w:rPr>
            </w:pPr>
            <w:r>
              <w:rPr>
                <w:rFonts w:hint="eastAsia" w:ascii="仿宋" w:hAnsi="仿宋" w:eastAsia="仿宋" w:cs="Times New Roman"/>
                <w:kern w:val="2"/>
                <w:sz w:val="24"/>
                <w:szCs w:val="24"/>
                <w:u w:val="none"/>
                <w:lang w:val="en-US" w:eastAsia="zh-CN" w:bidi="ar-SA"/>
              </w:rPr>
              <w:t>代理机构：</w:t>
            </w:r>
            <w:r>
              <w:rPr>
                <w:rFonts w:hint="eastAsia" w:ascii="仿宋" w:hAnsi="仿宋" w:eastAsia="仿宋" w:cs="仿宋"/>
                <w:b w:val="0"/>
                <w:bCs w:val="0"/>
                <w:i w:val="0"/>
                <w:iCs w:val="0"/>
                <w:caps w:val="0"/>
                <w:spacing w:val="0"/>
                <w:kern w:val="2"/>
                <w:sz w:val="24"/>
                <w:szCs w:val="24"/>
                <w:u w:val="single"/>
                <w:shd w:val="clear"/>
                <w:lang w:eastAsia="zh-CN"/>
              </w:rPr>
              <w:t>新疆全咨建设工程项目管理咨询有限公司</w:t>
            </w:r>
          </w:p>
          <w:p w14:paraId="7F10FF4B">
            <w:pPr>
              <w:pStyle w:val="18"/>
              <w:keepNext w:val="0"/>
              <w:keepLines w:val="0"/>
              <w:widowControl/>
              <w:suppressLineNumbers w:val="0"/>
              <w:spacing w:before="75" w:beforeAutospacing="0" w:after="75" w:afterAutospacing="0"/>
              <w:ind w:left="0" w:right="0" w:firstLine="0"/>
              <w:rPr>
                <w:rFonts w:hint="eastAsia" w:ascii="仿宋" w:hAnsi="仿宋" w:eastAsia="仿宋" w:cs="Times New Roman"/>
                <w:kern w:val="2"/>
                <w:sz w:val="24"/>
                <w:szCs w:val="24"/>
                <w:u w:val="none"/>
                <w:lang w:val="en-US" w:eastAsia="zh-CN" w:bidi="ar-SA"/>
              </w:rPr>
            </w:pPr>
            <w:r>
              <w:rPr>
                <w:rFonts w:hint="eastAsia" w:ascii="仿宋" w:hAnsi="仿宋" w:eastAsia="仿宋" w:cs="Times New Roman"/>
                <w:kern w:val="2"/>
                <w:sz w:val="24"/>
                <w:szCs w:val="24"/>
                <w:u w:val="none"/>
                <w:lang w:val="en-US" w:eastAsia="zh-CN" w:bidi="ar-SA"/>
              </w:rPr>
              <w:t>联 系 人:</w:t>
            </w:r>
            <w:r>
              <w:rPr>
                <w:rFonts w:hint="eastAsia" w:ascii="仿宋" w:hAnsi="仿宋" w:eastAsia="仿宋" w:cs="Times New Roman"/>
                <w:kern w:val="2"/>
                <w:sz w:val="24"/>
                <w:szCs w:val="24"/>
                <w:u w:val="single"/>
                <w:lang w:val="en-US" w:eastAsia="zh-CN" w:bidi="ar-SA"/>
              </w:rPr>
              <w:t xml:space="preserve">   魏会娟      </w:t>
            </w:r>
            <w:r>
              <w:rPr>
                <w:rFonts w:hint="eastAsia" w:ascii="仿宋" w:hAnsi="仿宋" w:eastAsia="仿宋" w:cs="Times New Roman"/>
                <w:kern w:val="2"/>
                <w:sz w:val="24"/>
                <w:szCs w:val="24"/>
                <w:u w:val="none"/>
                <w:lang w:val="en-US" w:eastAsia="zh-CN" w:bidi="ar-SA"/>
              </w:rPr>
              <w:t xml:space="preserve">         </w:t>
            </w:r>
          </w:p>
          <w:p w14:paraId="39463B92">
            <w:pPr>
              <w:spacing w:line="240" w:lineRule="atLeast"/>
              <w:rPr>
                <w:rFonts w:ascii="仿宋" w:hAnsi="仿宋" w:eastAsia="仿宋" w:cs="仿宋"/>
                <w:sz w:val="24"/>
              </w:rPr>
            </w:pPr>
            <w:r>
              <w:rPr>
                <w:rFonts w:hint="eastAsia" w:ascii="仿宋" w:hAnsi="仿宋" w:eastAsia="仿宋" w:cs="Times New Roman"/>
                <w:kern w:val="2"/>
                <w:sz w:val="24"/>
                <w:szCs w:val="24"/>
                <w:u w:val="none"/>
                <w:lang w:val="en-US" w:eastAsia="zh-CN" w:bidi="ar-SA"/>
              </w:rPr>
              <w:t>联系电话：</w:t>
            </w:r>
            <w:r>
              <w:rPr>
                <w:rFonts w:hint="eastAsia" w:ascii="仿宋" w:hAnsi="仿宋" w:eastAsia="仿宋" w:cs="Times New Roman"/>
                <w:kern w:val="2"/>
                <w:sz w:val="24"/>
                <w:szCs w:val="24"/>
                <w:u w:val="single"/>
                <w:lang w:val="en-US" w:eastAsia="zh-CN" w:bidi="ar-SA"/>
              </w:rPr>
              <w:t>15276075795</w:t>
            </w:r>
            <w:r>
              <w:rPr>
                <w:rFonts w:hint="eastAsia" w:ascii="仿宋" w:hAnsi="仿宋" w:eastAsia="仿宋" w:cs="仿宋"/>
                <w:sz w:val="24"/>
              </w:rPr>
              <w:t xml:space="preserve">        </w:t>
            </w:r>
          </w:p>
        </w:tc>
      </w:tr>
      <w:tr w14:paraId="7698664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18" w:hRule="atLeast"/>
          <w:jc w:val="center"/>
        </w:trPr>
        <w:tc>
          <w:tcPr>
            <w:tcW w:w="955" w:type="dxa"/>
            <w:vAlign w:val="center"/>
          </w:tcPr>
          <w:p w14:paraId="7257DF53">
            <w:pPr>
              <w:spacing w:line="240" w:lineRule="atLeast"/>
              <w:jc w:val="center"/>
              <w:rPr>
                <w:rFonts w:ascii="仿宋" w:hAnsi="仿宋" w:eastAsia="仿宋" w:cs="仿宋"/>
                <w:sz w:val="24"/>
              </w:rPr>
            </w:pPr>
            <w:r>
              <w:rPr>
                <w:rFonts w:hint="eastAsia" w:ascii="仿宋" w:hAnsi="仿宋" w:eastAsia="仿宋" w:cs="仿宋"/>
                <w:sz w:val="24"/>
              </w:rPr>
              <w:t>1.3.4</w:t>
            </w:r>
          </w:p>
        </w:tc>
        <w:tc>
          <w:tcPr>
            <w:tcW w:w="8312" w:type="dxa"/>
            <w:vAlign w:val="center"/>
          </w:tcPr>
          <w:p w14:paraId="7624FEB8">
            <w:pPr>
              <w:pStyle w:val="11"/>
              <w:rPr>
                <w:rFonts w:ascii="仿宋" w:hAnsi="仿宋" w:eastAsia="仿宋" w:cs="仿宋"/>
                <w:b/>
                <w:bCs/>
                <w:kern w:val="0"/>
                <w:sz w:val="24"/>
              </w:rPr>
            </w:pPr>
            <w:r>
              <w:rPr>
                <w:rFonts w:hint="eastAsia" w:ascii="仿宋" w:hAnsi="仿宋" w:eastAsia="仿宋" w:cs="仿宋"/>
                <w:b/>
                <w:bCs/>
                <w:kern w:val="0"/>
                <w:sz w:val="24"/>
              </w:rPr>
              <w:t>合格供应商的资格要求：</w:t>
            </w:r>
          </w:p>
          <w:p w14:paraId="5071644E">
            <w:pPr>
              <w:pStyle w:val="11"/>
              <w:rPr>
                <w:rFonts w:hint="eastAsia" w:ascii="仿宋" w:hAnsi="仿宋" w:eastAsia="仿宋" w:cs="仿宋"/>
                <w:b/>
                <w:bCs/>
                <w:sz w:val="24"/>
                <w:lang w:val="en-US" w:eastAsia="zh-CN"/>
              </w:rPr>
            </w:pPr>
            <w:r>
              <w:rPr>
                <w:rFonts w:hint="eastAsia" w:ascii="仿宋" w:hAnsi="仿宋" w:eastAsia="仿宋" w:cs="仿宋"/>
                <w:b/>
                <w:bCs/>
                <w:sz w:val="24"/>
                <w:lang w:val="en-US" w:eastAsia="zh-CN"/>
              </w:rPr>
              <w:t>1、合格有效的营业执照（三证合一）副本（原件、复印件、影印件均可）或电子营业执照打印件（需加盖公章）或同等法律效力的证明文件（发证机关或公证机关出具的证明材料原件）；法人或者非法人组织营业执照等证明文件复印件（须加盖本单位章）或自然人的身份证明复印件;</w:t>
            </w:r>
          </w:p>
          <w:p w14:paraId="1C8524D8">
            <w:pPr>
              <w:pStyle w:val="11"/>
              <w:rPr>
                <w:rFonts w:hint="eastAsia" w:ascii="仿宋" w:hAnsi="仿宋" w:eastAsia="仿宋" w:cs="仿宋"/>
                <w:b/>
                <w:bCs/>
                <w:sz w:val="24"/>
                <w:lang w:val="en-US" w:eastAsia="zh-CN"/>
              </w:rPr>
            </w:pPr>
            <w:r>
              <w:rPr>
                <w:rFonts w:hint="eastAsia" w:ascii="仿宋" w:hAnsi="仿宋" w:eastAsia="仿宋" w:cs="仿宋"/>
                <w:b/>
                <w:bCs/>
                <w:sz w:val="24"/>
                <w:lang w:val="en-US" w:eastAsia="zh-CN"/>
              </w:rPr>
              <w:t>2、法定代表人身份证明或法定代表人授权委托书及被授权人身份证；</w:t>
            </w:r>
          </w:p>
          <w:p w14:paraId="265E5490">
            <w:pPr>
              <w:pStyle w:val="11"/>
              <w:rPr>
                <w:rFonts w:hint="eastAsia" w:ascii="仿宋" w:hAnsi="仿宋" w:eastAsia="仿宋" w:cs="仿宋"/>
                <w:b/>
                <w:bCs/>
                <w:sz w:val="24"/>
                <w:lang w:val="en-US" w:eastAsia="zh-CN"/>
              </w:rPr>
            </w:pPr>
            <w:r>
              <w:rPr>
                <w:rFonts w:hint="eastAsia" w:ascii="仿宋" w:hAnsi="仿宋" w:eastAsia="仿宋" w:cs="仿宋"/>
                <w:b/>
                <w:bCs/>
                <w:sz w:val="24"/>
                <w:lang w:val="en-US" w:eastAsia="zh-CN"/>
              </w:rPr>
              <w:t>3、近期（投标截止日期前六个月内任意一个月）依法缴纳社会保障金的缴费证明或银行出具的“银行电子缴纳社会保障金付款凭证”（新成立公司提供相关证明文件）；</w:t>
            </w:r>
          </w:p>
          <w:p w14:paraId="5CABA4CD">
            <w:pPr>
              <w:pStyle w:val="11"/>
              <w:rPr>
                <w:rFonts w:hint="eastAsia" w:ascii="仿宋" w:hAnsi="仿宋" w:eastAsia="仿宋" w:cs="仿宋"/>
                <w:b/>
                <w:bCs/>
                <w:sz w:val="24"/>
                <w:lang w:val="en-US" w:eastAsia="zh-CN"/>
              </w:rPr>
            </w:pPr>
            <w:r>
              <w:rPr>
                <w:rFonts w:hint="eastAsia" w:ascii="仿宋" w:hAnsi="仿宋" w:eastAsia="仿宋" w:cs="仿宋"/>
                <w:b/>
                <w:bCs/>
                <w:sz w:val="24"/>
                <w:lang w:val="en-US" w:eastAsia="zh-CN"/>
              </w:rPr>
              <w:t>4、近期（投标截止日期前六个月内任意一个月）依法缴纳税收的证明材料（税务部门出具的完税凭证或缴税证明或银行出具的“银行电子缴税付款凭证”；新成立公司提供相关证明文件）；注：①若为零申报企业，需提供无欠税证明或国家税务总局电子税务局“申报结果查询截图”。②“税种”非社会保险；</w:t>
            </w:r>
          </w:p>
          <w:p w14:paraId="5C92B8A7">
            <w:pPr>
              <w:pStyle w:val="11"/>
              <w:rPr>
                <w:rFonts w:hint="eastAsia" w:ascii="仿宋" w:hAnsi="仿宋" w:eastAsia="仿宋" w:cs="仿宋"/>
                <w:b/>
                <w:bCs/>
                <w:sz w:val="24"/>
                <w:lang w:val="en-US" w:eastAsia="zh-CN"/>
              </w:rPr>
            </w:pPr>
            <w:r>
              <w:rPr>
                <w:rFonts w:hint="eastAsia" w:ascii="仿宋" w:hAnsi="仿宋" w:eastAsia="仿宋" w:cs="仿宋"/>
                <w:b/>
                <w:bCs/>
                <w:sz w:val="24"/>
                <w:lang w:val="en-US" w:eastAsia="zh-CN"/>
              </w:rPr>
              <w:t>5、具有良好的商业信誉和健全的财务会计制度(2023年或2024年的年度财务审计报告书，2025年成立公司提供银行资信证明)；</w:t>
            </w:r>
          </w:p>
          <w:p w14:paraId="45E7150E">
            <w:pPr>
              <w:pStyle w:val="11"/>
              <w:rPr>
                <w:rFonts w:hint="eastAsia" w:ascii="仿宋" w:hAnsi="仿宋" w:eastAsia="仿宋" w:cs="仿宋"/>
                <w:b/>
                <w:bCs/>
                <w:sz w:val="24"/>
                <w:lang w:val="en-US" w:eastAsia="zh-CN"/>
              </w:rPr>
            </w:pPr>
            <w:r>
              <w:rPr>
                <w:rFonts w:hint="eastAsia" w:ascii="仿宋" w:hAnsi="仿宋" w:eastAsia="仿宋" w:cs="仿宋"/>
                <w:b/>
                <w:bCs/>
                <w:sz w:val="24"/>
                <w:lang w:val="en-US" w:eastAsia="zh-CN"/>
              </w:rPr>
              <w:t>6、凡拟参加本次采购项目的供应商，如在“信用中国”网站（ www.creditchina.gov.cn） 被列入失信被执行人、重大税收违法案件当事人名单(信用服务-重点领域严重失信主体名单查询-搜索栏输入单位全称-截图)、中国政府采购网（http://www.ccgp.gov.cn/search/cr/）严重违法失信行为记录名单的（尚在处罚期内的），“国家企业信用信息公示系（http://www.gsxt.gov.cn）”列入严重违法失信企业名单（黑名单）信息及企业信用信息公示报告；将拒绝其参加本次采购活动；（以招标代理或采购人查询为准）；；</w:t>
            </w:r>
          </w:p>
          <w:p w14:paraId="3F1416BF">
            <w:pPr>
              <w:pStyle w:val="11"/>
              <w:rPr>
                <w:rFonts w:hint="eastAsia" w:ascii="仿宋" w:hAnsi="仿宋" w:eastAsia="仿宋" w:cs="仿宋"/>
                <w:b/>
                <w:bCs/>
                <w:sz w:val="24"/>
                <w:lang w:val="en-US" w:eastAsia="zh-CN"/>
              </w:rPr>
            </w:pPr>
            <w:r>
              <w:rPr>
                <w:rFonts w:hint="eastAsia" w:ascii="仿宋" w:hAnsi="仿宋" w:eastAsia="仿宋" w:cs="仿宋"/>
                <w:b/>
                <w:bCs/>
                <w:sz w:val="24"/>
                <w:lang w:val="en-US" w:eastAsia="zh-CN"/>
              </w:rPr>
              <w:t>7、参加政府采购活动前3年内在经营活动中没有重大违法记录的书面声明；</w:t>
            </w:r>
          </w:p>
          <w:p w14:paraId="07D53BB3">
            <w:pPr>
              <w:pStyle w:val="11"/>
              <w:rPr>
                <w:rFonts w:hint="eastAsia" w:ascii="仿宋" w:hAnsi="仿宋" w:eastAsia="仿宋" w:cs="仿宋"/>
                <w:b/>
                <w:bCs/>
                <w:sz w:val="24"/>
                <w:lang w:val="en-US" w:eastAsia="zh-CN"/>
              </w:rPr>
            </w:pPr>
            <w:r>
              <w:rPr>
                <w:rFonts w:hint="eastAsia" w:ascii="仿宋" w:hAnsi="仿宋" w:eastAsia="仿宋" w:cs="仿宋"/>
                <w:b/>
                <w:bCs/>
                <w:sz w:val="24"/>
                <w:lang w:val="en-US" w:eastAsia="zh-CN"/>
              </w:rPr>
              <w:t>8、具有履行合同所必需的设备和专业技术能力的证明材料；</w:t>
            </w:r>
          </w:p>
          <w:p w14:paraId="00A7E186">
            <w:pPr>
              <w:pStyle w:val="11"/>
              <w:rPr>
                <w:rFonts w:hint="eastAsia" w:ascii="仿宋" w:hAnsi="仿宋" w:eastAsia="仿宋" w:cs="仿宋"/>
                <w:b/>
                <w:bCs/>
                <w:sz w:val="24"/>
                <w:lang w:val="en-US" w:eastAsia="zh-CN"/>
              </w:rPr>
            </w:pPr>
            <w:r>
              <w:rPr>
                <w:rFonts w:hint="eastAsia" w:ascii="仿宋" w:hAnsi="仿宋" w:eastAsia="仿宋" w:cs="仿宋"/>
                <w:b/>
                <w:bCs/>
                <w:sz w:val="24"/>
                <w:lang w:val="en-US" w:eastAsia="zh-CN"/>
              </w:rPr>
              <w:t>9、提供针对本次项目《反商业贿赂承诺书》；</w:t>
            </w:r>
          </w:p>
          <w:p w14:paraId="6BFBF294">
            <w:pPr>
              <w:pStyle w:val="11"/>
              <w:rPr>
                <w:rFonts w:ascii="仿宋" w:hAnsi="仿宋" w:eastAsia="仿宋" w:cs="仿宋"/>
                <w:b/>
                <w:bCs/>
                <w:sz w:val="24"/>
              </w:rPr>
            </w:pPr>
            <w:r>
              <w:rPr>
                <w:rFonts w:hint="eastAsia" w:ascii="仿宋" w:hAnsi="仿宋" w:eastAsia="仿宋" w:cs="仿宋"/>
                <w:b/>
                <w:bCs/>
                <w:sz w:val="24"/>
                <w:lang w:val="en-US" w:eastAsia="zh-CN"/>
              </w:rPr>
              <w:t>10、本项目不接受联合体投标。</w:t>
            </w:r>
          </w:p>
          <w:p w14:paraId="340433F7">
            <w:pPr>
              <w:widowControl/>
              <w:spacing w:line="360" w:lineRule="exact"/>
              <w:jc w:val="left"/>
              <w:rPr>
                <w:rFonts w:ascii="仿宋" w:hAnsi="仿宋" w:eastAsia="仿宋" w:cs="仿宋"/>
                <w:sz w:val="24"/>
              </w:rPr>
            </w:pPr>
            <w:r>
              <w:rPr>
                <w:rFonts w:hint="eastAsia" w:ascii="仿宋" w:hAnsi="仿宋" w:eastAsia="仿宋" w:cs="仿宋"/>
                <w:b/>
                <w:bCs/>
                <w:sz w:val="24"/>
              </w:rPr>
              <w:t>提示：上述资质开标现场能够通过官方网络查证的，均视为合格供应商。</w:t>
            </w:r>
          </w:p>
        </w:tc>
      </w:tr>
      <w:tr w14:paraId="225D79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955" w:type="dxa"/>
            <w:vAlign w:val="center"/>
          </w:tcPr>
          <w:p w14:paraId="43FD4DAA">
            <w:pPr>
              <w:spacing w:line="240" w:lineRule="atLeast"/>
              <w:jc w:val="center"/>
              <w:rPr>
                <w:rFonts w:ascii="仿宋" w:hAnsi="仿宋" w:eastAsia="仿宋" w:cs="仿宋"/>
                <w:sz w:val="24"/>
              </w:rPr>
            </w:pPr>
            <w:r>
              <w:rPr>
                <w:rFonts w:hint="eastAsia" w:ascii="仿宋" w:hAnsi="仿宋" w:eastAsia="仿宋" w:cs="仿宋"/>
                <w:sz w:val="24"/>
              </w:rPr>
              <w:t>1.3.5</w:t>
            </w:r>
          </w:p>
        </w:tc>
        <w:tc>
          <w:tcPr>
            <w:tcW w:w="8312" w:type="dxa"/>
            <w:vAlign w:val="center"/>
          </w:tcPr>
          <w:p w14:paraId="3DF5D182">
            <w:pPr>
              <w:spacing w:line="240" w:lineRule="atLeast"/>
              <w:rPr>
                <w:rFonts w:ascii="仿宋" w:hAnsi="仿宋" w:eastAsia="仿宋" w:cs="仿宋"/>
                <w:sz w:val="24"/>
              </w:rPr>
            </w:pPr>
            <w:r>
              <w:rPr>
                <w:rFonts w:hint="eastAsia" w:ascii="仿宋" w:hAnsi="仿宋" w:eastAsia="仿宋" w:cs="仿宋"/>
                <w:sz w:val="24"/>
              </w:rPr>
              <w:t>是否允许采购进口产品：</w:t>
            </w:r>
            <w:r>
              <w:rPr>
                <w:rFonts w:hint="eastAsia" w:ascii="仿宋" w:hAnsi="仿宋" w:eastAsia="仿宋" w:cs="仿宋"/>
                <w:sz w:val="24"/>
                <w:u w:val="single"/>
              </w:rPr>
              <w:t xml:space="preserve">  否  </w:t>
            </w:r>
          </w:p>
        </w:tc>
      </w:tr>
      <w:tr w14:paraId="28A3A80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12" w:hRule="atLeast"/>
          <w:jc w:val="center"/>
        </w:trPr>
        <w:tc>
          <w:tcPr>
            <w:tcW w:w="955" w:type="dxa"/>
            <w:vAlign w:val="center"/>
          </w:tcPr>
          <w:p w14:paraId="561822BB">
            <w:pPr>
              <w:spacing w:line="240" w:lineRule="atLeast"/>
              <w:jc w:val="center"/>
              <w:rPr>
                <w:rFonts w:ascii="仿宋" w:hAnsi="仿宋" w:eastAsia="仿宋" w:cs="仿宋"/>
                <w:sz w:val="24"/>
              </w:rPr>
            </w:pPr>
            <w:r>
              <w:rPr>
                <w:rFonts w:hint="eastAsia" w:ascii="仿宋" w:hAnsi="仿宋" w:eastAsia="仿宋" w:cs="仿宋"/>
                <w:sz w:val="24"/>
              </w:rPr>
              <w:t>1.3.6</w:t>
            </w:r>
          </w:p>
        </w:tc>
        <w:tc>
          <w:tcPr>
            <w:tcW w:w="8312" w:type="dxa"/>
            <w:vAlign w:val="center"/>
          </w:tcPr>
          <w:p w14:paraId="2E07BD92">
            <w:pPr>
              <w:pStyle w:val="16"/>
              <w:spacing w:line="240" w:lineRule="atLeast"/>
              <w:rPr>
                <w:rFonts w:hint="default" w:ascii="仿宋" w:hAnsi="仿宋" w:eastAsia="仿宋" w:cs="仿宋"/>
                <w:b/>
                <w:bCs/>
                <w:color w:val="000000"/>
                <w:kern w:val="0"/>
                <w:sz w:val="24"/>
                <w:u w:val="single"/>
                <w:lang w:bidi="ar"/>
              </w:rPr>
            </w:pPr>
            <w:r>
              <w:rPr>
                <w:rFonts w:hint="default" w:ascii="仿宋" w:hAnsi="仿宋" w:eastAsia="仿宋" w:cs="仿宋"/>
                <w:b/>
                <w:bCs/>
                <w:color w:val="000000"/>
                <w:kern w:val="0"/>
                <w:sz w:val="24"/>
                <w:lang w:bidi="ar"/>
              </w:rPr>
              <w:t>是否为专门面向中小企业采</w:t>
            </w:r>
            <w:r>
              <w:rPr>
                <w:rFonts w:hint="default" w:ascii="仿宋" w:hAnsi="仿宋" w:eastAsia="仿宋" w:cs="仿宋"/>
                <w:b/>
                <w:bCs/>
                <w:color w:val="000000"/>
                <w:kern w:val="0"/>
                <w:sz w:val="24"/>
                <w:highlight w:val="none"/>
                <w:lang w:bidi="ar"/>
              </w:rPr>
              <w:t>购：</w:t>
            </w:r>
            <w:r>
              <w:rPr>
                <w:rFonts w:hint="default" w:ascii="仿宋" w:hAnsi="仿宋" w:eastAsia="仿宋" w:cs="仿宋"/>
                <w:b/>
                <w:bCs/>
                <w:color w:val="000000"/>
                <w:kern w:val="0"/>
                <w:sz w:val="24"/>
                <w:highlight w:val="none"/>
                <w:u w:val="single"/>
                <w:lang w:bidi="ar"/>
              </w:rPr>
              <w:t xml:space="preserve">  </w:t>
            </w:r>
            <w:r>
              <w:rPr>
                <w:rFonts w:hint="eastAsia" w:ascii="仿宋" w:hAnsi="仿宋" w:eastAsia="仿宋" w:cs="仿宋"/>
                <w:b/>
                <w:bCs/>
                <w:color w:val="000000"/>
                <w:kern w:val="0"/>
                <w:sz w:val="24"/>
                <w:highlight w:val="none"/>
                <w:u w:val="single"/>
                <w:lang w:val="en-US" w:eastAsia="zh-CN" w:bidi="ar"/>
              </w:rPr>
              <w:t>是</w:t>
            </w:r>
            <w:r>
              <w:rPr>
                <w:rFonts w:hint="default" w:ascii="仿宋" w:hAnsi="仿宋" w:eastAsia="仿宋" w:cs="仿宋"/>
                <w:b/>
                <w:bCs/>
                <w:color w:val="000000"/>
                <w:kern w:val="0"/>
                <w:sz w:val="24"/>
                <w:highlight w:val="none"/>
                <w:u w:val="single"/>
                <w:lang w:bidi="ar"/>
              </w:rPr>
              <w:t xml:space="preserve"> </w:t>
            </w:r>
          </w:p>
          <w:p w14:paraId="3CD0D211">
            <w:pPr>
              <w:pStyle w:val="16"/>
            </w:pPr>
            <w:r>
              <w:rPr>
                <w:rFonts w:hint="default" w:ascii="仿宋" w:hAnsi="仿宋" w:eastAsia="仿宋" w:cs="仿宋"/>
                <w:b/>
                <w:bCs/>
                <w:color w:val="000000"/>
                <w:kern w:val="0"/>
                <w:sz w:val="24"/>
                <w:szCs w:val="24"/>
                <w:lang w:val="en-US" w:eastAsia="zh-CN" w:bidi="ar"/>
              </w:rPr>
              <w:t>注：在招标文件明确要求：潜在投标企业属于中小微企业的，请在投标文件中提供“中小企业声明函”，如果未提供或提供虚假的“中小企业声明函”，投标企业将承担由此造成的一切不利后果。</w:t>
            </w:r>
          </w:p>
        </w:tc>
      </w:tr>
      <w:tr w14:paraId="623E2B9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18" w:hRule="atLeast"/>
          <w:jc w:val="center"/>
        </w:trPr>
        <w:tc>
          <w:tcPr>
            <w:tcW w:w="955" w:type="dxa"/>
            <w:vAlign w:val="center"/>
          </w:tcPr>
          <w:p w14:paraId="6C7606C5">
            <w:pPr>
              <w:spacing w:line="240" w:lineRule="atLeast"/>
              <w:jc w:val="center"/>
              <w:rPr>
                <w:rFonts w:ascii="仿宋" w:hAnsi="仿宋" w:eastAsia="仿宋" w:cs="仿宋"/>
                <w:sz w:val="24"/>
              </w:rPr>
            </w:pPr>
            <w:r>
              <w:rPr>
                <w:rFonts w:hint="eastAsia" w:ascii="仿宋" w:hAnsi="仿宋" w:eastAsia="仿宋" w:cs="仿宋"/>
                <w:sz w:val="24"/>
              </w:rPr>
              <w:t>1.4</w:t>
            </w:r>
          </w:p>
        </w:tc>
        <w:tc>
          <w:tcPr>
            <w:tcW w:w="8312" w:type="dxa"/>
            <w:vAlign w:val="center"/>
          </w:tcPr>
          <w:p w14:paraId="06D12EF5">
            <w:pPr>
              <w:spacing w:line="240" w:lineRule="atLeast"/>
              <w:rPr>
                <w:rFonts w:ascii="仿宋" w:hAnsi="仿宋" w:eastAsia="仿宋" w:cs="仿宋"/>
                <w:sz w:val="24"/>
              </w:rPr>
            </w:pPr>
            <w:r>
              <w:rPr>
                <w:rFonts w:hint="eastAsia" w:ascii="仿宋" w:hAnsi="仿宋" w:eastAsia="仿宋" w:cs="仿宋"/>
                <w:sz w:val="24"/>
              </w:rPr>
              <w:t>是否允许联合体磋商：</w:t>
            </w:r>
            <w:r>
              <w:rPr>
                <w:rFonts w:hint="eastAsia" w:ascii="仿宋" w:hAnsi="仿宋" w:eastAsia="仿宋" w:cs="仿宋"/>
                <w:sz w:val="24"/>
                <w:u w:val="single"/>
              </w:rPr>
              <w:t xml:space="preserve">   否   </w:t>
            </w:r>
          </w:p>
        </w:tc>
      </w:tr>
      <w:tr w14:paraId="3B7A132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56" w:hRule="atLeast"/>
          <w:jc w:val="center"/>
        </w:trPr>
        <w:tc>
          <w:tcPr>
            <w:tcW w:w="955" w:type="dxa"/>
            <w:vAlign w:val="center"/>
          </w:tcPr>
          <w:p w14:paraId="69E04C53">
            <w:pPr>
              <w:spacing w:line="240" w:lineRule="atLeast"/>
              <w:jc w:val="center"/>
              <w:rPr>
                <w:rFonts w:ascii="仿宋" w:hAnsi="仿宋" w:eastAsia="仿宋" w:cs="仿宋"/>
                <w:sz w:val="24"/>
              </w:rPr>
            </w:pPr>
            <w:r>
              <w:rPr>
                <w:rFonts w:hint="eastAsia" w:ascii="仿宋" w:hAnsi="仿宋" w:eastAsia="仿宋" w:cs="仿宋"/>
                <w:sz w:val="24"/>
              </w:rPr>
              <w:t>1.4.8</w:t>
            </w:r>
          </w:p>
        </w:tc>
        <w:tc>
          <w:tcPr>
            <w:tcW w:w="8312" w:type="dxa"/>
            <w:vAlign w:val="center"/>
          </w:tcPr>
          <w:p w14:paraId="35E3C920">
            <w:pPr>
              <w:spacing w:line="240" w:lineRule="atLeast"/>
              <w:rPr>
                <w:rFonts w:ascii="仿宋" w:hAnsi="仿宋" w:eastAsia="仿宋" w:cs="仿宋"/>
                <w:sz w:val="24"/>
              </w:rPr>
            </w:pPr>
            <w:r>
              <w:rPr>
                <w:rFonts w:hint="eastAsia" w:ascii="仿宋" w:hAnsi="仿宋" w:eastAsia="仿宋" w:cs="仿宋"/>
                <w:sz w:val="24"/>
              </w:rPr>
              <w:t>联合体的其他资格要求：无</w:t>
            </w:r>
          </w:p>
        </w:tc>
      </w:tr>
      <w:tr w14:paraId="2106BAB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16" w:hRule="atLeast"/>
          <w:jc w:val="center"/>
        </w:trPr>
        <w:tc>
          <w:tcPr>
            <w:tcW w:w="955" w:type="dxa"/>
            <w:vAlign w:val="center"/>
          </w:tcPr>
          <w:p w14:paraId="527C5E15">
            <w:pPr>
              <w:spacing w:line="240" w:lineRule="atLeast"/>
              <w:jc w:val="center"/>
              <w:rPr>
                <w:rFonts w:ascii="仿宋" w:hAnsi="仿宋" w:eastAsia="仿宋" w:cs="仿宋"/>
                <w:sz w:val="24"/>
              </w:rPr>
            </w:pPr>
            <w:r>
              <w:rPr>
                <w:rFonts w:hint="eastAsia" w:ascii="仿宋" w:hAnsi="仿宋" w:eastAsia="仿宋" w:cs="仿宋"/>
                <w:sz w:val="24"/>
              </w:rPr>
              <w:t>2.2</w:t>
            </w:r>
          </w:p>
        </w:tc>
        <w:tc>
          <w:tcPr>
            <w:tcW w:w="8312" w:type="dxa"/>
            <w:vAlign w:val="center"/>
          </w:tcPr>
          <w:p w14:paraId="136C14B0">
            <w:pPr>
              <w:pStyle w:val="9"/>
              <w:spacing w:line="400" w:lineRule="exact"/>
              <w:ind w:firstLine="0"/>
              <w:rPr>
                <w:rFonts w:ascii="仿宋" w:hAnsi="仿宋" w:eastAsia="仿宋" w:cs="仿宋"/>
                <w:szCs w:val="24"/>
              </w:rPr>
            </w:pPr>
            <w:r>
              <w:rPr>
                <w:rFonts w:hint="eastAsia" w:ascii="仿宋" w:hAnsi="仿宋" w:eastAsia="仿宋" w:cs="仿宋"/>
                <w:b/>
                <w:bCs/>
                <w:kern w:val="2"/>
                <w:szCs w:val="24"/>
              </w:rPr>
              <w:t>项目预算金额：</w:t>
            </w:r>
            <w:r>
              <w:rPr>
                <w:rFonts w:hint="eastAsia" w:ascii="仿宋" w:hAnsi="仿宋" w:eastAsia="仿宋" w:cs="仿宋"/>
                <w:b/>
                <w:bCs/>
                <w:kern w:val="2"/>
                <w:szCs w:val="24"/>
                <w:lang w:val="en-US" w:eastAsia="zh-CN"/>
              </w:rPr>
              <w:t>580200.4元</w:t>
            </w:r>
          </w:p>
        </w:tc>
      </w:tr>
      <w:tr w14:paraId="3DBA67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17" w:hRule="atLeast"/>
          <w:jc w:val="center"/>
        </w:trPr>
        <w:tc>
          <w:tcPr>
            <w:tcW w:w="955" w:type="dxa"/>
            <w:vAlign w:val="center"/>
          </w:tcPr>
          <w:p w14:paraId="01585C2F">
            <w:pPr>
              <w:spacing w:line="240" w:lineRule="atLeast"/>
              <w:jc w:val="center"/>
              <w:rPr>
                <w:rFonts w:ascii="仿宋" w:hAnsi="仿宋" w:eastAsia="仿宋" w:cs="仿宋"/>
                <w:sz w:val="24"/>
              </w:rPr>
            </w:pPr>
            <w:r>
              <w:rPr>
                <w:rFonts w:hint="eastAsia" w:ascii="仿宋" w:hAnsi="仿宋" w:eastAsia="仿宋" w:cs="仿宋"/>
                <w:sz w:val="24"/>
              </w:rPr>
              <w:t>12.1</w:t>
            </w:r>
          </w:p>
        </w:tc>
        <w:tc>
          <w:tcPr>
            <w:tcW w:w="8312" w:type="dxa"/>
            <w:vAlign w:val="center"/>
          </w:tcPr>
          <w:p w14:paraId="2EE63A8A">
            <w:pPr>
              <w:spacing w:line="360" w:lineRule="auto"/>
              <w:ind w:left="0" w:firstLine="0" w:firstLineChars="0"/>
              <w:rPr>
                <w:rFonts w:hint="eastAsia" w:ascii="仿宋" w:hAnsi="仿宋" w:eastAsia="仿宋" w:cs="仿宋"/>
                <w:b/>
                <w:bCs/>
                <w:iCs/>
                <w:sz w:val="24"/>
              </w:rPr>
            </w:pPr>
            <w:r>
              <w:rPr>
                <w:rFonts w:hint="eastAsia" w:ascii="仿宋" w:hAnsi="仿宋" w:eastAsia="仿宋" w:cs="仿宋"/>
                <w:b/>
                <w:bCs/>
                <w:iCs/>
                <w:sz w:val="24"/>
              </w:rPr>
              <w:t>保证金形式：☑保函  ☑电汇  ☑支票</w:t>
            </w:r>
            <w:r>
              <w:rPr>
                <w:rFonts w:hint="eastAsia" w:ascii="仿宋" w:hAnsi="仿宋" w:eastAsia="仿宋" w:cs="仿宋"/>
                <w:b/>
                <w:bCs/>
                <w:iCs/>
                <w:sz w:val="24"/>
                <w:lang w:val="en-US" w:eastAsia="zh-CN"/>
              </w:rPr>
              <w:t xml:space="preserve"> </w:t>
            </w:r>
            <w:r>
              <w:rPr>
                <w:rFonts w:hint="eastAsia" w:ascii="仿宋" w:hAnsi="仿宋" w:eastAsia="仿宋" w:cs="仿宋"/>
                <w:b/>
                <w:bCs/>
                <w:iCs/>
                <w:sz w:val="24"/>
              </w:rPr>
              <w:t xml:space="preserve">☑企业账户网银汇款 </w:t>
            </w:r>
          </w:p>
          <w:p w14:paraId="587FBF2E">
            <w:pPr>
              <w:spacing w:line="360" w:lineRule="auto"/>
              <w:rPr>
                <w:rFonts w:hint="eastAsia" w:ascii="仿宋" w:hAnsi="仿宋" w:eastAsia="仿宋" w:cs="仿宋"/>
                <w:b/>
                <w:bCs/>
                <w:iCs/>
                <w:sz w:val="24"/>
              </w:rPr>
            </w:pPr>
            <w:r>
              <w:rPr>
                <w:rFonts w:hint="eastAsia" w:ascii="仿宋" w:hAnsi="仿宋" w:eastAsia="仿宋" w:cs="仿宋"/>
                <w:b/>
                <w:bCs/>
                <w:iCs/>
                <w:sz w:val="24"/>
              </w:rPr>
              <w:t>小写：</w:t>
            </w:r>
            <w:r>
              <w:rPr>
                <w:rFonts w:hint="eastAsia" w:ascii="仿宋" w:hAnsi="仿宋" w:eastAsia="仿宋" w:cs="仿宋"/>
                <w:b/>
                <w:bCs/>
                <w:iCs/>
                <w:sz w:val="24"/>
                <w:lang w:val="en-US" w:eastAsia="zh-CN"/>
              </w:rPr>
              <w:t>10000.00</w:t>
            </w:r>
            <w:r>
              <w:rPr>
                <w:rFonts w:hint="eastAsia" w:ascii="仿宋" w:hAnsi="仿宋" w:eastAsia="仿宋" w:cs="仿宋"/>
                <w:b/>
                <w:bCs/>
                <w:iCs/>
                <w:sz w:val="24"/>
              </w:rPr>
              <w:t>元(大写：</w:t>
            </w:r>
            <w:r>
              <w:rPr>
                <w:rFonts w:hint="eastAsia" w:ascii="仿宋" w:hAnsi="仿宋" w:eastAsia="仿宋" w:cs="仿宋"/>
                <w:b/>
                <w:bCs/>
                <w:iCs/>
                <w:sz w:val="24"/>
                <w:lang w:val="en-US" w:eastAsia="zh-CN"/>
              </w:rPr>
              <w:t>壹万元整</w:t>
            </w:r>
            <w:r>
              <w:rPr>
                <w:rFonts w:hint="eastAsia" w:ascii="仿宋" w:hAnsi="仿宋" w:eastAsia="仿宋" w:cs="仿宋"/>
                <w:b/>
                <w:bCs/>
                <w:iCs/>
                <w:sz w:val="24"/>
              </w:rPr>
              <w:t>）</w:t>
            </w:r>
          </w:p>
          <w:p w14:paraId="54C0DBDA">
            <w:pPr>
              <w:spacing w:line="360" w:lineRule="auto"/>
              <w:rPr>
                <w:rFonts w:hint="eastAsia" w:ascii="仿宋" w:hAnsi="仿宋" w:eastAsia="仿宋" w:cs="仿宋"/>
                <w:b/>
                <w:bCs/>
                <w:iCs/>
                <w:sz w:val="24"/>
                <w:lang w:val="en-US" w:eastAsia="zh-CN"/>
              </w:rPr>
            </w:pPr>
            <w:r>
              <w:rPr>
                <w:rFonts w:hint="eastAsia" w:ascii="仿宋" w:hAnsi="仿宋" w:eastAsia="仿宋" w:cs="仿宋"/>
                <w:b/>
                <w:bCs/>
                <w:iCs/>
                <w:sz w:val="24"/>
                <w:lang w:val="en-US" w:eastAsia="zh-CN"/>
              </w:rPr>
              <w:t>保证金收款人：新疆全咨建设工程项目管理咨询有限公司</w:t>
            </w:r>
          </w:p>
          <w:p w14:paraId="2A9617E1">
            <w:pPr>
              <w:spacing w:line="360" w:lineRule="auto"/>
              <w:rPr>
                <w:rFonts w:hint="eastAsia" w:ascii="仿宋" w:hAnsi="仿宋" w:eastAsia="仿宋" w:cs="仿宋"/>
                <w:b/>
                <w:bCs/>
                <w:iCs/>
                <w:sz w:val="24"/>
                <w:lang w:val="en-US" w:eastAsia="zh-CN"/>
              </w:rPr>
            </w:pPr>
            <w:r>
              <w:rPr>
                <w:rFonts w:hint="eastAsia" w:ascii="仿宋" w:hAnsi="仿宋" w:eastAsia="仿宋" w:cs="仿宋"/>
                <w:b/>
                <w:bCs/>
                <w:iCs/>
                <w:sz w:val="24"/>
                <w:lang w:val="en-US" w:eastAsia="zh-CN"/>
              </w:rPr>
              <w:t>账户名：新疆全咨建设工程项目管理咨询有限公司</w:t>
            </w:r>
          </w:p>
          <w:p w14:paraId="6306382B">
            <w:pPr>
              <w:spacing w:line="360" w:lineRule="auto"/>
              <w:rPr>
                <w:rFonts w:hint="eastAsia" w:ascii="仿宋" w:hAnsi="仿宋" w:eastAsia="仿宋" w:cs="仿宋"/>
                <w:b/>
                <w:bCs/>
                <w:iCs/>
                <w:sz w:val="24"/>
                <w:lang w:val="en-US" w:eastAsia="zh-CN"/>
              </w:rPr>
            </w:pPr>
            <w:r>
              <w:rPr>
                <w:rFonts w:hint="eastAsia" w:ascii="仿宋" w:hAnsi="仿宋" w:eastAsia="仿宋" w:cs="仿宋"/>
                <w:b/>
                <w:bCs/>
                <w:iCs/>
                <w:sz w:val="24"/>
                <w:lang w:val="en-US" w:eastAsia="zh-CN"/>
              </w:rPr>
              <w:t>账  号：3012341509200200347</w:t>
            </w:r>
          </w:p>
          <w:p w14:paraId="38160D05">
            <w:pPr>
              <w:spacing w:line="360" w:lineRule="auto"/>
              <w:rPr>
                <w:rFonts w:hint="eastAsia" w:ascii="仿宋" w:hAnsi="仿宋" w:eastAsia="仿宋" w:cs="仿宋"/>
                <w:b/>
                <w:bCs/>
                <w:iCs/>
                <w:sz w:val="24"/>
                <w:lang w:val="en-US" w:eastAsia="zh-CN"/>
              </w:rPr>
            </w:pPr>
            <w:r>
              <w:rPr>
                <w:rFonts w:hint="eastAsia" w:ascii="仿宋" w:hAnsi="仿宋" w:eastAsia="仿宋" w:cs="仿宋"/>
                <w:b/>
                <w:bCs/>
                <w:iCs/>
                <w:sz w:val="24"/>
                <w:lang w:val="en-US" w:eastAsia="zh-CN"/>
              </w:rPr>
              <w:t xml:space="preserve">开户行：中国工商银行股份有限公司喀什解放南路支行 </w:t>
            </w:r>
          </w:p>
          <w:p w14:paraId="28DEEB37">
            <w:pPr>
              <w:spacing w:line="360" w:lineRule="auto"/>
              <w:rPr>
                <w:rFonts w:hint="eastAsia" w:ascii="仿宋" w:hAnsi="仿宋" w:eastAsia="仿宋" w:cs="仿宋"/>
                <w:b/>
                <w:bCs/>
                <w:iCs/>
                <w:sz w:val="24"/>
                <w:lang w:val="en-US" w:eastAsia="zh-CN"/>
              </w:rPr>
            </w:pPr>
            <w:r>
              <w:rPr>
                <w:rFonts w:hint="eastAsia" w:ascii="仿宋" w:hAnsi="仿宋" w:eastAsia="仿宋" w:cs="仿宋"/>
                <w:b/>
                <w:bCs/>
                <w:iCs/>
                <w:sz w:val="24"/>
                <w:lang w:val="en-US" w:eastAsia="zh-CN"/>
              </w:rPr>
              <w:t>行号：102894000067</w:t>
            </w:r>
          </w:p>
          <w:p w14:paraId="51D054F2">
            <w:pPr>
              <w:spacing w:line="360" w:lineRule="auto"/>
              <w:rPr>
                <w:rFonts w:hint="default" w:ascii="仿宋" w:hAnsi="仿宋" w:eastAsia="仿宋" w:cs="仿宋"/>
                <w:b/>
                <w:bCs/>
                <w:iCs/>
                <w:sz w:val="24"/>
                <w:lang w:val="en-US" w:eastAsia="zh-CN"/>
              </w:rPr>
            </w:pPr>
            <w:r>
              <w:rPr>
                <w:rFonts w:hint="eastAsia" w:ascii="仿宋" w:hAnsi="仿宋" w:eastAsia="仿宋" w:cs="仿宋"/>
                <w:b/>
                <w:bCs/>
                <w:iCs/>
                <w:sz w:val="24"/>
                <w:lang w:val="en-US" w:eastAsia="zh-CN"/>
              </w:rPr>
              <w:t>联系电话：15276075795</w:t>
            </w:r>
          </w:p>
          <w:p w14:paraId="48A00C0C">
            <w:pPr>
              <w:spacing w:line="360" w:lineRule="auto"/>
              <w:rPr>
                <w:rFonts w:hint="eastAsia" w:ascii="仿宋" w:hAnsi="仿宋" w:eastAsia="仿宋" w:cs="仿宋"/>
                <w:b/>
                <w:bCs/>
                <w:iCs/>
                <w:sz w:val="24"/>
                <w:lang w:val="en-US" w:eastAsia="zh-CN"/>
              </w:rPr>
            </w:pPr>
            <w:r>
              <w:rPr>
                <w:rFonts w:hint="eastAsia" w:ascii="仿宋" w:hAnsi="仿宋" w:eastAsia="仿宋" w:cs="仿宋"/>
                <w:b/>
                <w:bCs/>
                <w:iCs/>
                <w:sz w:val="24"/>
                <w:lang w:val="en-US" w:eastAsia="zh-CN"/>
              </w:rPr>
              <w:t>打款时注明投标保证金项目名称</w:t>
            </w:r>
          </w:p>
          <w:p w14:paraId="3D6C41FC">
            <w:pPr>
              <w:spacing w:line="360" w:lineRule="auto"/>
              <w:rPr>
                <w:rFonts w:hint="eastAsia"/>
              </w:rPr>
            </w:pPr>
            <w:r>
              <w:rPr>
                <w:rFonts w:hint="eastAsia" w:ascii="仿宋" w:hAnsi="仿宋" w:eastAsia="仿宋" w:cs="仿宋"/>
                <w:b/>
                <w:bCs/>
                <w:iCs/>
                <w:sz w:val="24"/>
              </w:rPr>
              <w:t>到账截止时</w:t>
            </w:r>
            <w:r>
              <w:rPr>
                <w:rFonts w:hint="eastAsia" w:ascii="仿宋" w:hAnsi="仿宋" w:eastAsia="仿宋" w:cs="仿宋"/>
                <w:b/>
                <w:bCs/>
                <w:iCs/>
                <w:sz w:val="24"/>
                <w:highlight w:val="none"/>
              </w:rPr>
              <w:t>间</w:t>
            </w:r>
            <w:r>
              <w:rPr>
                <w:rFonts w:hint="default" w:ascii="仿宋" w:hAnsi="仿宋" w:eastAsia="仿宋" w:cs="仿宋"/>
                <w:b/>
                <w:bCs/>
                <w:iCs/>
                <w:sz w:val="24"/>
                <w:highlight w:val="none"/>
              </w:rPr>
              <w:t>：</w:t>
            </w:r>
            <w:r>
              <w:rPr>
                <w:rFonts w:hint="eastAsia" w:ascii="仿宋" w:hAnsi="仿宋" w:eastAsia="仿宋" w:cs="仿宋"/>
                <w:b/>
                <w:bCs/>
                <w:iCs/>
                <w:color w:val="FF0000"/>
                <w:sz w:val="24"/>
                <w:lang w:val="en-US" w:eastAsia="zh-CN"/>
              </w:rPr>
              <w:t>2025年4月21日</w:t>
            </w:r>
            <w:r>
              <w:rPr>
                <w:rFonts w:hint="eastAsia" w:ascii="仿宋" w:hAnsi="仿宋" w:eastAsia="仿宋" w:cs="仿宋"/>
                <w:b/>
                <w:bCs/>
                <w:iCs/>
                <w:sz w:val="24"/>
                <w:lang w:val="en-US" w:eastAsia="zh-CN"/>
              </w:rPr>
              <w:t>11:00（北京时间）</w:t>
            </w:r>
            <w:r>
              <w:rPr>
                <w:rFonts w:hint="default" w:ascii="仿宋" w:hAnsi="仿宋" w:eastAsia="仿宋" w:cs="仿宋"/>
                <w:b/>
                <w:bCs/>
                <w:iCs/>
                <w:sz w:val="24"/>
              </w:rPr>
              <w:t>。</w:t>
            </w:r>
          </w:p>
          <w:p w14:paraId="543BA333">
            <w:pPr>
              <w:spacing w:line="360" w:lineRule="auto"/>
              <w:rPr>
                <w:rFonts w:hint="eastAsia" w:ascii="仿宋" w:hAnsi="仿宋" w:eastAsia="仿宋" w:cs="仿宋"/>
                <w:iCs/>
                <w:color w:val="auto"/>
                <w:sz w:val="24"/>
                <w:highlight w:val="none"/>
                <w:lang w:val="en-US" w:eastAsia="zh-CN"/>
              </w:rPr>
            </w:pPr>
            <w:r>
              <w:rPr>
                <w:rFonts w:hint="eastAsia" w:ascii="仿宋" w:hAnsi="仿宋" w:eastAsia="仿宋" w:cs="仿宋"/>
                <w:iCs/>
                <w:color w:val="auto"/>
                <w:sz w:val="24"/>
                <w:highlight w:val="none"/>
                <w:lang w:val="en-US" w:eastAsia="zh-CN"/>
              </w:rPr>
              <w:t>注：</w:t>
            </w:r>
            <w:r>
              <w:rPr>
                <w:rFonts w:hint="eastAsia" w:ascii="仿宋" w:hAnsi="仿宋" w:eastAsia="仿宋" w:cs="仿宋"/>
                <w:iCs/>
                <w:sz w:val="24"/>
                <w:lang w:val="en-US" w:eastAsia="zh-CN"/>
              </w:rPr>
              <w:t>磋商响应</w:t>
            </w:r>
            <w:r>
              <w:rPr>
                <w:rFonts w:hint="eastAsia" w:ascii="仿宋" w:hAnsi="仿宋" w:eastAsia="仿宋" w:cs="仿宋"/>
                <w:iCs/>
                <w:color w:val="auto"/>
                <w:sz w:val="24"/>
                <w:highlight w:val="none"/>
                <w:lang w:val="en-US" w:eastAsia="zh-CN"/>
              </w:rPr>
              <w:t>截止时间，我公司财务人员未查询到汇款记录，以无效标处理。</w:t>
            </w:r>
          </w:p>
          <w:p w14:paraId="12CC16C2">
            <w:pPr>
              <w:keepNext w:val="0"/>
              <w:keepLines w:val="0"/>
              <w:suppressLineNumbers w:val="0"/>
              <w:spacing w:before="0" w:beforeAutospacing="0" w:after="0" w:afterAutospacing="0" w:line="360" w:lineRule="auto"/>
              <w:ind w:left="0"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1.《中华人民共和国政府采购法实施条例》第三十三条：招标文件要求投标人提交投标保证金的，投标保证金不得超过采购项目预算金额的 2%。投标保证金应当以支票、汇票、本票或者金融机构、担保机构出具的保函等非现金形式提交。投标人未按照招标文件要求提交投标保证金的，投标无效。</w:t>
            </w:r>
          </w:p>
          <w:p w14:paraId="4BE94031">
            <w:pPr>
              <w:keepNext w:val="0"/>
              <w:keepLines w:val="0"/>
              <w:suppressLineNumbers w:val="0"/>
              <w:spacing w:before="0" w:beforeAutospacing="0" w:after="0" w:afterAutospacing="0" w:line="360" w:lineRule="auto"/>
              <w:ind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2.根据《关于在政府采购活动中进一步推动开展信用担保工作的通知》，鼓励使用电子保函。</w:t>
            </w:r>
          </w:p>
          <w:p w14:paraId="1F727988">
            <w:pPr>
              <w:keepNext w:val="0"/>
              <w:keepLines w:val="0"/>
              <w:suppressLineNumbers w:val="0"/>
              <w:spacing w:before="0" w:beforeAutospacing="0" w:after="0" w:afterAutospacing="0" w:line="360" w:lineRule="auto"/>
              <w:ind w:right="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3.使用保函的，保函的有效期不得低于投标有效期。</w:t>
            </w:r>
          </w:p>
          <w:p w14:paraId="14F53D55">
            <w:pPr>
              <w:spacing w:line="360" w:lineRule="auto"/>
            </w:pPr>
            <w:r>
              <w:rPr>
                <w:rFonts w:hint="eastAsia" w:ascii="仿宋" w:hAnsi="仿宋" w:eastAsia="仿宋" w:cs="仿宋"/>
                <w:color w:val="auto"/>
                <w:sz w:val="24"/>
                <w:highlight w:val="none"/>
                <w:lang w:val="en-US" w:eastAsia="zh-CN"/>
              </w:rPr>
              <w:t>4.退还保证金：开评标结束后，根据</w:t>
            </w:r>
            <w:r>
              <w:rPr>
                <w:rFonts w:hint="eastAsia" w:ascii="仿宋" w:hAnsi="仿宋" w:eastAsia="仿宋" w:cs="仿宋"/>
                <w:color w:val="auto"/>
                <w:sz w:val="24"/>
                <w:highlight w:val="none"/>
              </w:rPr>
              <w:t>《政府采购</w:t>
            </w:r>
            <w:r>
              <w:rPr>
                <w:rFonts w:hint="eastAsia" w:ascii="仿宋" w:hAnsi="仿宋" w:eastAsia="仿宋" w:cs="仿宋"/>
                <w:color w:val="auto"/>
                <w:sz w:val="24"/>
                <w:highlight w:val="none"/>
                <w:lang w:val="en-US" w:eastAsia="zh-CN"/>
              </w:rPr>
              <w:t>竞争性磋商采购方式</w:t>
            </w:r>
            <w:r>
              <w:rPr>
                <w:rFonts w:hint="eastAsia" w:ascii="仿宋" w:hAnsi="仿宋" w:eastAsia="仿宋" w:cs="仿宋"/>
                <w:color w:val="auto"/>
                <w:sz w:val="24"/>
                <w:highlight w:val="none"/>
              </w:rPr>
              <w:t>管理</w:t>
            </w:r>
            <w:r>
              <w:rPr>
                <w:rFonts w:hint="eastAsia" w:ascii="仿宋" w:hAnsi="仿宋" w:eastAsia="仿宋" w:cs="仿宋"/>
                <w:color w:val="auto"/>
                <w:sz w:val="24"/>
                <w:highlight w:val="none"/>
                <w:lang w:val="en-US" w:eastAsia="zh-CN"/>
              </w:rPr>
              <w:t>暂行</w:t>
            </w:r>
            <w:r>
              <w:rPr>
                <w:rFonts w:hint="eastAsia" w:ascii="仿宋" w:hAnsi="仿宋" w:eastAsia="仿宋" w:cs="仿宋"/>
                <w:color w:val="auto"/>
                <w:sz w:val="24"/>
                <w:highlight w:val="none"/>
              </w:rPr>
              <w:t>办法》（财</w:t>
            </w:r>
            <w:r>
              <w:rPr>
                <w:rFonts w:hint="eastAsia" w:ascii="仿宋" w:hAnsi="仿宋" w:eastAsia="仿宋" w:cs="仿宋"/>
                <w:color w:val="auto"/>
                <w:sz w:val="24"/>
                <w:highlight w:val="none"/>
                <w:lang w:val="en-US" w:eastAsia="zh-CN"/>
              </w:rPr>
              <w:t>库[2014]214号</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第三十一条采购人或者采购代理机构应当在采购活动结束后及时退还供应商的磋商保证金，但因供应商自身原因导致无法及时退还的除外。未成交供应商的磋商保证金应当在成交通知书发出后5个工作日内日退还，成交供应商的磋商保证金应当在采购合同签订后5个工作日内退还。</w:t>
            </w:r>
          </w:p>
        </w:tc>
      </w:tr>
      <w:tr w14:paraId="01D151F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12" w:hRule="atLeast"/>
          <w:jc w:val="center"/>
        </w:trPr>
        <w:tc>
          <w:tcPr>
            <w:tcW w:w="955" w:type="dxa"/>
            <w:vAlign w:val="center"/>
          </w:tcPr>
          <w:p w14:paraId="13197448">
            <w:pPr>
              <w:spacing w:line="240" w:lineRule="atLeast"/>
              <w:jc w:val="center"/>
              <w:rPr>
                <w:rFonts w:ascii="仿宋" w:hAnsi="仿宋" w:eastAsia="仿宋" w:cs="仿宋"/>
                <w:sz w:val="24"/>
              </w:rPr>
            </w:pPr>
            <w:r>
              <w:rPr>
                <w:rFonts w:hint="eastAsia" w:ascii="仿宋" w:hAnsi="仿宋" w:eastAsia="仿宋" w:cs="仿宋"/>
                <w:sz w:val="24"/>
              </w:rPr>
              <w:t>13.1</w:t>
            </w:r>
          </w:p>
        </w:tc>
        <w:tc>
          <w:tcPr>
            <w:tcW w:w="8312" w:type="dxa"/>
            <w:vAlign w:val="center"/>
          </w:tcPr>
          <w:p w14:paraId="4D870373">
            <w:pPr>
              <w:spacing w:line="240" w:lineRule="atLeast"/>
              <w:rPr>
                <w:rFonts w:ascii="仿宋" w:hAnsi="仿宋" w:eastAsia="仿宋" w:cs="仿宋"/>
                <w:sz w:val="24"/>
                <w:u w:val="single"/>
              </w:rPr>
            </w:pPr>
            <w:r>
              <w:rPr>
                <w:rFonts w:hint="eastAsia" w:ascii="仿宋" w:hAnsi="仿宋" w:eastAsia="仿宋" w:cs="仿宋"/>
                <w:sz w:val="24"/>
              </w:rPr>
              <w:t>磋商有效期：</w:t>
            </w:r>
            <w:r>
              <w:rPr>
                <w:rFonts w:hint="eastAsia" w:ascii="仿宋" w:hAnsi="仿宋" w:eastAsia="仿宋" w:cs="仿宋"/>
                <w:sz w:val="24"/>
                <w:u w:val="single"/>
              </w:rPr>
              <w:t>　</w:t>
            </w:r>
            <w:r>
              <w:rPr>
                <w:rFonts w:hint="eastAsia" w:ascii="仿宋" w:hAnsi="仿宋" w:eastAsia="仿宋" w:cs="仿宋"/>
                <w:sz w:val="24"/>
                <w:highlight w:val="none"/>
                <w:u w:val="single"/>
                <w:lang w:val="en-US" w:eastAsia="zh-CN"/>
              </w:rPr>
              <w:t>9</w:t>
            </w:r>
            <w:r>
              <w:rPr>
                <w:rFonts w:hint="eastAsia" w:ascii="仿宋" w:hAnsi="仿宋" w:eastAsia="仿宋" w:cs="仿宋"/>
                <w:sz w:val="24"/>
                <w:highlight w:val="none"/>
                <w:u w:val="single"/>
              </w:rPr>
              <w:t>0　</w:t>
            </w:r>
            <w:r>
              <w:rPr>
                <w:rFonts w:hint="eastAsia" w:ascii="仿宋" w:hAnsi="仿宋" w:eastAsia="仿宋" w:cs="仿宋"/>
                <w:sz w:val="24"/>
                <w:highlight w:val="none"/>
              </w:rPr>
              <w:t>日历日</w:t>
            </w:r>
          </w:p>
        </w:tc>
      </w:tr>
      <w:tr w14:paraId="263308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50" w:hRule="atLeast"/>
          <w:jc w:val="center"/>
        </w:trPr>
        <w:tc>
          <w:tcPr>
            <w:tcW w:w="955" w:type="dxa"/>
            <w:vAlign w:val="center"/>
          </w:tcPr>
          <w:p w14:paraId="3D28338A">
            <w:pPr>
              <w:spacing w:line="400" w:lineRule="exact"/>
              <w:jc w:val="center"/>
              <w:rPr>
                <w:rFonts w:ascii="仿宋" w:hAnsi="仿宋" w:eastAsia="仿宋" w:cs="仿宋"/>
                <w:sz w:val="24"/>
              </w:rPr>
            </w:pPr>
            <w:r>
              <w:rPr>
                <w:rFonts w:hint="eastAsia" w:ascii="仿宋" w:hAnsi="仿宋" w:eastAsia="仿宋" w:cs="仿宋"/>
                <w:sz w:val="24"/>
              </w:rPr>
              <w:t>14.1</w:t>
            </w:r>
          </w:p>
        </w:tc>
        <w:tc>
          <w:tcPr>
            <w:tcW w:w="8312" w:type="dxa"/>
            <w:vAlign w:val="center"/>
          </w:tcPr>
          <w:p w14:paraId="3E96C1C7">
            <w:pPr>
              <w:spacing w:line="240" w:lineRule="atLeast"/>
              <w:rPr>
                <w:rFonts w:hint="eastAsia" w:ascii="仿宋" w:hAnsi="仿宋" w:eastAsia="仿宋" w:cs="仿宋"/>
                <w:b/>
                <w:bCs/>
                <w:color w:val="auto"/>
                <w:kern w:val="0"/>
                <w:sz w:val="24"/>
                <w:szCs w:val="24"/>
                <w:highlight w:val="none"/>
                <w:u w:val="none"/>
                <w:lang w:val="en-US" w:eastAsia="zh-CN"/>
              </w:rPr>
            </w:pPr>
            <w:r>
              <w:rPr>
                <w:rFonts w:hint="eastAsia" w:ascii="仿宋" w:hAnsi="仿宋" w:eastAsia="仿宋" w:cs="仿宋"/>
                <w:b/>
                <w:bCs/>
                <w:color w:val="auto"/>
                <w:kern w:val="0"/>
                <w:sz w:val="24"/>
                <w:szCs w:val="24"/>
                <w:highlight w:val="none"/>
                <w:u w:val="none"/>
                <w:lang w:val="en-US" w:eastAsia="zh-CN"/>
              </w:rPr>
              <w:t xml:space="preserve">投标文件包括： </w:t>
            </w:r>
          </w:p>
          <w:p w14:paraId="28C3DF9A">
            <w:pPr>
              <w:spacing w:line="240" w:lineRule="atLeast"/>
              <w:rPr>
                <w:rFonts w:hint="eastAsia" w:ascii="仿宋" w:hAnsi="仿宋" w:eastAsia="仿宋" w:cs="仿宋"/>
                <w:b/>
                <w:bCs/>
                <w:color w:val="auto"/>
                <w:kern w:val="0"/>
                <w:sz w:val="24"/>
                <w:szCs w:val="24"/>
                <w:highlight w:val="none"/>
                <w:u w:val="none"/>
                <w:lang w:val="en-US" w:eastAsia="zh-CN"/>
              </w:rPr>
            </w:pPr>
            <w:r>
              <w:rPr>
                <w:rFonts w:hint="eastAsia" w:ascii="仿宋" w:hAnsi="仿宋" w:eastAsia="仿宋" w:cs="仿宋"/>
                <w:b/>
                <w:bCs/>
                <w:color w:val="auto"/>
                <w:kern w:val="0"/>
                <w:sz w:val="24"/>
                <w:szCs w:val="24"/>
                <w:highlight w:val="none"/>
                <w:u w:val="none"/>
                <w:lang w:val="en-US" w:eastAsia="zh-CN"/>
              </w:rPr>
              <w:t>1、加密的电子投标文件，在投标截止时间前通过新疆维吾尔自治区政府采购网上传；</w:t>
            </w:r>
          </w:p>
          <w:p w14:paraId="39CC4024">
            <w:pPr>
              <w:spacing w:line="240" w:lineRule="atLeast"/>
              <w:rPr>
                <w:rFonts w:hint="eastAsia" w:ascii="仿宋" w:hAnsi="仿宋" w:eastAsia="仿宋" w:cs="仿宋"/>
                <w:b/>
                <w:bCs/>
                <w:color w:val="auto"/>
                <w:kern w:val="0"/>
                <w:sz w:val="24"/>
                <w:szCs w:val="24"/>
                <w:highlight w:val="none"/>
                <w:u w:val="none"/>
                <w:lang w:val="en-US" w:eastAsia="zh-CN"/>
              </w:rPr>
            </w:pPr>
            <w:r>
              <w:rPr>
                <w:rFonts w:hint="eastAsia" w:ascii="仿宋" w:hAnsi="仿宋" w:eastAsia="仿宋" w:cs="仿宋"/>
                <w:b/>
                <w:bCs/>
                <w:color w:val="auto"/>
                <w:kern w:val="0"/>
                <w:sz w:val="24"/>
                <w:szCs w:val="24"/>
                <w:highlight w:val="none"/>
                <w:u w:val="none"/>
                <w:lang w:val="en-US" w:eastAsia="zh-CN"/>
              </w:rPr>
              <w:t xml:space="preserve">注：加密的电子投标文件为使用政采云电子投标客户端制作生成的加密版投标文件。未加密的电子投标文件应与加密的电子投标文件为同时生成的版本。 </w:t>
            </w:r>
          </w:p>
          <w:p w14:paraId="393F6BA4">
            <w:pPr>
              <w:spacing w:line="400" w:lineRule="exact"/>
              <w:rPr>
                <w:rFonts w:ascii="仿宋" w:hAnsi="仿宋" w:eastAsia="仿宋" w:cs="仿宋"/>
                <w:b/>
                <w:bCs/>
                <w:sz w:val="24"/>
              </w:rPr>
            </w:pPr>
            <w:r>
              <w:rPr>
                <w:rFonts w:hint="eastAsia" w:ascii="仿宋" w:hAnsi="仿宋" w:eastAsia="仿宋" w:cs="仿宋"/>
                <w:b/>
                <w:bCs/>
                <w:color w:val="auto"/>
                <w:kern w:val="2"/>
                <w:sz w:val="24"/>
                <w:szCs w:val="24"/>
                <w:highlight w:val="none"/>
                <w:lang w:val="en-US" w:eastAsia="zh-CN" w:bidi="ar-SA"/>
              </w:rPr>
              <w:t>备注：因投标人自身原因导致解密失败的，将导致其投标被拒绝且投标文件被退回；但因网上招标系统故障导致所有投标人均解密失败时，使用投标人未加密的电子投标文件进行开评标。未发送未加密电子投标文件导致解密失败的，由投标人自行承担责任，默认解密时长为：30分钟。</w:t>
            </w:r>
          </w:p>
        </w:tc>
      </w:tr>
      <w:tr w14:paraId="7CA030F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58" w:hRule="atLeast"/>
          <w:jc w:val="center"/>
        </w:trPr>
        <w:tc>
          <w:tcPr>
            <w:tcW w:w="955" w:type="dxa"/>
            <w:vAlign w:val="center"/>
          </w:tcPr>
          <w:p w14:paraId="5D16DCAF">
            <w:pPr>
              <w:spacing w:line="240" w:lineRule="atLeast"/>
              <w:jc w:val="center"/>
              <w:rPr>
                <w:rFonts w:ascii="仿宋" w:hAnsi="仿宋" w:eastAsia="仿宋" w:cs="仿宋"/>
                <w:sz w:val="24"/>
              </w:rPr>
            </w:pPr>
            <w:r>
              <w:rPr>
                <w:rFonts w:hint="eastAsia" w:ascii="仿宋" w:hAnsi="仿宋" w:eastAsia="仿宋" w:cs="仿宋"/>
                <w:sz w:val="24"/>
              </w:rPr>
              <w:t>16.1</w:t>
            </w:r>
          </w:p>
        </w:tc>
        <w:tc>
          <w:tcPr>
            <w:tcW w:w="8312" w:type="dxa"/>
            <w:vAlign w:val="center"/>
          </w:tcPr>
          <w:p w14:paraId="5BAC83BE">
            <w:pPr>
              <w:spacing w:line="240" w:lineRule="atLeast"/>
              <w:rPr>
                <w:rFonts w:ascii="仿宋" w:hAnsi="仿宋" w:eastAsia="仿宋" w:cs="仿宋"/>
                <w:sz w:val="24"/>
                <w:highlight w:val="none"/>
              </w:rPr>
            </w:pPr>
            <w:r>
              <w:rPr>
                <w:rFonts w:hint="eastAsia" w:ascii="仿宋" w:hAnsi="仿宋" w:eastAsia="仿宋" w:cs="仿宋"/>
                <w:sz w:val="24"/>
                <w:highlight w:val="none"/>
              </w:rPr>
              <w:t>磋商截止时间：</w:t>
            </w:r>
            <w:r>
              <w:rPr>
                <w:rFonts w:hint="eastAsia" w:ascii="仿宋" w:hAnsi="仿宋" w:eastAsia="仿宋" w:cs="仿宋"/>
                <w:sz w:val="24"/>
                <w:highlight w:val="none"/>
                <w:lang w:eastAsia="zh-CN"/>
              </w:rPr>
              <w:t>202</w:t>
            </w:r>
            <w:r>
              <w:rPr>
                <w:rFonts w:hint="eastAsia" w:ascii="仿宋" w:hAnsi="仿宋" w:eastAsia="仿宋" w:cs="仿宋"/>
                <w:sz w:val="24"/>
                <w:highlight w:val="none"/>
                <w:lang w:val="en-US" w:eastAsia="zh-CN"/>
              </w:rPr>
              <w:t>5</w:t>
            </w:r>
            <w:r>
              <w:rPr>
                <w:rFonts w:hint="eastAsia" w:ascii="仿宋" w:hAnsi="仿宋" w:eastAsia="仿宋" w:cs="仿宋"/>
                <w:sz w:val="24"/>
                <w:highlight w:val="none"/>
                <w:lang w:eastAsia="zh-CN"/>
              </w:rPr>
              <w:t>年</w:t>
            </w:r>
            <w:r>
              <w:rPr>
                <w:rFonts w:hint="eastAsia" w:ascii="仿宋" w:hAnsi="仿宋" w:eastAsia="仿宋" w:cs="仿宋"/>
                <w:color w:val="FF0000"/>
                <w:sz w:val="24"/>
                <w:highlight w:val="none"/>
                <w:lang w:val="en-US" w:eastAsia="zh-CN"/>
              </w:rPr>
              <w:t>4</w:t>
            </w:r>
            <w:r>
              <w:rPr>
                <w:rFonts w:hint="eastAsia" w:ascii="仿宋" w:hAnsi="仿宋" w:eastAsia="仿宋" w:cs="仿宋"/>
                <w:color w:val="FF0000"/>
                <w:sz w:val="24"/>
                <w:highlight w:val="none"/>
                <w:lang w:eastAsia="zh-CN"/>
              </w:rPr>
              <w:t>月</w:t>
            </w:r>
            <w:r>
              <w:rPr>
                <w:rFonts w:hint="eastAsia" w:ascii="仿宋" w:hAnsi="仿宋" w:eastAsia="仿宋" w:cs="仿宋"/>
                <w:color w:val="FF0000"/>
                <w:sz w:val="24"/>
                <w:highlight w:val="none"/>
                <w:lang w:val="en-US" w:eastAsia="zh-CN"/>
              </w:rPr>
              <w:t>21</w:t>
            </w:r>
            <w:r>
              <w:rPr>
                <w:rFonts w:hint="eastAsia" w:ascii="仿宋" w:hAnsi="仿宋" w:eastAsia="仿宋" w:cs="仿宋"/>
                <w:sz w:val="24"/>
                <w:highlight w:val="none"/>
                <w:lang w:eastAsia="zh-CN"/>
              </w:rPr>
              <w:t>日11:00</w:t>
            </w:r>
            <w:r>
              <w:rPr>
                <w:rFonts w:hint="eastAsia" w:ascii="仿宋" w:hAnsi="仿宋" w:eastAsia="仿宋" w:cs="仿宋"/>
                <w:sz w:val="24"/>
                <w:highlight w:val="none"/>
              </w:rPr>
              <w:t>（北京时间）</w:t>
            </w:r>
          </w:p>
        </w:tc>
      </w:tr>
      <w:tr w14:paraId="681C763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93" w:hRule="atLeast"/>
          <w:jc w:val="center"/>
        </w:trPr>
        <w:tc>
          <w:tcPr>
            <w:tcW w:w="955" w:type="dxa"/>
            <w:vAlign w:val="center"/>
          </w:tcPr>
          <w:p w14:paraId="31EC6363">
            <w:pPr>
              <w:spacing w:line="240" w:lineRule="atLeast"/>
              <w:jc w:val="center"/>
              <w:rPr>
                <w:rFonts w:ascii="仿宋" w:hAnsi="仿宋" w:eastAsia="仿宋" w:cs="仿宋"/>
                <w:sz w:val="24"/>
              </w:rPr>
            </w:pPr>
            <w:r>
              <w:rPr>
                <w:rFonts w:hint="eastAsia" w:ascii="仿宋" w:hAnsi="仿宋" w:eastAsia="仿宋" w:cs="仿宋"/>
                <w:sz w:val="24"/>
              </w:rPr>
              <w:t>18.1</w:t>
            </w:r>
          </w:p>
        </w:tc>
        <w:tc>
          <w:tcPr>
            <w:tcW w:w="8312" w:type="dxa"/>
            <w:vAlign w:val="center"/>
          </w:tcPr>
          <w:p w14:paraId="43737763">
            <w:pPr>
              <w:spacing w:line="240" w:lineRule="atLeast"/>
              <w:rPr>
                <w:rFonts w:ascii="仿宋" w:hAnsi="仿宋" w:eastAsia="仿宋" w:cs="仿宋"/>
                <w:sz w:val="24"/>
                <w:highlight w:val="none"/>
              </w:rPr>
            </w:pPr>
            <w:r>
              <w:rPr>
                <w:rFonts w:hint="eastAsia" w:ascii="仿宋" w:hAnsi="仿宋" w:eastAsia="仿宋" w:cs="仿宋"/>
                <w:sz w:val="24"/>
                <w:highlight w:val="none"/>
              </w:rPr>
              <w:t>磋商</w:t>
            </w:r>
            <w:r>
              <w:rPr>
                <w:rFonts w:hint="eastAsia" w:ascii="仿宋" w:hAnsi="仿宋" w:eastAsia="仿宋" w:cs="仿宋"/>
                <w:kern w:val="0"/>
                <w:sz w:val="24"/>
                <w:highlight w:val="none"/>
              </w:rPr>
              <w:t>时间</w:t>
            </w:r>
            <w:r>
              <w:rPr>
                <w:rFonts w:hint="eastAsia" w:ascii="仿宋" w:hAnsi="仿宋" w:eastAsia="仿宋" w:cs="仿宋"/>
                <w:sz w:val="24"/>
                <w:highlight w:val="none"/>
              </w:rPr>
              <w:t>：</w:t>
            </w:r>
            <w:r>
              <w:rPr>
                <w:rFonts w:hint="eastAsia" w:ascii="仿宋" w:hAnsi="仿宋" w:eastAsia="仿宋" w:cs="仿宋"/>
                <w:sz w:val="24"/>
                <w:highlight w:val="none"/>
                <w:lang w:eastAsia="zh-CN"/>
              </w:rPr>
              <w:t>202</w:t>
            </w:r>
            <w:r>
              <w:rPr>
                <w:rFonts w:hint="eastAsia" w:ascii="仿宋" w:hAnsi="仿宋" w:eastAsia="仿宋" w:cs="仿宋"/>
                <w:sz w:val="24"/>
                <w:highlight w:val="none"/>
                <w:lang w:val="en-US" w:eastAsia="zh-CN"/>
              </w:rPr>
              <w:t>5</w:t>
            </w:r>
            <w:r>
              <w:rPr>
                <w:rFonts w:hint="eastAsia" w:ascii="仿宋" w:hAnsi="仿宋" w:eastAsia="仿宋" w:cs="仿宋"/>
                <w:sz w:val="24"/>
                <w:highlight w:val="none"/>
                <w:lang w:eastAsia="zh-CN"/>
              </w:rPr>
              <w:t>年</w:t>
            </w:r>
            <w:r>
              <w:rPr>
                <w:rFonts w:hint="eastAsia" w:ascii="仿宋" w:hAnsi="仿宋" w:eastAsia="仿宋" w:cs="仿宋"/>
                <w:color w:val="FF0000"/>
                <w:sz w:val="24"/>
                <w:highlight w:val="none"/>
                <w:lang w:val="en-US" w:eastAsia="zh-CN"/>
              </w:rPr>
              <w:t>4</w:t>
            </w:r>
            <w:r>
              <w:rPr>
                <w:rFonts w:hint="eastAsia" w:ascii="仿宋" w:hAnsi="仿宋" w:eastAsia="仿宋" w:cs="仿宋"/>
                <w:color w:val="FF0000"/>
                <w:sz w:val="24"/>
                <w:highlight w:val="none"/>
                <w:lang w:eastAsia="zh-CN"/>
              </w:rPr>
              <w:t>月</w:t>
            </w:r>
            <w:r>
              <w:rPr>
                <w:rFonts w:hint="eastAsia" w:ascii="仿宋" w:hAnsi="仿宋" w:eastAsia="仿宋" w:cs="仿宋"/>
                <w:color w:val="FF0000"/>
                <w:sz w:val="24"/>
                <w:highlight w:val="none"/>
                <w:lang w:val="en-US" w:eastAsia="zh-CN"/>
              </w:rPr>
              <w:t>21</w:t>
            </w:r>
            <w:r>
              <w:rPr>
                <w:rFonts w:hint="eastAsia" w:ascii="仿宋" w:hAnsi="仿宋" w:eastAsia="仿宋" w:cs="仿宋"/>
                <w:sz w:val="24"/>
                <w:highlight w:val="none"/>
                <w:lang w:eastAsia="zh-CN"/>
              </w:rPr>
              <w:t>日11:00</w:t>
            </w:r>
            <w:r>
              <w:rPr>
                <w:rFonts w:hint="eastAsia" w:ascii="仿宋" w:hAnsi="仿宋" w:eastAsia="仿宋" w:cs="仿宋"/>
                <w:sz w:val="24"/>
                <w:highlight w:val="none"/>
              </w:rPr>
              <w:t>（北京时间）</w:t>
            </w:r>
          </w:p>
          <w:p w14:paraId="7354AF6B">
            <w:pPr>
              <w:spacing w:line="240" w:lineRule="atLeast"/>
              <w:rPr>
                <w:rFonts w:hint="default" w:ascii="仿宋" w:hAnsi="仿宋" w:eastAsia="仿宋" w:cs="仿宋"/>
                <w:sz w:val="24"/>
                <w:highlight w:val="none"/>
                <w:lang w:val="en-US" w:eastAsia="zh-CN"/>
              </w:rPr>
            </w:pPr>
            <w:r>
              <w:rPr>
                <w:rFonts w:hint="eastAsia" w:ascii="仿宋" w:hAnsi="仿宋" w:eastAsia="仿宋" w:cs="仿宋"/>
                <w:sz w:val="24"/>
                <w:highlight w:val="none"/>
              </w:rPr>
              <w:t>磋商地点：</w:t>
            </w:r>
            <w:r>
              <w:rPr>
                <w:rFonts w:hint="eastAsia" w:ascii="仿宋" w:hAnsi="仿宋" w:eastAsia="仿宋" w:cs="仿宋"/>
                <w:sz w:val="24"/>
                <w:highlight w:val="none"/>
                <w:u w:val="single"/>
                <w:lang w:val="en-US" w:eastAsia="zh-CN"/>
              </w:rPr>
              <w:t>政采云平台</w:t>
            </w:r>
          </w:p>
        </w:tc>
      </w:tr>
      <w:tr w14:paraId="6034A4D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84" w:hRule="atLeast"/>
          <w:jc w:val="center"/>
        </w:trPr>
        <w:tc>
          <w:tcPr>
            <w:tcW w:w="955" w:type="dxa"/>
            <w:vAlign w:val="center"/>
          </w:tcPr>
          <w:p w14:paraId="331330E5">
            <w:pPr>
              <w:spacing w:line="240" w:lineRule="atLeast"/>
              <w:jc w:val="center"/>
              <w:rPr>
                <w:rFonts w:ascii="仿宋" w:hAnsi="仿宋" w:eastAsia="仿宋" w:cs="仿宋"/>
                <w:sz w:val="24"/>
              </w:rPr>
            </w:pPr>
            <w:r>
              <w:rPr>
                <w:rFonts w:hint="eastAsia" w:ascii="仿宋" w:hAnsi="仿宋" w:eastAsia="仿宋" w:cs="仿宋"/>
                <w:sz w:val="24"/>
              </w:rPr>
              <w:t>23.2</w:t>
            </w:r>
          </w:p>
        </w:tc>
        <w:tc>
          <w:tcPr>
            <w:tcW w:w="8312" w:type="dxa"/>
            <w:vAlign w:val="center"/>
          </w:tcPr>
          <w:p w14:paraId="44AF8F31">
            <w:pPr>
              <w:spacing w:line="240" w:lineRule="atLeast"/>
              <w:rPr>
                <w:rFonts w:ascii="仿宋" w:hAnsi="仿宋" w:eastAsia="仿宋" w:cs="仿宋"/>
                <w:i/>
                <w:sz w:val="24"/>
              </w:rPr>
            </w:pPr>
            <w:r>
              <w:rPr>
                <w:rFonts w:hint="eastAsia" w:ascii="仿宋" w:hAnsi="仿宋" w:eastAsia="仿宋" w:cs="仿宋"/>
                <w:b/>
                <w:bCs/>
                <w:sz w:val="24"/>
              </w:rPr>
              <w:t>评标方法：适用</w:t>
            </w:r>
            <w:r>
              <w:rPr>
                <w:rFonts w:hint="eastAsia" w:ascii="仿宋" w:hAnsi="仿宋" w:eastAsia="仿宋" w:cs="仿宋"/>
                <w:b/>
                <w:bCs/>
                <w:sz w:val="24"/>
                <w:u w:val="single"/>
                <w:lang w:val="en-US" w:eastAsia="zh-CN"/>
              </w:rPr>
              <w:t xml:space="preserve"> </w:t>
            </w:r>
            <w:r>
              <w:rPr>
                <w:rFonts w:hint="eastAsia" w:ascii="仿宋" w:hAnsi="仿宋" w:eastAsia="仿宋" w:cs="仿宋"/>
                <w:b/>
                <w:bCs/>
                <w:sz w:val="24"/>
                <w:u w:val="single"/>
              </w:rPr>
              <w:t>《政府采购竞争性磋商采购方式管理暂行办法》</w:t>
            </w:r>
            <w:r>
              <w:rPr>
                <w:rFonts w:hint="eastAsia" w:ascii="仿宋" w:hAnsi="仿宋" w:eastAsia="仿宋" w:cs="仿宋"/>
                <w:b/>
                <w:bCs/>
                <w:sz w:val="24"/>
                <w:u w:val="single"/>
                <w:lang w:eastAsia="zh-CN"/>
              </w:rPr>
              <w:t>综合评分法</w:t>
            </w:r>
            <w:r>
              <w:rPr>
                <w:rFonts w:hint="eastAsia" w:ascii="仿宋" w:hAnsi="仿宋" w:eastAsia="仿宋" w:cs="仿宋"/>
                <w:b/>
                <w:bCs/>
                <w:sz w:val="24"/>
                <w:u w:val="single"/>
              </w:rPr>
              <w:t>　　</w:t>
            </w:r>
            <w:r>
              <w:rPr>
                <w:rFonts w:hint="eastAsia" w:ascii="仿宋" w:hAnsi="仿宋" w:eastAsia="仿宋" w:cs="仿宋"/>
                <w:b/>
                <w:bCs/>
                <w:sz w:val="24"/>
              </w:rPr>
              <w:t>　</w:t>
            </w:r>
            <w:r>
              <w:rPr>
                <w:rFonts w:hint="eastAsia" w:ascii="仿宋" w:hAnsi="仿宋" w:eastAsia="仿宋" w:cs="仿宋"/>
                <w:sz w:val="24"/>
              </w:rPr>
              <w:t>　　　　</w:t>
            </w:r>
          </w:p>
        </w:tc>
      </w:tr>
      <w:tr w14:paraId="0C2743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71" w:hRule="atLeast"/>
          <w:jc w:val="center"/>
        </w:trPr>
        <w:tc>
          <w:tcPr>
            <w:tcW w:w="955" w:type="dxa"/>
            <w:vAlign w:val="center"/>
          </w:tcPr>
          <w:p w14:paraId="75D8F0AD">
            <w:pPr>
              <w:spacing w:line="240" w:lineRule="atLeast"/>
              <w:jc w:val="center"/>
              <w:rPr>
                <w:rFonts w:ascii="仿宋" w:hAnsi="仿宋" w:eastAsia="仿宋" w:cs="仿宋"/>
                <w:sz w:val="24"/>
              </w:rPr>
            </w:pPr>
            <w:r>
              <w:rPr>
                <w:rFonts w:hint="eastAsia" w:ascii="仿宋" w:hAnsi="仿宋" w:eastAsia="仿宋" w:cs="仿宋"/>
                <w:sz w:val="24"/>
              </w:rPr>
              <w:t>27.1</w:t>
            </w:r>
          </w:p>
        </w:tc>
        <w:tc>
          <w:tcPr>
            <w:tcW w:w="8312" w:type="dxa"/>
            <w:vAlign w:val="center"/>
          </w:tcPr>
          <w:p w14:paraId="2F5EC1EF">
            <w:pPr>
              <w:spacing w:line="240" w:lineRule="atLeast"/>
              <w:rPr>
                <w:rFonts w:ascii="仿宋" w:hAnsi="仿宋" w:eastAsia="仿宋" w:cs="仿宋"/>
                <w:sz w:val="24"/>
              </w:rPr>
            </w:pPr>
            <w:r>
              <w:rPr>
                <w:rFonts w:hint="eastAsia" w:ascii="仿宋" w:hAnsi="仿宋" w:eastAsia="仿宋" w:cs="仿宋"/>
                <w:sz w:val="24"/>
              </w:rPr>
              <w:t>推荐成交候选供应商的数量：</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3</w:t>
            </w:r>
            <w:r>
              <w:rPr>
                <w:rFonts w:hint="eastAsia" w:ascii="仿宋" w:hAnsi="仿宋" w:eastAsia="仿宋" w:cs="仿宋"/>
                <w:sz w:val="24"/>
                <w:u w:val="single"/>
              </w:rPr>
              <w:t>　　</w:t>
            </w:r>
          </w:p>
        </w:tc>
      </w:tr>
      <w:tr w14:paraId="6E05C1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955" w:type="dxa"/>
            <w:vAlign w:val="center"/>
          </w:tcPr>
          <w:p w14:paraId="1A84152D">
            <w:pPr>
              <w:spacing w:line="240" w:lineRule="atLeast"/>
              <w:jc w:val="center"/>
              <w:rPr>
                <w:rFonts w:ascii="仿宋" w:hAnsi="仿宋" w:eastAsia="仿宋" w:cs="仿宋"/>
                <w:sz w:val="24"/>
              </w:rPr>
            </w:pPr>
            <w:r>
              <w:rPr>
                <w:rFonts w:hint="eastAsia" w:ascii="仿宋" w:hAnsi="仿宋" w:eastAsia="仿宋" w:cs="仿宋"/>
                <w:sz w:val="24"/>
              </w:rPr>
              <w:t>27.2</w:t>
            </w:r>
          </w:p>
        </w:tc>
        <w:tc>
          <w:tcPr>
            <w:tcW w:w="8312" w:type="dxa"/>
            <w:vAlign w:val="center"/>
          </w:tcPr>
          <w:p w14:paraId="7840B243">
            <w:pPr>
              <w:spacing w:line="240" w:lineRule="atLeast"/>
              <w:rPr>
                <w:rFonts w:ascii="仿宋" w:hAnsi="仿宋" w:eastAsia="仿宋" w:cs="仿宋"/>
                <w:sz w:val="24"/>
              </w:rPr>
            </w:pPr>
            <w:r>
              <w:rPr>
                <w:rFonts w:hint="eastAsia" w:ascii="仿宋" w:hAnsi="仿宋" w:eastAsia="仿宋" w:cs="仿宋"/>
                <w:sz w:val="24"/>
              </w:rPr>
              <w:t>评标小组组成：</w:t>
            </w:r>
            <w:r>
              <w:rPr>
                <w:rFonts w:hint="eastAsia" w:ascii="仿宋" w:hAnsi="仿宋" w:eastAsia="仿宋" w:cs="仿宋"/>
                <w:sz w:val="24"/>
                <w:u w:val="single"/>
              </w:rPr>
              <w:t>评标小组人数为3人以上单数组成，其中评审专家人数不得少于评标小组成员总数的2/3。</w:t>
            </w:r>
          </w:p>
          <w:p w14:paraId="5D485D8F">
            <w:pPr>
              <w:spacing w:line="240" w:lineRule="atLeast"/>
              <w:rPr>
                <w:rFonts w:ascii="仿宋" w:hAnsi="仿宋" w:eastAsia="仿宋" w:cs="仿宋"/>
                <w:sz w:val="24"/>
              </w:rPr>
            </w:pPr>
            <w:r>
              <w:rPr>
                <w:rFonts w:hint="eastAsia" w:ascii="仿宋" w:hAnsi="仿宋" w:eastAsia="仿宋" w:cs="仿宋"/>
                <w:sz w:val="24"/>
              </w:rPr>
              <w:t>评标小组成员确定方式：</w:t>
            </w:r>
            <w:r>
              <w:rPr>
                <w:rFonts w:hint="eastAsia" w:ascii="仿宋" w:hAnsi="仿宋" w:eastAsia="仿宋" w:cs="仿宋"/>
                <w:sz w:val="24"/>
                <w:u w:val="single"/>
              </w:rPr>
              <w:t>专家随机抽取</w:t>
            </w:r>
          </w:p>
        </w:tc>
      </w:tr>
      <w:tr w14:paraId="1E556E5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07" w:hRule="atLeast"/>
          <w:jc w:val="center"/>
        </w:trPr>
        <w:tc>
          <w:tcPr>
            <w:tcW w:w="955" w:type="dxa"/>
            <w:vAlign w:val="center"/>
          </w:tcPr>
          <w:p w14:paraId="0C9215F3">
            <w:pPr>
              <w:spacing w:line="240" w:lineRule="atLeast"/>
              <w:jc w:val="center"/>
              <w:rPr>
                <w:rFonts w:ascii="仿宋" w:hAnsi="仿宋" w:eastAsia="仿宋" w:cs="仿宋"/>
                <w:sz w:val="24"/>
              </w:rPr>
            </w:pPr>
            <w:r>
              <w:rPr>
                <w:rFonts w:hint="eastAsia" w:ascii="仿宋" w:hAnsi="仿宋" w:eastAsia="仿宋" w:cs="仿宋"/>
                <w:sz w:val="24"/>
              </w:rPr>
              <w:t>27.3</w:t>
            </w:r>
          </w:p>
        </w:tc>
        <w:tc>
          <w:tcPr>
            <w:tcW w:w="8312" w:type="dxa"/>
            <w:vAlign w:val="center"/>
          </w:tcPr>
          <w:p w14:paraId="490AFE12">
            <w:pPr>
              <w:spacing w:line="240" w:lineRule="atLeast"/>
              <w:rPr>
                <w:rFonts w:ascii="仿宋" w:hAnsi="仿宋" w:eastAsia="仿宋" w:cs="仿宋"/>
                <w:sz w:val="24"/>
              </w:rPr>
            </w:pPr>
            <w:r>
              <w:rPr>
                <w:rFonts w:hint="eastAsia" w:ascii="仿宋" w:hAnsi="仿宋" w:eastAsia="仿宋" w:cs="仿宋"/>
                <w:sz w:val="24"/>
              </w:rPr>
              <w:t>招标人是否委托评审委员会直接确定成交人：</w:t>
            </w:r>
            <w:r>
              <w:rPr>
                <w:rFonts w:hint="eastAsia" w:ascii="仿宋" w:hAnsi="仿宋" w:eastAsia="仿宋" w:cs="仿宋"/>
                <w:sz w:val="24"/>
                <w:u w:val="single"/>
              </w:rPr>
              <w:t xml:space="preserve">  否  </w:t>
            </w:r>
            <w:r>
              <w:rPr>
                <w:rFonts w:hint="eastAsia" w:ascii="仿宋" w:hAnsi="仿宋" w:eastAsia="仿宋" w:cs="仿宋"/>
                <w:sz w:val="24"/>
              </w:rPr>
              <w:t xml:space="preserve"> </w:t>
            </w:r>
          </w:p>
        </w:tc>
      </w:tr>
      <w:tr w14:paraId="3A184C4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jc w:val="center"/>
        </w:trPr>
        <w:tc>
          <w:tcPr>
            <w:tcW w:w="955" w:type="dxa"/>
            <w:vAlign w:val="center"/>
          </w:tcPr>
          <w:p w14:paraId="7367DF7D">
            <w:pPr>
              <w:spacing w:line="240" w:lineRule="atLeast"/>
              <w:jc w:val="center"/>
              <w:rPr>
                <w:rFonts w:ascii="仿宋" w:hAnsi="仿宋" w:eastAsia="仿宋" w:cs="仿宋"/>
                <w:sz w:val="24"/>
              </w:rPr>
            </w:pPr>
            <w:r>
              <w:rPr>
                <w:rFonts w:hint="eastAsia" w:ascii="仿宋" w:hAnsi="仿宋" w:eastAsia="仿宋" w:cs="仿宋"/>
                <w:sz w:val="24"/>
              </w:rPr>
              <w:t>32</w:t>
            </w:r>
          </w:p>
        </w:tc>
        <w:tc>
          <w:tcPr>
            <w:tcW w:w="8312" w:type="dxa"/>
            <w:vAlign w:val="center"/>
          </w:tcPr>
          <w:p w14:paraId="141C162E">
            <w:pPr>
              <w:pStyle w:val="13"/>
              <w:spacing w:line="400" w:lineRule="exact"/>
              <w:jc w:val="left"/>
              <w:rPr>
                <w:rFonts w:hint="eastAsia" w:ascii="仿宋" w:hAnsi="仿宋" w:eastAsia="仿宋" w:cs="仿宋"/>
                <w:b/>
                <w:bCs/>
                <w:sz w:val="24"/>
                <w:highlight w:val="none"/>
              </w:rPr>
            </w:pPr>
            <w:r>
              <w:rPr>
                <w:rFonts w:hint="eastAsia" w:ascii="仿宋" w:hAnsi="仿宋" w:eastAsia="仿宋" w:cs="仿宋"/>
                <w:b/>
                <w:bCs/>
                <w:sz w:val="24"/>
                <w:highlight w:val="none"/>
              </w:rPr>
              <w:t>代理服务费：按照发改价格【2015】299 号文件规定</w:t>
            </w:r>
            <w:r>
              <w:rPr>
                <w:rFonts w:hint="eastAsia" w:ascii="仿宋" w:hAnsi="仿宋" w:eastAsia="仿宋" w:cs="仿宋"/>
                <w:b/>
                <w:bCs/>
                <w:sz w:val="24"/>
                <w:highlight w:val="none"/>
                <w:lang w:val="en-US" w:eastAsia="zh-CN"/>
              </w:rPr>
              <w:t>50-100万元</w:t>
            </w:r>
            <w:r>
              <w:rPr>
                <w:rFonts w:hint="eastAsia" w:ascii="仿宋" w:hAnsi="仿宋" w:eastAsia="仿宋" w:cs="仿宋"/>
                <w:b/>
                <w:bCs/>
                <w:sz w:val="24"/>
                <w:highlight w:val="none"/>
              </w:rPr>
              <w:t>，按照中标价格的</w:t>
            </w:r>
            <w:r>
              <w:rPr>
                <w:rFonts w:hint="eastAsia" w:ascii="仿宋" w:hAnsi="仿宋" w:eastAsia="仿宋" w:cs="仿宋"/>
                <w:b/>
                <w:bCs/>
                <w:sz w:val="24"/>
                <w:highlight w:val="none"/>
                <w:lang w:val="en-US" w:eastAsia="zh-CN"/>
              </w:rPr>
              <w:t>1.5</w:t>
            </w:r>
            <w:r>
              <w:rPr>
                <w:rFonts w:hint="eastAsia" w:ascii="仿宋" w:hAnsi="仿宋" w:eastAsia="仿宋" w:cs="仿宋"/>
                <w:b/>
                <w:bCs/>
                <w:sz w:val="24"/>
                <w:highlight w:val="none"/>
              </w:rPr>
              <w:t>%计取。（由中标单位支付）</w:t>
            </w:r>
          </w:p>
          <w:p w14:paraId="417CDA1F">
            <w:pPr>
              <w:pStyle w:val="13"/>
              <w:spacing w:line="400" w:lineRule="exact"/>
              <w:jc w:val="left"/>
              <w:rPr>
                <w:rFonts w:hint="eastAsia" w:ascii="仿宋" w:hAnsi="仿宋" w:eastAsia="仿宋" w:cs="仿宋"/>
                <w:b/>
                <w:bCs/>
                <w:sz w:val="24"/>
                <w:highlight w:val="none"/>
              </w:rPr>
            </w:pPr>
            <w:r>
              <w:rPr>
                <w:rFonts w:hint="eastAsia" w:ascii="仿宋" w:hAnsi="仿宋" w:eastAsia="仿宋" w:cs="仿宋"/>
                <w:b/>
                <w:bCs/>
                <w:sz w:val="24"/>
                <w:highlight w:val="none"/>
              </w:rPr>
              <w:t xml:space="preserve">支付形式：对公转账                              </w:t>
            </w:r>
          </w:p>
          <w:p w14:paraId="2D2AF0AB">
            <w:pPr>
              <w:pStyle w:val="13"/>
              <w:spacing w:line="400" w:lineRule="exact"/>
              <w:jc w:val="left"/>
              <w:rPr>
                <w:rFonts w:ascii="仿宋" w:hAnsi="仿宋" w:eastAsia="仿宋" w:cs="仿宋"/>
                <w:sz w:val="24"/>
              </w:rPr>
            </w:pPr>
            <w:r>
              <w:rPr>
                <w:rFonts w:hint="eastAsia" w:ascii="仿宋" w:hAnsi="仿宋" w:eastAsia="仿宋" w:cs="仿宋"/>
                <w:b/>
                <w:bCs/>
                <w:sz w:val="24"/>
                <w:highlight w:val="none"/>
              </w:rPr>
              <w:t>支付时间：领取中标通知书时由中标方支付一次性支付</w:t>
            </w:r>
          </w:p>
        </w:tc>
      </w:tr>
      <w:tr w14:paraId="3CD2B59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88" w:hRule="atLeast"/>
          <w:jc w:val="center"/>
        </w:trPr>
        <w:tc>
          <w:tcPr>
            <w:tcW w:w="955" w:type="dxa"/>
            <w:vAlign w:val="center"/>
          </w:tcPr>
          <w:p w14:paraId="35278600">
            <w:pPr>
              <w:spacing w:line="240" w:lineRule="atLeast"/>
              <w:jc w:val="center"/>
              <w:rPr>
                <w:rFonts w:ascii="仿宋" w:hAnsi="仿宋" w:eastAsia="仿宋" w:cs="仿宋"/>
                <w:sz w:val="24"/>
              </w:rPr>
            </w:pPr>
            <w:r>
              <w:rPr>
                <w:rFonts w:hint="eastAsia" w:ascii="仿宋" w:hAnsi="仿宋" w:eastAsia="仿宋" w:cs="仿宋"/>
                <w:sz w:val="24"/>
              </w:rPr>
              <w:t>33.1</w:t>
            </w:r>
          </w:p>
        </w:tc>
        <w:tc>
          <w:tcPr>
            <w:tcW w:w="8312" w:type="dxa"/>
            <w:vAlign w:val="center"/>
          </w:tcPr>
          <w:p w14:paraId="10938E38">
            <w:pPr>
              <w:spacing w:line="240" w:lineRule="atLeast"/>
              <w:rPr>
                <w:rFonts w:ascii="仿宋" w:hAnsi="仿宋" w:eastAsia="仿宋" w:cs="仿宋"/>
                <w:sz w:val="24"/>
              </w:rPr>
            </w:pPr>
            <w:r>
              <w:rPr>
                <w:rFonts w:hint="eastAsia" w:ascii="仿宋" w:hAnsi="仿宋" w:eastAsia="仿宋" w:cs="仿宋"/>
                <w:sz w:val="24"/>
              </w:rPr>
              <w:t>本项目是否属于信用担保试点范围：</w:t>
            </w:r>
            <w:r>
              <w:rPr>
                <w:rFonts w:hint="eastAsia" w:ascii="仿宋" w:hAnsi="仿宋" w:eastAsia="仿宋" w:cs="仿宋"/>
                <w:sz w:val="24"/>
                <w:u w:val="single"/>
              </w:rPr>
              <w:t xml:space="preserve">  否 </w:t>
            </w:r>
            <w:r>
              <w:rPr>
                <w:rFonts w:hint="eastAsia" w:ascii="仿宋" w:hAnsi="仿宋" w:eastAsia="仿宋" w:cs="仿宋"/>
                <w:sz w:val="24"/>
              </w:rPr>
              <w:t xml:space="preserve"> </w:t>
            </w:r>
          </w:p>
        </w:tc>
      </w:tr>
      <w:tr w14:paraId="166DBE6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36" w:hRule="atLeast"/>
          <w:jc w:val="center"/>
        </w:trPr>
        <w:tc>
          <w:tcPr>
            <w:tcW w:w="955" w:type="dxa"/>
            <w:vAlign w:val="center"/>
          </w:tcPr>
          <w:p w14:paraId="5D3F49E5">
            <w:pPr>
              <w:spacing w:line="240" w:lineRule="atLeast"/>
              <w:jc w:val="center"/>
              <w:rPr>
                <w:rFonts w:ascii="仿宋" w:hAnsi="仿宋" w:eastAsia="仿宋" w:cs="仿宋"/>
                <w:sz w:val="24"/>
              </w:rPr>
            </w:pPr>
            <w:r>
              <w:rPr>
                <w:rFonts w:hint="eastAsia" w:ascii="仿宋" w:hAnsi="仿宋" w:eastAsia="仿宋" w:cs="仿宋"/>
                <w:sz w:val="24"/>
              </w:rPr>
              <w:t>34.3</w:t>
            </w:r>
          </w:p>
        </w:tc>
        <w:tc>
          <w:tcPr>
            <w:tcW w:w="8312" w:type="dxa"/>
            <w:vAlign w:val="center"/>
          </w:tcPr>
          <w:p w14:paraId="5552C5B3">
            <w:pPr>
              <w:spacing w:line="240" w:lineRule="atLeast"/>
              <w:rPr>
                <w:rFonts w:ascii="仿宋" w:hAnsi="仿宋" w:eastAsia="仿宋" w:cs="仿宋"/>
                <w:sz w:val="24"/>
              </w:rPr>
            </w:pPr>
            <w:r>
              <w:rPr>
                <w:rFonts w:hint="eastAsia" w:ascii="仿宋" w:hAnsi="仿宋" w:eastAsia="仿宋" w:cs="仿宋"/>
                <w:sz w:val="24"/>
              </w:rPr>
              <w:t>反腐倡廉监督电话/邮箱</w:t>
            </w:r>
            <w:r>
              <w:rPr>
                <w:rFonts w:hint="eastAsia" w:ascii="仿宋" w:hAnsi="仿宋" w:eastAsia="仿宋" w:cs="仿宋"/>
                <w:sz w:val="24"/>
                <w:lang w:eastAsia="zh-CN"/>
              </w:rPr>
              <w:t>：</w:t>
            </w:r>
            <w:r>
              <w:rPr>
                <w:rFonts w:hint="eastAsia" w:ascii="仿宋" w:hAnsi="仿宋" w:eastAsia="仿宋" w:cs="仿宋"/>
                <w:sz w:val="24"/>
                <w:u w:val="single"/>
                <w:lang w:val="en-US" w:eastAsia="zh-CN"/>
              </w:rPr>
              <w:t>0998-8512578，0998-8512619</w:t>
            </w:r>
            <w:r>
              <w:rPr>
                <w:rFonts w:hint="eastAsia" w:ascii="仿宋" w:hAnsi="仿宋" w:eastAsia="仿宋" w:cs="仿宋"/>
                <w:sz w:val="24"/>
                <w:u w:val="single"/>
                <w:lang w:eastAsia="zh-CN"/>
              </w:rPr>
              <w:t xml:space="preserve"> </w:t>
            </w:r>
            <w:r>
              <w:rPr>
                <w:rFonts w:hint="eastAsia" w:ascii="仿宋" w:hAnsi="仿宋" w:eastAsia="仿宋" w:cs="仿宋"/>
                <w:sz w:val="24"/>
                <w:u w:val="single"/>
              </w:rPr>
              <w:t xml:space="preserve"> </w:t>
            </w:r>
          </w:p>
        </w:tc>
      </w:tr>
      <w:tr w14:paraId="6900BBC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74" w:hRule="atLeast"/>
          <w:jc w:val="center"/>
        </w:trPr>
        <w:tc>
          <w:tcPr>
            <w:tcW w:w="955" w:type="dxa"/>
            <w:vAlign w:val="center"/>
          </w:tcPr>
          <w:p w14:paraId="6332B09F">
            <w:pPr>
              <w:spacing w:line="240" w:lineRule="atLeast"/>
              <w:jc w:val="center"/>
              <w:rPr>
                <w:rFonts w:ascii="仿宋" w:hAnsi="仿宋" w:eastAsia="仿宋" w:cs="仿宋"/>
                <w:sz w:val="24"/>
              </w:rPr>
            </w:pPr>
            <w:r>
              <w:rPr>
                <w:rFonts w:hint="eastAsia" w:ascii="仿宋" w:hAnsi="仿宋" w:eastAsia="仿宋" w:cs="仿宋"/>
                <w:sz w:val="24"/>
              </w:rPr>
              <w:t>36.3</w:t>
            </w:r>
          </w:p>
        </w:tc>
        <w:tc>
          <w:tcPr>
            <w:tcW w:w="8312" w:type="dxa"/>
            <w:vAlign w:val="center"/>
          </w:tcPr>
          <w:p w14:paraId="0E5D4418">
            <w:pPr>
              <w:spacing w:line="240" w:lineRule="atLeast"/>
              <w:ind w:left="710" w:leftChars="-23" w:hanging="758" w:hangingChars="316"/>
              <w:rPr>
                <w:rFonts w:ascii="仿宋" w:hAnsi="仿宋" w:eastAsia="仿宋" w:cs="仿宋"/>
                <w:sz w:val="24"/>
                <w:u w:val="single"/>
              </w:rPr>
            </w:pPr>
            <w:r>
              <w:rPr>
                <w:rFonts w:hint="eastAsia" w:ascii="仿宋" w:hAnsi="仿宋" w:eastAsia="仿宋" w:cs="仿宋"/>
                <w:sz w:val="24"/>
              </w:rPr>
              <w:t>接收部门：</w:t>
            </w:r>
            <w:r>
              <w:rPr>
                <w:rFonts w:hint="eastAsia" w:ascii="仿宋" w:hAnsi="仿宋" w:eastAsia="仿宋" w:cs="Times New Roman"/>
                <w:b w:val="0"/>
                <w:bCs w:val="0"/>
                <w:color w:val="auto"/>
                <w:sz w:val="24"/>
                <w:szCs w:val="24"/>
                <w:highlight w:val="none"/>
                <w:u w:val="single"/>
                <w:lang w:eastAsia="zh-CN"/>
              </w:rPr>
              <w:t>新疆全咨建设工程项目管理咨询有限公司</w:t>
            </w:r>
            <w:r>
              <w:rPr>
                <w:rFonts w:hint="eastAsia" w:ascii="仿宋" w:hAnsi="仿宋" w:eastAsia="仿宋" w:cs="仿宋"/>
                <w:sz w:val="24"/>
                <w:u w:val="single"/>
              </w:rPr>
              <w:t>招标部</w:t>
            </w:r>
          </w:p>
          <w:p w14:paraId="3E92C184">
            <w:pPr>
              <w:spacing w:line="240" w:lineRule="atLeast"/>
              <w:rPr>
                <w:rFonts w:hint="eastAsia"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single"/>
                <w:lang w:val="en-US" w:eastAsia="zh-CN"/>
              </w:rPr>
              <w:t>15276075795</w:t>
            </w:r>
          </w:p>
          <w:p w14:paraId="7934758D">
            <w:pPr>
              <w:spacing w:line="240" w:lineRule="atLeast"/>
              <w:rPr>
                <w:rFonts w:hint="eastAsia" w:ascii="仿宋_GB2312" w:eastAsia="仿宋"/>
                <w:sz w:val="24"/>
                <w:lang w:val="en-US" w:eastAsia="zh-CN"/>
              </w:rPr>
            </w:pPr>
            <w:r>
              <w:rPr>
                <w:rFonts w:hint="eastAsia" w:ascii="仿宋" w:hAnsi="仿宋" w:eastAsia="仿宋" w:cs="仿宋"/>
                <w:sz w:val="24"/>
              </w:rPr>
              <w:t>通讯地址：</w:t>
            </w:r>
            <w:r>
              <w:rPr>
                <w:rFonts w:hint="eastAsia" w:ascii="仿宋" w:hAnsi="仿宋" w:eastAsia="仿宋" w:cs="仿宋"/>
                <w:sz w:val="24"/>
                <w:u w:val="single"/>
                <w:lang w:eastAsia="zh-CN"/>
              </w:rPr>
              <w:t>新疆喀什地区喀什经济开发区深喀大道总部经济区深圳城2号楼9层1-1号</w:t>
            </w:r>
          </w:p>
        </w:tc>
      </w:tr>
      <w:tr w14:paraId="3C2B08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52" w:hRule="atLeast"/>
          <w:jc w:val="center"/>
        </w:trPr>
        <w:tc>
          <w:tcPr>
            <w:tcW w:w="9267" w:type="dxa"/>
            <w:gridSpan w:val="2"/>
            <w:tcBorders>
              <w:top w:val="single" w:color="auto" w:sz="12" w:space="0"/>
              <w:left w:val="single" w:color="auto" w:sz="12" w:space="0"/>
              <w:bottom w:val="single" w:color="auto" w:sz="12" w:space="0"/>
              <w:right w:val="single" w:color="auto" w:sz="12" w:space="0"/>
            </w:tcBorders>
            <w:vAlign w:val="center"/>
          </w:tcPr>
          <w:p w14:paraId="52D94AC1">
            <w:pPr>
              <w:spacing w:line="240" w:lineRule="atLeast"/>
              <w:ind w:left="1080" w:leftChars="257" w:hanging="540"/>
              <w:jc w:val="center"/>
              <w:rPr>
                <w:rFonts w:ascii="仿宋" w:hAnsi="仿宋" w:eastAsia="仿宋" w:cs="仿宋"/>
                <w:sz w:val="24"/>
              </w:rPr>
            </w:pPr>
            <w:r>
              <w:rPr>
                <w:rFonts w:hint="eastAsia" w:ascii="仿宋" w:hAnsi="仿宋" w:eastAsia="仿宋" w:cs="仿宋"/>
                <w:sz w:val="24"/>
              </w:rPr>
              <w:t>适用于本投标人须知的额外增加的变动：</w:t>
            </w:r>
          </w:p>
        </w:tc>
      </w:tr>
      <w:tr w14:paraId="557F690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31" w:hRule="atLeast"/>
          <w:jc w:val="center"/>
        </w:trPr>
        <w:tc>
          <w:tcPr>
            <w:tcW w:w="955" w:type="dxa"/>
            <w:vAlign w:val="center"/>
          </w:tcPr>
          <w:p w14:paraId="70D75D7D">
            <w:pPr>
              <w:spacing w:line="240" w:lineRule="atLeast"/>
              <w:ind w:left="1080" w:leftChars="257" w:hanging="540"/>
              <w:rPr>
                <w:rFonts w:ascii="仿宋" w:hAnsi="仿宋" w:eastAsia="仿宋" w:cs="仿宋"/>
                <w:sz w:val="24"/>
              </w:rPr>
            </w:pPr>
            <w:r>
              <w:rPr>
                <w:rFonts w:hint="eastAsia" w:ascii="仿宋" w:hAnsi="仿宋" w:eastAsia="仿宋" w:cs="仿宋"/>
                <w:sz w:val="24"/>
              </w:rPr>
              <w:t>1</w:t>
            </w:r>
          </w:p>
        </w:tc>
        <w:tc>
          <w:tcPr>
            <w:tcW w:w="8312" w:type="dxa"/>
            <w:vAlign w:val="center"/>
          </w:tcPr>
          <w:p w14:paraId="619406A4">
            <w:pPr>
              <w:tabs>
                <w:tab w:val="left" w:pos="5580"/>
              </w:tabs>
              <w:rPr>
                <w:rFonts w:ascii="仿宋" w:hAnsi="仿宋" w:eastAsia="仿宋" w:cs="仿宋"/>
                <w:sz w:val="24"/>
                <w:u w:val="single"/>
              </w:rPr>
            </w:pPr>
            <w:r>
              <w:rPr>
                <w:rFonts w:hint="eastAsia" w:ascii="仿宋" w:hAnsi="仿宋" w:eastAsia="仿宋" w:cs="仿宋"/>
                <w:color w:val="auto"/>
                <w:sz w:val="24"/>
                <w:highlight w:val="none"/>
                <w:u w:val="none"/>
              </w:rPr>
              <w:t>投标人</w:t>
            </w:r>
            <w:r>
              <w:rPr>
                <w:rFonts w:hint="eastAsia" w:ascii="仿宋" w:hAnsi="仿宋" w:eastAsia="仿宋" w:cs="仿宋"/>
                <w:color w:val="auto"/>
                <w:sz w:val="24"/>
                <w:highlight w:val="none"/>
                <w:u w:val="single"/>
              </w:rPr>
              <w:t>具有良好的商业信誉和健全的财务会计制度(2023年或2024年的年度财务审计报告书，2025年成立公司提供银行资信证明)；</w:t>
            </w:r>
          </w:p>
        </w:tc>
      </w:tr>
      <w:tr w14:paraId="3576BCF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70" w:hRule="atLeast"/>
          <w:jc w:val="center"/>
        </w:trPr>
        <w:tc>
          <w:tcPr>
            <w:tcW w:w="955" w:type="dxa"/>
          </w:tcPr>
          <w:p w14:paraId="1C10CB6F">
            <w:pPr>
              <w:spacing w:line="240" w:lineRule="atLeast"/>
              <w:ind w:left="1080" w:leftChars="257" w:hanging="540"/>
              <w:rPr>
                <w:rFonts w:ascii="仿宋" w:hAnsi="仿宋" w:eastAsia="仿宋" w:cs="仿宋"/>
                <w:sz w:val="24"/>
              </w:rPr>
            </w:pPr>
          </w:p>
          <w:p w14:paraId="3D396560">
            <w:pPr>
              <w:spacing w:line="240" w:lineRule="atLeast"/>
              <w:ind w:left="1080" w:leftChars="257" w:hanging="540"/>
              <w:rPr>
                <w:rFonts w:ascii="仿宋" w:hAnsi="仿宋" w:eastAsia="仿宋" w:cs="仿宋"/>
                <w:sz w:val="24"/>
              </w:rPr>
            </w:pPr>
            <w:r>
              <w:rPr>
                <w:rFonts w:hint="eastAsia" w:ascii="仿宋" w:hAnsi="仿宋" w:eastAsia="仿宋" w:cs="仿宋"/>
                <w:sz w:val="24"/>
              </w:rPr>
              <w:t>2</w:t>
            </w:r>
          </w:p>
        </w:tc>
        <w:tc>
          <w:tcPr>
            <w:tcW w:w="8312" w:type="dxa"/>
            <w:vAlign w:val="center"/>
          </w:tcPr>
          <w:p w14:paraId="0FAB4B38">
            <w:pPr>
              <w:keepNext w:val="0"/>
              <w:keepLines w:val="0"/>
              <w:suppressLineNumbers w:val="0"/>
              <w:spacing w:before="0" w:beforeAutospacing="0" w:after="0" w:afterAutospacing="0"/>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提供投标人的最近</w:t>
            </w:r>
            <w:r>
              <w:rPr>
                <w:rFonts w:hint="eastAsia" w:ascii="仿宋" w:hAnsi="仿宋" w:eastAsia="仿宋" w:cs="仿宋"/>
                <w:color w:val="auto"/>
                <w:sz w:val="24"/>
                <w:highlight w:val="none"/>
                <w:u w:val="single"/>
              </w:rPr>
              <w:t>　</w:t>
            </w:r>
            <w:r>
              <w:rPr>
                <w:rFonts w:hint="eastAsia" w:ascii="仿宋" w:hAnsi="仿宋" w:eastAsia="仿宋" w:cs="仿宋"/>
                <w:color w:val="auto"/>
                <w:sz w:val="24"/>
                <w:highlight w:val="none"/>
                <w:u w:val="single"/>
                <w:lang w:eastAsia="zh-CN"/>
              </w:rPr>
              <w:t>一</w:t>
            </w:r>
            <w:r>
              <w:rPr>
                <w:rFonts w:hint="eastAsia" w:ascii="仿宋" w:hAnsi="仿宋" w:eastAsia="仿宋" w:cs="仿宋"/>
                <w:color w:val="auto"/>
                <w:sz w:val="24"/>
                <w:highlight w:val="none"/>
                <w:u w:val="single"/>
              </w:rPr>
              <w:t>　</w:t>
            </w:r>
            <w:r>
              <w:rPr>
                <w:rFonts w:hint="eastAsia" w:ascii="仿宋" w:hAnsi="仿宋" w:eastAsia="仿宋" w:cs="仿宋"/>
                <w:color w:val="auto"/>
                <w:sz w:val="24"/>
                <w:highlight w:val="none"/>
              </w:rPr>
              <w:t>个月</w:t>
            </w:r>
            <w:r>
              <w:rPr>
                <w:rFonts w:hint="eastAsia" w:ascii="仿宋" w:hAnsi="仿宋" w:eastAsia="仿宋" w:cs="仿宋"/>
                <w:color w:val="auto"/>
                <w:sz w:val="24"/>
                <w:highlight w:val="none"/>
                <w:lang w:eastAsia="zh-CN"/>
              </w:rPr>
              <w:t>连续</w:t>
            </w:r>
            <w:r>
              <w:rPr>
                <w:rFonts w:hint="eastAsia" w:ascii="仿宋" w:hAnsi="仿宋" w:eastAsia="仿宋" w:cs="仿宋"/>
                <w:color w:val="auto"/>
                <w:sz w:val="24"/>
                <w:highlight w:val="none"/>
              </w:rPr>
              <w:t>的社保缴纳记录；</w:t>
            </w:r>
          </w:p>
          <w:p w14:paraId="6E13A3B0">
            <w:pPr>
              <w:rPr>
                <w:rFonts w:ascii="仿宋" w:hAnsi="仿宋" w:eastAsia="仿宋" w:cs="仿宋"/>
                <w:sz w:val="24"/>
              </w:rPr>
            </w:pPr>
            <w:r>
              <w:rPr>
                <w:rFonts w:hint="eastAsia" w:ascii="仿宋" w:hAnsi="仿宋" w:eastAsia="仿宋" w:cs="仿宋"/>
                <w:color w:val="auto"/>
                <w:sz w:val="24"/>
                <w:highlight w:val="none"/>
              </w:rPr>
              <w:t>在法规范围内不需提供的，应做书面说明和</w:t>
            </w:r>
            <w:r>
              <w:rPr>
                <w:rFonts w:hint="eastAsia" w:ascii="仿宋" w:hAnsi="仿宋" w:eastAsia="仿宋" w:cs="仿宋"/>
                <w:color w:val="auto"/>
                <w:sz w:val="24"/>
                <w:highlight w:val="none"/>
                <w:lang w:eastAsia="zh-CN"/>
              </w:rPr>
              <w:t>提供</w:t>
            </w:r>
            <w:r>
              <w:rPr>
                <w:rFonts w:hint="eastAsia" w:ascii="仿宋" w:hAnsi="仿宋" w:eastAsia="仿宋" w:cs="仿宋"/>
                <w:color w:val="auto"/>
                <w:sz w:val="24"/>
                <w:highlight w:val="none"/>
              </w:rPr>
              <w:t>证明文件。</w:t>
            </w:r>
          </w:p>
        </w:tc>
      </w:tr>
      <w:tr w14:paraId="56B49C5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00" w:hRule="atLeast"/>
          <w:jc w:val="center"/>
        </w:trPr>
        <w:tc>
          <w:tcPr>
            <w:tcW w:w="955" w:type="dxa"/>
          </w:tcPr>
          <w:p w14:paraId="7C2B9701">
            <w:pPr>
              <w:spacing w:line="240" w:lineRule="atLeast"/>
              <w:ind w:left="1080" w:leftChars="257" w:hanging="540"/>
              <w:rPr>
                <w:rFonts w:ascii="仿宋" w:hAnsi="仿宋" w:eastAsia="仿宋" w:cs="仿宋"/>
                <w:sz w:val="24"/>
                <w:highlight w:val="none"/>
              </w:rPr>
            </w:pPr>
          </w:p>
          <w:p w14:paraId="43368C49">
            <w:pPr>
              <w:spacing w:line="240" w:lineRule="atLeast"/>
              <w:ind w:left="1080" w:leftChars="257" w:hanging="540"/>
              <w:rPr>
                <w:rFonts w:ascii="仿宋" w:hAnsi="仿宋" w:eastAsia="仿宋" w:cs="仿宋"/>
                <w:sz w:val="24"/>
                <w:highlight w:val="none"/>
              </w:rPr>
            </w:pPr>
            <w:r>
              <w:rPr>
                <w:rFonts w:hint="eastAsia" w:ascii="仿宋" w:hAnsi="仿宋" w:eastAsia="仿宋" w:cs="仿宋"/>
                <w:sz w:val="24"/>
                <w:highlight w:val="none"/>
              </w:rPr>
              <w:t>3</w:t>
            </w:r>
          </w:p>
        </w:tc>
        <w:tc>
          <w:tcPr>
            <w:tcW w:w="8312" w:type="dxa"/>
            <w:vAlign w:val="center"/>
          </w:tcPr>
          <w:p w14:paraId="09E1733A">
            <w:pPr>
              <w:widowControl/>
              <w:spacing w:line="240" w:lineRule="auto"/>
              <w:jc w:val="left"/>
              <w:rPr>
                <w:rFonts w:hint="default" w:ascii="仿宋" w:hAnsi="仿宋" w:eastAsia="仿宋" w:cs="仿宋"/>
                <w:color w:val="auto"/>
                <w:sz w:val="24"/>
                <w:highlight w:val="none"/>
                <w:lang w:val="en-US" w:eastAsia="zh-CN"/>
              </w:rPr>
            </w:pPr>
            <w:r>
              <w:rPr>
                <w:rFonts w:hint="default" w:ascii="仿宋" w:hAnsi="仿宋" w:eastAsia="仿宋" w:cs="仿宋"/>
                <w:sz w:val="24"/>
                <w:highlight w:val="none"/>
                <w:lang w:val="en-US" w:eastAsia="zh-CN"/>
              </w:rPr>
              <w:t>付款方式</w:t>
            </w:r>
            <w:r>
              <w:rPr>
                <w:rFonts w:hint="default" w:ascii="仿宋" w:hAnsi="仿宋" w:eastAsia="仿宋" w:cs="仿宋"/>
                <w:color w:val="auto"/>
                <w:sz w:val="24"/>
                <w:highlight w:val="none"/>
                <w:lang w:val="en-US" w:eastAsia="zh-CN"/>
              </w:rPr>
              <w:t>：签订合同后支付合同价50%预付款，</w:t>
            </w:r>
            <w:r>
              <w:rPr>
                <w:rFonts w:hint="eastAsia" w:ascii="仿宋" w:hAnsi="仿宋" w:eastAsia="仿宋" w:cs="仿宋"/>
                <w:color w:val="auto"/>
                <w:sz w:val="24"/>
                <w:highlight w:val="none"/>
                <w:lang w:val="en-US" w:eastAsia="zh-CN"/>
              </w:rPr>
              <w:t>在线</w:t>
            </w:r>
            <w:r>
              <w:rPr>
                <w:rFonts w:hint="default" w:ascii="仿宋" w:hAnsi="仿宋" w:eastAsia="仿宋" w:cs="仿宋"/>
                <w:color w:val="auto"/>
                <w:sz w:val="24"/>
                <w:highlight w:val="none"/>
                <w:lang w:val="en-US" w:eastAsia="zh-CN"/>
              </w:rPr>
              <w:t>效果图出具并经甲方审核通过后支付合同价30%采购款，</w:t>
            </w:r>
            <w:r>
              <w:rPr>
                <w:rFonts w:hint="eastAsia" w:ascii="仿宋" w:hAnsi="仿宋" w:eastAsia="仿宋" w:cs="仿宋"/>
                <w:color w:val="auto"/>
                <w:sz w:val="24"/>
                <w:highlight w:val="none"/>
                <w:lang w:val="en-US" w:eastAsia="zh-CN"/>
              </w:rPr>
              <w:t>在线平台启动</w:t>
            </w:r>
            <w:r>
              <w:rPr>
                <w:rFonts w:hint="default" w:ascii="仿宋" w:hAnsi="仿宋" w:eastAsia="仿宋" w:cs="仿宋"/>
                <w:color w:val="auto"/>
                <w:sz w:val="24"/>
                <w:highlight w:val="none"/>
                <w:lang w:val="en-US" w:eastAsia="zh-CN"/>
              </w:rPr>
              <w:t>完成并验收合格之后支付20%项目</w:t>
            </w:r>
            <w:r>
              <w:rPr>
                <w:rFonts w:hint="eastAsia" w:ascii="仿宋" w:hAnsi="仿宋" w:eastAsia="仿宋" w:cs="仿宋"/>
                <w:color w:val="auto"/>
                <w:sz w:val="24"/>
                <w:highlight w:val="none"/>
                <w:lang w:val="en-US" w:eastAsia="zh-CN"/>
              </w:rPr>
              <w:t>尾</w:t>
            </w:r>
            <w:r>
              <w:rPr>
                <w:rFonts w:hint="default" w:ascii="仿宋" w:hAnsi="仿宋" w:eastAsia="仿宋" w:cs="仿宋"/>
                <w:color w:val="auto"/>
                <w:sz w:val="24"/>
                <w:highlight w:val="none"/>
                <w:lang w:val="en-US" w:eastAsia="zh-CN"/>
              </w:rPr>
              <w:t>款</w:t>
            </w:r>
            <w:r>
              <w:rPr>
                <w:rFonts w:hint="eastAsia" w:ascii="仿宋" w:hAnsi="仿宋" w:eastAsia="仿宋" w:cs="仿宋"/>
                <w:color w:val="auto"/>
                <w:sz w:val="24"/>
                <w:highlight w:val="none"/>
                <w:lang w:val="en-US" w:eastAsia="zh-CN"/>
              </w:rPr>
              <w:t>。</w:t>
            </w:r>
            <w:r>
              <w:rPr>
                <w:rFonts w:hint="default" w:ascii="仿宋" w:hAnsi="仿宋" w:eastAsia="仿宋" w:cs="仿宋"/>
                <w:color w:val="auto"/>
                <w:sz w:val="24"/>
                <w:highlight w:val="none"/>
                <w:lang w:val="en-US" w:eastAsia="zh-CN"/>
              </w:rPr>
              <w:t>（具体以双方签订合同为准）。</w:t>
            </w:r>
          </w:p>
        </w:tc>
      </w:tr>
      <w:tr w14:paraId="2A7441D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58" w:hRule="atLeast"/>
          <w:jc w:val="center"/>
        </w:trPr>
        <w:tc>
          <w:tcPr>
            <w:tcW w:w="955" w:type="dxa"/>
            <w:vAlign w:val="center"/>
          </w:tcPr>
          <w:p w14:paraId="2326B4C7">
            <w:pPr>
              <w:spacing w:line="240" w:lineRule="atLeast"/>
              <w:ind w:left="1080" w:leftChars="257" w:hanging="540"/>
              <w:jc w:val="both"/>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4</w:t>
            </w:r>
          </w:p>
        </w:tc>
        <w:tc>
          <w:tcPr>
            <w:tcW w:w="8312" w:type="dxa"/>
            <w:vAlign w:val="center"/>
          </w:tcPr>
          <w:p w14:paraId="003341E5">
            <w:pPr>
              <w:widowControl/>
              <w:spacing w:line="240" w:lineRule="auto"/>
              <w:jc w:val="left"/>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履约保证金：5%</w:t>
            </w:r>
          </w:p>
        </w:tc>
      </w:tr>
      <w:tr w14:paraId="62ACF77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92" w:hRule="atLeast"/>
          <w:jc w:val="center"/>
        </w:trPr>
        <w:tc>
          <w:tcPr>
            <w:tcW w:w="955" w:type="dxa"/>
          </w:tcPr>
          <w:p w14:paraId="2FFC8CA2">
            <w:pPr>
              <w:spacing w:line="240" w:lineRule="atLeast"/>
              <w:ind w:left="1080" w:leftChars="257" w:hanging="540"/>
              <w:rPr>
                <w:rFonts w:ascii="仿宋" w:hAnsi="仿宋" w:eastAsia="仿宋" w:cs="仿宋"/>
                <w:sz w:val="24"/>
              </w:rPr>
            </w:pPr>
          </w:p>
          <w:p w14:paraId="3DE8F88F">
            <w:pPr>
              <w:spacing w:line="240" w:lineRule="atLeast"/>
              <w:ind w:left="1080" w:leftChars="257" w:hanging="540"/>
              <w:rPr>
                <w:rFonts w:ascii="仿宋" w:hAnsi="仿宋" w:eastAsia="仿宋" w:cs="仿宋"/>
                <w:sz w:val="24"/>
              </w:rPr>
            </w:pPr>
            <w:r>
              <w:rPr>
                <w:rFonts w:hint="eastAsia" w:ascii="仿宋" w:hAnsi="仿宋" w:eastAsia="仿宋" w:cs="仿宋"/>
                <w:sz w:val="24"/>
              </w:rPr>
              <w:t>4</w:t>
            </w:r>
          </w:p>
        </w:tc>
        <w:tc>
          <w:tcPr>
            <w:tcW w:w="8312" w:type="dxa"/>
            <w:vAlign w:val="center"/>
          </w:tcPr>
          <w:p w14:paraId="083DB58C">
            <w:pPr>
              <w:widowControl/>
              <w:spacing w:line="240" w:lineRule="auto"/>
              <w:jc w:val="left"/>
              <w:rPr>
                <w:rFonts w:ascii="仿宋" w:hAnsi="仿宋" w:eastAsia="仿宋" w:cs="仿宋"/>
                <w:sz w:val="24"/>
                <w:highlight w:val="none"/>
              </w:rPr>
            </w:pPr>
            <w:r>
              <w:rPr>
                <w:rFonts w:hint="eastAsia" w:ascii="仿宋" w:hAnsi="仿宋" w:eastAsia="仿宋" w:cs="仿宋"/>
                <w:sz w:val="24"/>
                <w:highlight w:val="none"/>
              </w:rPr>
              <w:t>服务期及服务地点</w:t>
            </w:r>
          </w:p>
          <w:p w14:paraId="5C6DA0C9">
            <w:pPr>
              <w:widowControl/>
              <w:spacing w:line="240" w:lineRule="auto"/>
              <w:jc w:val="left"/>
              <w:rPr>
                <w:rFonts w:hint="eastAsia" w:ascii="仿宋" w:hAnsi="仿宋" w:eastAsia="仿宋" w:cs="仿宋"/>
                <w:sz w:val="24"/>
                <w:lang w:val="en-US" w:eastAsia="zh-CN"/>
              </w:rPr>
            </w:pPr>
            <w:r>
              <w:rPr>
                <w:rFonts w:hint="eastAsia" w:ascii="仿宋" w:hAnsi="仿宋" w:eastAsia="仿宋" w:cs="仿宋"/>
                <w:sz w:val="24"/>
              </w:rPr>
              <w:t>服务期：</w:t>
            </w:r>
            <w:r>
              <w:rPr>
                <w:rFonts w:hint="eastAsia" w:ascii="仿宋" w:hAnsi="仿宋" w:eastAsia="仿宋" w:cs="仿宋"/>
                <w:color w:val="auto"/>
                <w:kern w:val="2"/>
                <w:sz w:val="24"/>
                <w:szCs w:val="24"/>
                <w:highlight w:val="none"/>
                <w:lang w:val="en-US" w:eastAsia="zh-CN" w:bidi="ar"/>
              </w:rPr>
              <w:t>12个月。</w:t>
            </w:r>
          </w:p>
          <w:p w14:paraId="5314D55B">
            <w:pPr>
              <w:spacing w:line="240" w:lineRule="auto"/>
              <w:jc w:val="left"/>
              <w:rPr>
                <w:rFonts w:ascii="仿宋" w:hAnsi="仿宋" w:eastAsia="仿宋" w:cs="仿宋"/>
                <w:sz w:val="24"/>
              </w:rPr>
            </w:pPr>
            <w:r>
              <w:rPr>
                <w:rFonts w:hint="eastAsia" w:ascii="仿宋" w:hAnsi="仿宋" w:eastAsia="仿宋" w:cs="仿宋"/>
                <w:sz w:val="24"/>
                <w:lang w:val="en-US" w:eastAsia="zh-CN"/>
              </w:rPr>
              <w:t>服务地点：泽普县（具体以签订合同为准）</w:t>
            </w:r>
          </w:p>
        </w:tc>
      </w:tr>
      <w:tr w14:paraId="5776668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136" w:hRule="atLeast"/>
          <w:jc w:val="center"/>
        </w:trPr>
        <w:tc>
          <w:tcPr>
            <w:tcW w:w="955" w:type="dxa"/>
            <w:vAlign w:val="center"/>
          </w:tcPr>
          <w:p w14:paraId="07E7C9DE">
            <w:pPr>
              <w:spacing w:line="240" w:lineRule="atLeast"/>
              <w:ind w:left="1080" w:leftChars="257" w:hanging="540" w:firstLineChars="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5</w:t>
            </w:r>
          </w:p>
        </w:tc>
        <w:tc>
          <w:tcPr>
            <w:tcW w:w="8312" w:type="dxa"/>
            <w:vAlign w:val="center"/>
          </w:tcPr>
          <w:p w14:paraId="21F2DBB3">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w:t>
            </w:r>
          </w:p>
          <w:p w14:paraId="451672AF">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2.本项目实行网上投标，采用电子投标文件(供应商须使用CA加密设备通过政采云电子投标客户端制作投标文件)。若供应商参与投标，自行承担投标一切费用。</w:t>
            </w:r>
          </w:p>
          <w:p w14:paraId="04317679">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3.各供应商应在开标前应确保成为新疆维吾尔自治区政府采购网正式注册入库供应商，并完成CA数字证书申领。因未注册入库、未办理CA数字证书等原因造成无法投标或投标失败等后果由供应商自行承担。</w:t>
            </w:r>
          </w:p>
          <w:p w14:paraId="07927AA8">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5BED2440">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5.供应商在开标时须使用制作加密电子投标文件所使用的CA锁及电脑，电脑须提前配置好浏览器（建议使用谷歌浏览器），以便开标时解锁。</w:t>
            </w:r>
          </w:p>
          <w:p w14:paraId="51DD182C">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6.投标保证金缴纳及确认时间：凡拟参加本次招标项目的供应商，必须在开标前将投标保证金汇入指定账户。投标保证金汇款凭证上用途栏应注明:招标项目名称+投标保证金。</w:t>
            </w:r>
          </w:p>
          <w:p w14:paraId="17D274A2">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供应商服务1号群：30349928（如已加入1-11群，无需重复加入，十一个群联动直播），钉钉工具软件具有回放功能，直播培训结束后可在钉钉群中回放观看学习。</w:t>
            </w:r>
          </w:p>
          <w:p w14:paraId="196386A3">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eastAsia="zh-CN"/>
              </w:rPr>
              <w:t>8.政采云线上获取招标文件方法：供应商登陆政采云平台http://www.zcygov.cn/，在线申请获取采购文件（登录政府采购云平台 → 项目采购 → 获取采购文件 → 申请，审核通过后可下载招标文件，如有操作性问题，可与政采云在线客服进行咨询，咨询电话：95763）</w:t>
            </w:r>
          </w:p>
        </w:tc>
      </w:tr>
      <w:tr w14:paraId="62CAD33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136" w:hRule="atLeast"/>
          <w:jc w:val="center"/>
        </w:trPr>
        <w:tc>
          <w:tcPr>
            <w:tcW w:w="955" w:type="dxa"/>
            <w:vAlign w:val="center"/>
          </w:tcPr>
          <w:p w14:paraId="146025C2">
            <w:pPr>
              <w:spacing w:line="240" w:lineRule="atLeast"/>
              <w:ind w:left="1080" w:leftChars="257" w:hanging="540" w:firstLineChars="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6</w:t>
            </w:r>
          </w:p>
        </w:tc>
        <w:tc>
          <w:tcPr>
            <w:tcW w:w="8312" w:type="dxa"/>
            <w:vAlign w:val="center"/>
          </w:tcPr>
          <w:p w14:paraId="1DAD16FC">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 xml:space="preserve">1.请投标单位提前自学线上开标流程；投标截止时间当天，请投标人自备电脑及CA锁进行投标文件解密以及操作投标事项，投标人应提前调试好在线参标电脑的各项配置。 </w:t>
            </w:r>
          </w:p>
          <w:p w14:paraId="3417AF08">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 xml:space="preserve">2.本项目投标前上传电子版投标文件，如电子开标完成后采购人需要提供纸质版的投标文件，投标单位须出具相应份数的与电子投标文件一致的纸质投标文件。 </w:t>
            </w:r>
          </w:p>
          <w:p w14:paraId="398B9BAA">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 xml:space="preserve">3.投标人对招标文件中采购清单、技术需求、商务条件等如有疑义，应当及时提出，否则视为充分理解招标文件各项要求。 </w:t>
            </w:r>
          </w:p>
          <w:p w14:paraId="2D3A208F">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 xml:space="preserve">4.本次采用政府采购云平台线上招标、投标，请各潜在投标人及时办理CA锁和学习政府采购云平台线上投标相关知识。在政府采购云平台登录后，进行下载招标文件。请各投标人获取招标文件后及时关注云平台答疑文件获取栏目。具体相关事宜见政府采购云平台。 </w:t>
            </w:r>
          </w:p>
          <w:p w14:paraId="78665AF3">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 xml:space="preserve">5.本项目采用资格后审，请投标人仔细阅读招标文件和各项要求， 制作文件及相关资料过程中，若因投标人资格条件不符、提供资料 不全等原因导致投标文件予以退还，责任自负。 </w:t>
            </w:r>
          </w:p>
          <w:p w14:paraId="1B046ADE">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eastAsia="zh-CN"/>
              </w:rPr>
              <w:t>6.招标文件中如有内容冲突的地方，以投标须知要求为准。</w:t>
            </w:r>
          </w:p>
        </w:tc>
      </w:tr>
      <w:tr w14:paraId="45F8F41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6" w:hRule="atLeast"/>
          <w:jc w:val="center"/>
        </w:trPr>
        <w:tc>
          <w:tcPr>
            <w:tcW w:w="955" w:type="dxa"/>
            <w:vAlign w:val="center"/>
          </w:tcPr>
          <w:p w14:paraId="63079885">
            <w:pPr>
              <w:spacing w:line="240" w:lineRule="atLeast"/>
              <w:ind w:left="1080" w:leftChars="257" w:hanging="540" w:firstLineChars="0"/>
              <w:jc w:val="both"/>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w:t>
            </w:r>
          </w:p>
        </w:tc>
        <w:tc>
          <w:tcPr>
            <w:tcW w:w="8312" w:type="dxa"/>
            <w:vAlign w:val="center"/>
          </w:tcPr>
          <w:p w14:paraId="5A5AE268">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标的所属行业：软件和信息技术服务业</w:t>
            </w:r>
          </w:p>
        </w:tc>
      </w:tr>
    </w:tbl>
    <w:p w14:paraId="051A558D">
      <w:pPr>
        <w:spacing w:line="240" w:lineRule="atLeast"/>
        <w:rPr>
          <w:rFonts w:ascii="仿宋" w:hAnsi="仿宋" w:eastAsia="仿宋" w:cs="仿宋"/>
          <w:sz w:val="24"/>
        </w:rPr>
        <w:sectPr>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linePitch="312" w:charSpace="0"/>
        </w:sectPr>
      </w:pPr>
    </w:p>
    <w:tbl>
      <w:tblPr>
        <w:tblStyle w:val="23"/>
        <w:tblpPr w:leftFromText="180" w:rightFromText="180" w:vertAnchor="text" w:horzAnchor="page" w:tblpX="1107" w:tblpY="536"/>
        <w:tblOverlap w:val="never"/>
        <w:tblW w:w="15479" w:type="dxa"/>
        <w:tblInd w:w="0" w:type="dxa"/>
        <w:tblLayout w:type="fixed"/>
        <w:tblCellMar>
          <w:top w:w="0" w:type="dxa"/>
          <w:left w:w="108" w:type="dxa"/>
          <w:bottom w:w="0" w:type="dxa"/>
          <w:right w:w="108" w:type="dxa"/>
        </w:tblCellMar>
      </w:tblPr>
      <w:tblGrid>
        <w:gridCol w:w="669"/>
        <w:gridCol w:w="1776"/>
        <w:gridCol w:w="895"/>
        <w:gridCol w:w="1210"/>
        <w:gridCol w:w="2495"/>
        <w:gridCol w:w="1514"/>
        <w:gridCol w:w="3495"/>
        <w:gridCol w:w="1010"/>
        <w:gridCol w:w="867"/>
        <w:gridCol w:w="969"/>
        <w:gridCol w:w="579"/>
      </w:tblGrid>
      <w:tr w14:paraId="32072775">
        <w:tblPrEx>
          <w:tblCellMar>
            <w:top w:w="0" w:type="dxa"/>
            <w:left w:w="108" w:type="dxa"/>
            <w:bottom w:w="0" w:type="dxa"/>
            <w:right w:w="108" w:type="dxa"/>
          </w:tblCellMar>
        </w:tblPrEx>
        <w:trPr>
          <w:trHeight w:val="215" w:hRule="atLeast"/>
        </w:trPr>
        <w:tc>
          <w:tcPr>
            <w:tcW w:w="669" w:type="dxa"/>
            <w:vMerge w:val="restart"/>
            <w:tcBorders>
              <w:top w:val="single" w:color="auto" w:sz="4" w:space="0"/>
              <w:left w:val="single" w:color="auto" w:sz="4" w:space="0"/>
              <w:bottom w:val="single" w:color="auto" w:sz="4" w:space="0"/>
              <w:right w:val="single" w:color="auto" w:sz="4" w:space="0"/>
            </w:tcBorders>
            <w:vAlign w:val="center"/>
          </w:tcPr>
          <w:p w14:paraId="6FC61453">
            <w:pPr>
              <w:widowControl/>
              <w:jc w:val="center"/>
              <w:rPr>
                <w:rFonts w:hint="eastAsia" w:ascii="仿宋" w:hAnsi="仿宋" w:eastAsia="仿宋" w:cs="仿宋"/>
                <w:color w:val="auto"/>
                <w:kern w:val="2"/>
                <w:sz w:val="24"/>
                <w:szCs w:val="24"/>
                <w:highlight w:val="none"/>
                <w:lang w:val="en-US" w:eastAsia="zh-CN" w:bidi="ar-SA"/>
              </w:rPr>
            </w:pPr>
            <w:bookmarkStart w:id="501" w:name="_Toc515647831"/>
            <w:bookmarkStart w:id="502" w:name="_Toc9032"/>
            <w:bookmarkStart w:id="503" w:name="_Toc218935354"/>
            <w:bookmarkStart w:id="504" w:name="_Toc216582825"/>
            <w:bookmarkStart w:id="505" w:name="_Toc9887"/>
            <w:bookmarkStart w:id="506" w:name="_Toc507399906"/>
            <w:bookmarkStart w:id="507" w:name="_Toc219175638"/>
            <w:bookmarkStart w:id="508" w:name="_Toc512937852"/>
            <w:r>
              <w:rPr>
                <w:rFonts w:hint="eastAsia" w:ascii="仿宋" w:hAnsi="仿宋" w:eastAsia="仿宋" w:cs="仿宋"/>
                <w:color w:val="auto"/>
                <w:kern w:val="2"/>
                <w:sz w:val="24"/>
                <w:szCs w:val="24"/>
                <w:highlight w:val="none"/>
                <w:lang w:val="en-US" w:eastAsia="zh-CN" w:bidi="ar-SA"/>
              </w:rPr>
              <w:t>投标人名称</w:t>
            </w:r>
          </w:p>
        </w:tc>
        <w:tc>
          <w:tcPr>
            <w:tcW w:w="14231" w:type="dxa"/>
            <w:gridSpan w:val="9"/>
            <w:tcBorders>
              <w:top w:val="single" w:color="auto" w:sz="4" w:space="0"/>
              <w:left w:val="nil"/>
              <w:bottom w:val="single" w:color="auto" w:sz="4" w:space="0"/>
              <w:right w:val="single" w:color="auto" w:sz="4" w:space="0"/>
            </w:tcBorders>
            <w:vAlign w:val="center"/>
          </w:tcPr>
          <w:p w14:paraId="5EC0BE03">
            <w:pPr>
              <w:widowControl/>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审查项目</w:t>
            </w:r>
          </w:p>
        </w:tc>
        <w:tc>
          <w:tcPr>
            <w:tcW w:w="579" w:type="dxa"/>
            <w:tcBorders>
              <w:top w:val="single" w:color="auto" w:sz="4" w:space="0"/>
              <w:left w:val="nil"/>
              <w:bottom w:val="single" w:color="auto" w:sz="4" w:space="0"/>
              <w:right w:val="single" w:color="auto" w:sz="4" w:space="0"/>
            </w:tcBorders>
            <w:vAlign w:val="center"/>
          </w:tcPr>
          <w:p w14:paraId="45FE33EB">
            <w:pPr>
              <w:widowControl/>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结论</w:t>
            </w:r>
          </w:p>
        </w:tc>
      </w:tr>
      <w:tr w14:paraId="5BC91FAF">
        <w:tblPrEx>
          <w:tblCellMar>
            <w:top w:w="0" w:type="dxa"/>
            <w:left w:w="108" w:type="dxa"/>
            <w:bottom w:w="0" w:type="dxa"/>
            <w:right w:w="108" w:type="dxa"/>
          </w:tblCellMar>
        </w:tblPrEx>
        <w:trPr>
          <w:trHeight w:val="2878" w:hRule="atLeast"/>
        </w:trPr>
        <w:tc>
          <w:tcPr>
            <w:tcW w:w="669" w:type="dxa"/>
            <w:vMerge w:val="continue"/>
            <w:tcBorders>
              <w:top w:val="single" w:color="auto" w:sz="4" w:space="0"/>
              <w:left w:val="single" w:color="auto" w:sz="4" w:space="0"/>
              <w:bottom w:val="single" w:color="auto" w:sz="4" w:space="0"/>
              <w:right w:val="single" w:color="auto" w:sz="4" w:space="0"/>
            </w:tcBorders>
            <w:vAlign w:val="center"/>
          </w:tcPr>
          <w:p w14:paraId="04449E5A">
            <w:pPr>
              <w:widowControl/>
              <w:jc w:val="left"/>
              <w:rPr>
                <w:rFonts w:hint="eastAsia" w:ascii="仿宋" w:hAnsi="仿宋" w:eastAsia="仿宋" w:cs="仿宋"/>
                <w:color w:val="auto"/>
                <w:kern w:val="2"/>
                <w:sz w:val="24"/>
                <w:szCs w:val="24"/>
                <w:highlight w:val="none"/>
                <w:lang w:val="en-US" w:eastAsia="zh-CN" w:bidi="ar-SA"/>
              </w:rPr>
            </w:pPr>
          </w:p>
        </w:tc>
        <w:tc>
          <w:tcPr>
            <w:tcW w:w="1776" w:type="dxa"/>
            <w:tcBorders>
              <w:top w:val="nil"/>
              <w:left w:val="nil"/>
              <w:bottom w:val="single" w:color="auto" w:sz="4" w:space="0"/>
              <w:right w:val="single" w:color="auto" w:sz="4" w:space="0"/>
            </w:tcBorders>
            <w:vAlign w:val="center"/>
          </w:tcPr>
          <w:p w14:paraId="6EA9FCDA">
            <w:pPr>
              <w:pStyle w:val="18"/>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合格有效的营业执照（三证合一）副本（原件、复印件、影印件均可）或电子营业执照打印件（需加盖公章）或同等法律效力的证明文件（发证机关或公证机关出具的证明材料原件）；法人或者非法人组织营业执照等证明文件复印件（须加盖本单位章）或自然人的身份证明复印件;</w:t>
            </w:r>
          </w:p>
        </w:tc>
        <w:tc>
          <w:tcPr>
            <w:tcW w:w="895" w:type="dxa"/>
            <w:tcBorders>
              <w:top w:val="nil"/>
              <w:left w:val="nil"/>
              <w:bottom w:val="single" w:color="auto" w:sz="4" w:space="0"/>
              <w:right w:val="single" w:color="auto" w:sz="4" w:space="0"/>
            </w:tcBorders>
            <w:vAlign w:val="center"/>
          </w:tcPr>
          <w:p w14:paraId="39417022">
            <w:pPr>
              <w:pStyle w:val="18"/>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法定代表人身份证明或法定代表人授权委托书及被授权人身份证；</w:t>
            </w:r>
          </w:p>
        </w:tc>
        <w:tc>
          <w:tcPr>
            <w:tcW w:w="1210" w:type="dxa"/>
            <w:tcBorders>
              <w:top w:val="nil"/>
              <w:left w:val="nil"/>
              <w:bottom w:val="single" w:color="auto" w:sz="4" w:space="0"/>
              <w:right w:val="single" w:color="auto" w:sz="4" w:space="0"/>
            </w:tcBorders>
            <w:vAlign w:val="center"/>
          </w:tcPr>
          <w:p w14:paraId="14E08FBF">
            <w:pPr>
              <w:pStyle w:val="18"/>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近期（投标截止日期前六个月内任意一个月）依法缴纳社会保障金的缴费证明或银行出具的“银行电子缴纳社会保障金付款凭证”（新成立公司提供相关证明文件） ；</w:t>
            </w:r>
          </w:p>
        </w:tc>
        <w:tc>
          <w:tcPr>
            <w:tcW w:w="2495" w:type="dxa"/>
            <w:tcBorders>
              <w:top w:val="nil"/>
              <w:left w:val="nil"/>
              <w:bottom w:val="single" w:color="auto" w:sz="4" w:space="0"/>
              <w:right w:val="single" w:color="auto" w:sz="4" w:space="0"/>
            </w:tcBorders>
            <w:vAlign w:val="center"/>
          </w:tcPr>
          <w:p w14:paraId="129AEDCB">
            <w:pPr>
              <w:pStyle w:val="18"/>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近期（投标截止日期前六个月内任意一个月）依法缴纳税收的证明材料（税务部门出具的完税凭证或缴税证明或银行出具的“银行电子缴税付款凭证”；新成立公司提供相关证明文件）；注：①若为零申报企业，需提供无欠税证明或国家税务总局电子税务局“申报结果查询截图”。②“税种”非社会保险；</w:t>
            </w:r>
          </w:p>
        </w:tc>
        <w:tc>
          <w:tcPr>
            <w:tcW w:w="1514" w:type="dxa"/>
            <w:tcBorders>
              <w:top w:val="nil"/>
              <w:left w:val="nil"/>
              <w:bottom w:val="single" w:color="auto" w:sz="4" w:space="0"/>
              <w:right w:val="single" w:color="auto" w:sz="4" w:space="0"/>
            </w:tcBorders>
            <w:vAlign w:val="center"/>
          </w:tcPr>
          <w:p w14:paraId="65D2AE5A">
            <w:pPr>
              <w:pStyle w:val="18"/>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具有良好的商业信誉和健全的财务会计制度(2023年或2024年的年度财务审计报告书，2025年成立公司提供银行资信证明)；</w:t>
            </w:r>
          </w:p>
        </w:tc>
        <w:tc>
          <w:tcPr>
            <w:tcW w:w="3495" w:type="dxa"/>
            <w:tcBorders>
              <w:top w:val="nil"/>
              <w:left w:val="nil"/>
              <w:bottom w:val="single" w:color="auto" w:sz="4" w:space="0"/>
              <w:right w:val="single" w:color="auto" w:sz="4" w:space="0"/>
            </w:tcBorders>
            <w:vAlign w:val="center"/>
          </w:tcPr>
          <w:p w14:paraId="6202CBFA">
            <w:pPr>
              <w:keepNext w:val="0"/>
              <w:keepLines w:val="0"/>
              <w:suppressLineNumbers w:val="0"/>
              <w:spacing w:before="0" w:beforeAutospacing="0" w:after="0" w:afterAutospacing="0" w:line="240" w:lineRule="atLeast"/>
              <w:ind w:left="0" w:right="0"/>
              <w:rPr>
                <w:rFonts w:hint="eastAsia" w:ascii="仿宋" w:hAnsi="仿宋" w:eastAsia="仿宋" w:cs="仿宋"/>
                <w:color w:val="auto"/>
                <w:kern w:val="2"/>
                <w:sz w:val="24"/>
                <w:szCs w:val="24"/>
                <w:highlight w:val="yellow"/>
                <w:lang w:val="en-US" w:eastAsia="zh-CN" w:bidi="ar-SA"/>
              </w:rPr>
            </w:pPr>
            <w:r>
              <w:rPr>
                <w:rFonts w:hint="eastAsia" w:ascii="仿宋" w:hAnsi="仿宋" w:eastAsia="仿宋" w:cs="仿宋"/>
                <w:color w:val="auto"/>
                <w:kern w:val="2"/>
                <w:sz w:val="24"/>
                <w:szCs w:val="24"/>
                <w:highlight w:val="none"/>
                <w:lang w:val="en-US" w:eastAsia="zh-CN" w:bidi="ar-SA"/>
              </w:rPr>
              <w:t>凡拟参加本次采购项目的供应商，如在“信用中国”网站（ www.creditchina.gov.cn） 被列入失信被执行人、重大税收违法案件当事人名单(信用服务-重点领域严重失信主体名单查询-搜索栏输入单位全称-截图)、中国政府采购网（http://www.ccgp.gov.cn/search/cr/）严重违法失信行为记录名单的（尚在处罚期内的），“国家企业信用信息公示系（http://www.gsxt.gov.cn）”列入严重违法失信企业名单（黑名单）信息及企业信用信息公示报告；将拒绝其参加本次采购活动；（以招标代理或采购人查询为准）；</w:t>
            </w:r>
          </w:p>
          <w:p w14:paraId="6A2051A7">
            <w:pPr>
              <w:pStyle w:val="18"/>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color w:val="auto"/>
                <w:kern w:val="2"/>
                <w:sz w:val="24"/>
                <w:szCs w:val="24"/>
                <w:highlight w:val="none"/>
                <w:rtl w:val="0"/>
                <w:cs w:val="0"/>
                <w:lang w:val="en-US" w:eastAsia="zh-CN" w:bidi="ar-SA"/>
              </w:rPr>
            </w:pPr>
          </w:p>
        </w:tc>
        <w:tc>
          <w:tcPr>
            <w:tcW w:w="1010" w:type="dxa"/>
            <w:tcBorders>
              <w:top w:val="nil"/>
              <w:left w:val="nil"/>
              <w:bottom w:val="single" w:color="auto" w:sz="4" w:space="0"/>
              <w:right w:val="single" w:color="auto" w:sz="4" w:space="0"/>
            </w:tcBorders>
            <w:vAlign w:val="center"/>
          </w:tcPr>
          <w:p w14:paraId="51ECCFAD">
            <w:pPr>
              <w:pStyle w:val="18"/>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color w:val="auto"/>
                <w:kern w:val="2"/>
                <w:sz w:val="24"/>
                <w:szCs w:val="24"/>
                <w:highlight w:val="none"/>
                <w:rtl w:val="0"/>
                <w:cs w:val="0"/>
                <w:lang w:val="en-US" w:eastAsia="zh-CN" w:bidi="ar-SA"/>
              </w:rPr>
            </w:pPr>
            <w:r>
              <w:rPr>
                <w:rFonts w:hint="eastAsia" w:ascii="仿宋" w:hAnsi="仿宋" w:eastAsia="仿宋" w:cs="仿宋"/>
                <w:color w:val="auto"/>
                <w:kern w:val="2"/>
                <w:sz w:val="24"/>
                <w:szCs w:val="24"/>
                <w:highlight w:val="none"/>
                <w:rtl w:val="0"/>
                <w:cs w:val="0"/>
                <w:lang w:val="en-US" w:eastAsia="zh-CN" w:bidi="ar-SA"/>
              </w:rPr>
              <w:t>参加政府采购活动前3年内在经营活动中没有重大违法记录的书面声明；</w:t>
            </w:r>
          </w:p>
        </w:tc>
        <w:tc>
          <w:tcPr>
            <w:tcW w:w="867" w:type="dxa"/>
            <w:tcBorders>
              <w:top w:val="nil"/>
              <w:left w:val="nil"/>
              <w:bottom w:val="single" w:color="auto" w:sz="4" w:space="0"/>
              <w:right w:val="single" w:color="auto" w:sz="4" w:space="0"/>
            </w:tcBorders>
            <w:vAlign w:val="center"/>
          </w:tcPr>
          <w:p w14:paraId="380B83DC">
            <w:pPr>
              <w:pStyle w:val="18"/>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color w:val="auto"/>
                <w:kern w:val="2"/>
                <w:sz w:val="24"/>
                <w:szCs w:val="24"/>
                <w:highlight w:val="none"/>
                <w:rtl w:val="0"/>
                <w:cs w:val="0"/>
                <w:lang w:val="en-US" w:eastAsia="zh-CN" w:bidi="ar-SA"/>
              </w:rPr>
            </w:pPr>
            <w:r>
              <w:rPr>
                <w:rFonts w:hint="eastAsia" w:ascii="仿宋" w:hAnsi="仿宋" w:eastAsia="仿宋" w:cs="Times New Roman"/>
                <w:kern w:val="2"/>
                <w:sz w:val="24"/>
                <w:szCs w:val="24"/>
                <w:u w:val="none"/>
                <w:lang w:val="en-US" w:eastAsia="zh-CN" w:bidi="ar-SA"/>
              </w:rPr>
              <w:t>具有履行合同所必需的设备和专业技术能力的证明材料</w:t>
            </w:r>
          </w:p>
        </w:tc>
        <w:tc>
          <w:tcPr>
            <w:tcW w:w="969" w:type="dxa"/>
            <w:tcBorders>
              <w:top w:val="nil"/>
              <w:left w:val="nil"/>
              <w:bottom w:val="single" w:color="auto" w:sz="4" w:space="0"/>
              <w:right w:val="single" w:color="auto" w:sz="4" w:space="0"/>
            </w:tcBorders>
            <w:vAlign w:val="center"/>
          </w:tcPr>
          <w:p w14:paraId="24E21FE8">
            <w:pPr>
              <w:pStyle w:val="18"/>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提供针对本次项目《反商业贿赂承诺书》；</w:t>
            </w:r>
          </w:p>
        </w:tc>
        <w:tc>
          <w:tcPr>
            <w:tcW w:w="579" w:type="dxa"/>
            <w:tcBorders>
              <w:top w:val="nil"/>
              <w:left w:val="nil"/>
              <w:bottom w:val="single" w:color="auto" w:sz="4" w:space="0"/>
              <w:right w:val="single" w:color="auto" w:sz="4" w:space="0"/>
            </w:tcBorders>
            <w:vAlign w:val="center"/>
          </w:tcPr>
          <w:p w14:paraId="266AE5E1">
            <w:pPr>
              <w:widowControl/>
              <w:rPr>
                <w:rFonts w:hint="eastAsia" w:ascii="仿宋" w:hAnsi="仿宋" w:eastAsia="仿宋" w:cs="仿宋"/>
                <w:color w:val="auto"/>
                <w:kern w:val="2"/>
                <w:sz w:val="24"/>
                <w:szCs w:val="24"/>
                <w:highlight w:val="none"/>
                <w:lang w:val="en-US" w:eastAsia="zh-CN" w:bidi="ar-SA"/>
              </w:rPr>
            </w:pPr>
          </w:p>
        </w:tc>
      </w:tr>
    </w:tbl>
    <w:p w14:paraId="5D77B5ED">
      <w:pPr>
        <w:widowControl/>
        <w:jc w:val="center"/>
        <w:rPr>
          <w:rFonts w:hint="eastAsia"/>
        </w:rPr>
      </w:pPr>
      <w:r>
        <w:rPr>
          <w:rFonts w:hint="eastAsia" w:ascii="宋体" w:hAnsi="宋体" w:cs="宋体"/>
          <w:b/>
          <w:color w:val="000000"/>
          <w:kern w:val="0"/>
          <w:sz w:val="32"/>
          <w:szCs w:val="32"/>
        </w:rPr>
        <w:t>资格审查表</w:t>
      </w:r>
    </w:p>
    <w:p w14:paraId="432B6F8C">
      <w:pPr>
        <w:rPr>
          <w:rFonts w:hint="eastAsia" w:ascii="宋体" w:hAnsi="宋体" w:cs="宋体"/>
          <w:color w:val="000000"/>
        </w:rPr>
      </w:pPr>
    </w:p>
    <w:p w14:paraId="0989E1DB">
      <w:pPr>
        <w:pStyle w:val="5"/>
        <w:tabs>
          <w:tab w:val="left" w:pos="3134"/>
        </w:tabs>
        <w:spacing w:before="0" w:after="0" w:line="240" w:lineRule="atLeast"/>
        <w:rPr>
          <w:rFonts w:ascii="仿宋" w:hAnsi="仿宋" w:eastAsia="仿宋" w:cs="仿宋"/>
        </w:rPr>
        <w:sectPr>
          <w:pgSz w:w="16838" w:h="11906" w:orient="landscape"/>
          <w:pgMar w:top="1797" w:right="1440" w:bottom="1797" w:left="1440" w:header="851" w:footer="992" w:gutter="0"/>
          <w:pgBorders>
            <w:top w:val="none" w:sz="0" w:space="0"/>
            <w:left w:val="none" w:sz="0" w:space="0"/>
            <w:bottom w:val="none" w:sz="0" w:space="0"/>
            <w:right w:val="none" w:sz="0" w:space="0"/>
          </w:pgBorders>
          <w:pgNumType w:fmt="decimal"/>
          <w:cols w:space="720" w:num="1"/>
          <w:docGrid w:linePitch="312" w:charSpace="0"/>
        </w:sectPr>
      </w:pPr>
    </w:p>
    <w:bookmarkEnd w:id="501"/>
    <w:bookmarkEnd w:id="502"/>
    <w:bookmarkEnd w:id="503"/>
    <w:bookmarkEnd w:id="504"/>
    <w:bookmarkEnd w:id="505"/>
    <w:bookmarkEnd w:id="506"/>
    <w:bookmarkEnd w:id="507"/>
    <w:bookmarkEnd w:id="508"/>
    <w:p w14:paraId="5C51C1A1">
      <w:pPr>
        <w:pStyle w:val="5"/>
        <w:tabs>
          <w:tab w:val="left" w:pos="0"/>
        </w:tabs>
        <w:spacing w:before="0" w:after="0" w:line="360" w:lineRule="auto"/>
        <w:rPr>
          <w:rFonts w:hint="eastAsia" w:ascii="方正仿宋_GBK" w:hAnsi="方正仿宋_GBK" w:eastAsia="方正仿宋_GBK" w:cs="方正仿宋_GBK"/>
          <w:sz w:val="32"/>
          <w:szCs w:val="40"/>
          <w:lang w:val="en-US" w:eastAsia="zh-CN"/>
        </w:rPr>
      </w:pPr>
      <w:bookmarkStart w:id="509" w:name="_Toc216582826"/>
      <w:bookmarkStart w:id="510" w:name="_Toc219175639"/>
      <w:bookmarkStart w:id="511" w:name="_Toc218935355"/>
      <w:r>
        <w:rPr>
          <w:rFonts w:hint="eastAsia" w:ascii="仿宋" w:hAnsi="仿宋" w:eastAsia="仿宋" w:cs="仿宋"/>
        </w:rPr>
        <w:t>第五章项目服务需求</w:t>
      </w:r>
      <w:bookmarkEnd w:id="509"/>
      <w:bookmarkEnd w:id="510"/>
      <w:bookmarkEnd w:id="511"/>
    </w:p>
    <w:p w14:paraId="6F9350F8">
      <w:pPr>
        <w:pStyle w:val="2"/>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8" w:firstLineChars="200"/>
        <w:textAlignment w:val="baseline"/>
        <w:rPr>
          <w:rFonts w:hint="eastAsia" w:ascii="仿宋" w:hAnsi="仿宋" w:eastAsia="仿宋" w:cs="仿宋"/>
          <w:b/>
          <w:bCs/>
          <w:sz w:val="24"/>
          <w:szCs w:val="24"/>
        </w:rPr>
      </w:pPr>
      <w:r>
        <w:rPr>
          <w:rFonts w:hint="eastAsia" w:ascii="仿宋" w:hAnsi="仿宋" w:eastAsia="仿宋" w:cs="仿宋"/>
          <w:b/>
          <w:bCs/>
          <w:spacing w:val="-1"/>
          <w:sz w:val="24"/>
          <w:szCs w:val="24"/>
        </w:rPr>
        <w:t>一、建设目的</w:t>
      </w:r>
    </w:p>
    <w:p w14:paraId="5D663E83">
      <w:pPr>
        <w:pStyle w:val="2"/>
        <w:keepNext w:val="0"/>
        <w:keepLines w:val="0"/>
        <w:pageBreakBefore w:val="0"/>
        <w:widowControl/>
        <w:kinsoku w:val="0"/>
        <w:wordWrap/>
        <w:overflowPunct/>
        <w:topLinePunct w:val="0"/>
        <w:autoSpaceDE w:val="0"/>
        <w:autoSpaceDN w:val="0"/>
        <w:bidi w:val="0"/>
        <w:adjustRightInd w:val="0"/>
        <w:snapToGrid w:val="0"/>
        <w:spacing w:line="500" w:lineRule="exact"/>
        <w:ind w:right="0" w:firstLine="480" w:firstLineChars="200"/>
        <w:jc w:val="both"/>
        <w:textAlignment w:val="baseline"/>
        <w:rPr>
          <w:rFonts w:hint="eastAsia" w:ascii="仿宋" w:hAnsi="仿宋" w:eastAsia="仿宋" w:cs="仿宋"/>
          <w:spacing w:val="0"/>
          <w:sz w:val="24"/>
          <w:szCs w:val="24"/>
        </w:rPr>
      </w:pPr>
      <w:r>
        <w:rPr>
          <w:rFonts w:hint="eastAsia" w:ascii="仿宋" w:hAnsi="仿宋" w:eastAsia="仿宋" w:cs="仿宋"/>
          <w:spacing w:val="0"/>
          <w:sz w:val="24"/>
          <w:szCs w:val="24"/>
        </w:rPr>
        <w:t>职业教育在线课程建设是</w:t>
      </w:r>
      <w:r>
        <w:rPr>
          <w:rFonts w:hint="eastAsia" w:ascii="仿宋" w:hAnsi="仿宋" w:eastAsia="仿宋" w:cs="仿宋"/>
          <w:spacing w:val="0"/>
          <w:sz w:val="24"/>
          <w:szCs w:val="24"/>
          <w:lang w:eastAsia="zh-CN"/>
        </w:rPr>
        <w:t>职业</w:t>
      </w:r>
      <w:r>
        <w:rPr>
          <w:rFonts w:hint="eastAsia" w:ascii="仿宋" w:hAnsi="仿宋" w:eastAsia="仿宋" w:cs="仿宋"/>
          <w:spacing w:val="0"/>
          <w:sz w:val="24"/>
          <w:szCs w:val="24"/>
        </w:rPr>
        <w:t>院校不断提升专业建设水平与内涵的必然需求，也是学生多样化发展的重要途径，近年来，诸多国家重大政策推动职业教育在线课程迎来蓬勃发展的新时代。教育部、财政部发布《关于实施中国特色高水平</w:t>
      </w:r>
      <w:r>
        <w:rPr>
          <w:rFonts w:hint="eastAsia" w:ascii="仿宋" w:hAnsi="仿宋" w:eastAsia="仿宋" w:cs="仿宋"/>
          <w:spacing w:val="0"/>
          <w:sz w:val="24"/>
          <w:szCs w:val="24"/>
          <w:lang w:eastAsia="zh-CN"/>
        </w:rPr>
        <w:t>职业</w:t>
      </w:r>
      <w:r>
        <w:rPr>
          <w:rFonts w:hint="eastAsia" w:ascii="仿宋" w:hAnsi="仿宋" w:eastAsia="仿宋" w:cs="仿宋"/>
          <w:spacing w:val="0"/>
          <w:sz w:val="24"/>
          <w:szCs w:val="24"/>
        </w:rPr>
        <w:t>学校和专业建设计划的意见》,</w:t>
      </w:r>
      <w:r>
        <w:rPr>
          <w:rFonts w:hint="eastAsia" w:ascii="仿宋" w:hAnsi="仿宋" w:eastAsia="仿宋" w:cs="仿宋"/>
          <w:spacing w:val="0"/>
          <w:sz w:val="24"/>
          <w:szCs w:val="24"/>
          <w:lang w:eastAsia="zh-CN"/>
        </w:rPr>
        <w:t>“</w:t>
      </w:r>
      <w:r>
        <w:rPr>
          <w:rFonts w:hint="eastAsia" w:ascii="仿宋" w:hAnsi="仿宋" w:eastAsia="仿宋" w:cs="仿宋"/>
          <w:spacing w:val="0"/>
          <w:sz w:val="24"/>
          <w:szCs w:val="24"/>
        </w:rPr>
        <w:t>双高计划</w:t>
      </w:r>
      <w:r>
        <w:rPr>
          <w:rFonts w:hint="eastAsia" w:ascii="仿宋" w:hAnsi="仿宋" w:eastAsia="仿宋" w:cs="仿宋"/>
          <w:spacing w:val="0"/>
          <w:sz w:val="24"/>
          <w:szCs w:val="24"/>
          <w:lang w:eastAsia="zh-CN"/>
        </w:rPr>
        <w:t>”</w:t>
      </w:r>
      <w:r>
        <w:rPr>
          <w:rFonts w:hint="eastAsia" w:ascii="仿宋" w:hAnsi="仿宋" w:eastAsia="仿宋" w:cs="仿宋"/>
          <w:spacing w:val="0"/>
          <w:sz w:val="24"/>
          <w:szCs w:val="24"/>
        </w:rPr>
        <w:t>中提出要“提升信息化水平”</w:t>
      </w:r>
      <w:r>
        <w:rPr>
          <w:rFonts w:hint="eastAsia" w:ascii="仿宋" w:hAnsi="仿宋" w:eastAsia="仿宋" w:cs="仿宋"/>
          <w:spacing w:val="0"/>
          <w:sz w:val="24"/>
          <w:szCs w:val="24"/>
          <w:lang w:eastAsia="zh-CN"/>
        </w:rPr>
        <w:t>，</w:t>
      </w:r>
      <w:r>
        <w:rPr>
          <w:rFonts w:hint="eastAsia" w:ascii="仿宋" w:hAnsi="仿宋" w:eastAsia="仿宋" w:cs="仿宋"/>
          <w:spacing w:val="0"/>
          <w:sz w:val="24"/>
          <w:szCs w:val="24"/>
        </w:rPr>
        <w:t>“适应‘互联网+职业教育’需求，推进数字资源、优秀师资、教育数据共建共享”</w:t>
      </w:r>
      <w:r>
        <w:rPr>
          <w:rFonts w:hint="eastAsia" w:ascii="仿宋" w:hAnsi="仿宋" w:eastAsia="仿宋" w:cs="仿宋"/>
          <w:spacing w:val="0"/>
          <w:sz w:val="24"/>
          <w:szCs w:val="24"/>
          <w:lang w:eastAsia="zh-CN"/>
        </w:rPr>
        <w:t>，</w:t>
      </w:r>
      <w:r>
        <w:rPr>
          <w:rFonts w:hint="eastAsia" w:ascii="仿宋" w:hAnsi="仿宋" w:eastAsia="仿宋" w:cs="仿宋"/>
          <w:spacing w:val="0"/>
          <w:sz w:val="24"/>
          <w:szCs w:val="24"/>
        </w:rPr>
        <w:t>“广泛应用线上线下混合教学，促进自主、泛在、个性化学习</w:t>
      </w:r>
      <w:r>
        <w:rPr>
          <w:rFonts w:hint="eastAsia" w:ascii="仿宋" w:hAnsi="仿宋" w:eastAsia="仿宋" w:cs="仿宋"/>
          <w:spacing w:val="0"/>
          <w:sz w:val="24"/>
          <w:szCs w:val="24"/>
          <w:lang w:eastAsia="zh-CN"/>
        </w:rPr>
        <w:t>。</w:t>
      </w:r>
      <w:r>
        <w:rPr>
          <w:rFonts w:hint="eastAsia" w:ascii="仿宋" w:hAnsi="仿宋" w:eastAsia="仿宋" w:cs="仿宋"/>
          <w:spacing w:val="0"/>
          <w:sz w:val="24"/>
          <w:szCs w:val="24"/>
        </w:rPr>
        <w:t>”</w:t>
      </w:r>
      <w:r>
        <w:rPr>
          <w:rFonts w:hint="eastAsia" w:ascii="仿宋" w:hAnsi="仿宋" w:eastAsia="仿宋" w:cs="仿宋"/>
          <w:spacing w:val="0"/>
          <w:sz w:val="24"/>
          <w:szCs w:val="24"/>
          <w:lang w:val="en-US" w:eastAsia="zh-CN"/>
        </w:rPr>
        <w:t>今年的政府工作报告提出“大力提高职业教育质量”，其中职业教育的专业结构调整、精品专业建设体系构筑、成果推广与资源共享体系建设、人才培养与专业建设的研究与实践是重中之重。</w:t>
      </w:r>
    </w:p>
    <w:p w14:paraId="7273D37F">
      <w:pPr>
        <w:pStyle w:val="2"/>
        <w:keepNext w:val="0"/>
        <w:keepLines w:val="0"/>
        <w:pageBreakBefore w:val="0"/>
        <w:widowControl/>
        <w:kinsoku w:val="0"/>
        <w:wordWrap/>
        <w:overflowPunct/>
        <w:topLinePunct w:val="0"/>
        <w:autoSpaceDE w:val="0"/>
        <w:autoSpaceDN w:val="0"/>
        <w:bidi w:val="0"/>
        <w:adjustRightInd w:val="0"/>
        <w:snapToGrid w:val="0"/>
        <w:spacing w:line="500" w:lineRule="exact"/>
        <w:ind w:right="0" w:firstLine="480" w:firstLineChars="200"/>
        <w:jc w:val="both"/>
        <w:textAlignment w:val="baseline"/>
        <w:rPr>
          <w:rFonts w:hint="eastAsia" w:ascii="仿宋" w:hAnsi="仿宋" w:eastAsia="仿宋" w:cs="仿宋"/>
          <w:sz w:val="24"/>
          <w:szCs w:val="24"/>
        </w:rPr>
      </w:pPr>
      <w:r>
        <w:rPr>
          <w:rFonts w:hint="eastAsia" w:ascii="仿宋" w:hAnsi="仿宋" w:eastAsia="仿宋" w:cs="仿宋"/>
          <w:spacing w:val="0"/>
          <w:sz w:val="24"/>
          <w:szCs w:val="24"/>
        </w:rPr>
        <w:t>根据学校</w:t>
      </w:r>
      <w:r>
        <w:rPr>
          <w:rFonts w:hint="eastAsia" w:ascii="仿宋" w:hAnsi="仿宋" w:eastAsia="仿宋" w:cs="仿宋"/>
          <w:spacing w:val="0"/>
          <w:sz w:val="24"/>
          <w:szCs w:val="24"/>
          <w:lang w:val="en-US" w:eastAsia="zh-CN"/>
        </w:rPr>
        <w:t>专业建设规划和优质校建设要求</w:t>
      </w:r>
      <w:r>
        <w:rPr>
          <w:rFonts w:hint="eastAsia" w:ascii="仿宋" w:hAnsi="仿宋" w:eastAsia="仿宋" w:cs="仿宋"/>
          <w:spacing w:val="0"/>
          <w:sz w:val="24"/>
          <w:szCs w:val="24"/>
        </w:rPr>
        <w:t>，集中建设一批高质量精品在线开放课程，重点打造</w:t>
      </w:r>
      <w:r>
        <w:rPr>
          <w:rFonts w:hint="eastAsia" w:ascii="仿宋" w:hAnsi="仿宋" w:eastAsia="仿宋" w:cs="仿宋"/>
          <w:spacing w:val="0"/>
          <w:sz w:val="24"/>
          <w:szCs w:val="24"/>
          <w:lang w:val="en-US" w:eastAsia="zh-CN"/>
        </w:rPr>
        <w:t>自治区</w:t>
      </w:r>
      <w:r>
        <w:rPr>
          <w:rFonts w:hint="eastAsia" w:ascii="仿宋" w:hAnsi="仿宋" w:eastAsia="仿宋" w:cs="仿宋"/>
          <w:spacing w:val="0"/>
          <w:sz w:val="24"/>
          <w:szCs w:val="24"/>
        </w:rPr>
        <w:t>级精品在线开放课程，</w:t>
      </w:r>
      <w:r>
        <w:rPr>
          <w:rFonts w:hint="eastAsia" w:ascii="仿宋" w:hAnsi="仿宋" w:eastAsia="仿宋" w:cs="仿宋"/>
          <w:spacing w:val="0"/>
          <w:sz w:val="24"/>
          <w:szCs w:val="24"/>
          <w:lang w:val="en-US" w:eastAsia="zh-CN"/>
        </w:rPr>
        <w:t>引入教学平台优化学校教育教学资源共建共享条件，有效聚合学校教育教学资源，形成多层次、多功能、交互式教育教学服务体系，提高教师教育教学能力，积极申报国家级</w:t>
      </w:r>
      <w:r>
        <w:rPr>
          <w:rFonts w:hint="eastAsia" w:ascii="仿宋" w:hAnsi="仿宋" w:eastAsia="仿宋" w:cs="仿宋"/>
          <w:spacing w:val="0"/>
          <w:sz w:val="24"/>
          <w:szCs w:val="24"/>
        </w:rPr>
        <w:t>精品在线开放课程</w:t>
      </w:r>
      <w:r>
        <w:rPr>
          <w:rFonts w:hint="eastAsia" w:ascii="仿宋" w:hAnsi="仿宋" w:eastAsia="仿宋" w:cs="仿宋"/>
          <w:spacing w:val="0"/>
          <w:sz w:val="24"/>
          <w:szCs w:val="24"/>
          <w:lang w:eastAsia="zh-CN"/>
        </w:rPr>
        <w:t>，</w:t>
      </w:r>
      <w:r>
        <w:rPr>
          <w:rFonts w:hint="eastAsia" w:ascii="仿宋" w:hAnsi="仿宋" w:eastAsia="仿宋" w:cs="仿宋"/>
          <w:spacing w:val="0"/>
          <w:sz w:val="24"/>
          <w:szCs w:val="24"/>
        </w:rPr>
        <w:t>引领学校教学改革，进一步加强</w:t>
      </w:r>
      <w:r>
        <w:rPr>
          <w:rFonts w:hint="eastAsia" w:ascii="仿宋" w:hAnsi="仿宋" w:eastAsia="仿宋" w:cs="仿宋"/>
          <w:spacing w:val="0"/>
          <w:sz w:val="24"/>
          <w:szCs w:val="24"/>
          <w:lang w:eastAsia="zh-CN"/>
        </w:rPr>
        <w:t>学校</w:t>
      </w:r>
      <w:r>
        <w:rPr>
          <w:rFonts w:hint="eastAsia" w:ascii="仿宋" w:hAnsi="仿宋" w:eastAsia="仿宋" w:cs="仿宋"/>
          <w:spacing w:val="0"/>
          <w:sz w:val="24"/>
          <w:szCs w:val="24"/>
        </w:rPr>
        <w:t>课程内涵建设。</w:t>
      </w:r>
    </w:p>
    <w:p w14:paraId="413507F7">
      <w:pPr>
        <w:pStyle w:val="2"/>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8" w:firstLineChars="200"/>
        <w:textAlignment w:val="baseline"/>
        <w:rPr>
          <w:rFonts w:hint="eastAsia" w:ascii="仿宋" w:hAnsi="仿宋" w:eastAsia="仿宋" w:cs="仿宋"/>
          <w:b/>
          <w:bCs/>
          <w:sz w:val="24"/>
          <w:szCs w:val="24"/>
        </w:rPr>
      </w:pPr>
      <w:r>
        <w:rPr>
          <w:rFonts w:hint="eastAsia" w:ascii="仿宋" w:hAnsi="仿宋" w:eastAsia="仿宋" w:cs="仿宋"/>
          <w:b/>
          <w:bCs/>
          <w:spacing w:val="-1"/>
          <w:sz w:val="24"/>
          <w:szCs w:val="24"/>
        </w:rPr>
        <w:t>二、建设内容</w:t>
      </w:r>
    </w:p>
    <w:p w14:paraId="0D014142">
      <w:pPr>
        <w:pStyle w:val="2"/>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500"/>
        <w:textAlignment w:val="baseline"/>
        <w:rPr>
          <w:rFonts w:hint="eastAsia" w:ascii="仿宋" w:hAnsi="仿宋" w:eastAsia="仿宋" w:cs="仿宋"/>
          <w:spacing w:val="5"/>
          <w:sz w:val="24"/>
          <w:szCs w:val="24"/>
          <w:lang w:val="en-US" w:eastAsia="zh-CN"/>
        </w:rPr>
      </w:pPr>
      <w:r>
        <w:rPr>
          <w:rFonts w:hint="eastAsia" w:ascii="仿宋" w:hAnsi="仿宋" w:eastAsia="仿宋" w:cs="仿宋"/>
          <w:spacing w:val="5"/>
          <w:sz w:val="24"/>
          <w:szCs w:val="24"/>
        </w:rPr>
        <w:t>本项目计划投入</w:t>
      </w:r>
      <w:r>
        <w:rPr>
          <w:rFonts w:hint="eastAsia" w:ascii="仿宋" w:hAnsi="仿宋" w:eastAsia="仿宋" w:cs="仿宋"/>
          <w:spacing w:val="5"/>
          <w:sz w:val="24"/>
          <w:szCs w:val="24"/>
          <w:lang w:val="en-US" w:eastAsia="zh-CN"/>
        </w:rPr>
        <w:t>50</w:t>
      </w:r>
      <w:r>
        <w:rPr>
          <w:rFonts w:hint="eastAsia" w:ascii="仿宋" w:hAnsi="仿宋" w:eastAsia="仿宋" w:cs="仿宋"/>
          <w:spacing w:val="5"/>
          <w:sz w:val="24"/>
          <w:szCs w:val="24"/>
        </w:rPr>
        <w:t>万元进行精品在线开</w:t>
      </w:r>
      <w:r>
        <w:rPr>
          <w:rFonts w:hint="eastAsia" w:ascii="仿宋" w:hAnsi="仿宋" w:eastAsia="仿宋" w:cs="仿宋"/>
          <w:spacing w:val="4"/>
          <w:sz w:val="24"/>
          <w:szCs w:val="24"/>
        </w:rPr>
        <w:t>放课程</w:t>
      </w:r>
      <w:r>
        <w:rPr>
          <w:rFonts w:hint="eastAsia" w:ascii="仿宋" w:hAnsi="仿宋" w:eastAsia="仿宋" w:cs="仿宋"/>
          <w:spacing w:val="4"/>
          <w:sz w:val="24"/>
          <w:szCs w:val="24"/>
          <w:lang w:val="en-US" w:eastAsia="zh-CN"/>
        </w:rPr>
        <w:t>开发建设及在线开放课程平台建设</w:t>
      </w:r>
      <w:r>
        <w:rPr>
          <w:rFonts w:hint="eastAsia" w:ascii="仿宋" w:hAnsi="仿宋" w:eastAsia="仿宋" w:cs="仿宋"/>
          <w:spacing w:val="4"/>
          <w:sz w:val="24"/>
          <w:szCs w:val="24"/>
        </w:rPr>
        <w:t>。</w:t>
      </w:r>
      <w:r>
        <w:rPr>
          <w:rFonts w:hint="eastAsia" w:ascii="仿宋" w:hAnsi="仿宋" w:eastAsia="仿宋" w:cs="仿宋"/>
          <w:spacing w:val="5"/>
          <w:sz w:val="24"/>
          <w:szCs w:val="24"/>
        </w:rPr>
        <w:t>推行</w:t>
      </w:r>
      <w:r>
        <w:rPr>
          <w:rFonts w:hint="eastAsia" w:ascii="仿宋" w:hAnsi="仿宋" w:eastAsia="仿宋" w:cs="仿宋"/>
          <w:sz w:val="24"/>
          <w:szCs w:val="24"/>
        </w:rPr>
        <w:t>线上线下混合式教学</w:t>
      </w:r>
      <w:r>
        <w:rPr>
          <w:rFonts w:hint="eastAsia" w:ascii="仿宋" w:hAnsi="仿宋" w:eastAsia="仿宋" w:cs="仿宋"/>
          <w:sz w:val="24"/>
          <w:szCs w:val="24"/>
          <w:lang w:eastAsia="zh-CN"/>
        </w:rPr>
        <w:t>，</w:t>
      </w:r>
      <w:r>
        <w:rPr>
          <w:rFonts w:hint="eastAsia" w:ascii="仿宋" w:hAnsi="仿宋" w:eastAsia="仿宋" w:cs="仿宋"/>
          <w:sz w:val="24"/>
          <w:szCs w:val="24"/>
        </w:rPr>
        <w:t>“激活”教法以推动教学改革，提升教师教学能力，进一步培育</w:t>
      </w:r>
      <w:r>
        <w:rPr>
          <w:rFonts w:hint="eastAsia" w:ascii="仿宋" w:hAnsi="仿宋" w:eastAsia="仿宋" w:cs="仿宋"/>
          <w:sz w:val="24"/>
          <w:szCs w:val="24"/>
          <w:lang w:eastAsia="zh-CN"/>
        </w:rPr>
        <w:t>自治区</w:t>
      </w:r>
      <w:r>
        <w:rPr>
          <w:rFonts w:hint="eastAsia" w:ascii="仿宋" w:hAnsi="仿宋" w:eastAsia="仿宋" w:cs="仿宋"/>
          <w:sz w:val="24"/>
          <w:szCs w:val="24"/>
        </w:rPr>
        <w:t>、国家级精品在线开放课程。</w:t>
      </w:r>
      <w:r>
        <w:rPr>
          <w:rFonts w:hint="eastAsia" w:ascii="仿宋" w:hAnsi="仿宋" w:eastAsia="仿宋" w:cs="仿宋"/>
          <w:sz w:val="24"/>
          <w:szCs w:val="24"/>
          <w:lang w:val="en-US" w:eastAsia="zh-CN"/>
        </w:rPr>
        <w:t>4</w:t>
      </w:r>
      <w:r>
        <w:rPr>
          <w:rFonts w:hint="eastAsia" w:ascii="仿宋" w:hAnsi="仿宋" w:eastAsia="仿宋" w:cs="仿宋"/>
          <w:spacing w:val="6"/>
          <w:sz w:val="24"/>
          <w:szCs w:val="24"/>
        </w:rPr>
        <w:t>门精品在线开放课程建</w:t>
      </w:r>
      <w:r>
        <w:rPr>
          <w:rFonts w:hint="eastAsia" w:ascii="仿宋" w:hAnsi="仿宋" w:eastAsia="仿宋" w:cs="仿宋"/>
          <w:spacing w:val="5"/>
          <w:sz w:val="24"/>
          <w:szCs w:val="24"/>
        </w:rPr>
        <w:t>设</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lang w:val="en-US" w:eastAsia="zh-CN"/>
        </w:rPr>
        <w:t>预算50万元。</w:t>
      </w:r>
    </w:p>
    <w:p w14:paraId="3FFC9E59">
      <w:pPr>
        <w:pStyle w:val="3"/>
        <w:rPr>
          <w:rFonts w:hint="eastAsia" w:ascii="仿宋" w:hAnsi="仿宋" w:eastAsia="仿宋" w:cs="仿宋"/>
          <w:spacing w:val="5"/>
          <w:sz w:val="24"/>
          <w:szCs w:val="24"/>
          <w:lang w:val="en-US" w:eastAsia="zh-CN"/>
        </w:rPr>
      </w:pPr>
    </w:p>
    <w:p w14:paraId="798BD5B0">
      <w:pPr>
        <w:pStyle w:val="4"/>
        <w:ind w:left="0" w:leftChars="0" w:firstLine="0" w:firstLineChars="0"/>
        <w:rPr>
          <w:rFonts w:hint="eastAsia"/>
          <w:lang w:val="en-US" w:eastAsia="zh-CN"/>
        </w:rPr>
      </w:pPr>
    </w:p>
    <w:p w14:paraId="07EC997E">
      <w:pPr>
        <w:pStyle w:val="2"/>
        <w:keepNext w:val="0"/>
        <w:keepLines w:val="0"/>
        <w:pageBreakBefore w:val="0"/>
        <w:widowControl/>
        <w:numPr>
          <w:ilvl w:val="0"/>
          <w:numId w:val="7"/>
        </w:numPr>
        <w:kinsoku w:val="0"/>
        <w:wordWrap/>
        <w:overflowPunct/>
        <w:topLinePunct w:val="0"/>
        <w:autoSpaceDE w:val="0"/>
        <w:autoSpaceDN w:val="0"/>
        <w:bidi w:val="0"/>
        <w:adjustRightInd w:val="0"/>
        <w:snapToGrid w:val="0"/>
        <w:spacing w:line="500" w:lineRule="exact"/>
        <w:ind w:left="0" w:right="0" w:firstLine="478" w:firstLineChars="200"/>
        <w:textAlignment w:val="baseline"/>
        <w:rPr>
          <w:rFonts w:hint="eastAsia" w:ascii="仿宋" w:hAnsi="仿宋" w:eastAsia="仿宋" w:cs="仿宋"/>
          <w:b/>
          <w:bCs/>
          <w:spacing w:val="-1"/>
          <w:sz w:val="24"/>
          <w:szCs w:val="24"/>
        </w:rPr>
      </w:pPr>
      <w:r>
        <w:rPr>
          <w:rFonts w:hint="eastAsia" w:ascii="仿宋" w:hAnsi="仿宋" w:eastAsia="仿宋" w:cs="仿宋"/>
          <w:b/>
          <w:bCs/>
          <w:spacing w:val="-1"/>
          <w:sz w:val="24"/>
          <w:szCs w:val="24"/>
        </w:rPr>
        <w:t>技术参数和相关要求</w:t>
      </w:r>
    </w:p>
    <w:p w14:paraId="4DEA2EDF">
      <w:pPr>
        <w:keepNext w:val="0"/>
        <w:keepLines w:val="0"/>
        <w:pageBreakBefore w:val="0"/>
        <w:widowControl w:val="0"/>
        <w:numPr>
          <w:ilvl w:val="0"/>
          <w:numId w:val="0"/>
        </w:numPr>
        <w:kinsoku/>
        <w:wordWrap/>
        <w:overflowPunct/>
        <w:topLinePunct w:val="0"/>
        <w:autoSpaceDE/>
        <w:autoSpaceDN/>
        <w:bidi w:val="0"/>
        <w:adjustRightInd/>
        <w:snapToGrid/>
        <w:spacing w:line="400" w:lineRule="exact"/>
        <w:jc w:val="both"/>
        <w:textAlignment w:val="auto"/>
        <w:rPr>
          <w:rFonts w:hint="eastAsia" w:ascii="仿宋" w:hAnsi="仿宋" w:eastAsia="仿宋" w:cs="仿宋"/>
          <w:b/>
          <w:bCs/>
          <w:color w:val="auto"/>
          <w:kern w:val="0"/>
          <w:sz w:val="24"/>
          <w:szCs w:val="24"/>
          <w:highlight w:val="none"/>
          <w:lang w:val="en-US" w:eastAsia="zh-CN" w:bidi="ar"/>
        </w:rPr>
      </w:pPr>
      <w:r>
        <w:rPr>
          <w:rFonts w:hint="eastAsia" w:ascii="仿宋" w:hAnsi="仿宋" w:eastAsia="仿宋" w:cs="仿宋"/>
          <w:b/>
          <w:bCs/>
          <w:color w:val="auto"/>
          <w:kern w:val="0"/>
          <w:sz w:val="24"/>
          <w:szCs w:val="24"/>
          <w:highlight w:val="none"/>
          <w:lang w:val="en-US" w:eastAsia="zh-CN" w:bidi="ar"/>
        </w:rPr>
        <w:t>（一）具体内容：</w:t>
      </w:r>
    </w:p>
    <w:p w14:paraId="15D422E4">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color w:val="auto"/>
          <w:kern w:val="0"/>
          <w:sz w:val="24"/>
          <w:szCs w:val="24"/>
          <w:highlight w:val="none"/>
          <w:lang w:val="en-US" w:eastAsia="zh-CN" w:bidi="ar"/>
        </w:rPr>
      </w:pPr>
    </w:p>
    <w:p w14:paraId="6DD810F3">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实现4门课程的在线课程资源建设，并上线运行，建设具体内容如下：</w:t>
      </w:r>
    </w:p>
    <w:p w14:paraId="11CA6E1F">
      <w:pPr>
        <w:pStyle w:val="2"/>
        <w:rPr>
          <w:rFonts w:hint="eastAsia" w:ascii="仿宋" w:hAnsi="仿宋" w:eastAsia="仿宋" w:cs="仿宋"/>
          <w:color w:val="auto"/>
          <w:kern w:val="0"/>
          <w:sz w:val="24"/>
          <w:szCs w:val="24"/>
          <w:highlight w:val="none"/>
          <w:lang w:val="en-US" w:eastAsia="zh-CN" w:bidi="ar"/>
        </w:rPr>
      </w:pPr>
    </w:p>
    <w:p w14:paraId="7B89AEFF">
      <w:pPr>
        <w:pStyle w:val="3"/>
        <w:rPr>
          <w:rFonts w:hint="eastAsia" w:ascii="仿宋" w:hAnsi="仿宋" w:eastAsia="仿宋" w:cs="仿宋"/>
          <w:color w:val="auto"/>
          <w:kern w:val="0"/>
          <w:sz w:val="24"/>
          <w:szCs w:val="24"/>
          <w:highlight w:val="none"/>
          <w:lang w:val="en-US" w:eastAsia="zh-CN" w:bidi="ar"/>
        </w:rPr>
      </w:pPr>
    </w:p>
    <w:p w14:paraId="76E10C57">
      <w:pPr>
        <w:pStyle w:val="4"/>
        <w:rPr>
          <w:rFonts w:hint="eastAsia"/>
          <w:lang w:val="en-US" w:eastAsia="zh-CN"/>
        </w:rPr>
      </w:pPr>
    </w:p>
    <w:p w14:paraId="047CFAE7">
      <w:pPr>
        <w:spacing w:line="74" w:lineRule="exact"/>
        <w:rPr>
          <w:rFonts w:hint="eastAsia" w:ascii="仿宋" w:hAnsi="仿宋" w:eastAsia="仿宋" w:cs="仿宋"/>
          <w:sz w:val="24"/>
          <w:szCs w:val="24"/>
        </w:rPr>
      </w:pPr>
    </w:p>
    <w:tbl>
      <w:tblPr>
        <w:tblStyle w:val="23"/>
        <w:tblW w:w="9751" w:type="dxa"/>
        <w:tblInd w:w="9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000"/>
        <w:gridCol w:w="1004"/>
        <w:gridCol w:w="1001"/>
        <w:gridCol w:w="1004"/>
        <w:gridCol w:w="1004"/>
        <w:gridCol w:w="1004"/>
        <w:gridCol w:w="1004"/>
        <w:gridCol w:w="1004"/>
        <w:gridCol w:w="1004"/>
        <w:gridCol w:w="722"/>
      </w:tblGrid>
      <w:tr w14:paraId="108FD9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54" w:hRule="atLeast"/>
        </w:trPr>
        <w:tc>
          <w:tcPr>
            <w:tcW w:w="100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AD70133">
            <w:pPr>
              <w:keepNext w:val="0"/>
              <w:keepLines w:val="0"/>
              <w:widowControl/>
              <w:suppressLineNumbers w:val="0"/>
              <w:jc w:val="center"/>
              <w:textAlignment w:val="center"/>
              <w:rPr>
                <w:rFonts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序号</w:t>
            </w:r>
          </w:p>
        </w:tc>
        <w:tc>
          <w:tcPr>
            <w:tcW w:w="1004" w:type="dxa"/>
            <w:tcBorders>
              <w:top w:val="single" w:color="000000" w:sz="8" w:space="0"/>
              <w:left w:val="nil"/>
              <w:bottom w:val="single" w:color="000000" w:sz="8" w:space="0"/>
              <w:right w:val="single" w:color="000000" w:sz="8" w:space="0"/>
            </w:tcBorders>
            <w:shd w:val="clear" w:color="auto" w:fill="auto"/>
            <w:noWrap/>
            <w:vAlign w:val="center"/>
          </w:tcPr>
          <w:p w14:paraId="51ECAE4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课程名称</w:t>
            </w:r>
          </w:p>
        </w:tc>
        <w:tc>
          <w:tcPr>
            <w:tcW w:w="1001" w:type="dxa"/>
            <w:tcBorders>
              <w:top w:val="single" w:color="000000" w:sz="8" w:space="0"/>
              <w:left w:val="nil"/>
              <w:bottom w:val="single" w:color="000000" w:sz="8" w:space="0"/>
              <w:right w:val="single" w:color="000000" w:sz="8" w:space="0"/>
            </w:tcBorders>
            <w:shd w:val="clear" w:color="auto" w:fill="auto"/>
            <w:vAlign w:val="center"/>
          </w:tcPr>
          <w:p w14:paraId="146649F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课程学时</w:t>
            </w:r>
          </w:p>
        </w:tc>
        <w:tc>
          <w:tcPr>
            <w:tcW w:w="1004" w:type="dxa"/>
            <w:tcBorders>
              <w:top w:val="single" w:color="000000" w:sz="8" w:space="0"/>
              <w:left w:val="nil"/>
              <w:bottom w:val="single" w:color="000000" w:sz="8" w:space="0"/>
              <w:right w:val="single" w:color="000000" w:sz="8" w:space="0"/>
            </w:tcBorders>
            <w:shd w:val="clear" w:color="auto" w:fill="auto"/>
            <w:vAlign w:val="center"/>
          </w:tcPr>
          <w:p w14:paraId="56474E1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微课视频数量（个）</w:t>
            </w:r>
          </w:p>
        </w:tc>
        <w:tc>
          <w:tcPr>
            <w:tcW w:w="1004" w:type="dxa"/>
            <w:tcBorders>
              <w:top w:val="single" w:color="000000" w:sz="8" w:space="0"/>
              <w:left w:val="nil"/>
              <w:bottom w:val="single" w:color="000000" w:sz="8" w:space="0"/>
              <w:right w:val="single" w:color="000000" w:sz="8" w:space="0"/>
            </w:tcBorders>
            <w:shd w:val="clear" w:color="auto" w:fill="auto"/>
            <w:vAlign w:val="center"/>
          </w:tcPr>
          <w:p w14:paraId="28CD77F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说课宣传片（个）</w:t>
            </w:r>
          </w:p>
        </w:tc>
        <w:tc>
          <w:tcPr>
            <w:tcW w:w="1004" w:type="dxa"/>
            <w:tcBorders>
              <w:top w:val="single" w:color="000000" w:sz="8" w:space="0"/>
              <w:left w:val="nil"/>
              <w:bottom w:val="single" w:color="000000" w:sz="8" w:space="0"/>
              <w:right w:val="single" w:color="000000" w:sz="8" w:space="0"/>
            </w:tcBorders>
            <w:shd w:val="clear" w:color="auto" w:fill="auto"/>
            <w:vAlign w:val="center"/>
          </w:tcPr>
          <w:p w14:paraId="56386CC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习题作业 （套）</w:t>
            </w:r>
          </w:p>
        </w:tc>
        <w:tc>
          <w:tcPr>
            <w:tcW w:w="1004" w:type="dxa"/>
            <w:tcBorders>
              <w:top w:val="single" w:color="000000" w:sz="8" w:space="0"/>
              <w:left w:val="nil"/>
              <w:bottom w:val="single" w:color="000000" w:sz="8" w:space="0"/>
              <w:right w:val="single" w:color="000000" w:sz="8" w:space="0"/>
            </w:tcBorders>
            <w:shd w:val="clear" w:color="auto" w:fill="auto"/>
            <w:vAlign w:val="center"/>
          </w:tcPr>
          <w:p w14:paraId="6DA07E5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课标文本（套）</w:t>
            </w:r>
          </w:p>
        </w:tc>
        <w:tc>
          <w:tcPr>
            <w:tcW w:w="1004" w:type="dxa"/>
            <w:tcBorders>
              <w:top w:val="single" w:color="000000" w:sz="8" w:space="0"/>
              <w:left w:val="nil"/>
              <w:bottom w:val="single" w:color="000000" w:sz="8" w:space="0"/>
              <w:right w:val="single" w:color="000000" w:sz="8" w:space="0"/>
            </w:tcBorders>
            <w:shd w:val="clear" w:color="auto" w:fill="auto"/>
            <w:vAlign w:val="center"/>
          </w:tcPr>
          <w:p w14:paraId="4B6A7FC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教案文本（套）</w:t>
            </w:r>
          </w:p>
        </w:tc>
        <w:tc>
          <w:tcPr>
            <w:tcW w:w="1004" w:type="dxa"/>
            <w:tcBorders>
              <w:top w:val="single" w:color="000000" w:sz="8" w:space="0"/>
              <w:left w:val="nil"/>
              <w:bottom w:val="single" w:color="000000" w:sz="8" w:space="0"/>
              <w:right w:val="single" w:color="000000" w:sz="8" w:space="0"/>
            </w:tcBorders>
            <w:shd w:val="clear" w:color="auto" w:fill="auto"/>
            <w:vAlign w:val="center"/>
          </w:tcPr>
          <w:p w14:paraId="3970E8E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课件（个）</w:t>
            </w:r>
          </w:p>
        </w:tc>
        <w:tc>
          <w:tcPr>
            <w:tcW w:w="722" w:type="dxa"/>
            <w:tcBorders>
              <w:top w:val="single" w:color="000000" w:sz="8" w:space="0"/>
              <w:left w:val="nil"/>
              <w:bottom w:val="single" w:color="000000" w:sz="8" w:space="0"/>
              <w:right w:val="single" w:color="000000" w:sz="8" w:space="0"/>
            </w:tcBorders>
            <w:shd w:val="clear" w:color="auto" w:fill="auto"/>
            <w:vAlign w:val="center"/>
          </w:tcPr>
          <w:p w14:paraId="101B226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所属专业</w:t>
            </w:r>
          </w:p>
        </w:tc>
      </w:tr>
      <w:tr w14:paraId="6604D4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8" w:hRule="atLeast"/>
        </w:trPr>
        <w:tc>
          <w:tcPr>
            <w:tcW w:w="1000" w:type="dxa"/>
            <w:tcBorders>
              <w:top w:val="nil"/>
              <w:left w:val="single" w:color="000000" w:sz="8" w:space="0"/>
              <w:bottom w:val="single" w:color="000000" w:sz="8" w:space="0"/>
              <w:right w:val="single" w:color="000000" w:sz="8" w:space="0"/>
            </w:tcBorders>
            <w:shd w:val="clear" w:color="auto" w:fill="auto"/>
            <w:vAlign w:val="center"/>
          </w:tcPr>
          <w:p w14:paraId="4A13273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CA59F5B">
            <w:pPr>
              <w:jc w:val="center"/>
              <w:rPr>
                <w:rFonts w:hint="eastAsia" w:ascii="仿宋" w:hAnsi="仿宋" w:eastAsia="仿宋" w:cs="仿宋"/>
                <w:i w:val="0"/>
                <w:iCs w:val="0"/>
                <w:color w:val="000000"/>
                <w:sz w:val="24"/>
                <w:szCs w:val="24"/>
                <w:u w:val="none"/>
              </w:rPr>
            </w:pPr>
          </w:p>
        </w:tc>
        <w:tc>
          <w:tcPr>
            <w:tcW w:w="1001" w:type="dxa"/>
            <w:tcBorders>
              <w:top w:val="nil"/>
              <w:left w:val="nil"/>
              <w:bottom w:val="single" w:color="000000" w:sz="8" w:space="0"/>
              <w:right w:val="single" w:color="000000" w:sz="8" w:space="0"/>
            </w:tcBorders>
            <w:shd w:val="clear" w:color="auto" w:fill="auto"/>
            <w:vAlign w:val="center"/>
          </w:tcPr>
          <w:p w14:paraId="14F8B453">
            <w:pPr>
              <w:jc w:val="center"/>
              <w:rPr>
                <w:rFonts w:hint="eastAsia" w:ascii="仿宋" w:hAnsi="仿宋" w:eastAsia="仿宋" w:cs="仿宋"/>
                <w:i w:val="0"/>
                <w:iCs w:val="0"/>
                <w:color w:val="000000"/>
                <w:sz w:val="24"/>
                <w:szCs w:val="24"/>
                <w:u w:val="none"/>
              </w:rPr>
            </w:pPr>
          </w:p>
        </w:tc>
        <w:tc>
          <w:tcPr>
            <w:tcW w:w="1004" w:type="dxa"/>
            <w:tcBorders>
              <w:top w:val="nil"/>
              <w:left w:val="nil"/>
              <w:bottom w:val="single" w:color="000000" w:sz="8" w:space="0"/>
              <w:right w:val="single" w:color="000000" w:sz="8" w:space="0"/>
            </w:tcBorders>
            <w:shd w:val="clear" w:color="auto" w:fill="auto"/>
            <w:vAlign w:val="center"/>
          </w:tcPr>
          <w:p w14:paraId="0F70CA2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w:t>
            </w:r>
          </w:p>
        </w:tc>
        <w:tc>
          <w:tcPr>
            <w:tcW w:w="1004" w:type="dxa"/>
            <w:tcBorders>
              <w:top w:val="nil"/>
              <w:left w:val="nil"/>
              <w:bottom w:val="single" w:color="000000" w:sz="8" w:space="0"/>
              <w:right w:val="single" w:color="000000" w:sz="8" w:space="0"/>
            </w:tcBorders>
            <w:shd w:val="clear" w:color="auto" w:fill="auto"/>
            <w:vAlign w:val="center"/>
          </w:tcPr>
          <w:p w14:paraId="457562B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004" w:type="dxa"/>
            <w:tcBorders>
              <w:top w:val="nil"/>
              <w:left w:val="nil"/>
              <w:bottom w:val="single" w:color="000000" w:sz="8" w:space="0"/>
              <w:right w:val="single" w:color="000000" w:sz="8" w:space="0"/>
            </w:tcBorders>
            <w:shd w:val="clear" w:color="auto" w:fill="auto"/>
            <w:vAlign w:val="center"/>
          </w:tcPr>
          <w:p w14:paraId="676CE6E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004" w:type="dxa"/>
            <w:tcBorders>
              <w:top w:val="nil"/>
              <w:left w:val="nil"/>
              <w:bottom w:val="single" w:color="000000" w:sz="8" w:space="0"/>
              <w:right w:val="single" w:color="000000" w:sz="8" w:space="0"/>
            </w:tcBorders>
            <w:shd w:val="clear" w:color="auto" w:fill="auto"/>
            <w:vAlign w:val="center"/>
          </w:tcPr>
          <w:p w14:paraId="7465788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004" w:type="dxa"/>
            <w:tcBorders>
              <w:top w:val="nil"/>
              <w:left w:val="nil"/>
              <w:bottom w:val="single" w:color="000000" w:sz="8" w:space="0"/>
              <w:right w:val="single" w:color="000000" w:sz="8" w:space="0"/>
            </w:tcBorders>
            <w:shd w:val="clear" w:color="auto" w:fill="auto"/>
            <w:vAlign w:val="center"/>
          </w:tcPr>
          <w:p w14:paraId="4E462AF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004" w:type="dxa"/>
            <w:tcBorders>
              <w:top w:val="nil"/>
              <w:left w:val="nil"/>
              <w:bottom w:val="single" w:color="000000" w:sz="8" w:space="0"/>
              <w:right w:val="single" w:color="000000" w:sz="8" w:space="0"/>
            </w:tcBorders>
            <w:shd w:val="clear" w:color="auto" w:fill="auto"/>
            <w:vAlign w:val="center"/>
          </w:tcPr>
          <w:p w14:paraId="40E0C61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w:t>
            </w:r>
          </w:p>
        </w:tc>
        <w:tc>
          <w:tcPr>
            <w:tcW w:w="722" w:type="dxa"/>
            <w:tcBorders>
              <w:top w:val="nil"/>
              <w:left w:val="nil"/>
              <w:bottom w:val="single" w:color="000000" w:sz="8" w:space="0"/>
              <w:right w:val="single" w:color="000000" w:sz="8" w:space="0"/>
            </w:tcBorders>
            <w:shd w:val="clear" w:color="auto" w:fill="auto"/>
            <w:vAlign w:val="center"/>
          </w:tcPr>
          <w:p w14:paraId="268D85AB">
            <w:pPr>
              <w:jc w:val="center"/>
              <w:rPr>
                <w:rFonts w:hint="eastAsia" w:ascii="仿宋" w:hAnsi="仿宋" w:eastAsia="仿宋" w:cs="仿宋"/>
                <w:i w:val="0"/>
                <w:iCs w:val="0"/>
                <w:color w:val="000000"/>
                <w:sz w:val="24"/>
                <w:szCs w:val="24"/>
                <w:u w:val="none"/>
              </w:rPr>
            </w:pPr>
          </w:p>
        </w:tc>
      </w:tr>
      <w:tr w14:paraId="06F7DB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8" w:hRule="atLeast"/>
        </w:trPr>
        <w:tc>
          <w:tcPr>
            <w:tcW w:w="1000" w:type="dxa"/>
            <w:tcBorders>
              <w:top w:val="nil"/>
              <w:left w:val="single" w:color="000000" w:sz="8" w:space="0"/>
              <w:bottom w:val="single" w:color="000000" w:sz="8" w:space="0"/>
              <w:right w:val="single" w:color="000000" w:sz="8" w:space="0"/>
            </w:tcBorders>
            <w:shd w:val="clear" w:color="auto" w:fill="auto"/>
            <w:vAlign w:val="center"/>
          </w:tcPr>
          <w:p w14:paraId="6CE4FF2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0" w:type="auto"/>
            <w:tcBorders>
              <w:top w:val="nil"/>
              <w:left w:val="nil"/>
              <w:bottom w:val="single" w:color="000000" w:sz="8" w:space="0"/>
              <w:right w:val="single" w:color="000000" w:sz="8" w:space="0"/>
            </w:tcBorders>
            <w:shd w:val="clear" w:color="auto" w:fill="auto"/>
            <w:noWrap/>
            <w:vAlign w:val="center"/>
          </w:tcPr>
          <w:p w14:paraId="61D42A99">
            <w:pPr>
              <w:jc w:val="center"/>
              <w:rPr>
                <w:rFonts w:hint="eastAsia" w:ascii="仿宋" w:hAnsi="仿宋" w:eastAsia="仿宋" w:cs="仿宋"/>
                <w:i w:val="0"/>
                <w:iCs w:val="0"/>
                <w:color w:val="000000"/>
                <w:sz w:val="24"/>
                <w:szCs w:val="24"/>
                <w:u w:val="none"/>
              </w:rPr>
            </w:pPr>
          </w:p>
        </w:tc>
        <w:tc>
          <w:tcPr>
            <w:tcW w:w="1001" w:type="dxa"/>
            <w:tcBorders>
              <w:top w:val="nil"/>
              <w:left w:val="nil"/>
              <w:bottom w:val="single" w:color="000000" w:sz="8" w:space="0"/>
              <w:right w:val="single" w:color="000000" w:sz="8" w:space="0"/>
            </w:tcBorders>
            <w:shd w:val="clear" w:color="auto" w:fill="auto"/>
            <w:vAlign w:val="center"/>
          </w:tcPr>
          <w:p w14:paraId="04D7A759">
            <w:pPr>
              <w:jc w:val="center"/>
              <w:rPr>
                <w:rFonts w:hint="eastAsia" w:ascii="仿宋" w:hAnsi="仿宋" w:eastAsia="仿宋" w:cs="仿宋"/>
                <w:i w:val="0"/>
                <w:iCs w:val="0"/>
                <w:color w:val="000000"/>
                <w:sz w:val="24"/>
                <w:szCs w:val="24"/>
                <w:u w:val="none"/>
              </w:rPr>
            </w:pPr>
          </w:p>
        </w:tc>
        <w:tc>
          <w:tcPr>
            <w:tcW w:w="1004" w:type="dxa"/>
            <w:tcBorders>
              <w:top w:val="nil"/>
              <w:left w:val="nil"/>
              <w:bottom w:val="single" w:color="000000" w:sz="8" w:space="0"/>
              <w:right w:val="single" w:color="000000" w:sz="8" w:space="0"/>
            </w:tcBorders>
            <w:shd w:val="clear" w:color="auto" w:fill="auto"/>
            <w:vAlign w:val="center"/>
          </w:tcPr>
          <w:p w14:paraId="24B6016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w:t>
            </w:r>
          </w:p>
        </w:tc>
        <w:tc>
          <w:tcPr>
            <w:tcW w:w="1004" w:type="dxa"/>
            <w:tcBorders>
              <w:top w:val="nil"/>
              <w:left w:val="nil"/>
              <w:bottom w:val="single" w:color="000000" w:sz="8" w:space="0"/>
              <w:right w:val="single" w:color="000000" w:sz="8" w:space="0"/>
            </w:tcBorders>
            <w:shd w:val="clear" w:color="auto" w:fill="auto"/>
            <w:vAlign w:val="center"/>
          </w:tcPr>
          <w:p w14:paraId="0140207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004" w:type="dxa"/>
            <w:tcBorders>
              <w:top w:val="nil"/>
              <w:left w:val="nil"/>
              <w:bottom w:val="single" w:color="000000" w:sz="8" w:space="0"/>
              <w:right w:val="single" w:color="000000" w:sz="8" w:space="0"/>
            </w:tcBorders>
            <w:shd w:val="clear" w:color="auto" w:fill="auto"/>
            <w:vAlign w:val="center"/>
          </w:tcPr>
          <w:p w14:paraId="39108DF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004" w:type="dxa"/>
            <w:tcBorders>
              <w:top w:val="nil"/>
              <w:left w:val="nil"/>
              <w:bottom w:val="single" w:color="000000" w:sz="8" w:space="0"/>
              <w:right w:val="single" w:color="000000" w:sz="8" w:space="0"/>
            </w:tcBorders>
            <w:shd w:val="clear" w:color="auto" w:fill="auto"/>
            <w:vAlign w:val="center"/>
          </w:tcPr>
          <w:p w14:paraId="606B803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004" w:type="dxa"/>
            <w:tcBorders>
              <w:top w:val="nil"/>
              <w:left w:val="nil"/>
              <w:bottom w:val="single" w:color="000000" w:sz="8" w:space="0"/>
              <w:right w:val="single" w:color="000000" w:sz="8" w:space="0"/>
            </w:tcBorders>
            <w:shd w:val="clear" w:color="auto" w:fill="auto"/>
            <w:vAlign w:val="center"/>
          </w:tcPr>
          <w:p w14:paraId="57FE476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004" w:type="dxa"/>
            <w:tcBorders>
              <w:top w:val="nil"/>
              <w:left w:val="nil"/>
              <w:bottom w:val="single" w:color="000000" w:sz="8" w:space="0"/>
              <w:right w:val="single" w:color="000000" w:sz="8" w:space="0"/>
            </w:tcBorders>
            <w:shd w:val="clear" w:color="auto" w:fill="auto"/>
            <w:vAlign w:val="center"/>
          </w:tcPr>
          <w:p w14:paraId="4540EA0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w:t>
            </w:r>
          </w:p>
        </w:tc>
        <w:tc>
          <w:tcPr>
            <w:tcW w:w="722" w:type="dxa"/>
            <w:tcBorders>
              <w:top w:val="nil"/>
              <w:left w:val="nil"/>
              <w:bottom w:val="single" w:color="000000" w:sz="8" w:space="0"/>
              <w:right w:val="single" w:color="000000" w:sz="8" w:space="0"/>
            </w:tcBorders>
            <w:shd w:val="clear" w:color="auto" w:fill="auto"/>
            <w:vAlign w:val="center"/>
          </w:tcPr>
          <w:p w14:paraId="693C0774">
            <w:pPr>
              <w:jc w:val="center"/>
              <w:rPr>
                <w:rFonts w:hint="eastAsia" w:ascii="仿宋" w:hAnsi="仿宋" w:eastAsia="仿宋" w:cs="仿宋"/>
                <w:i w:val="0"/>
                <w:iCs w:val="0"/>
                <w:color w:val="000000"/>
                <w:sz w:val="24"/>
                <w:szCs w:val="24"/>
                <w:u w:val="none"/>
              </w:rPr>
            </w:pPr>
          </w:p>
        </w:tc>
      </w:tr>
      <w:tr w14:paraId="4C9CF2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8" w:hRule="atLeast"/>
        </w:trPr>
        <w:tc>
          <w:tcPr>
            <w:tcW w:w="1000" w:type="dxa"/>
            <w:tcBorders>
              <w:top w:val="nil"/>
              <w:left w:val="single" w:color="000000" w:sz="8" w:space="0"/>
              <w:bottom w:val="single" w:color="000000" w:sz="8" w:space="0"/>
              <w:right w:val="single" w:color="000000" w:sz="8" w:space="0"/>
            </w:tcBorders>
            <w:shd w:val="clear" w:color="auto" w:fill="auto"/>
            <w:vAlign w:val="center"/>
          </w:tcPr>
          <w:p w14:paraId="2686CA5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0" w:type="auto"/>
            <w:tcBorders>
              <w:top w:val="nil"/>
              <w:left w:val="nil"/>
              <w:bottom w:val="single" w:color="000000" w:sz="8" w:space="0"/>
              <w:right w:val="single" w:color="000000" w:sz="8" w:space="0"/>
            </w:tcBorders>
            <w:shd w:val="clear" w:color="auto" w:fill="auto"/>
            <w:noWrap/>
            <w:vAlign w:val="center"/>
          </w:tcPr>
          <w:p w14:paraId="5525E08D">
            <w:pPr>
              <w:jc w:val="center"/>
              <w:rPr>
                <w:rFonts w:hint="eastAsia" w:ascii="仿宋" w:hAnsi="仿宋" w:eastAsia="仿宋" w:cs="仿宋"/>
                <w:i w:val="0"/>
                <w:iCs w:val="0"/>
                <w:color w:val="000000"/>
                <w:sz w:val="24"/>
                <w:szCs w:val="24"/>
                <w:u w:val="none"/>
              </w:rPr>
            </w:pPr>
          </w:p>
        </w:tc>
        <w:tc>
          <w:tcPr>
            <w:tcW w:w="1001" w:type="dxa"/>
            <w:tcBorders>
              <w:top w:val="nil"/>
              <w:left w:val="nil"/>
              <w:bottom w:val="single" w:color="000000" w:sz="8" w:space="0"/>
              <w:right w:val="single" w:color="000000" w:sz="8" w:space="0"/>
            </w:tcBorders>
            <w:shd w:val="clear" w:color="auto" w:fill="auto"/>
            <w:vAlign w:val="center"/>
          </w:tcPr>
          <w:p w14:paraId="70691FBB">
            <w:pPr>
              <w:jc w:val="center"/>
              <w:rPr>
                <w:rFonts w:hint="eastAsia" w:ascii="仿宋" w:hAnsi="仿宋" w:eastAsia="仿宋" w:cs="仿宋"/>
                <w:i w:val="0"/>
                <w:iCs w:val="0"/>
                <w:color w:val="000000"/>
                <w:sz w:val="24"/>
                <w:szCs w:val="24"/>
                <w:u w:val="none"/>
              </w:rPr>
            </w:pPr>
          </w:p>
        </w:tc>
        <w:tc>
          <w:tcPr>
            <w:tcW w:w="1004" w:type="dxa"/>
            <w:tcBorders>
              <w:top w:val="nil"/>
              <w:left w:val="nil"/>
              <w:bottom w:val="single" w:color="000000" w:sz="8" w:space="0"/>
              <w:right w:val="single" w:color="000000" w:sz="8" w:space="0"/>
            </w:tcBorders>
            <w:shd w:val="clear" w:color="auto" w:fill="auto"/>
            <w:vAlign w:val="center"/>
          </w:tcPr>
          <w:p w14:paraId="3D572AD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w:t>
            </w:r>
          </w:p>
        </w:tc>
        <w:tc>
          <w:tcPr>
            <w:tcW w:w="1004" w:type="dxa"/>
            <w:tcBorders>
              <w:top w:val="nil"/>
              <w:left w:val="nil"/>
              <w:bottom w:val="single" w:color="000000" w:sz="8" w:space="0"/>
              <w:right w:val="single" w:color="000000" w:sz="8" w:space="0"/>
            </w:tcBorders>
            <w:shd w:val="clear" w:color="auto" w:fill="auto"/>
            <w:vAlign w:val="center"/>
          </w:tcPr>
          <w:p w14:paraId="4DD7F59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004" w:type="dxa"/>
            <w:tcBorders>
              <w:top w:val="nil"/>
              <w:left w:val="nil"/>
              <w:bottom w:val="single" w:color="000000" w:sz="8" w:space="0"/>
              <w:right w:val="single" w:color="000000" w:sz="8" w:space="0"/>
            </w:tcBorders>
            <w:shd w:val="clear" w:color="auto" w:fill="auto"/>
            <w:vAlign w:val="center"/>
          </w:tcPr>
          <w:p w14:paraId="5919FCA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004" w:type="dxa"/>
            <w:tcBorders>
              <w:top w:val="nil"/>
              <w:left w:val="nil"/>
              <w:bottom w:val="single" w:color="000000" w:sz="8" w:space="0"/>
              <w:right w:val="single" w:color="000000" w:sz="8" w:space="0"/>
            </w:tcBorders>
            <w:shd w:val="clear" w:color="auto" w:fill="auto"/>
            <w:vAlign w:val="center"/>
          </w:tcPr>
          <w:p w14:paraId="5C408F2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004" w:type="dxa"/>
            <w:tcBorders>
              <w:top w:val="nil"/>
              <w:left w:val="nil"/>
              <w:bottom w:val="single" w:color="000000" w:sz="8" w:space="0"/>
              <w:right w:val="single" w:color="000000" w:sz="8" w:space="0"/>
            </w:tcBorders>
            <w:shd w:val="clear" w:color="auto" w:fill="auto"/>
            <w:vAlign w:val="center"/>
          </w:tcPr>
          <w:p w14:paraId="20CDAC4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004" w:type="dxa"/>
            <w:tcBorders>
              <w:top w:val="nil"/>
              <w:left w:val="nil"/>
              <w:bottom w:val="single" w:color="000000" w:sz="8" w:space="0"/>
              <w:right w:val="single" w:color="000000" w:sz="8" w:space="0"/>
            </w:tcBorders>
            <w:shd w:val="clear" w:color="auto" w:fill="auto"/>
            <w:vAlign w:val="center"/>
          </w:tcPr>
          <w:p w14:paraId="5163B47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w:t>
            </w:r>
          </w:p>
        </w:tc>
        <w:tc>
          <w:tcPr>
            <w:tcW w:w="722" w:type="dxa"/>
            <w:tcBorders>
              <w:top w:val="nil"/>
              <w:left w:val="nil"/>
              <w:bottom w:val="single" w:color="000000" w:sz="8" w:space="0"/>
              <w:right w:val="single" w:color="000000" w:sz="8" w:space="0"/>
            </w:tcBorders>
            <w:shd w:val="clear" w:color="auto" w:fill="auto"/>
            <w:vAlign w:val="center"/>
          </w:tcPr>
          <w:p w14:paraId="15AA247A">
            <w:pPr>
              <w:jc w:val="center"/>
              <w:rPr>
                <w:rFonts w:hint="eastAsia" w:ascii="仿宋" w:hAnsi="仿宋" w:eastAsia="仿宋" w:cs="仿宋"/>
                <w:i w:val="0"/>
                <w:iCs w:val="0"/>
                <w:color w:val="000000"/>
                <w:sz w:val="24"/>
                <w:szCs w:val="24"/>
                <w:u w:val="none"/>
              </w:rPr>
            </w:pPr>
          </w:p>
        </w:tc>
      </w:tr>
      <w:tr w14:paraId="2FC859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8" w:hRule="atLeast"/>
        </w:trPr>
        <w:tc>
          <w:tcPr>
            <w:tcW w:w="1000" w:type="dxa"/>
            <w:tcBorders>
              <w:top w:val="nil"/>
              <w:left w:val="single" w:color="000000" w:sz="8" w:space="0"/>
              <w:bottom w:val="single" w:color="000000" w:sz="8" w:space="0"/>
              <w:right w:val="single" w:color="000000" w:sz="8" w:space="0"/>
            </w:tcBorders>
            <w:shd w:val="clear" w:color="auto" w:fill="auto"/>
            <w:vAlign w:val="center"/>
          </w:tcPr>
          <w:p w14:paraId="5876766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0" w:type="auto"/>
            <w:tcBorders>
              <w:top w:val="nil"/>
              <w:left w:val="nil"/>
              <w:bottom w:val="single" w:color="000000" w:sz="8" w:space="0"/>
              <w:right w:val="single" w:color="000000" w:sz="8" w:space="0"/>
            </w:tcBorders>
            <w:shd w:val="clear" w:color="auto" w:fill="auto"/>
            <w:noWrap/>
            <w:vAlign w:val="center"/>
          </w:tcPr>
          <w:p w14:paraId="336853B9">
            <w:pPr>
              <w:jc w:val="center"/>
              <w:rPr>
                <w:rFonts w:hint="eastAsia" w:ascii="仿宋" w:hAnsi="仿宋" w:eastAsia="仿宋" w:cs="仿宋"/>
                <w:i w:val="0"/>
                <w:iCs w:val="0"/>
                <w:color w:val="000000"/>
                <w:sz w:val="24"/>
                <w:szCs w:val="24"/>
                <w:u w:val="none"/>
              </w:rPr>
            </w:pPr>
          </w:p>
        </w:tc>
        <w:tc>
          <w:tcPr>
            <w:tcW w:w="1001" w:type="dxa"/>
            <w:tcBorders>
              <w:top w:val="nil"/>
              <w:left w:val="nil"/>
              <w:bottom w:val="single" w:color="000000" w:sz="8" w:space="0"/>
              <w:right w:val="single" w:color="000000" w:sz="8" w:space="0"/>
            </w:tcBorders>
            <w:shd w:val="clear" w:color="auto" w:fill="auto"/>
            <w:vAlign w:val="center"/>
          </w:tcPr>
          <w:p w14:paraId="30298B4B">
            <w:pPr>
              <w:jc w:val="center"/>
              <w:rPr>
                <w:rFonts w:hint="eastAsia" w:ascii="仿宋" w:hAnsi="仿宋" w:eastAsia="仿宋" w:cs="仿宋"/>
                <w:i w:val="0"/>
                <w:iCs w:val="0"/>
                <w:color w:val="000000"/>
                <w:sz w:val="24"/>
                <w:szCs w:val="24"/>
                <w:u w:val="none"/>
              </w:rPr>
            </w:pPr>
          </w:p>
        </w:tc>
        <w:tc>
          <w:tcPr>
            <w:tcW w:w="1004" w:type="dxa"/>
            <w:tcBorders>
              <w:top w:val="nil"/>
              <w:left w:val="nil"/>
              <w:bottom w:val="single" w:color="000000" w:sz="8" w:space="0"/>
              <w:right w:val="single" w:color="000000" w:sz="8" w:space="0"/>
            </w:tcBorders>
            <w:shd w:val="clear" w:color="auto" w:fill="auto"/>
            <w:vAlign w:val="center"/>
          </w:tcPr>
          <w:p w14:paraId="318C963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w:t>
            </w:r>
          </w:p>
        </w:tc>
        <w:tc>
          <w:tcPr>
            <w:tcW w:w="1004" w:type="dxa"/>
            <w:tcBorders>
              <w:top w:val="nil"/>
              <w:left w:val="nil"/>
              <w:bottom w:val="single" w:color="000000" w:sz="8" w:space="0"/>
              <w:right w:val="single" w:color="000000" w:sz="8" w:space="0"/>
            </w:tcBorders>
            <w:shd w:val="clear" w:color="auto" w:fill="auto"/>
            <w:vAlign w:val="center"/>
          </w:tcPr>
          <w:p w14:paraId="20CA413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004" w:type="dxa"/>
            <w:tcBorders>
              <w:top w:val="nil"/>
              <w:left w:val="nil"/>
              <w:bottom w:val="single" w:color="000000" w:sz="8" w:space="0"/>
              <w:right w:val="single" w:color="000000" w:sz="8" w:space="0"/>
            </w:tcBorders>
            <w:shd w:val="clear" w:color="auto" w:fill="auto"/>
            <w:vAlign w:val="center"/>
          </w:tcPr>
          <w:p w14:paraId="5785E91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004" w:type="dxa"/>
            <w:tcBorders>
              <w:top w:val="nil"/>
              <w:left w:val="nil"/>
              <w:bottom w:val="single" w:color="000000" w:sz="8" w:space="0"/>
              <w:right w:val="single" w:color="000000" w:sz="8" w:space="0"/>
            </w:tcBorders>
            <w:shd w:val="clear" w:color="auto" w:fill="auto"/>
            <w:vAlign w:val="center"/>
          </w:tcPr>
          <w:p w14:paraId="12B4F0C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004" w:type="dxa"/>
            <w:tcBorders>
              <w:top w:val="nil"/>
              <w:left w:val="nil"/>
              <w:bottom w:val="single" w:color="000000" w:sz="8" w:space="0"/>
              <w:right w:val="single" w:color="000000" w:sz="8" w:space="0"/>
            </w:tcBorders>
            <w:shd w:val="clear" w:color="auto" w:fill="auto"/>
            <w:vAlign w:val="center"/>
          </w:tcPr>
          <w:p w14:paraId="40775C3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004" w:type="dxa"/>
            <w:tcBorders>
              <w:top w:val="nil"/>
              <w:left w:val="nil"/>
              <w:bottom w:val="single" w:color="000000" w:sz="8" w:space="0"/>
              <w:right w:val="single" w:color="000000" w:sz="8" w:space="0"/>
            </w:tcBorders>
            <w:shd w:val="clear" w:color="auto" w:fill="auto"/>
            <w:vAlign w:val="center"/>
          </w:tcPr>
          <w:p w14:paraId="294DBB4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w:t>
            </w:r>
          </w:p>
        </w:tc>
        <w:tc>
          <w:tcPr>
            <w:tcW w:w="722" w:type="dxa"/>
            <w:tcBorders>
              <w:top w:val="nil"/>
              <w:left w:val="nil"/>
              <w:bottom w:val="single" w:color="000000" w:sz="8" w:space="0"/>
              <w:right w:val="single" w:color="000000" w:sz="8" w:space="0"/>
            </w:tcBorders>
            <w:shd w:val="clear" w:color="auto" w:fill="auto"/>
            <w:vAlign w:val="center"/>
          </w:tcPr>
          <w:p w14:paraId="0AA8EE36">
            <w:pPr>
              <w:jc w:val="center"/>
              <w:rPr>
                <w:rFonts w:hint="eastAsia" w:ascii="仿宋" w:hAnsi="仿宋" w:eastAsia="仿宋" w:cs="仿宋"/>
                <w:i w:val="0"/>
                <w:iCs w:val="0"/>
                <w:color w:val="000000"/>
                <w:sz w:val="24"/>
                <w:szCs w:val="24"/>
                <w:u w:val="none"/>
              </w:rPr>
            </w:pPr>
          </w:p>
        </w:tc>
      </w:tr>
      <w:tr w14:paraId="5497B3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3" w:hRule="atLeast"/>
        </w:trPr>
        <w:tc>
          <w:tcPr>
            <w:tcW w:w="2004" w:type="dxa"/>
            <w:gridSpan w:val="2"/>
            <w:tcBorders>
              <w:top w:val="nil"/>
              <w:left w:val="single" w:color="000000" w:sz="8" w:space="0"/>
              <w:bottom w:val="single" w:color="000000" w:sz="8" w:space="0"/>
              <w:right w:val="single" w:color="000000" w:sz="8" w:space="0"/>
            </w:tcBorders>
            <w:shd w:val="clear" w:color="auto" w:fill="auto"/>
            <w:vAlign w:val="center"/>
          </w:tcPr>
          <w:p w14:paraId="322FA38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合计</w:t>
            </w:r>
          </w:p>
        </w:tc>
        <w:tc>
          <w:tcPr>
            <w:tcW w:w="1001" w:type="dxa"/>
            <w:tcBorders>
              <w:top w:val="nil"/>
              <w:left w:val="nil"/>
              <w:bottom w:val="single" w:color="000000" w:sz="8" w:space="0"/>
              <w:right w:val="single" w:color="000000" w:sz="8" w:space="0"/>
            </w:tcBorders>
            <w:shd w:val="clear" w:color="auto" w:fill="auto"/>
            <w:vAlign w:val="center"/>
          </w:tcPr>
          <w:p w14:paraId="5DE47AAF">
            <w:pPr>
              <w:jc w:val="center"/>
              <w:rPr>
                <w:rFonts w:hint="eastAsia" w:ascii="仿宋" w:hAnsi="仿宋" w:eastAsia="仿宋" w:cs="仿宋"/>
                <w:i w:val="0"/>
                <w:iCs w:val="0"/>
                <w:color w:val="000000"/>
                <w:sz w:val="24"/>
                <w:szCs w:val="24"/>
                <w:u w:val="none"/>
              </w:rPr>
            </w:pPr>
          </w:p>
        </w:tc>
        <w:tc>
          <w:tcPr>
            <w:tcW w:w="1004" w:type="dxa"/>
            <w:tcBorders>
              <w:top w:val="nil"/>
              <w:left w:val="nil"/>
              <w:bottom w:val="single" w:color="000000" w:sz="8" w:space="0"/>
              <w:right w:val="single" w:color="000000" w:sz="8" w:space="0"/>
            </w:tcBorders>
            <w:shd w:val="clear" w:color="auto" w:fill="auto"/>
            <w:vAlign w:val="center"/>
          </w:tcPr>
          <w:p w14:paraId="72A78CA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160</w:t>
            </w:r>
          </w:p>
        </w:tc>
        <w:tc>
          <w:tcPr>
            <w:tcW w:w="1004" w:type="dxa"/>
            <w:tcBorders>
              <w:top w:val="nil"/>
              <w:left w:val="nil"/>
              <w:bottom w:val="single" w:color="000000" w:sz="8" w:space="0"/>
              <w:right w:val="single" w:color="000000" w:sz="8" w:space="0"/>
            </w:tcBorders>
            <w:shd w:val="clear" w:color="auto" w:fill="auto"/>
            <w:vAlign w:val="center"/>
          </w:tcPr>
          <w:p w14:paraId="72989EF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1004" w:type="dxa"/>
            <w:tcBorders>
              <w:top w:val="nil"/>
              <w:left w:val="nil"/>
              <w:bottom w:val="single" w:color="000000" w:sz="8" w:space="0"/>
              <w:right w:val="single" w:color="000000" w:sz="8" w:space="0"/>
            </w:tcBorders>
            <w:shd w:val="clear" w:color="auto" w:fill="auto"/>
            <w:vAlign w:val="center"/>
          </w:tcPr>
          <w:p w14:paraId="450DF6A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1004" w:type="dxa"/>
            <w:tcBorders>
              <w:top w:val="nil"/>
              <w:left w:val="nil"/>
              <w:bottom w:val="single" w:color="000000" w:sz="8" w:space="0"/>
              <w:right w:val="single" w:color="000000" w:sz="8" w:space="0"/>
            </w:tcBorders>
            <w:shd w:val="clear" w:color="auto" w:fill="auto"/>
            <w:vAlign w:val="center"/>
          </w:tcPr>
          <w:p w14:paraId="3C50971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1004" w:type="dxa"/>
            <w:tcBorders>
              <w:top w:val="nil"/>
              <w:left w:val="nil"/>
              <w:bottom w:val="single" w:color="000000" w:sz="8" w:space="0"/>
              <w:right w:val="single" w:color="000000" w:sz="8" w:space="0"/>
            </w:tcBorders>
            <w:shd w:val="clear" w:color="auto" w:fill="auto"/>
            <w:vAlign w:val="center"/>
          </w:tcPr>
          <w:p w14:paraId="28611AE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1004" w:type="dxa"/>
            <w:tcBorders>
              <w:top w:val="nil"/>
              <w:left w:val="nil"/>
              <w:bottom w:val="single" w:color="000000" w:sz="8" w:space="0"/>
              <w:right w:val="single" w:color="000000" w:sz="8" w:space="0"/>
            </w:tcBorders>
            <w:shd w:val="clear" w:color="auto" w:fill="auto"/>
            <w:vAlign w:val="center"/>
          </w:tcPr>
          <w:p w14:paraId="1F8BCBC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160</w:t>
            </w:r>
          </w:p>
        </w:tc>
        <w:tc>
          <w:tcPr>
            <w:tcW w:w="722" w:type="dxa"/>
            <w:tcBorders>
              <w:top w:val="nil"/>
              <w:left w:val="nil"/>
              <w:bottom w:val="single" w:color="000000" w:sz="8" w:space="0"/>
              <w:right w:val="single" w:color="000000" w:sz="8" w:space="0"/>
            </w:tcBorders>
            <w:shd w:val="clear" w:color="auto" w:fill="auto"/>
            <w:vAlign w:val="center"/>
          </w:tcPr>
          <w:p w14:paraId="28A9A8AB">
            <w:pPr>
              <w:jc w:val="center"/>
              <w:rPr>
                <w:rFonts w:hint="eastAsia" w:ascii="仿宋" w:hAnsi="仿宋" w:eastAsia="仿宋" w:cs="仿宋"/>
                <w:i w:val="0"/>
                <w:iCs w:val="0"/>
                <w:color w:val="000000"/>
                <w:sz w:val="24"/>
                <w:szCs w:val="24"/>
                <w:u w:val="none"/>
              </w:rPr>
            </w:pPr>
          </w:p>
        </w:tc>
      </w:tr>
      <w:tr w14:paraId="4C70E4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3" w:hRule="atLeast"/>
        </w:trPr>
        <w:tc>
          <w:tcPr>
            <w:tcW w:w="0" w:type="auto"/>
            <w:tcBorders>
              <w:top w:val="nil"/>
              <w:left w:val="nil"/>
              <w:bottom w:val="nil"/>
              <w:right w:val="nil"/>
            </w:tcBorders>
            <w:shd w:val="clear" w:color="auto" w:fill="auto"/>
            <w:noWrap/>
            <w:vAlign w:val="center"/>
          </w:tcPr>
          <w:p w14:paraId="3263A7C8">
            <w:pPr>
              <w:keepNext w:val="0"/>
              <w:keepLines w:val="0"/>
              <w:widowControl/>
              <w:suppressLineNumbers w:val="0"/>
              <w:jc w:val="both"/>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 xml:space="preserve"> </w:t>
            </w:r>
          </w:p>
        </w:tc>
        <w:tc>
          <w:tcPr>
            <w:tcW w:w="0" w:type="auto"/>
            <w:tcBorders>
              <w:top w:val="nil"/>
              <w:left w:val="nil"/>
              <w:bottom w:val="nil"/>
              <w:right w:val="nil"/>
            </w:tcBorders>
            <w:shd w:val="clear" w:color="auto" w:fill="auto"/>
            <w:noWrap/>
            <w:vAlign w:val="center"/>
          </w:tcPr>
          <w:p w14:paraId="18326904">
            <w:pPr>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shd w:val="clear" w:color="auto" w:fill="auto"/>
            <w:noWrap/>
            <w:vAlign w:val="center"/>
          </w:tcPr>
          <w:p w14:paraId="554AADFB">
            <w:pPr>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shd w:val="clear" w:color="auto" w:fill="auto"/>
            <w:noWrap/>
            <w:vAlign w:val="center"/>
          </w:tcPr>
          <w:p w14:paraId="547360A7">
            <w:pPr>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shd w:val="clear" w:color="auto" w:fill="auto"/>
            <w:noWrap/>
            <w:vAlign w:val="center"/>
          </w:tcPr>
          <w:p w14:paraId="1EDF41BC">
            <w:pPr>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shd w:val="clear" w:color="auto" w:fill="auto"/>
            <w:noWrap/>
            <w:vAlign w:val="center"/>
          </w:tcPr>
          <w:p w14:paraId="4306F47D">
            <w:pPr>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shd w:val="clear" w:color="auto" w:fill="auto"/>
            <w:noWrap/>
            <w:vAlign w:val="center"/>
          </w:tcPr>
          <w:p w14:paraId="2F83AA5B">
            <w:pPr>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shd w:val="clear" w:color="auto" w:fill="auto"/>
            <w:noWrap/>
            <w:vAlign w:val="center"/>
          </w:tcPr>
          <w:p w14:paraId="27819FBE">
            <w:pPr>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shd w:val="clear" w:color="auto" w:fill="auto"/>
            <w:noWrap/>
            <w:vAlign w:val="center"/>
          </w:tcPr>
          <w:p w14:paraId="52AF381C">
            <w:pPr>
              <w:rPr>
                <w:rFonts w:hint="eastAsia" w:ascii="宋体" w:hAnsi="宋体" w:eastAsia="宋体" w:cs="宋体"/>
                <w:i w:val="0"/>
                <w:iCs w:val="0"/>
                <w:color w:val="000000"/>
                <w:sz w:val="22"/>
                <w:szCs w:val="22"/>
                <w:u w:val="none"/>
              </w:rPr>
            </w:pPr>
          </w:p>
        </w:tc>
        <w:tc>
          <w:tcPr>
            <w:tcW w:w="722" w:type="dxa"/>
            <w:tcBorders>
              <w:top w:val="nil"/>
              <w:left w:val="nil"/>
              <w:bottom w:val="nil"/>
              <w:right w:val="nil"/>
            </w:tcBorders>
            <w:shd w:val="clear" w:color="auto" w:fill="auto"/>
            <w:noWrap/>
            <w:vAlign w:val="center"/>
          </w:tcPr>
          <w:p w14:paraId="6D0FC74D">
            <w:pPr>
              <w:rPr>
                <w:rFonts w:hint="eastAsia" w:ascii="宋体" w:hAnsi="宋体" w:eastAsia="宋体" w:cs="宋体"/>
                <w:i w:val="0"/>
                <w:iCs w:val="0"/>
                <w:color w:val="000000"/>
                <w:sz w:val="22"/>
                <w:szCs w:val="22"/>
                <w:u w:val="none"/>
              </w:rPr>
            </w:pPr>
          </w:p>
        </w:tc>
      </w:tr>
    </w:tbl>
    <w:p w14:paraId="4D0A5E32">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b/>
          <w:bCs/>
          <w:color w:val="auto"/>
          <w:kern w:val="0"/>
          <w:sz w:val="24"/>
          <w:szCs w:val="24"/>
          <w:highlight w:val="none"/>
          <w:lang w:val="en-US" w:eastAsia="zh-CN" w:bidi="ar"/>
        </w:rPr>
      </w:pPr>
      <w:r>
        <w:rPr>
          <w:rFonts w:hint="eastAsia" w:ascii="仿宋" w:hAnsi="仿宋" w:eastAsia="仿宋" w:cs="仿宋"/>
          <w:b/>
          <w:bCs/>
          <w:color w:val="auto"/>
          <w:kern w:val="0"/>
          <w:sz w:val="24"/>
          <w:szCs w:val="24"/>
          <w:highlight w:val="none"/>
          <w:lang w:val="en-US" w:eastAsia="zh-CN" w:bidi="ar"/>
        </w:rPr>
        <w:t>（二）建设要求：</w:t>
      </w:r>
    </w:p>
    <w:p w14:paraId="39389545">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2" w:firstLineChars="200"/>
        <w:textAlignment w:val="auto"/>
        <w:rPr>
          <w:rFonts w:hint="eastAsia" w:ascii="仿宋" w:hAnsi="仿宋" w:eastAsia="仿宋" w:cs="仿宋"/>
          <w:b/>
          <w:bCs/>
          <w:color w:val="auto"/>
          <w:kern w:val="0"/>
          <w:sz w:val="24"/>
          <w:szCs w:val="24"/>
          <w:highlight w:val="none"/>
          <w:lang w:val="en-US" w:eastAsia="zh-CN" w:bidi="ar"/>
        </w:rPr>
      </w:pPr>
      <w:r>
        <w:rPr>
          <w:rFonts w:hint="eastAsia" w:ascii="仿宋" w:hAnsi="仿宋" w:eastAsia="仿宋" w:cs="仿宋"/>
          <w:b/>
          <w:bCs/>
          <w:color w:val="auto"/>
          <w:kern w:val="0"/>
          <w:sz w:val="24"/>
          <w:szCs w:val="24"/>
          <w:highlight w:val="none"/>
          <w:lang w:val="en-US" w:eastAsia="zh-CN" w:bidi="ar"/>
        </w:rPr>
        <w:t>1.内容要求：</w:t>
      </w:r>
    </w:p>
    <w:p w14:paraId="4757D747">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现以1门精品在线课程为例说明，课程内容采用模块化教学设计，</w:t>
      </w:r>
      <w:r>
        <w:rPr>
          <w:rFonts w:hint="eastAsia" w:ascii="仿宋" w:hAnsi="仿宋" w:eastAsia="仿宋" w:cs="仿宋"/>
          <w:spacing w:val="-5"/>
          <w:sz w:val="24"/>
          <w:szCs w:val="24"/>
        </w:rPr>
        <w:t>整体优化课程教学设计、课程结构。充分做到符合课程内容贴近岗位、符合实用性原则，对知识和技能进行梳理和颗粒化处理，保障课程资源“小而不散、碎而不乱”</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rPr>
        <w:t>并以企业实际工作任务为基础进行学习任务构建，设计基于实际岗位工作过程的课程开发流程；深入企业调研，组织专业教师进行研讨，聘请行业企业专家指导，培训研讨会议不少于2次，共同制定1套操作性强、科学、合理的在线开放课程建设方案。</w:t>
      </w:r>
      <w:r>
        <w:rPr>
          <w:rFonts w:hint="eastAsia" w:ascii="仿宋" w:hAnsi="仿宋" w:eastAsia="仿宋" w:cs="仿宋"/>
          <w:color w:val="auto"/>
          <w:kern w:val="0"/>
          <w:sz w:val="24"/>
          <w:szCs w:val="24"/>
          <w:highlight w:val="none"/>
          <w:lang w:val="en-US" w:eastAsia="zh-CN" w:bidi="ar"/>
        </w:rPr>
        <w:t>知识点/技能点的基本教学资源指能反映课程教学设计特点、教学内容、教学方法、 教学过程的核心资源，须按照课程视频、非视频课程资料 （课件、图形/图像素材、 音频素材等） 、课程习题、课程讨论题目、内容介绍、教学互动习题等能反映教学活 动必需的资源来组织。</w:t>
      </w:r>
    </w:p>
    <w:p w14:paraId="78DD0C25">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（1）视频资源（约8—15分钟/个）</w:t>
      </w:r>
    </w:p>
    <w:p w14:paraId="4CC0CC3A">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视频单元包括音频、视频和字幕，根据课程内容设计情况，每个微视频可分为一至多个片段。每个微视频约为8—15分钟。视频与PPT课件画面之间应根据教学团队建课需要作适当切换，以最优方式呈现画面。人物出镜讲解或PPT课件画面文字应有适当的包装，增加画面的趣味性。</w:t>
      </w:r>
    </w:p>
    <w:p w14:paraId="1738DA8A">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（2）非视频资源</w:t>
      </w:r>
    </w:p>
    <w:p w14:paraId="5A35986C">
      <w:pPr>
        <w:bidi w:val="0"/>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color w:val="auto"/>
          <w:kern w:val="0"/>
          <w:sz w:val="24"/>
          <w:szCs w:val="24"/>
          <w:highlight w:val="none"/>
          <w:lang w:val="en-US" w:eastAsia="zh-CN" w:bidi="ar"/>
        </w:rPr>
        <w:t>协助教师团队制作与精品在线课程相关的数字资源。包括教学大纲、教案（PPT课件）、测验题和讨论主题等。</w:t>
      </w:r>
      <w:r>
        <w:rPr>
          <w:rFonts w:hint="eastAsia" w:ascii="仿宋" w:hAnsi="仿宋" w:eastAsia="仿宋" w:cs="仿宋"/>
          <w:sz w:val="24"/>
          <w:szCs w:val="24"/>
          <w:highlight w:val="none"/>
        </w:rPr>
        <w:t>基于工作过程进行课程的整体设计和单元设计，区别于正常上课课件，设计适合学生自主学习的PPT教学课件1套，根据每门课程特点设计该课程的资源包装风格设计方案1套，设计精美的课件模板1套、视频包装模板1套；</w:t>
      </w:r>
    </w:p>
    <w:p w14:paraId="703A0FF8">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2" w:firstLineChars="200"/>
        <w:textAlignment w:val="auto"/>
        <w:rPr>
          <w:rFonts w:hint="eastAsia" w:ascii="仿宋" w:hAnsi="仿宋" w:eastAsia="仿宋" w:cs="仿宋"/>
          <w:b/>
          <w:bCs/>
          <w:color w:val="auto"/>
          <w:kern w:val="0"/>
          <w:sz w:val="24"/>
          <w:szCs w:val="24"/>
          <w:highlight w:val="none"/>
          <w:lang w:val="en-US" w:eastAsia="zh-CN" w:bidi="ar"/>
        </w:rPr>
      </w:pPr>
      <w:r>
        <w:rPr>
          <w:rFonts w:hint="eastAsia" w:ascii="仿宋" w:hAnsi="仿宋" w:eastAsia="仿宋" w:cs="仿宋"/>
          <w:b/>
          <w:bCs/>
          <w:color w:val="auto"/>
          <w:kern w:val="0"/>
          <w:sz w:val="24"/>
          <w:szCs w:val="24"/>
          <w:highlight w:val="none"/>
          <w:lang w:val="en-US" w:eastAsia="zh-CN" w:bidi="ar"/>
        </w:rPr>
        <w:t>2.建设要求：</w:t>
      </w:r>
    </w:p>
    <w:p w14:paraId="5346D60C">
      <w:pPr>
        <w:bidi w:val="0"/>
        <w:spacing w:line="360" w:lineRule="auto"/>
        <w:ind w:firstLine="480" w:firstLineChars="200"/>
        <w:rPr>
          <w:rFonts w:hint="eastAsia" w:ascii="仿宋" w:hAnsi="仿宋" w:eastAsia="仿宋" w:cs="仿宋"/>
          <w:b w:val="0"/>
          <w:bCs w:val="0"/>
          <w:snapToGrid w:val="0"/>
          <w:color w:val="auto"/>
          <w:kern w:val="0"/>
          <w:sz w:val="24"/>
          <w:szCs w:val="24"/>
          <w:highlight w:val="none"/>
        </w:rPr>
      </w:pPr>
    </w:p>
    <w:p w14:paraId="1C22687C">
      <w:pPr>
        <w:shd w:val="clear"/>
        <w:bidi w:val="0"/>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b w:val="0"/>
          <w:bCs w:val="0"/>
          <w:snapToGrid w:val="0"/>
          <w:color w:val="auto"/>
          <w:kern w:val="0"/>
          <w:sz w:val="24"/>
          <w:szCs w:val="24"/>
          <w:highlight w:val="none"/>
        </w:rPr>
        <w:t>★</w:t>
      </w:r>
      <w:r>
        <w:rPr>
          <w:rFonts w:hint="eastAsia" w:ascii="仿宋" w:hAnsi="仿宋" w:eastAsia="仿宋" w:cs="仿宋"/>
          <w:color w:val="auto"/>
          <w:kern w:val="0"/>
          <w:sz w:val="24"/>
          <w:szCs w:val="24"/>
          <w:highlight w:val="none"/>
          <w:lang w:val="en-US" w:eastAsia="zh-CN" w:bidi="ar"/>
        </w:rPr>
        <w:t>（1）</w:t>
      </w:r>
      <w:r>
        <w:rPr>
          <w:rFonts w:hint="eastAsia" w:ascii="仿宋" w:hAnsi="仿宋" w:eastAsia="仿宋" w:cs="仿宋"/>
          <w:color w:val="auto"/>
          <w:sz w:val="24"/>
          <w:szCs w:val="24"/>
          <w:highlight w:val="none"/>
        </w:rPr>
        <w:t>课程上线</w:t>
      </w:r>
      <w:r>
        <w:rPr>
          <w:rFonts w:hint="eastAsia" w:ascii="仿宋" w:hAnsi="仿宋" w:eastAsia="仿宋" w:cs="仿宋"/>
          <w:color w:val="auto"/>
          <w:sz w:val="24"/>
          <w:szCs w:val="24"/>
          <w:highlight w:val="none"/>
          <w:lang w:eastAsia="zh-CN"/>
        </w:rPr>
        <w:t>：</w:t>
      </w:r>
    </w:p>
    <w:p w14:paraId="70B77DD5">
      <w:pPr>
        <w:shd w:val="clear"/>
        <w:bidi w:val="0"/>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此次课程建设项目包括课程视频制作</w:t>
      </w:r>
      <w:r>
        <w:rPr>
          <w:rFonts w:hint="eastAsia" w:ascii="仿宋" w:hAnsi="仿宋" w:eastAsia="仿宋" w:cs="仿宋"/>
          <w:b/>
          <w:bCs/>
          <w:color w:val="auto"/>
          <w:sz w:val="24"/>
          <w:szCs w:val="24"/>
          <w:highlight w:val="none"/>
          <w:lang w:val="en-US" w:eastAsia="zh-CN"/>
        </w:rPr>
        <w:t>及运营</w:t>
      </w:r>
      <w:r>
        <w:rPr>
          <w:rFonts w:hint="eastAsia" w:ascii="仿宋" w:hAnsi="仿宋" w:eastAsia="仿宋" w:cs="仿宋"/>
          <w:b/>
          <w:bCs/>
          <w:color w:val="auto"/>
          <w:sz w:val="24"/>
          <w:szCs w:val="24"/>
          <w:highlight w:val="none"/>
        </w:rPr>
        <w:t>，以达到职业教育国家在线精品课程开放标准。并提供具有国家教育部认可的课程平台推广服务，符合职业教育国家在线精品课程运行标准，此项需提供相关资格证明文件</w:t>
      </w:r>
      <w:r>
        <w:rPr>
          <w:rFonts w:hint="eastAsia" w:ascii="仿宋" w:hAnsi="仿宋" w:eastAsia="仿宋" w:cs="仿宋"/>
          <w:b/>
          <w:bCs/>
          <w:color w:val="auto"/>
          <w:sz w:val="24"/>
          <w:szCs w:val="24"/>
          <w:highlight w:val="none"/>
          <w:lang w:val="en-US" w:eastAsia="zh-CN"/>
        </w:rPr>
        <w:t>及获奖课程清单</w:t>
      </w:r>
      <w:r>
        <w:rPr>
          <w:rFonts w:hint="eastAsia" w:ascii="仿宋" w:hAnsi="仿宋" w:eastAsia="仿宋" w:cs="仿宋"/>
          <w:b/>
          <w:bCs/>
          <w:color w:val="auto"/>
          <w:sz w:val="24"/>
          <w:szCs w:val="24"/>
          <w:highlight w:val="none"/>
        </w:rPr>
        <w:t>。</w:t>
      </w:r>
    </w:p>
    <w:p w14:paraId="6C595C56">
      <w:pPr>
        <w:shd w:val="clear"/>
        <w:bidi w:val="0"/>
        <w:spacing w:line="360" w:lineRule="auto"/>
        <w:ind w:firstLine="480" w:firstLineChars="200"/>
        <w:rPr>
          <w:rFonts w:hint="eastAsia" w:ascii="仿宋" w:hAnsi="仿宋" w:eastAsia="仿宋" w:cs="仿宋"/>
          <w:b w:val="0"/>
          <w:bCs w:val="0"/>
          <w:snapToGrid w:val="0"/>
          <w:color w:val="auto"/>
          <w:kern w:val="0"/>
          <w:sz w:val="24"/>
          <w:szCs w:val="24"/>
          <w:highlight w:val="none"/>
        </w:rPr>
      </w:pPr>
    </w:p>
    <w:p w14:paraId="23853B17">
      <w:pPr>
        <w:shd w:val="clear"/>
        <w:bidi w:val="0"/>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b w:val="0"/>
          <w:bCs w:val="0"/>
          <w:snapToGrid w:val="0"/>
          <w:color w:val="auto"/>
          <w:kern w:val="0"/>
          <w:sz w:val="24"/>
          <w:szCs w:val="24"/>
          <w:highlight w:val="none"/>
        </w:rPr>
        <w:t>★</w:t>
      </w:r>
      <w:r>
        <w:rPr>
          <w:rFonts w:hint="eastAsia" w:ascii="仿宋" w:hAnsi="仿宋" w:eastAsia="仿宋" w:cs="仿宋"/>
          <w:color w:val="auto"/>
          <w:kern w:val="0"/>
          <w:sz w:val="24"/>
          <w:szCs w:val="24"/>
          <w:highlight w:val="none"/>
          <w:lang w:val="en-US" w:eastAsia="zh-CN" w:bidi="ar"/>
        </w:rPr>
        <w:t>（2）</w:t>
      </w:r>
      <w:r>
        <w:rPr>
          <w:rFonts w:hint="eastAsia" w:ascii="仿宋" w:hAnsi="仿宋" w:eastAsia="仿宋" w:cs="仿宋"/>
          <w:color w:val="auto"/>
          <w:sz w:val="24"/>
          <w:szCs w:val="24"/>
          <w:highlight w:val="none"/>
          <w:lang w:val="en-US" w:eastAsia="zh-CN"/>
        </w:rPr>
        <w:t>课程推广宣传</w:t>
      </w:r>
      <w:r>
        <w:rPr>
          <w:rFonts w:hint="eastAsia" w:ascii="仿宋" w:hAnsi="仿宋" w:eastAsia="仿宋" w:cs="仿宋"/>
          <w:color w:val="auto"/>
          <w:sz w:val="24"/>
          <w:szCs w:val="24"/>
          <w:highlight w:val="none"/>
          <w:lang w:eastAsia="zh-CN"/>
        </w:rPr>
        <w:t>：</w:t>
      </w:r>
    </w:p>
    <w:p w14:paraId="747C793B">
      <w:pPr>
        <w:shd w:val="clear"/>
        <w:bidi w:val="0"/>
        <w:spacing w:line="360" w:lineRule="auto"/>
        <w:ind w:firstLine="482" w:firstLineChars="200"/>
        <w:rPr>
          <w:rFonts w:hint="eastAsia" w:ascii="仿宋" w:hAnsi="仿宋" w:eastAsia="仿宋" w:cs="仿宋"/>
          <w:b w:val="0"/>
          <w:bCs w:val="0"/>
          <w:color w:val="auto"/>
          <w:sz w:val="24"/>
          <w:szCs w:val="24"/>
          <w:highlight w:val="none"/>
        </w:rPr>
      </w:pPr>
      <w:r>
        <w:rPr>
          <w:rFonts w:hint="eastAsia" w:ascii="仿宋" w:hAnsi="仿宋" w:eastAsia="仿宋" w:cs="仿宋"/>
          <w:b/>
          <w:bCs/>
          <w:color w:val="auto"/>
          <w:sz w:val="24"/>
          <w:szCs w:val="24"/>
          <w:highlight w:val="none"/>
        </w:rPr>
        <w:t>为每门课程设计制作课程专属的宣传展示片1个，充分体现课程定位、课程价值、课程内容、教学团队、学习方法等，配备多个专业机位设备进行多角度多景别的素材采集拍摄，安排导演编导进行现场的编排指导，保障课程宣传体现良好的视觉效果，充分对学习者起到吸引的作用。必须在面向全国的开放课程平台首页进行课程推广，需要在同类课程院校进行课程推广扩大课程影响力，推广费用由成交供应商承担。</w:t>
      </w:r>
    </w:p>
    <w:p w14:paraId="188316B8">
      <w:pPr>
        <w:shd w:val="clear"/>
        <w:bidi w:val="0"/>
        <w:spacing w:line="360" w:lineRule="auto"/>
        <w:ind w:firstLine="480" w:firstLineChars="200"/>
        <w:rPr>
          <w:rFonts w:hint="eastAsia" w:ascii="仿宋" w:hAnsi="仿宋" w:eastAsia="仿宋" w:cs="仿宋"/>
          <w:b w:val="0"/>
          <w:bCs w:val="0"/>
          <w:snapToGrid w:val="0"/>
          <w:color w:val="auto"/>
          <w:kern w:val="0"/>
          <w:sz w:val="24"/>
          <w:szCs w:val="24"/>
          <w:highlight w:val="none"/>
        </w:rPr>
      </w:pPr>
    </w:p>
    <w:p w14:paraId="2AC35EBB">
      <w:pPr>
        <w:shd w:val="clear"/>
        <w:bidi w:val="0"/>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b w:val="0"/>
          <w:bCs w:val="0"/>
          <w:snapToGrid w:val="0"/>
          <w:color w:val="auto"/>
          <w:kern w:val="0"/>
          <w:sz w:val="24"/>
          <w:szCs w:val="24"/>
          <w:highlight w:val="none"/>
        </w:rPr>
        <w:t>★</w:t>
      </w:r>
      <w:r>
        <w:rPr>
          <w:rFonts w:hint="eastAsia" w:ascii="仿宋" w:hAnsi="仿宋" w:eastAsia="仿宋" w:cs="仿宋"/>
          <w:color w:val="auto"/>
          <w:kern w:val="0"/>
          <w:sz w:val="24"/>
          <w:szCs w:val="24"/>
          <w:highlight w:val="none"/>
          <w:lang w:val="en-US" w:eastAsia="zh-CN" w:bidi="ar"/>
        </w:rPr>
        <w:t>（3）</w:t>
      </w:r>
      <w:r>
        <w:rPr>
          <w:rFonts w:hint="eastAsia" w:ascii="仿宋" w:hAnsi="仿宋" w:eastAsia="仿宋" w:cs="仿宋"/>
          <w:color w:val="auto"/>
          <w:sz w:val="24"/>
          <w:szCs w:val="24"/>
          <w:highlight w:val="none"/>
          <w:lang w:val="en-US" w:eastAsia="zh-CN"/>
        </w:rPr>
        <w:t>课程分析申报</w:t>
      </w:r>
      <w:r>
        <w:rPr>
          <w:rFonts w:hint="eastAsia" w:ascii="仿宋" w:hAnsi="仿宋" w:eastAsia="仿宋" w:cs="仿宋"/>
          <w:color w:val="auto"/>
          <w:sz w:val="24"/>
          <w:szCs w:val="24"/>
          <w:highlight w:val="none"/>
          <w:lang w:eastAsia="zh-CN"/>
        </w:rPr>
        <w:t>：</w:t>
      </w:r>
    </w:p>
    <w:p w14:paraId="1283D93D">
      <w:pPr>
        <w:shd w:val="clear"/>
        <w:bidi w:val="0"/>
        <w:spacing w:line="360" w:lineRule="auto"/>
        <w:ind w:firstLine="482" w:firstLineChars="200"/>
        <w:rPr>
          <w:rFonts w:hint="eastAsia" w:ascii="仿宋" w:hAnsi="仿宋" w:eastAsia="仿宋" w:cs="仿宋"/>
          <w:color w:val="auto"/>
          <w:sz w:val="24"/>
          <w:szCs w:val="24"/>
          <w:highlight w:val="none"/>
          <w:lang w:eastAsia="zh-CN"/>
        </w:rPr>
      </w:pPr>
      <w:r>
        <w:rPr>
          <w:rFonts w:hint="eastAsia" w:ascii="仿宋" w:hAnsi="仿宋" w:eastAsia="仿宋" w:cs="仿宋"/>
          <w:b/>
          <w:bCs/>
          <w:color w:val="auto"/>
          <w:sz w:val="24"/>
          <w:szCs w:val="24"/>
          <w:highlight w:val="none"/>
        </w:rPr>
        <w:t>对课程平台上运行的情况进行数据分析，出具分析报告，明确分析课程数据需要优化的内容并提供优化方案</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课程申报时提供专家申报前培训，申报书指导</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课程需要推荐评审时，成交供应商提供专家推荐方案并承担专家费用。</w:t>
      </w:r>
    </w:p>
    <w:p w14:paraId="3512FB5E">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2" w:firstLineChars="200"/>
        <w:textAlignment w:val="auto"/>
        <w:rPr>
          <w:rFonts w:hint="eastAsia" w:ascii="仿宋" w:hAnsi="仿宋" w:eastAsia="仿宋" w:cs="仿宋"/>
          <w:b/>
          <w:bCs/>
          <w:color w:val="auto"/>
          <w:kern w:val="0"/>
          <w:sz w:val="24"/>
          <w:szCs w:val="24"/>
          <w:highlight w:val="none"/>
          <w:lang w:val="en-US" w:eastAsia="zh-CN" w:bidi="ar"/>
        </w:rPr>
      </w:pPr>
      <w:r>
        <w:rPr>
          <w:rFonts w:hint="eastAsia" w:ascii="仿宋" w:hAnsi="仿宋" w:eastAsia="仿宋" w:cs="仿宋"/>
          <w:b/>
          <w:bCs/>
          <w:color w:val="auto"/>
          <w:kern w:val="0"/>
          <w:sz w:val="24"/>
          <w:szCs w:val="24"/>
          <w:highlight w:val="none"/>
          <w:lang w:val="en-US" w:eastAsia="zh-CN" w:bidi="ar"/>
        </w:rPr>
        <w:t>3.课程资源技术要求：</w:t>
      </w:r>
    </w:p>
    <w:p w14:paraId="524E69C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lang w:val="en-US" w:eastAsia="zh-CN"/>
        </w:rPr>
      </w:pPr>
      <w:r>
        <w:rPr>
          <w:rFonts w:hint="eastAsia" w:ascii="仿宋" w:hAnsi="仿宋" w:eastAsia="仿宋" w:cs="仿宋"/>
          <w:spacing w:val="-5"/>
          <w:sz w:val="24"/>
          <w:szCs w:val="24"/>
          <w:lang w:val="en-US" w:eastAsia="zh-CN"/>
        </w:rPr>
        <w:t>（1）供应商</w:t>
      </w:r>
      <w:r>
        <w:rPr>
          <w:rFonts w:hint="eastAsia" w:ascii="仿宋" w:hAnsi="仿宋" w:eastAsia="仿宋" w:cs="仿宋"/>
          <w:spacing w:val="-5"/>
          <w:sz w:val="24"/>
          <w:szCs w:val="24"/>
        </w:rPr>
        <w:t>须</w:t>
      </w:r>
      <w:r>
        <w:rPr>
          <w:rFonts w:hint="eastAsia" w:ascii="仿宋" w:hAnsi="仿宋" w:eastAsia="仿宋" w:cs="仿宋"/>
          <w:spacing w:val="-5"/>
          <w:sz w:val="24"/>
          <w:szCs w:val="24"/>
          <w:lang w:val="en-US" w:eastAsia="zh-CN"/>
        </w:rPr>
        <w:t>组织校内符合精品在线开放课程建设的课程团队申报并进行遴选，确定后课程建设团队作为供应商方外聘专家参与开发建设和管理，建成完成后</w:t>
      </w:r>
      <w:r>
        <w:rPr>
          <w:rFonts w:hint="eastAsia" w:ascii="仿宋" w:hAnsi="仿宋" w:eastAsia="仿宋" w:cs="仿宋"/>
          <w:spacing w:val="-5"/>
          <w:sz w:val="24"/>
          <w:szCs w:val="24"/>
        </w:rPr>
        <w:t>按照</w:t>
      </w:r>
      <w:r>
        <w:rPr>
          <w:rFonts w:hint="eastAsia" w:ascii="仿宋" w:hAnsi="仿宋" w:eastAsia="仿宋" w:cs="仿宋"/>
          <w:spacing w:val="-5"/>
          <w:sz w:val="24"/>
          <w:szCs w:val="24"/>
          <w:lang w:val="en-US" w:eastAsia="zh-CN"/>
        </w:rPr>
        <w:t>在线开放课程</w:t>
      </w:r>
      <w:r>
        <w:rPr>
          <w:rFonts w:hint="eastAsia" w:ascii="仿宋" w:hAnsi="仿宋" w:eastAsia="仿宋" w:cs="仿宋"/>
          <w:spacing w:val="-5"/>
          <w:sz w:val="24"/>
          <w:szCs w:val="24"/>
        </w:rPr>
        <w:t>要求将课程建</w:t>
      </w:r>
      <w:r>
        <w:rPr>
          <w:rFonts w:hint="eastAsia" w:ascii="仿宋" w:hAnsi="仿宋" w:eastAsia="仿宋" w:cs="仿宋"/>
          <w:spacing w:val="-5"/>
          <w:sz w:val="24"/>
          <w:szCs w:val="24"/>
          <w:lang w:val="en-US" w:eastAsia="zh-CN"/>
        </w:rPr>
        <w:t>设内容上传至供应商提供的在线开放课程平台，同时提供视频、动画、微课、PPT 、教材等资源制作源文件。</w:t>
      </w:r>
    </w:p>
    <w:p w14:paraId="38D94815">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lang w:eastAsia="zh-CN"/>
        </w:rPr>
        <w:t>（</w:t>
      </w:r>
      <w:r>
        <w:rPr>
          <w:rFonts w:hint="eastAsia" w:ascii="仿宋" w:hAnsi="仿宋" w:eastAsia="仿宋" w:cs="仿宋"/>
          <w:spacing w:val="-5"/>
          <w:sz w:val="24"/>
          <w:szCs w:val="24"/>
          <w:lang w:val="en-US" w:eastAsia="zh-CN"/>
        </w:rPr>
        <w:t>2</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rPr>
        <w:t>拍摄成品总体要求</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rPr>
        <w:t>视频图像清晰，景别合理、剪辑流畅，画</w:t>
      </w:r>
      <w:r>
        <w:rPr>
          <w:rFonts w:hint="eastAsia" w:ascii="仿宋" w:hAnsi="仿宋" w:eastAsia="仿宋" w:cs="仿宋"/>
          <w:spacing w:val="-5"/>
          <w:sz w:val="24"/>
          <w:szCs w:val="24"/>
          <w:lang w:val="en-US" w:eastAsia="zh-CN"/>
        </w:rPr>
        <w:t>面</w:t>
      </w:r>
      <w:r>
        <w:rPr>
          <w:rFonts w:hint="eastAsia" w:ascii="仿宋" w:hAnsi="仿宋" w:eastAsia="仿宋" w:cs="仿宋"/>
          <w:spacing w:val="-5"/>
          <w:sz w:val="24"/>
          <w:szCs w:val="24"/>
        </w:rPr>
        <w:t>优美，字幕同步</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rPr>
        <w:t>视频文件大小适中，适合</w:t>
      </w:r>
      <w:r>
        <w:rPr>
          <w:rFonts w:hint="eastAsia" w:ascii="仿宋" w:hAnsi="仿宋" w:eastAsia="仿宋" w:cs="仿宋"/>
          <w:spacing w:val="-5"/>
          <w:sz w:val="24"/>
          <w:szCs w:val="24"/>
          <w:lang w:val="en-US" w:eastAsia="zh-CN"/>
        </w:rPr>
        <w:t>网络</w:t>
      </w:r>
      <w:r>
        <w:rPr>
          <w:rFonts w:hint="eastAsia" w:ascii="仿宋" w:hAnsi="仿宋" w:eastAsia="仿宋" w:cs="仿宋"/>
          <w:spacing w:val="-5"/>
          <w:sz w:val="24"/>
          <w:szCs w:val="24"/>
        </w:rPr>
        <w:t>播放。</w:t>
      </w:r>
    </w:p>
    <w:p w14:paraId="3AB2157F">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lang w:val="en-US" w:eastAsia="zh-CN"/>
        </w:rPr>
        <w:t>（3）供应商</w:t>
      </w:r>
      <w:r>
        <w:rPr>
          <w:rFonts w:hint="eastAsia" w:ascii="仿宋" w:hAnsi="仿宋" w:eastAsia="仿宋" w:cs="仿宋"/>
          <w:spacing w:val="-5"/>
          <w:sz w:val="24"/>
          <w:szCs w:val="24"/>
        </w:rPr>
        <w:t>能够在第一时间响应拍摄</w:t>
      </w:r>
      <w:r>
        <w:rPr>
          <w:rFonts w:hint="eastAsia" w:ascii="仿宋" w:hAnsi="仿宋" w:eastAsia="仿宋" w:cs="仿宋"/>
          <w:spacing w:val="-5"/>
          <w:sz w:val="24"/>
          <w:szCs w:val="24"/>
          <w:lang w:eastAsia="zh-CN"/>
        </w:rPr>
        <w:t>要求</w:t>
      </w:r>
      <w:r>
        <w:rPr>
          <w:rFonts w:hint="eastAsia" w:ascii="仿宋" w:hAnsi="仿宋" w:eastAsia="仿宋" w:cs="仿宋"/>
          <w:spacing w:val="-5"/>
          <w:sz w:val="24"/>
          <w:szCs w:val="24"/>
        </w:rPr>
        <w:t>，能在规定的时间内保质保量</w:t>
      </w:r>
      <w:r>
        <w:rPr>
          <w:rFonts w:hint="eastAsia" w:ascii="仿宋" w:hAnsi="仿宋" w:eastAsia="仿宋" w:cs="仿宋"/>
          <w:spacing w:val="-5"/>
          <w:sz w:val="24"/>
          <w:szCs w:val="24"/>
          <w:lang w:eastAsia="zh-CN"/>
        </w:rPr>
        <w:t>地</w:t>
      </w:r>
      <w:r>
        <w:rPr>
          <w:rFonts w:hint="eastAsia" w:ascii="仿宋" w:hAnsi="仿宋" w:eastAsia="仿宋" w:cs="仿宋"/>
          <w:spacing w:val="-5"/>
          <w:sz w:val="24"/>
          <w:szCs w:val="24"/>
        </w:rPr>
        <w:t>完成视频拍摄和制作任务。</w:t>
      </w:r>
    </w:p>
    <w:p w14:paraId="59A1399A">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lang w:eastAsia="zh-CN"/>
        </w:rPr>
        <w:t>（</w:t>
      </w:r>
      <w:r>
        <w:rPr>
          <w:rFonts w:hint="eastAsia" w:ascii="仿宋" w:hAnsi="仿宋" w:eastAsia="仿宋" w:cs="仿宋"/>
          <w:spacing w:val="-5"/>
          <w:sz w:val="24"/>
          <w:szCs w:val="24"/>
          <w:lang w:val="en-US" w:eastAsia="zh-CN"/>
        </w:rPr>
        <w:t>4</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lang w:val="en-US" w:eastAsia="zh-CN"/>
        </w:rPr>
        <w:t>供应商</w:t>
      </w:r>
      <w:r>
        <w:rPr>
          <w:rFonts w:hint="eastAsia" w:ascii="仿宋" w:hAnsi="仿宋" w:eastAsia="仿宋" w:cs="仿宋"/>
          <w:spacing w:val="-5"/>
          <w:sz w:val="24"/>
          <w:szCs w:val="24"/>
        </w:rPr>
        <w:t>的视频拍摄、动画、PPT 制作质量</w:t>
      </w:r>
      <w:r>
        <w:rPr>
          <w:rFonts w:hint="eastAsia" w:ascii="仿宋" w:hAnsi="仿宋" w:eastAsia="仿宋" w:cs="仿宋"/>
          <w:spacing w:val="-5"/>
          <w:sz w:val="24"/>
          <w:szCs w:val="24"/>
          <w:lang w:eastAsia="zh-CN"/>
        </w:rPr>
        <w:t>必须</w:t>
      </w:r>
      <w:r>
        <w:rPr>
          <w:rFonts w:hint="eastAsia" w:ascii="仿宋" w:hAnsi="仿宋" w:eastAsia="仿宋" w:cs="仿宋"/>
          <w:spacing w:val="-5"/>
          <w:sz w:val="24"/>
          <w:szCs w:val="24"/>
        </w:rPr>
        <w:t>达到标书规定的要求。</w:t>
      </w:r>
    </w:p>
    <w:p w14:paraId="676F8FF2">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lang w:eastAsia="zh-CN"/>
        </w:rPr>
        <w:t>（</w:t>
      </w:r>
      <w:r>
        <w:rPr>
          <w:rFonts w:hint="eastAsia" w:ascii="仿宋" w:hAnsi="仿宋" w:eastAsia="仿宋" w:cs="仿宋"/>
          <w:spacing w:val="-5"/>
          <w:sz w:val="24"/>
          <w:szCs w:val="24"/>
          <w:lang w:val="en-US" w:eastAsia="zh-CN"/>
        </w:rPr>
        <w:t>5</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rPr>
        <w:t>每门课程中微课、教学视频、动画和PPT</w:t>
      </w:r>
      <w:r>
        <w:rPr>
          <w:rFonts w:hint="eastAsia" w:ascii="仿宋" w:hAnsi="仿宋" w:eastAsia="仿宋" w:cs="仿宋"/>
          <w:spacing w:val="-5"/>
          <w:sz w:val="24"/>
          <w:szCs w:val="24"/>
          <w:lang w:val="en-US" w:eastAsia="zh-CN"/>
        </w:rPr>
        <w:t>数量</w:t>
      </w:r>
      <w:r>
        <w:rPr>
          <w:rFonts w:hint="eastAsia" w:ascii="仿宋" w:hAnsi="仿宋" w:eastAsia="仿宋" w:cs="仿宋"/>
          <w:spacing w:val="-5"/>
          <w:sz w:val="24"/>
          <w:szCs w:val="24"/>
        </w:rPr>
        <w:t>不得低于要求数。</w:t>
      </w:r>
    </w:p>
    <w:p w14:paraId="16113C15">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lang w:eastAsia="zh-CN"/>
        </w:rPr>
        <w:t>（</w:t>
      </w:r>
      <w:r>
        <w:rPr>
          <w:rFonts w:hint="eastAsia" w:ascii="仿宋" w:hAnsi="仿宋" w:eastAsia="仿宋" w:cs="仿宋"/>
          <w:spacing w:val="-5"/>
          <w:sz w:val="24"/>
          <w:szCs w:val="24"/>
          <w:lang w:val="en-US" w:eastAsia="zh-CN"/>
        </w:rPr>
        <w:t>6</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rPr>
        <w:t>录制方式及设备</w:t>
      </w:r>
    </w:p>
    <w:p w14:paraId="1061E4DB">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lang w:val="en-US" w:eastAsia="zh-CN"/>
        </w:rPr>
        <w:t>6.1</w:t>
      </w:r>
      <w:r>
        <w:rPr>
          <w:rFonts w:hint="eastAsia" w:ascii="仿宋" w:hAnsi="仿宋" w:eastAsia="仿宋" w:cs="仿宋"/>
          <w:spacing w:val="-5"/>
          <w:sz w:val="24"/>
          <w:szCs w:val="24"/>
        </w:rPr>
        <w:t>根据课程需要采用单或多机位，具备专业广播</w:t>
      </w:r>
      <w:r>
        <w:rPr>
          <w:rFonts w:hint="eastAsia" w:ascii="仿宋" w:hAnsi="仿宋" w:eastAsia="仿宋" w:cs="仿宋"/>
          <w:spacing w:val="-5"/>
          <w:sz w:val="24"/>
          <w:szCs w:val="24"/>
          <w:lang w:val="en-US" w:eastAsia="zh-CN"/>
        </w:rPr>
        <w:t>级</w:t>
      </w:r>
      <w:r>
        <w:rPr>
          <w:rFonts w:hint="eastAsia" w:ascii="仿宋" w:hAnsi="仿宋" w:eastAsia="仿宋" w:cs="仿宋"/>
          <w:spacing w:val="-5"/>
          <w:sz w:val="24"/>
          <w:szCs w:val="24"/>
        </w:rPr>
        <w:t>水准的高清数字摄像机；</w:t>
      </w:r>
    </w:p>
    <w:p w14:paraId="22DE4852">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拍摄设备要同型同款，保证录制效果的一致性</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rPr>
        <w:t>主机位用于</w:t>
      </w:r>
      <w:r>
        <w:rPr>
          <w:rFonts w:hint="eastAsia" w:ascii="仿宋" w:hAnsi="仿宋" w:eastAsia="仿宋" w:cs="仿宋"/>
          <w:spacing w:val="-5"/>
          <w:sz w:val="24"/>
          <w:szCs w:val="24"/>
          <w:lang w:val="en-US" w:eastAsia="zh-CN"/>
        </w:rPr>
        <w:t>拍摄</w:t>
      </w:r>
      <w:r>
        <w:rPr>
          <w:rFonts w:hint="eastAsia" w:ascii="仿宋" w:hAnsi="仿宋" w:eastAsia="仿宋" w:cs="仿宋"/>
          <w:spacing w:val="-5"/>
          <w:sz w:val="24"/>
          <w:szCs w:val="24"/>
        </w:rPr>
        <w:t>教师全景</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rPr>
        <w:t>辅助机位拍摄教师特写、板书以及多媒体</w:t>
      </w:r>
      <w:r>
        <w:rPr>
          <w:rFonts w:hint="eastAsia" w:ascii="仿宋" w:hAnsi="仿宋" w:eastAsia="仿宋" w:cs="仿宋"/>
          <w:spacing w:val="-5"/>
          <w:sz w:val="24"/>
          <w:szCs w:val="24"/>
          <w:lang w:val="en-US" w:eastAsia="zh-CN"/>
        </w:rPr>
        <w:t>信息。</w:t>
      </w:r>
      <w:r>
        <w:rPr>
          <w:rFonts w:hint="eastAsia" w:ascii="仿宋" w:hAnsi="仿宋" w:eastAsia="仿宋" w:cs="仿宋"/>
          <w:spacing w:val="-5"/>
          <w:sz w:val="24"/>
          <w:szCs w:val="24"/>
        </w:rPr>
        <w:t>机位设置应满足完整记录</w:t>
      </w:r>
      <w:r>
        <w:rPr>
          <w:rFonts w:hint="eastAsia" w:ascii="仿宋" w:hAnsi="仿宋" w:eastAsia="仿宋" w:cs="仿宋"/>
          <w:spacing w:val="-5"/>
          <w:sz w:val="24"/>
          <w:szCs w:val="24"/>
          <w:lang w:val="en-US" w:eastAsia="zh-CN"/>
        </w:rPr>
        <w:t>课堂</w:t>
      </w:r>
      <w:r>
        <w:rPr>
          <w:rFonts w:hint="eastAsia" w:ascii="仿宋" w:hAnsi="仿宋" w:eastAsia="仿宋" w:cs="仿宋"/>
          <w:spacing w:val="-5"/>
          <w:sz w:val="24"/>
          <w:szCs w:val="24"/>
        </w:rPr>
        <w:t>全部教学活动的要求。</w:t>
      </w:r>
    </w:p>
    <w:p w14:paraId="24BF378B">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lang w:val="en-US" w:eastAsia="zh-CN"/>
        </w:rPr>
        <w:t>6.2</w:t>
      </w:r>
      <w:r>
        <w:rPr>
          <w:rFonts w:hint="eastAsia" w:ascii="仿宋" w:hAnsi="仿宋" w:eastAsia="仿宋" w:cs="仿宋"/>
          <w:spacing w:val="-5"/>
          <w:sz w:val="24"/>
          <w:szCs w:val="24"/>
        </w:rPr>
        <w:t>拍摄场地为教学</w:t>
      </w:r>
      <w:r>
        <w:rPr>
          <w:rFonts w:hint="eastAsia" w:ascii="仿宋" w:hAnsi="仿宋" w:eastAsia="仿宋" w:cs="仿宋"/>
          <w:spacing w:val="-5"/>
          <w:sz w:val="24"/>
          <w:szCs w:val="24"/>
          <w:lang w:eastAsia="zh-CN"/>
        </w:rPr>
        <w:t>实景</w:t>
      </w:r>
      <w:r>
        <w:rPr>
          <w:rFonts w:hint="eastAsia" w:ascii="仿宋" w:hAnsi="仿宋" w:eastAsia="仿宋" w:cs="仿宋"/>
          <w:spacing w:val="-5"/>
          <w:sz w:val="24"/>
          <w:szCs w:val="24"/>
        </w:rPr>
        <w:t>或专业摄</w:t>
      </w:r>
      <w:r>
        <w:rPr>
          <w:rFonts w:hint="eastAsia" w:ascii="仿宋" w:hAnsi="仿宋" w:eastAsia="仿宋" w:cs="仿宋"/>
          <w:spacing w:val="-5"/>
          <w:sz w:val="24"/>
          <w:szCs w:val="24"/>
          <w:lang w:eastAsia="zh-CN"/>
        </w:rPr>
        <w:t>影</w:t>
      </w:r>
      <w:r>
        <w:rPr>
          <w:rFonts w:hint="eastAsia" w:ascii="仿宋" w:hAnsi="仿宋" w:eastAsia="仿宋" w:cs="仿宋"/>
          <w:spacing w:val="-5"/>
          <w:sz w:val="24"/>
          <w:szCs w:val="24"/>
        </w:rPr>
        <w:t>棚，录制现场光线充足、环境安静、整洁，采用单一背景，避免在</w:t>
      </w:r>
      <w:r>
        <w:rPr>
          <w:rFonts w:hint="eastAsia" w:ascii="仿宋" w:hAnsi="仿宋" w:eastAsia="仿宋" w:cs="仿宋"/>
          <w:spacing w:val="-5"/>
          <w:sz w:val="24"/>
          <w:szCs w:val="24"/>
          <w:lang w:val="en-US" w:eastAsia="zh-CN"/>
        </w:rPr>
        <w:t>镜头</w:t>
      </w:r>
      <w:r>
        <w:rPr>
          <w:rFonts w:hint="eastAsia" w:ascii="仿宋" w:hAnsi="仿宋" w:eastAsia="仿宋" w:cs="仿宋"/>
          <w:spacing w:val="-5"/>
          <w:sz w:val="24"/>
          <w:szCs w:val="24"/>
        </w:rPr>
        <w:t>中出现有广告嫌疑或与课程无关的标识等内容。</w:t>
      </w:r>
    </w:p>
    <w:p w14:paraId="54BF7F10">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lang w:val="en-US" w:eastAsia="zh-CN"/>
        </w:rPr>
        <w:t>6.3</w:t>
      </w:r>
      <w:r>
        <w:rPr>
          <w:rFonts w:hint="eastAsia" w:ascii="仿宋" w:hAnsi="仿宋" w:eastAsia="仿宋" w:cs="仿宋"/>
          <w:spacing w:val="-5"/>
          <w:sz w:val="24"/>
          <w:szCs w:val="24"/>
        </w:rPr>
        <w:t>录音设备要求使用若干个专业级话筒，保证师生发言的录音</w:t>
      </w:r>
      <w:r>
        <w:rPr>
          <w:rFonts w:hint="eastAsia" w:ascii="仿宋" w:hAnsi="仿宋" w:eastAsia="仿宋" w:cs="仿宋"/>
          <w:spacing w:val="-5"/>
          <w:sz w:val="24"/>
          <w:szCs w:val="24"/>
          <w:lang w:val="en-US" w:eastAsia="zh-CN"/>
        </w:rPr>
        <w:t>质量</w:t>
      </w:r>
      <w:r>
        <w:rPr>
          <w:rFonts w:hint="eastAsia" w:ascii="仿宋" w:hAnsi="仿宋" w:eastAsia="仿宋" w:cs="仿宋"/>
          <w:spacing w:val="-5"/>
          <w:sz w:val="24"/>
          <w:szCs w:val="24"/>
        </w:rPr>
        <w:t>。</w:t>
      </w:r>
    </w:p>
    <w:p w14:paraId="440431B6">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lang w:val="en-US" w:eastAsia="zh-CN"/>
        </w:rPr>
        <w:t>6.4</w:t>
      </w:r>
      <w:r>
        <w:rPr>
          <w:rFonts w:hint="eastAsia" w:ascii="仿宋" w:hAnsi="仿宋" w:eastAsia="仿宋" w:cs="仿宋"/>
          <w:spacing w:val="-5"/>
          <w:sz w:val="24"/>
          <w:szCs w:val="24"/>
        </w:rPr>
        <w:t>后期制作设备</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rPr>
        <w:t>使用相应的非线性编辑系统。</w:t>
      </w:r>
    </w:p>
    <w:p w14:paraId="40504F4E">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lang w:val="en-US" w:eastAsia="zh-CN"/>
        </w:rPr>
        <w:t>（7）</w:t>
      </w:r>
      <w:r>
        <w:rPr>
          <w:rFonts w:hint="eastAsia" w:ascii="仿宋" w:hAnsi="仿宋" w:eastAsia="仿宋" w:cs="仿宋"/>
          <w:spacing w:val="-5"/>
          <w:sz w:val="24"/>
          <w:szCs w:val="24"/>
        </w:rPr>
        <w:t>制作团队及服务要求</w:t>
      </w:r>
    </w:p>
    <w:p w14:paraId="765601FF">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jc w:val="both"/>
        <w:textAlignment w:val="baseline"/>
        <w:rPr>
          <w:rFonts w:hint="eastAsia" w:ascii="仿宋" w:hAnsi="仿宋" w:eastAsia="仿宋" w:cs="仿宋"/>
          <w:spacing w:val="-5"/>
          <w:sz w:val="24"/>
          <w:szCs w:val="24"/>
        </w:rPr>
      </w:pPr>
      <w:r>
        <w:rPr>
          <w:rFonts w:hint="eastAsia" w:ascii="仿宋" w:hAnsi="仿宋" w:eastAsia="仿宋" w:cs="仿宋"/>
          <w:spacing w:val="-5"/>
          <w:sz w:val="24"/>
          <w:szCs w:val="24"/>
          <w:lang w:val="en-US" w:eastAsia="zh-CN"/>
        </w:rPr>
        <w:t>7.1供应商</w:t>
      </w:r>
      <w:r>
        <w:rPr>
          <w:rFonts w:hint="eastAsia" w:ascii="仿宋" w:hAnsi="仿宋" w:eastAsia="仿宋" w:cs="仿宋"/>
          <w:spacing w:val="-5"/>
          <w:sz w:val="24"/>
          <w:szCs w:val="24"/>
        </w:rPr>
        <w:t>安排精品在线开放课程教学设计专家团队及经验丰富的课程制作开发团队，承担项目任务、团队各成员必须充分理解本项目课程的制作和精品在线开放课程平台上线运营特点。</w:t>
      </w:r>
      <w:r>
        <w:rPr>
          <w:rFonts w:hint="eastAsia" w:ascii="仿宋" w:hAnsi="仿宋" w:eastAsia="仿宋" w:cs="仿宋"/>
          <w:spacing w:val="-5"/>
          <w:sz w:val="24"/>
          <w:szCs w:val="24"/>
          <w:lang w:val="en-US" w:eastAsia="zh-CN"/>
        </w:rPr>
        <w:t>每</w:t>
      </w:r>
      <w:r>
        <w:rPr>
          <w:rFonts w:hint="eastAsia" w:ascii="仿宋" w:hAnsi="仿宋" w:eastAsia="仿宋" w:cs="仿宋"/>
          <w:spacing w:val="-5"/>
          <w:sz w:val="24"/>
          <w:szCs w:val="24"/>
        </w:rPr>
        <w:t>门课程</w:t>
      </w:r>
      <w:r>
        <w:rPr>
          <w:rFonts w:hint="eastAsia" w:ascii="仿宋" w:hAnsi="仿宋" w:eastAsia="仿宋" w:cs="仿宋"/>
          <w:spacing w:val="-5"/>
          <w:sz w:val="24"/>
          <w:szCs w:val="24"/>
          <w:lang w:eastAsia="zh-CN"/>
        </w:rPr>
        <w:t>的具体</w:t>
      </w:r>
      <w:r>
        <w:rPr>
          <w:rFonts w:hint="eastAsia" w:ascii="仿宋" w:hAnsi="仿宋" w:eastAsia="仿宋" w:cs="仿宋"/>
          <w:spacing w:val="-5"/>
          <w:sz w:val="24"/>
          <w:szCs w:val="24"/>
        </w:rPr>
        <w:t>人员配备如下：</w:t>
      </w:r>
    </w:p>
    <w:p w14:paraId="1AD07EB5">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jc w:val="both"/>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业务人员1人：负责校方与公司各部门</w:t>
      </w:r>
      <w:r>
        <w:rPr>
          <w:rFonts w:hint="eastAsia" w:ascii="仿宋" w:hAnsi="仿宋" w:eastAsia="仿宋" w:cs="仿宋"/>
          <w:spacing w:val="-5"/>
          <w:sz w:val="24"/>
          <w:szCs w:val="24"/>
          <w:lang w:val="en-US" w:eastAsia="zh-CN"/>
        </w:rPr>
        <w:t>协调</w:t>
      </w:r>
      <w:r>
        <w:rPr>
          <w:rFonts w:hint="eastAsia" w:ascii="仿宋" w:hAnsi="仿宋" w:eastAsia="仿宋" w:cs="仿宋"/>
          <w:spacing w:val="-5"/>
          <w:sz w:val="24"/>
          <w:szCs w:val="24"/>
        </w:rPr>
        <w:t>，拍摄期间住校全职全程参与：项目经理1人：负责项目整体进程把控，质量</w:t>
      </w:r>
      <w:r>
        <w:rPr>
          <w:rFonts w:hint="eastAsia" w:ascii="仿宋" w:hAnsi="仿宋" w:eastAsia="仿宋" w:cs="仿宋"/>
          <w:spacing w:val="-5"/>
          <w:sz w:val="24"/>
          <w:szCs w:val="24"/>
          <w:lang w:val="en-US" w:eastAsia="zh-CN"/>
        </w:rPr>
        <w:t>监督</w:t>
      </w:r>
      <w:r>
        <w:rPr>
          <w:rFonts w:hint="eastAsia" w:ascii="仿宋" w:hAnsi="仿宋" w:eastAsia="仿宋" w:cs="仿宋"/>
          <w:spacing w:val="-5"/>
          <w:sz w:val="24"/>
          <w:szCs w:val="24"/>
        </w:rPr>
        <w:t>，以及课程开发服务全过程相关事宜的沟通、协调；教学设计专家2人：负责课程教学内容的</w:t>
      </w:r>
      <w:r>
        <w:rPr>
          <w:rFonts w:hint="eastAsia" w:ascii="仿宋" w:hAnsi="仿宋" w:eastAsia="仿宋" w:cs="仿宋"/>
          <w:spacing w:val="-5"/>
          <w:sz w:val="24"/>
          <w:szCs w:val="24"/>
          <w:lang w:eastAsia="zh-CN"/>
        </w:rPr>
        <w:t>规划</w:t>
      </w:r>
      <w:r>
        <w:rPr>
          <w:rFonts w:hint="eastAsia" w:ascii="仿宋" w:hAnsi="仿宋" w:eastAsia="仿宋" w:cs="仿宋"/>
          <w:spacing w:val="-5"/>
          <w:sz w:val="24"/>
          <w:szCs w:val="24"/>
        </w:rPr>
        <w:t>与设计，对教学设计的整体思路给予全</w:t>
      </w:r>
      <w:r>
        <w:rPr>
          <w:rFonts w:hint="eastAsia" w:ascii="仿宋" w:hAnsi="仿宋" w:eastAsia="仿宋" w:cs="仿宋"/>
          <w:spacing w:val="-5"/>
          <w:sz w:val="24"/>
          <w:szCs w:val="24"/>
          <w:lang w:val="en-US" w:eastAsia="zh-CN"/>
        </w:rPr>
        <w:t>面</w:t>
      </w:r>
      <w:r>
        <w:rPr>
          <w:rFonts w:hint="eastAsia" w:ascii="仿宋" w:hAnsi="仿宋" w:eastAsia="仿宋" w:cs="仿宋"/>
          <w:spacing w:val="-5"/>
          <w:sz w:val="24"/>
          <w:szCs w:val="24"/>
        </w:rPr>
        <w:t>指导</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rPr>
        <w:t>课程编导1人：负责现场拍摄、制作监控与管理</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rPr>
        <w:t>拍摄场地勘察以及场景设计</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rPr>
        <w:t>课程顾问1人</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lang w:val="en-US" w:eastAsia="zh-CN"/>
        </w:rPr>
        <w:t>负责</w:t>
      </w:r>
      <w:r>
        <w:rPr>
          <w:rFonts w:hint="eastAsia" w:ascii="仿宋" w:hAnsi="仿宋" w:eastAsia="仿宋" w:cs="仿宋"/>
          <w:spacing w:val="-5"/>
          <w:sz w:val="24"/>
          <w:szCs w:val="24"/>
        </w:rPr>
        <w:t>商定在线课程内容设计、章节及知识点切割及时间的把控、制作课程脚本；美术设计师1人：</w:t>
      </w:r>
      <w:r>
        <w:rPr>
          <w:rFonts w:hint="eastAsia" w:ascii="仿宋" w:hAnsi="仿宋" w:eastAsia="仿宋" w:cs="仿宋"/>
          <w:spacing w:val="-5"/>
          <w:sz w:val="24"/>
          <w:szCs w:val="24"/>
          <w:lang w:val="en-US" w:eastAsia="zh-CN"/>
        </w:rPr>
        <w:t>负责</w:t>
      </w:r>
      <w:r>
        <w:rPr>
          <w:rFonts w:hint="eastAsia" w:ascii="仿宋" w:hAnsi="仿宋" w:eastAsia="仿宋" w:cs="仿宋"/>
          <w:spacing w:val="-5"/>
          <w:sz w:val="24"/>
          <w:szCs w:val="24"/>
        </w:rPr>
        <w:t>课程整体美术风格的设定及课程包装设计方案的编制；摄像师4人：提供演播室、外景等各类课程表现形式的拍摄服务；现场灯光师1人：负责拍摄现场灯光设计及场记；后期制作及效果包装6人：负责课程后期剪辑以及所涉及动画设计和制作。</w:t>
      </w:r>
    </w:p>
    <w:p w14:paraId="4A5DEB7B">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lang w:val="en-US" w:eastAsia="zh-CN"/>
        </w:rPr>
        <w:t>7.2</w:t>
      </w:r>
      <w:r>
        <w:rPr>
          <w:rFonts w:hint="eastAsia" w:ascii="仿宋" w:hAnsi="仿宋" w:eastAsia="仿宋" w:cs="仿宋"/>
          <w:spacing w:val="-5"/>
          <w:sz w:val="24"/>
          <w:szCs w:val="24"/>
        </w:rPr>
        <w:t>制作团队与学校课程团队共同完成视频、微课和动画的脚本制作，必须在拍摄之前与教学团队就资源或微课脚本提案做充分沟通，能够为主讲教师脚本设计提供优质的展现形式，协助教师梳理知识点、收集整理相关资料</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rPr>
        <w:t>制作团队完整负责课程拍摄以及后期制作(剪辑、修改、特效、包装、动画制作、录音合成、字幕),直至主讲教师审核通过。并确保所制作的资源在技术层面与国家主流MOOC平台相兼容，制作团队必须做好该</w:t>
      </w:r>
      <w:r>
        <w:rPr>
          <w:rFonts w:hint="eastAsia" w:ascii="仿宋" w:hAnsi="仿宋" w:eastAsia="仿宋" w:cs="仿宋"/>
          <w:spacing w:val="-5"/>
          <w:sz w:val="24"/>
          <w:szCs w:val="24"/>
          <w:lang w:val="en-US" w:eastAsia="zh-CN"/>
        </w:rPr>
        <w:t>项目</w:t>
      </w:r>
      <w:r>
        <w:rPr>
          <w:rFonts w:hint="eastAsia" w:ascii="仿宋" w:hAnsi="仿宋" w:eastAsia="仿宋" w:cs="仿宋"/>
          <w:spacing w:val="-5"/>
          <w:sz w:val="24"/>
          <w:szCs w:val="24"/>
        </w:rPr>
        <w:t>的管理和服务工作。</w:t>
      </w:r>
    </w:p>
    <w:p w14:paraId="03939449">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lang w:val="en-US" w:eastAsia="zh-CN"/>
        </w:rPr>
        <w:t>（8）</w:t>
      </w:r>
      <w:r>
        <w:rPr>
          <w:rFonts w:hint="eastAsia" w:ascii="仿宋" w:hAnsi="仿宋" w:eastAsia="仿宋" w:cs="仿宋"/>
          <w:spacing w:val="-5"/>
          <w:sz w:val="24"/>
          <w:szCs w:val="24"/>
        </w:rPr>
        <w:t>拍摄场地及人员的要求</w:t>
      </w:r>
    </w:p>
    <w:p w14:paraId="4912D1BB">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highlight w:val="none"/>
        </w:rPr>
      </w:pPr>
      <w:r>
        <w:rPr>
          <w:rFonts w:hint="eastAsia" w:ascii="仿宋" w:hAnsi="仿宋" w:eastAsia="仿宋" w:cs="仿宋"/>
          <w:spacing w:val="-5"/>
          <w:sz w:val="24"/>
          <w:szCs w:val="24"/>
          <w:highlight w:val="none"/>
        </w:rPr>
        <w:t>★</w:t>
      </w:r>
      <w:r>
        <w:rPr>
          <w:rFonts w:hint="eastAsia" w:ascii="仿宋" w:hAnsi="仿宋" w:eastAsia="仿宋" w:cs="仿宋"/>
          <w:spacing w:val="-5"/>
          <w:sz w:val="24"/>
          <w:szCs w:val="24"/>
          <w:highlight w:val="none"/>
          <w:lang w:val="en-US" w:eastAsia="zh-CN"/>
        </w:rPr>
        <w:t>8.1供应商</w:t>
      </w:r>
      <w:r>
        <w:rPr>
          <w:rFonts w:hint="eastAsia" w:ascii="仿宋" w:hAnsi="仿宋" w:eastAsia="仿宋" w:cs="仿宋"/>
          <w:spacing w:val="-5"/>
          <w:sz w:val="24"/>
          <w:szCs w:val="24"/>
          <w:highlight w:val="none"/>
        </w:rPr>
        <w:t>需根据微课及视频拍摄的需求，提供专业拍摄场地或在采购方指定的地点搭设包括背景屏幕、提词器、专业录像(录</w:t>
      </w:r>
      <w:r>
        <w:rPr>
          <w:rFonts w:hint="eastAsia" w:ascii="仿宋" w:hAnsi="仿宋" w:eastAsia="仿宋" w:cs="仿宋"/>
          <w:spacing w:val="-5"/>
          <w:sz w:val="24"/>
          <w:szCs w:val="24"/>
          <w:highlight w:val="none"/>
          <w:lang w:val="en-US" w:eastAsia="zh-CN"/>
        </w:rPr>
        <w:t>音</w:t>
      </w:r>
      <w:r>
        <w:rPr>
          <w:rFonts w:hint="eastAsia" w:ascii="仿宋" w:hAnsi="仿宋" w:eastAsia="仿宋" w:cs="仿宋"/>
          <w:spacing w:val="-5"/>
          <w:sz w:val="24"/>
          <w:szCs w:val="24"/>
          <w:highlight w:val="none"/>
        </w:rPr>
        <w:t>)设备、灯光和相关控制设备的专业录影棚，</w:t>
      </w:r>
      <w:r>
        <w:rPr>
          <w:rFonts w:hint="eastAsia" w:ascii="仿宋" w:hAnsi="仿宋" w:eastAsia="仿宋" w:cs="仿宋"/>
          <w:spacing w:val="-5"/>
          <w:sz w:val="24"/>
          <w:szCs w:val="24"/>
          <w:highlight w:val="none"/>
          <w:lang w:val="en-US" w:eastAsia="zh-CN"/>
        </w:rPr>
        <w:t>录</w:t>
      </w:r>
      <w:r>
        <w:rPr>
          <w:rFonts w:hint="eastAsia" w:ascii="仿宋" w:hAnsi="仿宋" w:eastAsia="仿宋" w:cs="仿宋"/>
          <w:spacing w:val="-5"/>
          <w:sz w:val="24"/>
          <w:szCs w:val="24"/>
          <w:highlight w:val="none"/>
        </w:rPr>
        <w:t>影棚环境应能满</w:t>
      </w:r>
      <w:r>
        <w:rPr>
          <w:rFonts w:hint="eastAsia" w:ascii="仿宋" w:hAnsi="仿宋" w:eastAsia="仿宋" w:cs="仿宋"/>
          <w:spacing w:val="-5"/>
          <w:sz w:val="24"/>
          <w:szCs w:val="24"/>
          <w:highlight w:val="none"/>
          <w:lang w:eastAsia="zh-CN"/>
        </w:rPr>
        <w:t>足</w:t>
      </w:r>
      <w:r>
        <w:rPr>
          <w:rFonts w:hint="eastAsia" w:ascii="仿宋" w:hAnsi="仿宋" w:eastAsia="仿宋" w:cs="仿宋"/>
          <w:spacing w:val="-5"/>
          <w:sz w:val="24"/>
          <w:szCs w:val="24"/>
          <w:highlight w:val="none"/>
        </w:rPr>
        <w:t>专业视频拍摄要求，并承诺在合同期内免费提供课程拍摄使用，</w:t>
      </w:r>
      <w:r>
        <w:rPr>
          <w:rFonts w:hint="eastAsia" w:ascii="仿宋" w:hAnsi="仿宋" w:eastAsia="仿宋" w:cs="仿宋"/>
          <w:spacing w:val="-5"/>
          <w:sz w:val="24"/>
          <w:szCs w:val="24"/>
          <w:lang w:val="en-US" w:eastAsia="zh-CN"/>
        </w:rPr>
        <w:t>供应商</w:t>
      </w:r>
      <w:r>
        <w:rPr>
          <w:rFonts w:hint="eastAsia" w:ascii="仿宋" w:hAnsi="仿宋" w:eastAsia="仿宋" w:cs="仿宋"/>
          <w:spacing w:val="-5"/>
          <w:sz w:val="24"/>
          <w:szCs w:val="24"/>
          <w:highlight w:val="none"/>
        </w:rPr>
        <w:t>报价需提供录影棚</w:t>
      </w:r>
      <w:r>
        <w:rPr>
          <w:rFonts w:hint="eastAsia" w:ascii="仿宋" w:hAnsi="仿宋" w:eastAsia="仿宋" w:cs="仿宋"/>
          <w:spacing w:val="-5"/>
          <w:sz w:val="24"/>
          <w:szCs w:val="24"/>
          <w:highlight w:val="none"/>
          <w:lang w:val="en-US" w:eastAsia="zh-CN"/>
        </w:rPr>
        <w:t>采购设备清单</w:t>
      </w:r>
      <w:r>
        <w:rPr>
          <w:rFonts w:hint="eastAsia" w:ascii="仿宋" w:hAnsi="仿宋" w:eastAsia="仿宋" w:cs="仿宋"/>
          <w:spacing w:val="-5"/>
          <w:sz w:val="24"/>
          <w:szCs w:val="24"/>
          <w:highlight w:val="none"/>
        </w:rPr>
        <w:t>。</w:t>
      </w:r>
    </w:p>
    <w:p w14:paraId="1CA9EC69">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lang w:val="en-US" w:eastAsia="zh-CN"/>
        </w:rPr>
        <w:t>8.2供应商</w:t>
      </w:r>
      <w:r>
        <w:rPr>
          <w:rFonts w:hint="eastAsia" w:ascii="仿宋" w:hAnsi="仿宋" w:eastAsia="仿宋" w:cs="仿宋"/>
          <w:spacing w:val="-5"/>
          <w:sz w:val="24"/>
          <w:szCs w:val="24"/>
        </w:rPr>
        <w:t>需根据采购方对于微课及视频的实际教学要求，提出合理建议，共同确定符合课程特点的表现形式，包括但不限于绿幕抠像、现场实录、视频讲座等形式。</w:t>
      </w:r>
    </w:p>
    <w:p w14:paraId="6E053E42">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lang w:val="en-US" w:eastAsia="zh-CN"/>
        </w:rPr>
        <w:t>8.3供应商</w:t>
      </w:r>
      <w:r>
        <w:rPr>
          <w:rFonts w:hint="eastAsia" w:ascii="仿宋" w:hAnsi="仿宋" w:eastAsia="仿宋" w:cs="仿宋"/>
          <w:spacing w:val="-5"/>
          <w:sz w:val="24"/>
          <w:szCs w:val="24"/>
        </w:rPr>
        <w:t>需提供在线开放课程建设咨询指导，并指派专人负责辅助采购方教师进行课程介绍、课程标准、教学日历、课程导学、教学视频、教学资料、团队介绍、课堂讨论、测验、作业、试卷、考核办法、拓展资源等课程运行</w:t>
      </w:r>
      <w:r>
        <w:rPr>
          <w:rFonts w:hint="eastAsia" w:ascii="仿宋" w:hAnsi="仿宋" w:eastAsia="仿宋" w:cs="仿宋"/>
          <w:spacing w:val="-5"/>
          <w:sz w:val="24"/>
          <w:szCs w:val="24"/>
          <w:lang w:eastAsia="zh-CN"/>
        </w:rPr>
        <w:t>所必需的</w:t>
      </w:r>
      <w:r>
        <w:rPr>
          <w:rFonts w:hint="eastAsia" w:ascii="仿宋" w:hAnsi="仿宋" w:eastAsia="仿宋" w:cs="仿宋"/>
          <w:spacing w:val="-5"/>
          <w:sz w:val="24"/>
          <w:szCs w:val="24"/>
        </w:rPr>
        <w:t>相关课程材料的收集、整理、美化、上传等工作，保障课程顺利上线运行。</w:t>
      </w:r>
    </w:p>
    <w:p w14:paraId="7B4F98CF">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lang w:val="en-US" w:eastAsia="zh-CN"/>
        </w:rPr>
        <w:t>8.4供应商</w:t>
      </w:r>
      <w:r>
        <w:rPr>
          <w:rFonts w:hint="eastAsia" w:ascii="仿宋" w:hAnsi="仿宋" w:eastAsia="仿宋" w:cs="仿宋"/>
          <w:spacing w:val="-5"/>
          <w:sz w:val="24"/>
          <w:szCs w:val="24"/>
        </w:rPr>
        <w:t>需承诺为录影棚配备专职的专业拍摄人员，接到采购方拍摄通知60分钟内响应，8小时相关技术人员到达服务地点。</w:t>
      </w:r>
    </w:p>
    <w:p w14:paraId="5E6862E5">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lang w:val="en-US" w:eastAsia="zh-CN"/>
        </w:rPr>
        <w:t>8.5供应商</w:t>
      </w:r>
      <w:r>
        <w:rPr>
          <w:rFonts w:hint="eastAsia" w:ascii="仿宋" w:hAnsi="仿宋" w:eastAsia="仿宋" w:cs="仿宋"/>
          <w:spacing w:val="-5"/>
          <w:sz w:val="24"/>
          <w:szCs w:val="24"/>
        </w:rPr>
        <w:t xml:space="preserve">为参与视频录制的人员提供专业化妆服务，以达到优质的拍摄效果。 </w:t>
      </w:r>
    </w:p>
    <w:p w14:paraId="1BBE6189">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lang w:val="en-US" w:eastAsia="zh-CN"/>
        </w:rPr>
        <w:t>8.6供应商</w:t>
      </w:r>
      <w:r>
        <w:rPr>
          <w:rFonts w:hint="eastAsia" w:ascii="仿宋" w:hAnsi="仿宋" w:eastAsia="仿宋" w:cs="仿宋"/>
          <w:spacing w:val="-5"/>
          <w:sz w:val="24"/>
          <w:szCs w:val="24"/>
        </w:rPr>
        <w:t>需安排专业人员，对采购方提供的授课 PPT 课件进行美化处理，以适应视频拍摄的需求。</w:t>
      </w:r>
    </w:p>
    <w:p w14:paraId="648A1D59">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lang w:val="en-US" w:eastAsia="zh-CN"/>
        </w:rPr>
        <w:t>8.7供应商</w:t>
      </w:r>
      <w:r>
        <w:rPr>
          <w:rFonts w:hint="eastAsia" w:ascii="仿宋" w:hAnsi="仿宋" w:eastAsia="仿宋" w:cs="仿宋"/>
          <w:spacing w:val="-5"/>
          <w:sz w:val="24"/>
          <w:szCs w:val="24"/>
        </w:rPr>
        <w:t>需安排专职人员对采购方编写脚本进行指导，24小时响应咨询需求，并对视频拍摄对象进行必要的语言、语音、动作的指导。为老师开至少1-2次 (具体次数需根据拍摄情况确定)的</w:t>
      </w:r>
      <w:r>
        <w:rPr>
          <w:rFonts w:hint="eastAsia" w:ascii="仿宋" w:hAnsi="仿宋" w:eastAsia="仿宋" w:cs="仿宋"/>
          <w:spacing w:val="-5"/>
          <w:sz w:val="24"/>
          <w:szCs w:val="24"/>
          <w:lang w:val="en-US" w:eastAsia="zh-CN"/>
        </w:rPr>
        <w:t>视频</w:t>
      </w:r>
      <w:r>
        <w:rPr>
          <w:rFonts w:hint="eastAsia" w:ascii="仿宋" w:hAnsi="仿宋" w:eastAsia="仿宋" w:cs="仿宋"/>
          <w:spacing w:val="-5"/>
          <w:sz w:val="24"/>
          <w:szCs w:val="24"/>
        </w:rPr>
        <w:t>录制、脚本编写讲座、指导课程；和老师展开至少2</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rPr>
        <w:t>3次(具体次数需根据拍摄情况确定)的视频录制、脚本制作的讨论分析，每次不少于2小时。</w:t>
      </w:r>
    </w:p>
    <w:p w14:paraId="26465D6D">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lang w:val="en-US" w:eastAsia="zh-CN"/>
        </w:rPr>
        <w:t>8.8供应商</w:t>
      </w:r>
      <w:r>
        <w:rPr>
          <w:rFonts w:hint="eastAsia" w:ascii="仿宋" w:hAnsi="仿宋" w:eastAsia="仿宋" w:cs="仿宋"/>
          <w:spacing w:val="-5"/>
          <w:sz w:val="24"/>
          <w:szCs w:val="24"/>
        </w:rPr>
        <w:t>应设置一名专职负责人员负责与采购方进行与项目相关的所有事项的沟通工作。沟通工作包括所</w:t>
      </w:r>
      <w:r>
        <w:rPr>
          <w:rFonts w:hint="eastAsia" w:ascii="仿宋" w:hAnsi="仿宋" w:eastAsia="仿宋" w:cs="仿宋"/>
          <w:spacing w:val="-5"/>
          <w:sz w:val="24"/>
          <w:szCs w:val="24"/>
          <w:lang w:val="en-US" w:eastAsia="zh-CN"/>
        </w:rPr>
        <w:t>涉及</w:t>
      </w:r>
      <w:r>
        <w:rPr>
          <w:rFonts w:hint="eastAsia" w:ascii="仿宋" w:hAnsi="仿宋" w:eastAsia="仿宋" w:cs="仿宋"/>
          <w:spacing w:val="-5"/>
          <w:sz w:val="24"/>
          <w:szCs w:val="24"/>
        </w:rPr>
        <w:t>的</w:t>
      </w:r>
      <w:r>
        <w:rPr>
          <w:rFonts w:hint="eastAsia" w:ascii="仿宋" w:hAnsi="仿宋" w:eastAsia="仿宋" w:cs="仿宋"/>
          <w:spacing w:val="-5"/>
          <w:sz w:val="24"/>
          <w:szCs w:val="24"/>
          <w:lang w:val="en-US" w:eastAsia="zh-CN"/>
        </w:rPr>
        <w:t>供应商</w:t>
      </w:r>
      <w:r>
        <w:rPr>
          <w:rFonts w:hint="eastAsia" w:ascii="仿宋" w:hAnsi="仿宋" w:eastAsia="仿宋" w:cs="仿宋"/>
          <w:spacing w:val="-5"/>
          <w:sz w:val="24"/>
          <w:szCs w:val="24"/>
        </w:rPr>
        <w:t>的各种专业人员，及其他</w:t>
      </w:r>
      <w:r>
        <w:rPr>
          <w:rFonts w:hint="eastAsia" w:ascii="仿宋" w:hAnsi="仿宋" w:eastAsia="仿宋" w:cs="仿宋"/>
          <w:spacing w:val="-5"/>
          <w:sz w:val="24"/>
          <w:szCs w:val="24"/>
          <w:lang w:eastAsia="zh-CN"/>
        </w:rPr>
        <w:t>涉及的</w:t>
      </w:r>
      <w:r>
        <w:rPr>
          <w:rFonts w:hint="eastAsia" w:ascii="仿宋" w:hAnsi="仿宋" w:eastAsia="仿宋" w:cs="仿宋"/>
          <w:spacing w:val="-5"/>
          <w:sz w:val="24"/>
          <w:szCs w:val="24"/>
        </w:rPr>
        <w:t>人员沟通和设备调配使用的相关</w:t>
      </w:r>
      <w:r>
        <w:rPr>
          <w:rFonts w:hint="eastAsia" w:ascii="仿宋" w:hAnsi="仿宋" w:eastAsia="仿宋" w:cs="仿宋"/>
          <w:spacing w:val="-5"/>
          <w:sz w:val="24"/>
          <w:szCs w:val="24"/>
          <w:lang w:val="en-US" w:eastAsia="zh-CN"/>
        </w:rPr>
        <w:t>事宜</w:t>
      </w:r>
      <w:r>
        <w:rPr>
          <w:rFonts w:hint="eastAsia" w:ascii="仿宋" w:hAnsi="仿宋" w:eastAsia="仿宋" w:cs="仿宋"/>
          <w:spacing w:val="-5"/>
          <w:sz w:val="24"/>
          <w:szCs w:val="24"/>
        </w:rPr>
        <w:t>。</w:t>
      </w:r>
    </w:p>
    <w:p w14:paraId="41304566">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lang w:val="en-US" w:eastAsia="zh-CN"/>
        </w:rPr>
        <w:t>（9）</w:t>
      </w:r>
      <w:r>
        <w:rPr>
          <w:rFonts w:hint="eastAsia" w:ascii="仿宋" w:hAnsi="仿宋" w:eastAsia="仿宋" w:cs="仿宋"/>
          <w:spacing w:val="-5"/>
          <w:sz w:val="24"/>
          <w:szCs w:val="24"/>
        </w:rPr>
        <w:t>课程设计要求</w:t>
      </w:r>
    </w:p>
    <w:p w14:paraId="4D986A21">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lang w:val="en-US" w:eastAsia="zh-CN"/>
        </w:rPr>
        <w:t>9.1</w:t>
      </w:r>
      <w:r>
        <w:rPr>
          <w:rFonts w:hint="eastAsia" w:ascii="仿宋" w:hAnsi="仿宋" w:eastAsia="仿宋" w:cs="仿宋"/>
          <w:spacing w:val="-5"/>
          <w:sz w:val="24"/>
          <w:szCs w:val="24"/>
        </w:rPr>
        <w:t>中标方需安排课程编导同课程负责人根据课程标准制定整体教学设计。</w:t>
      </w:r>
    </w:p>
    <w:p w14:paraId="72952871">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lang w:val="en-US" w:eastAsia="zh-CN"/>
        </w:rPr>
        <w:t>9.2</w:t>
      </w:r>
      <w:r>
        <w:rPr>
          <w:rFonts w:hint="eastAsia" w:ascii="仿宋" w:hAnsi="仿宋" w:eastAsia="仿宋" w:cs="仿宋"/>
          <w:spacing w:val="-5"/>
          <w:sz w:val="24"/>
          <w:szCs w:val="24"/>
        </w:rPr>
        <w:t>以知识点或技能点为基础组织拍摄教学内容，教学视频内容为8-15分钟，超过15分钟的，可分段制作。每门课程需要</w:t>
      </w:r>
      <w:r>
        <w:rPr>
          <w:rFonts w:hint="eastAsia" w:ascii="仿宋" w:hAnsi="仿宋" w:eastAsia="仿宋" w:cs="仿宋"/>
          <w:spacing w:val="-5"/>
          <w:sz w:val="24"/>
          <w:szCs w:val="24"/>
          <w:lang w:val="en-US" w:eastAsia="zh-CN"/>
        </w:rPr>
        <w:t>1</w:t>
      </w:r>
      <w:r>
        <w:rPr>
          <w:rFonts w:hint="eastAsia" w:ascii="仿宋" w:hAnsi="仿宋" w:eastAsia="仿宋" w:cs="仿宋"/>
          <w:spacing w:val="-5"/>
          <w:sz w:val="24"/>
          <w:szCs w:val="24"/>
        </w:rPr>
        <w:t>到3个不同拍摄场景。</w:t>
      </w:r>
    </w:p>
    <w:p w14:paraId="55FCEC74">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lang w:val="en-US" w:eastAsia="zh-CN"/>
        </w:rPr>
        <w:t>9.3</w:t>
      </w:r>
      <w:r>
        <w:rPr>
          <w:rFonts w:hint="eastAsia" w:ascii="仿宋" w:hAnsi="仿宋" w:eastAsia="仿宋" w:cs="仿宋"/>
          <w:spacing w:val="-5"/>
          <w:sz w:val="24"/>
          <w:szCs w:val="24"/>
        </w:rPr>
        <w:t>录制前应对授课过程中使用的</w:t>
      </w:r>
      <w:r>
        <w:rPr>
          <w:rFonts w:hint="eastAsia" w:ascii="仿宋" w:hAnsi="仿宋" w:eastAsia="仿宋" w:cs="仿宋"/>
          <w:spacing w:val="-5"/>
          <w:sz w:val="24"/>
          <w:szCs w:val="24"/>
          <w:lang w:val="en-US" w:eastAsia="zh-CN"/>
        </w:rPr>
        <w:t>多媒体</w:t>
      </w:r>
      <w:r>
        <w:rPr>
          <w:rFonts w:hint="eastAsia" w:ascii="仿宋" w:hAnsi="仿宋" w:eastAsia="仿宋" w:cs="仿宋"/>
          <w:spacing w:val="-5"/>
          <w:sz w:val="24"/>
          <w:szCs w:val="24"/>
        </w:rPr>
        <w:t>课件 (PPT</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rPr>
        <w:t>音视频、动画等)认真检查，确保内容无误</w:t>
      </w:r>
      <w:r>
        <w:rPr>
          <w:rFonts w:hint="eastAsia" w:ascii="仿宋" w:hAnsi="仿宋" w:eastAsia="仿宋" w:cs="仿宋"/>
          <w:spacing w:val="-5"/>
          <w:sz w:val="24"/>
          <w:szCs w:val="24"/>
          <w:lang w:eastAsia="zh-CN"/>
        </w:rPr>
        <w:t>，排版</w:t>
      </w:r>
      <w:r>
        <w:rPr>
          <w:rFonts w:hint="eastAsia" w:ascii="仿宋" w:hAnsi="仿宋" w:eastAsia="仿宋" w:cs="仿宋"/>
          <w:spacing w:val="-5"/>
          <w:sz w:val="24"/>
          <w:szCs w:val="24"/>
        </w:rPr>
        <w:t>格式规范，版面</w:t>
      </w:r>
      <w:r>
        <w:rPr>
          <w:rFonts w:hint="eastAsia" w:ascii="仿宋" w:hAnsi="仿宋" w:eastAsia="仿宋" w:cs="仿宋"/>
          <w:spacing w:val="-5"/>
          <w:sz w:val="24"/>
          <w:szCs w:val="24"/>
          <w:lang w:val="en-US" w:eastAsia="zh-CN"/>
        </w:rPr>
        <w:t>简洁</w:t>
      </w:r>
      <w:r>
        <w:rPr>
          <w:rFonts w:hint="eastAsia" w:ascii="仿宋" w:hAnsi="仿宋" w:eastAsia="仿宋" w:cs="仿宋"/>
          <w:spacing w:val="-5"/>
          <w:sz w:val="24"/>
          <w:szCs w:val="24"/>
        </w:rPr>
        <w:t>清晰，符合拍摄要求。</w:t>
      </w:r>
    </w:p>
    <w:p w14:paraId="4D6AF877">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lang w:val="en-US" w:eastAsia="zh-CN"/>
        </w:rPr>
      </w:pPr>
      <w:r>
        <w:rPr>
          <w:rFonts w:hint="eastAsia" w:ascii="仿宋" w:hAnsi="仿宋" w:eastAsia="仿宋" w:cs="仿宋"/>
          <w:spacing w:val="-5"/>
          <w:sz w:val="24"/>
          <w:szCs w:val="24"/>
          <w:lang w:val="en-US" w:eastAsia="zh-CN"/>
        </w:rPr>
        <w:t>9.4</w:t>
      </w:r>
      <w:r>
        <w:rPr>
          <w:rFonts w:hint="eastAsia" w:ascii="仿宋" w:hAnsi="仿宋" w:eastAsia="仿宋" w:cs="仿宋"/>
          <w:spacing w:val="-5"/>
          <w:sz w:val="24"/>
          <w:szCs w:val="24"/>
        </w:rPr>
        <w:t>在相接时应针对实际情况选择适当的</w:t>
      </w:r>
      <w:r>
        <w:rPr>
          <w:rFonts w:hint="eastAsia" w:ascii="仿宋" w:hAnsi="仿宋" w:eastAsia="仿宋" w:cs="仿宋"/>
          <w:spacing w:val="-5"/>
          <w:sz w:val="24"/>
          <w:szCs w:val="24"/>
          <w:lang w:val="en-US" w:eastAsia="zh-CN"/>
        </w:rPr>
        <w:t>拍摄</w:t>
      </w:r>
      <w:r>
        <w:rPr>
          <w:rFonts w:hint="eastAsia" w:ascii="仿宋" w:hAnsi="仿宋" w:eastAsia="仿宋" w:cs="仿宋"/>
          <w:spacing w:val="-5"/>
          <w:sz w:val="24"/>
          <w:szCs w:val="24"/>
        </w:rPr>
        <w:t>方式，与后期制作统筹策划，确保成片中的多媒体演示及板书完整、清晰</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lang w:val="en-US" w:eastAsia="zh-CN"/>
        </w:rPr>
        <w:t xml:space="preserve">  </w:t>
      </w:r>
    </w:p>
    <w:p w14:paraId="50234699">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lang w:val="en-US" w:eastAsia="zh-CN"/>
        </w:rPr>
        <w:t>9.5</w:t>
      </w:r>
      <w:r>
        <w:rPr>
          <w:rFonts w:hint="eastAsia" w:ascii="仿宋" w:hAnsi="仿宋" w:eastAsia="仿宋" w:cs="仿宋"/>
          <w:spacing w:val="-5"/>
          <w:sz w:val="24"/>
          <w:szCs w:val="24"/>
        </w:rPr>
        <w:t>中标方课程编导与课程教师按课程章节</w:t>
      </w:r>
      <w:r>
        <w:rPr>
          <w:rFonts w:hint="eastAsia" w:ascii="仿宋" w:hAnsi="仿宋" w:eastAsia="仿宋" w:cs="仿宋"/>
          <w:spacing w:val="-5"/>
          <w:sz w:val="24"/>
          <w:szCs w:val="24"/>
          <w:lang w:eastAsia="zh-CN"/>
        </w:rPr>
        <w:t>和知识点</w:t>
      </w:r>
      <w:r>
        <w:rPr>
          <w:rFonts w:hint="eastAsia" w:ascii="仿宋" w:hAnsi="仿宋" w:eastAsia="仿宋" w:cs="仿宋"/>
          <w:spacing w:val="-5"/>
          <w:sz w:val="24"/>
          <w:szCs w:val="24"/>
        </w:rPr>
        <w:t>，收集材料如；PPT、视频、文档、老师资料以及一些辅助课程的拓展资料。与主讲老师商定微课内容设计、章节及知识点切割及时间的把控，制作课程脚本。</w:t>
      </w:r>
    </w:p>
    <w:p w14:paraId="2442E7EF">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lang w:val="en-US" w:eastAsia="zh-CN"/>
        </w:rPr>
        <w:t>9.6</w:t>
      </w:r>
      <w:r>
        <w:rPr>
          <w:rFonts w:hint="eastAsia" w:ascii="仿宋" w:hAnsi="仿宋" w:eastAsia="仿宋" w:cs="仿宋"/>
          <w:spacing w:val="-5"/>
          <w:sz w:val="24"/>
          <w:szCs w:val="24"/>
        </w:rPr>
        <w:t>课程编导与课程教师确定拍摄章节和知识点，根据课程内容进行策划制作效果，选择场地、布置现场、服装搭配</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rPr>
        <w:t>协调拍摄注意事项等问题。</w:t>
      </w:r>
    </w:p>
    <w:p w14:paraId="09C4F375">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lang w:eastAsia="zh-CN"/>
        </w:rPr>
        <w:t>（</w:t>
      </w:r>
      <w:r>
        <w:rPr>
          <w:rFonts w:hint="eastAsia" w:ascii="仿宋" w:hAnsi="仿宋" w:eastAsia="仿宋" w:cs="仿宋"/>
          <w:spacing w:val="-5"/>
          <w:sz w:val="24"/>
          <w:szCs w:val="24"/>
          <w:lang w:val="en-US" w:eastAsia="zh-CN"/>
        </w:rPr>
        <w:t>10</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rPr>
        <w:t>后期制作要求</w:t>
      </w:r>
    </w:p>
    <w:p w14:paraId="6788C56B">
      <w:pPr>
        <w:keepNext w:val="0"/>
        <w:keepLines w:val="0"/>
        <w:pageBreakBefore w:val="0"/>
        <w:widowControl w:val="0"/>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lang w:val="en-US" w:eastAsia="zh-CN"/>
        </w:rPr>
        <w:t>10.1</w:t>
      </w:r>
      <w:r>
        <w:rPr>
          <w:rFonts w:hint="eastAsia" w:ascii="仿宋" w:hAnsi="仿宋" w:eastAsia="仿宋" w:cs="仿宋"/>
          <w:spacing w:val="-5"/>
          <w:sz w:val="24"/>
          <w:szCs w:val="24"/>
        </w:rPr>
        <w:t>使用专业的非线性编辑系统对源视频进行最基本的处理(如剪辑、抠像、颜色校正、双声道处理)。</w:t>
      </w:r>
    </w:p>
    <w:p w14:paraId="542628B7">
      <w:pPr>
        <w:keepNext w:val="0"/>
        <w:keepLines w:val="0"/>
        <w:pageBreakBefore w:val="0"/>
        <w:widowControl w:val="0"/>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lang w:val="en-US" w:eastAsia="zh-CN"/>
        </w:rPr>
        <w:t>10.2</w:t>
      </w:r>
      <w:r>
        <w:rPr>
          <w:rFonts w:hint="eastAsia" w:ascii="仿宋" w:hAnsi="仿宋" w:eastAsia="仿宋" w:cs="仿宋"/>
          <w:spacing w:val="-5"/>
          <w:sz w:val="24"/>
          <w:szCs w:val="24"/>
        </w:rPr>
        <w:t>声音和画面要求同步，无交流声或其他杂音等缺陷，无明显失真、放音过冲、过弱。伴音清晰、</w:t>
      </w:r>
      <w:r>
        <w:rPr>
          <w:rFonts w:hint="eastAsia" w:ascii="仿宋" w:hAnsi="仿宋" w:eastAsia="仿宋" w:cs="仿宋"/>
          <w:spacing w:val="-5"/>
          <w:sz w:val="24"/>
          <w:szCs w:val="24"/>
          <w:lang w:val="en-US" w:eastAsia="zh-CN"/>
        </w:rPr>
        <w:t>饱满</w:t>
      </w:r>
      <w:r>
        <w:rPr>
          <w:rFonts w:hint="eastAsia" w:ascii="仿宋" w:hAnsi="仿宋" w:eastAsia="仿宋" w:cs="仿宋"/>
          <w:spacing w:val="-5"/>
          <w:sz w:val="24"/>
          <w:szCs w:val="24"/>
        </w:rPr>
        <w:t>、圆润，无失真、噪声杂音</w:t>
      </w:r>
      <w:r>
        <w:rPr>
          <w:rFonts w:hint="eastAsia" w:ascii="仿宋" w:hAnsi="仿宋" w:eastAsia="仿宋" w:cs="仿宋"/>
          <w:spacing w:val="-5"/>
          <w:sz w:val="24"/>
          <w:szCs w:val="24"/>
          <w:lang w:val="en-US" w:eastAsia="zh-CN"/>
        </w:rPr>
        <w:t>干</w:t>
      </w:r>
      <w:r>
        <w:rPr>
          <w:rFonts w:hint="eastAsia" w:ascii="仿宋" w:hAnsi="仿宋" w:eastAsia="仿宋" w:cs="仿宋"/>
          <w:spacing w:val="-5"/>
          <w:sz w:val="24"/>
          <w:szCs w:val="24"/>
        </w:rPr>
        <w:t>扰、音量忽大忽小现象。解说声与现场声、背景音乐无明显比例失调。音频信噪比不低于48dB。</w:t>
      </w:r>
    </w:p>
    <w:p w14:paraId="543BF5AC">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lang w:val="en-US" w:eastAsia="zh-CN"/>
        </w:rPr>
        <w:t>10.3</w:t>
      </w:r>
      <w:r>
        <w:rPr>
          <w:rFonts w:hint="eastAsia" w:ascii="仿宋" w:hAnsi="仿宋" w:eastAsia="仿宋" w:cs="仿宋"/>
          <w:spacing w:val="-5"/>
          <w:sz w:val="24"/>
          <w:szCs w:val="24"/>
        </w:rPr>
        <w:t>后期特效保证画面美观、色彩真实，符合摄影构图规则。老师视频必须具备人物特写、知识点特效展示、人物中景等场景。场景切换自然流畅，色彩无突变，画面无</w:t>
      </w:r>
      <w:r>
        <w:rPr>
          <w:rFonts w:hint="eastAsia" w:ascii="仿宋" w:hAnsi="仿宋" w:eastAsia="仿宋" w:cs="仿宋"/>
          <w:spacing w:val="-5"/>
          <w:sz w:val="24"/>
          <w:szCs w:val="24"/>
          <w:lang w:val="en-US" w:eastAsia="zh-CN"/>
        </w:rPr>
        <w:t>晃动</w:t>
      </w:r>
      <w:r>
        <w:rPr>
          <w:rFonts w:hint="eastAsia" w:ascii="仿宋" w:hAnsi="仿宋" w:eastAsia="仿宋" w:cs="仿宋"/>
          <w:spacing w:val="-5"/>
          <w:sz w:val="24"/>
          <w:szCs w:val="24"/>
        </w:rPr>
        <w:t>、抖动、模糊聚焦和镜头频</w:t>
      </w:r>
      <w:r>
        <w:rPr>
          <w:rFonts w:hint="eastAsia" w:ascii="仿宋" w:hAnsi="仿宋" w:eastAsia="仿宋" w:cs="仿宋"/>
          <w:spacing w:val="-5"/>
          <w:sz w:val="24"/>
          <w:szCs w:val="24"/>
          <w:lang w:val="en-US" w:eastAsia="zh-CN"/>
        </w:rPr>
        <w:t>繁</w:t>
      </w:r>
      <w:r>
        <w:rPr>
          <w:rFonts w:hint="eastAsia" w:ascii="仿宋" w:hAnsi="仿宋" w:eastAsia="仿宋" w:cs="仿宋"/>
          <w:spacing w:val="-5"/>
          <w:sz w:val="24"/>
          <w:szCs w:val="24"/>
        </w:rPr>
        <w:t>拉伸等。</w:t>
      </w:r>
    </w:p>
    <w:p w14:paraId="7D1B413E">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lang w:val="en-US" w:eastAsia="zh-CN"/>
        </w:rPr>
        <w:t>10.4</w:t>
      </w:r>
      <w:r>
        <w:rPr>
          <w:rFonts w:hint="eastAsia" w:ascii="仿宋" w:hAnsi="仿宋" w:eastAsia="仿宋" w:cs="仿宋"/>
          <w:spacing w:val="-5"/>
          <w:sz w:val="24"/>
          <w:szCs w:val="24"/>
        </w:rPr>
        <w:t>根据编导脚本进行编辑片花和引文中的背景板、特定的背景音乐、音乐场景特效、引文字体、字体颜色、构图排版、转场</w:t>
      </w:r>
      <w:r>
        <w:rPr>
          <w:rFonts w:hint="eastAsia" w:ascii="仿宋" w:hAnsi="仿宋" w:eastAsia="仿宋" w:cs="仿宋"/>
          <w:spacing w:val="-5"/>
          <w:sz w:val="24"/>
          <w:szCs w:val="24"/>
          <w:lang w:eastAsia="zh-CN"/>
        </w:rPr>
        <w:t>特效</w:t>
      </w:r>
      <w:r>
        <w:rPr>
          <w:rFonts w:hint="eastAsia" w:ascii="仿宋" w:hAnsi="仿宋" w:eastAsia="仿宋" w:cs="仿宋"/>
          <w:spacing w:val="-5"/>
          <w:sz w:val="24"/>
          <w:szCs w:val="24"/>
        </w:rPr>
        <w:t>、</w:t>
      </w:r>
      <w:r>
        <w:rPr>
          <w:rFonts w:hint="eastAsia" w:ascii="仿宋" w:hAnsi="仿宋" w:eastAsia="仿宋" w:cs="仿宋"/>
          <w:spacing w:val="-5"/>
          <w:sz w:val="24"/>
          <w:szCs w:val="24"/>
          <w:lang w:eastAsia="zh-CN"/>
        </w:rPr>
        <w:t>基本</w:t>
      </w:r>
      <w:r>
        <w:rPr>
          <w:rFonts w:hint="eastAsia" w:ascii="仿宋" w:hAnsi="仿宋" w:eastAsia="仿宋" w:cs="仿宋"/>
          <w:spacing w:val="-5"/>
          <w:sz w:val="24"/>
          <w:szCs w:val="24"/>
        </w:rPr>
        <w:t>剪辑、音视频调整与衔接工作。</w:t>
      </w:r>
    </w:p>
    <w:p w14:paraId="632A9686">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lang w:val="en-US" w:eastAsia="zh-CN"/>
        </w:rPr>
        <w:t>10.5</w:t>
      </w:r>
      <w:r>
        <w:rPr>
          <w:rFonts w:hint="eastAsia" w:ascii="仿宋" w:hAnsi="仿宋" w:eastAsia="仿宋" w:cs="仿宋"/>
          <w:spacing w:val="-5"/>
          <w:sz w:val="24"/>
          <w:szCs w:val="24"/>
        </w:rPr>
        <w:t>根据每个课程的内容提供片头及片尾案例策划不少于3套，片头特效包含二维动画制作，片头时长不超10秒，包含学校</w:t>
      </w:r>
      <w:r>
        <w:rPr>
          <w:rFonts w:hint="eastAsia" w:ascii="仿宋" w:hAnsi="仿宋" w:eastAsia="仿宋" w:cs="仿宋"/>
          <w:spacing w:val="-5"/>
          <w:sz w:val="24"/>
          <w:szCs w:val="24"/>
          <w:lang w:val="en-US" w:eastAsia="zh-CN"/>
        </w:rPr>
        <w:t>logo</w:t>
      </w:r>
      <w:r>
        <w:rPr>
          <w:rFonts w:hint="eastAsia" w:ascii="仿宋" w:hAnsi="仿宋" w:eastAsia="仿宋" w:cs="仿宋"/>
          <w:spacing w:val="-5"/>
          <w:sz w:val="24"/>
          <w:szCs w:val="24"/>
        </w:rPr>
        <w:t>、课程名称、讲次、主讲教师姓名、专业技术职务。</w:t>
      </w:r>
    </w:p>
    <w:p w14:paraId="27DB8C18">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lang w:val="en-US" w:eastAsia="zh-CN"/>
        </w:rPr>
        <w:t>10.6</w:t>
      </w:r>
      <w:r>
        <w:rPr>
          <w:rFonts w:hint="eastAsia" w:ascii="仿宋" w:hAnsi="仿宋" w:eastAsia="仿宋" w:cs="仿宋"/>
          <w:spacing w:val="-5"/>
          <w:sz w:val="24"/>
          <w:szCs w:val="24"/>
        </w:rPr>
        <w:t>根据要求把成品视频转换成高清、标清、网络播放等AVT、MPEG、MP4、MOV、FLV 格式等。</w:t>
      </w:r>
    </w:p>
    <w:p w14:paraId="18CC9DCB">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lang w:val="en-US" w:eastAsia="zh-CN"/>
        </w:rPr>
        <w:t>10.7</w:t>
      </w:r>
      <w:r>
        <w:rPr>
          <w:rFonts w:hint="eastAsia" w:ascii="仿宋" w:hAnsi="仿宋" w:eastAsia="仿宋" w:cs="仿宋"/>
          <w:spacing w:val="-5"/>
          <w:sz w:val="24"/>
          <w:szCs w:val="24"/>
        </w:rPr>
        <w:t>根据</w:t>
      </w:r>
      <w:r>
        <w:rPr>
          <w:rFonts w:hint="eastAsia" w:ascii="仿宋" w:hAnsi="仿宋" w:eastAsia="仿宋" w:cs="仿宋"/>
          <w:spacing w:val="-5"/>
          <w:sz w:val="24"/>
          <w:szCs w:val="24"/>
          <w:lang w:eastAsia="zh-CN"/>
        </w:rPr>
        <w:t>学校</w:t>
      </w:r>
      <w:r>
        <w:rPr>
          <w:rFonts w:hint="eastAsia" w:ascii="仿宋" w:hAnsi="仿宋" w:eastAsia="仿宋" w:cs="仿宋"/>
          <w:spacing w:val="-5"/>
          <w:sz w:val="24"/>
          <w:szCs w:val="24"/>
        </w:rPr>
        <w:t>主讲教师</w:t>
      </w:r>
      <w:r>
        <w:rPr>
          <w:rFonts w:hint="eastAsia" w:ascii="仿宋" w:hAnsi="仿宋" w:eastAsia="仿宋" w:cs="仿宋"/>
          <w:spacing w:val="-5"/>
          <w:sz w:val="24"/>
          <w:szCs w:val="24"/>
          <w:lang w:eastAsia="zh-CN"/>
        </w:rPr>
        <w:t>要求</w:t>
      </w:r>
      <w:r>
        <w:rPr>
          <w:rFonts w:hint="eastAsia" w:ascii="仿宋" w:hAnsi="仿宋" w:eastAsia="仿宋" w:cs="仿宋"/>
          <w:spacing w:val="-5"/>
          <w:sz w:val="24"/>
          <w:szCs w:val="24"/>
        </w:rPr>
        <w:t>进行修改。</w:t>
      </w:r>
    </w:p>
    <w:p w14:paraId="2F0AF908">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lang w:val="en-US" w:eastAsia="zh-CN"/>
        </w:rPr>
        <w:t>10.8</w:t>
      </w:r>
      <w:r>
        <w:rPr>
          <w:rFonts w:hint="eastAsia" w:ascii="仿宋" w:hAnsi="仿宋" w:eastAsia="仿宋" w:cs="仿宋"/>
          <w:spacing w:val="-5"/>
          <w:sz w:val="24"/>
          <w:szCs w:val="24"/>
        </w:rPr>
        <w:t>拍摄制作效果不能低于招标提供的案例课程。</w:t>
      </w:r>
    </w:p>
    <w:p w14:paraId="3789480E">
      <w:pPr>
        <w:pStyle w:val="2"/>
        <w:keepNext w:val="0"/>
        <w:keepLines w:val="0"/>
        <w:pageBreakBefore w:val="0"/>
        <w:widowControl/>
        <w:numPr>
          <w:ilvl w:val="0"/>
          <w:numId w:val="0"/>
        </w:numPr>
        <w:kinsoku w:val="0"/>
        <w:wordWrap/>
        <w:overflowPunct/>
        <w:topLinePunct w:val="0"/>
        <w:autoSpaceDE w:val="0"/>
        <w:autoSpaceDN w:val="0"/>
        <w:bidi w:val="0"/>
        <w:adjustRightInd w:val="0"/>
        <w:snapToGrid w:val="0"/>
        <w:spacing w:line="500" w:lineRule="exact"/>
        <w:ind w:leftChars="200" w:right="0" w:rightChars="0"/>
        <w:textAlignment w:val="baseline"/>
        <w:rPr>
          <w:rFonts w:hint="eastAsia" w:ascii="仿宋" w:hAnsi="仿宋" w:eastAsia="仿宋" w:cs="仿宋"/>
          <w:b w:val="0"/>
          <w:bCs w:val="0"/>
          <w:spacing w:val="-14"/>
          <w:sz w:val="24"/>
          <w:szCs w:val="24"/>
        </w:rPr>
      </w:pPr>
      <w:r>
        <w:rPr>
          <w:rFonts w:hint="eastAsia" w:ascii="仿宋" w:hAnsi="仿宋" w:eastAsia="仿宋" w:cs="仿宋"/>
          <w:b w:val="0"/>
          <w:bCs w:val="0"/>
          <w:spacing w:val="-14"/>
          <w:sz w:val="24"/>
          <w:szCs w:val="24"/>
          <w:lang w:eastAsia="zh-CN"/>
        </w:rPr>
        <w:t>（</w:t>
      </w:r>
      <w:r>
        <w:rPr>
          <w:rFonts w:hint="eastAsia" w:ascii="仿宋" w:hAnsi="仿宋" w:eastAsia="仿宋" w:cs="仿宋"/>
          <w:b w:val="0"/>
          <w:bCs w:val="0"/>
          <w:spacing w:val="-14"/>
          <w:sz w:val="24"/>
          <w:szCs w:val="24"/>
          <w:lang w:val="en-US" w:eastAsia="zh-CN"/>
        </w:rPr>
        <w:t>11</w:t>
      </w:r>
      <w:r>
        <w:rPr>
          <w:rFonts w:hint="eastAsia" w:ascii="仿宋" w:hAnsi="仿宋" w:eastAsia="仿宋" w:cs="仿宋"/>
          <w:b w:val="0"/>
          <w:bCs w:val="0"/>
          <w:spacing w:val="-14"/>
          <w:sz w:val="24"/>
          <w:szCs w:val="24"/>
          <w:lang w:eastAsia="zh-CN"/>
        </w:rPr>
        <w:t>）</w:t>
      </w:r>
      <w:r>
        <w:rPr>
          <w:rFonts w:hint="eastAsia" w:ascii="仿宋" w:hAnsi="仿宋" w:eastAsia="仿宋" w:cs="仿宋"/>
          <w:b w:val="0"/>
          <w:bCs w:val="0"/>
          <w:spacing w:val="-14"/>
          <w:sz w:val="24"/>
          <w:szCs w:val="24"/>
        </w:rPr>
        <w:t>技术标准</w:t>
      </w:r>
    </w:p>
    <w:p w14:paraId="6AE57981">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lang w:val="en-US" w:eastAsia="zh-CN"/>
        </w:rPr>
        <w:t>11.1</w:t>
      </w:r>
      <w:r>
        <w:rPr>
          <w:rFonts w:hint="eastAsia" w:ascii="仿宋" w:hAnsi="仿宋" w:eastAsia="仿宋" w:cs="仿宋"/>
          <w:spacing w:val="-5"/>
          <w:sz w:val="24"/>
          <w:szCs w:val="24"/>
        </w:rPr>
        <w:t>图片素材</w:t>
      </w:r>
    </w:p>
    <w:p w14:paraId="70E3F06F">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(1)彩色图像颜色数不低于真彩(24位色),灰度图像的灰度级不低于256级。</w:t>
      </w:r>
    </w:p>
    <w:p w14:paraId="33B68DF4">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lang w:val="en-US" w:eastAsia="zh-CN"/>
        </w:rPr>
      </w:pPr>
      <w:r>
        <w:rPr>
          <w:rFonts w:hint="eastAsia" w:ascii="仿宋" w:hAnsi="仿宋" w:eastAsia="仿宋" w:cs="仿宋"/>
          <w:spacing w:val="-5"/>
          <w:sz w:val="24"/>
          <w:szCs w:val="24"/>
          <w:lang w:val="en-US" w:eastAsia="zh-CN"/>
        </w:rPr>
        <w:t>11.2</w:t>
      </w:r>
      <w:r>
        <w:rPr>
          <w:rFonts w:hint="eastAsia" w:ascii="仿宋" w:hAnsi="仿宋" w:eastAsia="仿宋" w:cs="仿宋"/>
          <w:spacing w:val="-5"/>
          <w:sz w:val="24"/>
          <w:szCs w:val="24"/>
        </w:rPr>
        <w:t>屏幕分辨率不低于1024×768时，扫描图像的扫描分辨率不低于72 dpi</w:t>
      </w:r>
      <w:r>
        <w:rPr>
          <w:rFonts w:hint="eastAsia" w:ascii="仿宋" w:hAnsi="仿宋" w:eastAsia="仿宋" w:cs="仿宋"/>
          <w:spacing w:val="-5"/>
          <w:sz w:val="24"/>
          <w:szCs w:val="24"/>
          <w:lang w:eastAsia="zh-CN"/>
        </w:rPr>
        <w:t>。</w:t>
      </w:r>
    </w:p>
    <w:p w14:paraId="0115A46A">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lang w:val="en-US" w:eastAsia="zh-CN"/>
        </w:rPr>
        <w:t>11.3</w:t>
      </w:r>
      <w:r>
        <w:rPr>
          <w:rFonts w:hint="eastAsia" w:ascii="仿宋" w:hAnsi="仿宋" w:eastAsia="仿宋" w:cs="仿宋"/>
          <w:spacing w:val="-5"/>
          <w:sz w:val="24"/>
          <w:szCs w:val="24"/>
        </w:rPr>
        <w:t>采用常见存储格式，如GIF、PNG、JPG 等。</w:t>
      </w:r>
    </w:p>
    <w:p w14:paraId="429F3DAB">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音频素材</w:t>
      </w:r>
    </w:p>
    <w:p w14:paraId="0FEDB308">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(1)语音采用标准的普通话、美式或英式英语配音，特殊语言学习和材料除外。使用适合教学的语调。</w:t>
      </w:r>
    </w:p>
    <w:p w14:paraId="2FAEAC7C">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(2)音乐类音频的采样频率不低于44kHz,语音类音频的采样频率不低于22kHz。</w:t>
      </w:r>
    </w:p>
    <w:p w14:paraId="2BB60CC7">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(3)量化位数大于8位，码率不低</w:t>
      </w:r>
      <w:r>
        <w:rPr>
          <w:rFonts w:hint="eastAsia" w:ascii="仿宋" w:hAnsi="仿宋" w:eastAsia="仿宋" w:cs="仿宋"/>
          <w:spacing w:val="-5"/>
          <w:sz w:val="24"/>
          <w:szCs w:val="24"/>
          <w:lang w:val="en-US" w:eastAsia="zh-CN"/>
        </w:rPr>
        <w:t>于</w:t>
      </w:r>
      <w:r>
        <w:rPr>
          <w:rFonts w:hint="eastAsia" w:ascii="仿宋" w:hAnsi="仿宋" w:eastAsia="仿宋" w:cs="仿宋"/>
          <w:spacing w:val="-5"/>
          <w:sz w:val="24"/>
          <w:szCs w:val="24"/>
        </w:rPr>
        <w:t>64Kbps。</w:t>
      </w:r>
    </w:p>
    <w:p w14:paraId="620FCCAB">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(4)音频播放流畅，声音清晰，噪音低，回响小。</w:t>
      </w:r>
    </w:p>
    <w:p w14:paraId="4E5A5B73">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(5)采用常见存储格式，如WMA、MP3、MP4 或其他流式音频格式，建议优先采用MP3格式。</w:t>
      </w:r>
    </w:p>
    <w:p w14:paraId="028AB1E7">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视频素材</w:t>
      </w:r>
    </w:p>
    <w:p w14:paraId="549664BD">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视频内容拍摄要求</w:t>
      </w:r>
    </w:p>
    <w:p w14:paraId="5A5FD62E">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(1)屏幕图像的构图合理，画面主体突出。人像及肢体动作以及配合讲授选用的板书、画板、教具实物、模型和实验设备等均不能超出镜头所及范围。画面中教师以中景和近景为主，要求人物、板书(或其他画面元素)清晰，不建议无教师形象的全程板书或PPT配音。</w:t>
      </w:r>
    </w:p>
    <w:p w14:paraId="1755B768">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(2)演播室使用的背景采用彩色喷绘或电脑虚拟、实景等背景。背景的颜色、图案</w:t>
      </w:r>
      <w:r>
        <w:rPr>
          <w:rFonts w:hint="eastAsia" w:ascii="仿宋" w:hAnsi="仿宋" w:eastAsia="仿宋" w:cs="仿宋"/>
          <w:spacing w:val="-5"/>
          <w:sz w:val="24"/>
          <w:szCs w:val="24"/>
          <w:lang w:eastAsia="zh-CN"/>
        </w:rPr>
        <w:t>不宜过多</w:t>
      </w:r>
      <w:r>
        <w:rPr>
          <w:rFonts w:hint="eastAsia" w:ascii="仿宋" w:hAnsi="仿宋" w:eastAsia="仿宋" w:cs="仿宋"/>
          <w:spacing w:val="-5"/>
          <w:sz w:val="24"/>
          <w:szCs w:val="24"/>
        </w:rPr>
        <w:t>，应保持静态，画面应简洁</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rPr>
        <w:t>明快</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rPr>
        <w:t>有利于营造课堂气氛。</w:t>
      </w:r>
    </w:p>
    <w:p w14:paraId="6E6C9257">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(3)使用资料、图片、外景实拍、实验和表演等形象化教学手段，应符合教学内容要求，与讲授内容联系紧密，手段选用恰当。</w:t>
      </w:r>
    </w:p>
    <w:p w14:paraId="2AA81C67">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(4)摄像镜头应保持与主讲教师目光平视的角度。主讲教师不应较长时间仰视或俯视。录像环境应光线充足、安静，主讲教师应衣着整洁，讲话清晰，板书清楚。</w:t>
      </w:r>
    </w:p>
    <w:p w14:paraId="0AC636E2">
      <w:pPr>
        <w:keepNext w:val="0"/>
        <w:keepLines w:val="0"/>
        <w:pageBreakBefore w:val="0"/>
        <w:widowControl w:val="0"/>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(5)选用影视作品或自拍素材，应注明素材来源。影视作品或自拍素材中涉及人物访谈内容时，除应加注人物介绍外，还应采用滚动式同声字幕。</w:t>
      </w:r>
    </w:p>
    <w:p w14:paraId="1219C4F3">
      <w:pPr>
        <w:keepNext w:val="0"/>
        <w:keepLines w:val="0"/>
        <w:pageBreakBefore w:val="0"/>
        <w:widowControl w:val="0"/>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(6)选用的资料、图片等素材画面应清晰，对于历史资料、图片应进行再加工。选用的资料、图片等素材应注明素材来源及原始信息(如字画的作品、生卒年月，影视片</w:t>
      </w:r>
      <w:r>
        <w:rPr>
          <w:rFonts w:hint="eastAsia" w:ascii="仿宋" w:hAnsi="仿宋" w:eastAsia="仿宋" w:cs="仿宋"/>
          <w:spacing w:val="-5"/>
          <w:sz w:val="24"/>
          <w:szCs w:val="24"/>
          <w:lang w:eastAsia="zh-CN"/>
        </w:rPr>
        <w:t>段</w:t>
      </w:r>
      <w:r>
        <w:rPr>
          <w:rFonts w:hint="eastAsia" w:ascii="仿宋" w:hAnsi="仿宋" w:eastAsia="仿宋" w:cs="仿宋"/>
          <w:spacing w:val="-5"/>
          <w:sz w:val="24"/>
          <w:szCs w:val="24"/>
        </w:rPr>
        <w:t>的作品名称、创作年代等信息)。</w:t>
      </w:r>
    </w:p>
    <w:p w14:paraId="35B0265C">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视频技术规格</w:t>
      </w:r>
    </w:p>
    <w:p w14:paraId="31648FBE">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(1)视频信号源</w:t>
      </w:r>
    </w:p>
    <w:p w14:paraId="2FE6AF1A">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① 稳定性：全片图像</w:t>
      </w:r>
      <w:r>
        <w:rPr>
          <w:rFonts w:hint="eastAsia" w:ascii="仿宋" w:hAnsi="仿宋" w:eastAsia="仿宋" w:cs="仿宋"/>
          <w:spacing w:val="-5"/>
          <w:sz w:val="24"/>
          <w:szCs w:val="24"/>
          <w:lang w:eastAsia="zh-CN"/>
        </w:rPr>
        <w:t>同步</w:t>
      </w:r>
      <w:r>
        <w:rPr>
          <w:rFonts w:hint="eastAsia" w:ascii="仿宋" w:hAnsi="仿宋" w:eastAsia="仿宋" w:cs="仿宋"/>
          <w:spacing w:val="-5"/>
          <w:sz w:val="24"/>
          <w:szCs w:val="24"/>
        </w:rPr>
        <w:t>性能稳定，无失步现象，C</w:t>
      </w:r>
      <w:r>
        <w:rPr>
          <w:rFonts w:hint="eastAsia" w:ascii="仿宋" w:hAnsi="仿宋" w:eastAsia="仿宋" w:cs="仿宋"/>
          <w:spacing w:val="-5"/>
          <w:sz w:val="24"/>
          <w:szCs w:val="24"/>
          <w:lang w:val="en-US" w:eastAsia="zh-CN"/>
        </w:rPr>
        <w:t>TL</w:t>
      </w:r>
      <w:r>
        <w:rPr>
          <w:rFonts w:hint="eastAsia" w:ascii="仿宋" w:hAnsi="仿宋" w:eastAsia="仿宋" w:cs="仿宋"/>
          <w:spacing w:val="-5"/>
          <w:sz w:val="24"/>
          <w:szCs w:val="24"/>
        </w:rPr>
        <w:t>同步控制信号必须连续；图像无抖动跳跃，色彩无突变，编辑点处图像稳定。</w:t>
      </w:r>
    </w:p>
    <w:p w14:paraId="5BC1ACB5">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②信噪比：图像信噪比不低于55dB, 无明显杂波。</w:t>
      </w:r>
    </w:p>
    <w:p w14:paraId="73AFD92A">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③色调：白平衡正确，无明显偏色，多机拍摄的镜头衔接处无明显色差。</w:t>
      </w:r>
    </w:p>
    <w:p w14:paraId="3FEF8BDB">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jc w:val="both"/>
        <w:textAlignment w:val="baseline"/>
        <w:rPr>
          <w:rFonts w:hint="eastAsia" w:ascii="仿宋" w:hAnsi="仿宋" w:eastAsia="仿宋" w:cs="仿宋"/>
          <w:spacing w:val="-5"/>
          <w:sz w:val="24"/>
          <w:szCs w:val="24"/>
          <w:lang w:eastAsia="zh-CN"/>
        </w:rPr>
      </w:pPr>
      <w:r>
        <w:rPr>
          <w:rFonts w:hint="eastAsia" w:ascii="仿宋" w:hAnsi="仿宋" w:eastAsia="仿宋" w:cs="仿宋"/>
          <w:spacing w:val="-5"/>
          <w:sz w:val="24"/>
          <w:szCs w:val="24"/>
        </w:rPr>
        <w:t>④视频电平：</w:t>
      </w:r>
      <w:r>
        <w:rPr>
          <w:rFonts w:hint="eastAsia" w:ascii="仿宋" w:hAnsi="仿宋" w:eastAsia="仿宋" w:cs="仿宋"/>
          <w:b w:val="0"/>
          <w:bCs w:val="0"/>
          <w:kern w:val="2"/>
          <w:sz w:val="24"/>
          <w:szCs w:val="24"/>
          <w:lang w:val="en-US" w:eastAsia="zh-CN" w:bidi="ar-SA"/>
        </w:rPr>
        <w:t>视频全信号幅度为1Ⅴp-p，最大不超过1.1Ⅴ p-p。其中，消隐电平为0V时，白电平幅度0.7Ⅴp-p，同步信号-0.3V，色同步信号幅度0.3V p-p（以消隐线上下对称），全片一致。</w:t>
      </w:r>
    </w:p>
    <w:p w14:paraId="23106A7F">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(2)音频信号源</w:t>
      </w:r>
    </w:p>
    <w:p w14:paraId="3E7E46A4">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①声道：中文内容音频信号记录于第</w:t>
      </w:r>
      <w:r>
        <w:rPr>
          <w:rFonts w:hint="eastAsia" w:ascii="仿宋" w:hAnsi="仿宋" w:eastAsia="仿宋" w:cs="仿宋"/>
          <w:spacing w:val="-5"/>
          <w:sz w:val="24"/>
          <w:szCs w:val="24"/>
          <w:lang w:val="en-US" w:eastAsia="zh-CN"/>
        </w:rPr>
        <w:t>1声</w:t>
      </w:r>
      <w:r>
        <w:rPr>
          <w:rFonts w:hint="eastAsia" w:ascii="仿宋" w:hAnsi="仿宋" w:eastAsia="仿宋" w:cs="仿宋"/>
          <w:spacing w:val="-5"/>
          <w:sz w:val="24"/>
          <w:szCs w:val="24"/>
        </w:rPr>
        <w:t>道，音乐</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rPr>
        <w:t>音效、同期声记录于第</w:t>
      </w:r>
      <w:r>
        <w:rPr>
          <w:rFonts w:hint="eastAsia" w:ascii="仿宋" w:hAnsi="仿宋" w:eastAsia="仿宋" w:cs="仿宋"/>
          <w:spacing w:val="-5"/>
          <w:sz w:val="24"/>
          <w:szCs w:val="24"/>
          <w:lang w:val="en-US" w:eastAsia="zh-CN"/>
        </w:rPr>
        <w:t>2</w:t>
      </w:r>
      <w:r>
        <w:rPr>
          <w:rFonts w:hint="eastAsia" w:ascii="仿宋" w:hAnsi="仿宋" w:eastAsia="仿宋" w:cs="仿宋"/>
          <w:spacing w:val="-5"/>
          <w:sz w:val="24"/>
          <w:szCs w:val="24"/>
        </w:rPr>
        <w:t>声道</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rPr>
        <w:t>若有其他文字解说记录于第3</w:t>
      </w:r>
      <w:r>
        <w:rPr>
          <w:rFonts w:hint="eastAsia" w:ascii="仿宋" w:hAnsi="仿宋" w:eastAsia="仿宋" w:cs="仿宋"/>
          <w:spacing w:val="-5"/>
          <w:sz w:val="24"/>
          <w:szCs w:val="24"/>
          <w:lang w:val="en-US" w:eastAsia="zh-CN"/>
        </w:rPr>
        <w:t>声</w:t>
      </w:r>
      <w:r>
        <w:rPr>
          <w:rFonts w:hint="eastAsia" w:ascii="仿宋" w:hAnsi="仿宋" w:eastAsia="仿宋" w:cs="仿宋"/>
          <w:spacing w:val="-5"/>
          <w:sz w:val="24"/>
          <w:szCs w:val="24"/>
        </w:rPr>
        <w:t>道(如录音设备无第3声道，则录于第2声道)。</w:t>
      </w:r>
    </w:p>
    <w:p w14:paraId="0CFA7A8A">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②电平指标：-2db—-8dB声音应无明显失真、放音过冲、过弱。</w:t>
      </w:r>
    </w:p>
    <w:p w14:paraId="4B5D085E">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③音频信噪比不低于48dB。</w:t>
      </w:r>
    </w:p>
    <w:p w14:paraId="47DFC821">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④声音和画面要求同步，无交流声或其他杂音等缺陷。</w:t>
      </w:r>
    </w:p>
    <w:p w14:paraId="0DB4CBC1">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⑤伴音清晰、饱满、</w:t>
      </w:r>
      <w:r>
        <w:rPr>
          <w:rFonts w:hint="eastAsia" w:ascii="仿宋" w:hAnsi="仿宋" w:eastAsia="仿宋" w:cs="仿宋"/>
          <w:spacing w:val="-5"/>
          <w:sz w:val="24"/>
          <w:szCs w:val="24"/>
          <w:lang w:eastAsia="zh-CN"/>
        </w:rPr>
        <w:t>柔润</w:t>
      </w:r>
      <w:r>
        <w:rPr>
          <w:rFonts w:hint="eastAsia" w:ascii="仿宋" w:hAnsi="仿宋" w:eastAsia="仿宋" w:cs="仿宋"/>
          <w:spacing w:val="-5"/>
          <w:sz w:val="24"/>
          <w:szCs w:val="24"/>
        </w:rPr>
        <w:t>，无失真、噪声杂音干扰、音量忽大忽小现象。解说声与现场声无明显比例失调，解说声与背景音乐无明显比例失调。</w:t>
      </w:r>
    </w:p>
    <w:p w14:paraId="749ABEEC">
      <w:pPr>
        <w:keepNext w:val="0"/>
        <w:keepLines w:val="0"/>
        <w:pageBreakBefore w:val="0"/>
        <w:widowControl w:val="0"/>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(3)视频压缩格式及技术参数</w:t>
      </w:r>
    </w:p>
    <w:p w14:paraId="1967B608">
      <w:pPr>
        <w:keepNext w:val="0"/>
        <w:keepLines w:val="0"/>
        <w:pageBreakBefore w:val="0"/>
        <w:widowControl w:val="0"/>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①视频压缩采用H.264/AVC(MPEG-4 Part10)编码、使用二次编码、不包含字幕的MP4格式。</w:t>
      </w:r>
    </w:p>
    <w:p w14:paraId="475A50DD">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②视频码流率：动态码流的最低码率不得低于1024Kbps</w:t>
      </w:r>
    </w:p>
    <w:p w14:paraId="3FA9D6ED">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③视频分辨率</w:t>
      </w:r>
    </w:p>
    <w:p w14:paraId="0B6576F8">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仿宋" w:hAnsi="仿宋" w:eastAsia="仿宋" w:cs="仿宋"/>
          <w:b w:val="0"/>
          <w:bCs w:val="0"/>
          <w:kern w:val="2"/>
          <w:sz w:val="24"/>
          <w:szCs w:val="24"/>
          <w:lang w:val="en-US" w:eastAsia="zh-CN" w:bidi="ar-SA"/>
        </w:rPr>
      </w:pPr>
      <w:r>
        <w:rPr>
          <w:rFonts w:hint="eastAsia" w:ascii="仿宋" w:hAnsi="仿宋" w:eastAsia="仿宋" w:cs="仿宋"/>
          <w:b w:val="0"/>
          <w:bCs w:val="0"/>
          <w:kern w:val="2"/>
          <w:sz w:val="24"/>
          <w:szCs w:val="24"/>
          <w:lang w:val="en-US" w:eastAsia="zh-CN" w:bidi="ar-SA"/>
        </w:rPr>
        <w:t>前期采用高清16:9拍摄，设定为1080p高清（1920×1080）。在同一课程中，各讲的视频分辨率统一，统一高清。</w:t>
      </w:r>
    </w:p>
    <w:p w14:paraId="49D00921">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仿宋" w:hAnsi="仿宋" w:eastAsia="仿宋" w:cs="仿宋"/>
          <w:b w:val="0"/>
          <w:bCs w:val="0"/>
          <w:kern w:val="2"/>
          <w:sz w:val="24"/>
          <w:szCs w:val="24"/>
          <w:lang w:val="en-US" w:eastAsia="zh-CN" w:bidi="ar-SA"/>
        </w:rPr>
      </w:pPr>
      <w:r>
        <w:rPr>
          <w:rFonts w:hint="eastAsia" w:ascii="仿宋" w:hAnsi="仿宋" w:eastAsia="仿宋" w:cs="仿宋"/>
          <w:b w:val="0"/>
          <w:bCs w:val="0"/>
          <w:kern w:val="2"/>
          <w:sz w:val="24"/>
          <w:szCs w:val="24"/>
          <w:lang w:val="en-US" w:eastAsia="zh-CN" w:bidi="ar-SA"/>
        </w:rPr>
        <w:t>④视频画幅宽高比</w:t>
      </w:r>
    </w:p>
    <w:p w14:paraId="0B471EFE">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仿宋" w:hAnsi="仿宋" w:eastAsia="仿宋" w:cs="仿宋"/>
          <w:b w:val="0"/>
          <w:bCs w:val="0"/>
          <w:kern w:val="2"/>
          <w:sz w:val="24"/>
          <w:szCs w:val="24"/>
          <w:lang w:val="en-US" w:eastAsia="zh-CN" w:bidi="ar-SA"/>
        </w:rPr>
      </w:pPr>
      <w:r>
        <w:rPr>
          <w:rFonts w:hint="eastAsia" w:ascii="仿宋" w:hAnsi="仿宋" w:eastAsia="仿宋" w:cs="仿宋"/>
          <w:b w:val="0"/>
          <w:bCs w:val="0"/>
          <w:kern w:val="2"/>
          <w:sz w:val="24"/>
          <w:szCs w:val="24"/>
          <w:lang w:val="en-US" w:eastAsia="zh-CN" w:bidi="ar-SA"/>
        </w:rPr>
        <w:t>视频画幅宽高比：分辨率设定为1080p高清（1920×1080）的，选定为16:9。在同一课程中，各讲画幅的宽高比统一。</w:t>
      </w:r>
    </w:p>
    <w:p w14:paraId="1600268A">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仿宋" w:hAnsi="仿宋" w:eastAsia="仿宋" w:cs="仿宋"/>
          <w:b w:val="0"/>
          <w:bCs w:val="0"/>
          <w:kern w:val="2"/>
          <w:sz w:val="24"/>
          <w:szCs w:val="24"/>
          <w:lang w:val="en-US" w:eastAsia="zh-CN" w:bidi="ar-SA"/>
        </w:rPr>
      </w:pPr>
      <w:r>
        <w:rPr>
          <w:rFonts w:hint="eastAsia" w:ascii="仿宋" w:hAnsi="仿宋" w:eastAsia="仿宋" w:cs="仿宋"/>
          <w:b w:val="0"/>
          <w:bCs w:val="0"/>
          <w:kern w:val="2"/>
          <w:sz w:val="24"/>
          <w:szCs w:val="24"/>
          <w:lang w:val="en-US" w:eastAsia="zh-CN" w:bidi="ar-SA"/>
        </w:rPr>
        <w:t>⑤视频帧率为25 帧/秒</w:t>
      </w:r>
    </w:p>
    <w:p w14:paraId="0EDA6AA0">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⑥扫描方式采用逐行扫描</w:t>
      </w:r>
    </w:p>
    <w:p w14:paraId="146E7668">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(4)音频压缩格式及技术参数</w:t>
      </w:r>
    </w:p>
    <w:p w14:paraId="799B1A1A">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①音频压缩采用 AAC(MPEG4 Part3)格式</w:t>
      </w:r>
    </w:p>
    <w:p w14:paraId="4B514D16">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②采样率不低于48KHz</w:t>
      </w:r>
    </w:p>
    <w:p w14:paraId="006076E4">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③音频码流率128Kbps(恒定)</w:t>
      </w:r>
    </w:p>
    <w:p w14:paraId="07D8B067">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④必须是双声道，必须做混音处理。</w:t>
      </w:r>
    </w:p>
    <w:p w14:paraId="45ABCC32">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(5)外挂字草文件</w:t>
      </w:r>
    </w:p>
    <w:p w14:paraId="766CD984">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①字幕文件格式：独立的 SR</w:t>
      </w:r>
      <w:r>
        <w:rPr>
          <w:rFonts w:hint="eastAsia" w:ascii="仿宋" w:hAnsi="仿宋" w:eastAsia="仿宋" w:cs="仿宋"/>
          <w:spacing w:val="-5"/>
          <w:sz w:val="24"/>
          <w:szCs w:val="24"/>
          <w:lang w:val="en-US" w:eastAsia="zh-CN"/>
        </w:rPr>
        <w:t>T</w:t>
      </w:r>
      <w:r>
        <w:rPr>
          <w:rFonts w:hint="eastAsia" w:ascii="仿宋" w:hAnsi="仿宋" w:eastAsia="仿宋" w:cs="仿宋"/>
          <w:spacing w:val="-5"/>
          <w:sz w:val="24"/>
          <w:szCs w:val="24"/>
        </w:rPr>
        <w:t>格式的字幕文件；</w:t>
      </w:r>
    </w:p>
    <w:p w14:paraId="5AB0C300">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②字幕的行数要求：每屏只有一行字幕：</w:t>
      </w:r>
    </w:p>
    <w:p w14:paraId="69BF37A8">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③字幕的字数要求：画幅比为16:9的，每行不超过20 个字；</w:t>
      </w:r>
    </w:p>
    <w:p w14:paraId="349EE5EE">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④字幕的位置：保持每屏字幕出现位置一致；</w:t>
      </w:r>
    </w:p>
    <w:p w14:paraId="1C0F2831">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⑤字</w:t>
      </w:r>
      <w:r>
        <w:rPr>
          <w:rFonts w:hint="eastAsia" w:ascii="仿宋" w:hAnsi="仿宋" w:eastAsia="仿宋" w:cs="仿宋"/>
          <w:spacing w:val="-5"/>
          <w:sz w:val="24"/>
          <w:szCs w:val="24"/>
          <w:lang w:val="en-US" w:eastAsia="zh-CN"/>
        </w:rPr>
        <w:t>幕</w:t>
      </w:r>
      <w:r>
        <w:rPr>
          <w:rFonts w:hint="eastAsia" w:ascii="仿宋" w:hAnsi="仿宋" w:eastAsia="仿宋" w:cs="仿宋"/>
          <w:spacing w:val="-5"/>
          <w:sz w:val="24"/>
          <w:szCs w:val="24"/>
        </w:rPr>
        <w:t>中的标点符号：字幕中标点符号的使用被限制在书名号、间隔号、连接号和特殊含义的引号等几种，而其他所有需要标点的地方均使用全角空格代替；</w:t>
      </w:r>
    </w:p>
    <w:p w14:paraId="1F6884FF">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⑥字幕断句：不简单按照字数断句，以内容为断句依据：</w:t>
      </w:r>
    </w:p>
    <w:p w14:paraId="6819646E">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⑦字幕中的数学公式、化学分子式、物理量和单位，尽量以文本文字呈现；不宜用文本文字呈现的</w:t>
      </w:r>
      <w:r>
        <w:rPr>
          <w:rFonts w:hint="eastAsia" w:ascii="仿宋" w:hAnsi="仿宋" w:eastAsia="仿宋" w:cs="仿宋"/>
          <w:spacing w:val="-5"/>
          <w:sz w:val="24"/>
          <w:szCs w:val="24"/>
          <w:lang w:eastAsia="zh-CN"/>
        </w:rPr>
        <w:t>且</w:t>
      </w:r>
      <w:r>
        <w:rPr>
          <w:rFonts w:hint="eastAsia" w:ascii="仿宋" w:hAnsi="仿宋" w:eastAsia="仿宋" w:cs="仿宋"/>
          <w:spacing w:val="-5"/>
          <w:sz w:val="24"/>
          <w:szCs w:val="24"/>
        </w:rPr>
        <w:t>在视频画面中已经通过PPT、板书等方式显示清楚的，可以不加</w:t>
      </w:r>
      <w:r>
        <w:rPr>
          <w:rFonts w:hint="eastAsia" w:ascii="仿宋" w:hAnsi="仿宋" w:eastAsia="仿宋" w:cs="仿宋"/>
          <w:spacing w:val="-5"/>
          <w:sz w:val="24"/>
          <w:szCs w:val="24"/>
          <w:lang w:eastAsia="zh-CN"/>
        </w:rPr>
        <w:t>该项</w:t>
      </w:r>
      <w:r>
        <w:rPr>
          <w:rFonts w:hint="eastAsia" w:ascii="仿宋" w:hAnsi="仿宋" w:eastAsia="仿宋" w:cs="仿宋"/>
          <w:spacing w:val="-5"/>
          <w:sz w:val="24"/>
          <w:szCs w:val="24"/>
        </w:rPr>
        <w:t>；</w:t>
      </w:r>
    </w:p>
    <w:p w14:paraId="7A052553">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⑧字幕要使用符合国家标准的规范字，不出现繁体字、异体字(国家规定的除外)、 错别字：</w:t>
      </w:r>
      <w:r>
        <w:rPr>
          <w:rFonts w:hint="eastAsia" w:ascii="仿宋" w:hAnsi="仿宋" w:eastAsia="仿宋" w:cs="仿宋"/>
          <w:spacing w:val="-5"/>
          <w:sz w:val="24"/>
          <w:szCs w:val="24"/>
          <w:lang w:eastAsia="zh-CN"/>
        </w:rPr>
        <w:t>字幕</w:t>
      </w:r>
      <w:r>
        <w:rPr>
          <w:rFonts w:hint="eastAsia" w:ascii="仿宋" w:hAnsi="仿宋" w:eastAsia="仿宋" w:cs="仿宋"/>
          <w:spacing w:val="-5"/>
          <w:sz w:val="24"/>
          <w:szCs w:val="24"/>
        </w:rPr>
        <w:t>的字体、大小、色彩搭配、摆放位置、停留时间、出入屏方式力求与其他要素(画面、</w:t>
      </w:r>
      <w:r>
        <w:rPr>
          <w:rFonts w:hint="eastAsia" w:ascii="仿宋" w:hAnsi="仿宋" w:eastAsia="仿宋" w:cs="仿宋"/>
          <w:spacing w:val="-5"/>
          <w:sz w:val="24"/>
          <w:szCs w:val="24"/>
          <w:lang w:eastAsia="zh-CN"/>
        </w:rPr>
        <w:t>解说</w:t>
      </w:r>
      <w:r>
        <w:rPr>
          <w:rFonts w:hint="eastAsia" w:ascii="仿宋" w:hAnsi="仿宋" w:eastAsia="仿宋" w:cs="仿宋"/>
          <w:spacing w:val="-5"/>
          <w:sz w:val="24"/>
          <w:szCs w:val="24"/>
        </w:rPr>
        <w:t>、音乐)配合适当，不能破坏原有画面。</w:t>
      </w:r>
    </w:p>
    <w:p w14:paraId="259365C3">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(6)封装。采用</w:t>
      </w:r>
      <w:r>
        <w:rPr>
          <w:rFonts w:hint="eastAsia" w:ascii="仿宋" w:hAnsi="仿宋" w:eastAsia="仿宋" w:cs="仿宋"/>
          <w:spacing w:val="-5"/>
          <w:sz w:val="24"/>
          <w:szCs w:val="24"/>
          <w:lang w:val="en-US" w:eastAsia="zh-CN"/>
        </w:rPr>
        <w:t>优盘</w:t>
      </w:r>
      <w:r>
        <w:rPr>
          <w:rFonts w:hint="eastAsia" w:ascii="仿宋" w:hAnsi="仿宋" w:eastAsia="仿宋" w:cs="仿宋"/>
          <w:spacing w:val="-5"/>
          <w:sz w:val="24"/>
          <w:szCs w:val="24"/>
        </w:rPr>
        <w:t>MP4封装。</w:t>
      </w:r>
    </w:p>
    <w:p w14:paraId="4B3FE234">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(7)命名要求：文件命名应直接指明资源所属课程、章节及性质。(如学校有新要求以学校文件为准)。</w:t>
      </w:r>
    </w:p>
    <w:p w14:paraId="34F8B22B">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(8)内容和版权要求：视频内容应忠实于原文献，完整有序，版权不存在争议：符合我国法律法规，尊重各民族风俗习惯。</w:t>
      </w:r>
    </w:p>
    <w:p w14:paraId="0B9090B3">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4.演示文稿 (PPT)</w:t>
      </w:r>
    </w:p>
    <w:p w14:paraId="3A0EF6C7">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(1)制作原则</w:t>
      </w:r>
    </w:p>
    <w:p w14:paraId="5759FF9F">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①演示文稿要求集文字、图形、图像、声音。</w:t>
      </w:r>
    </w:p>
    <w:p w14:paraId="77852CAB">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②页画设置要求符合高清备式比例，幻灯片</w:t>
      </w:r>
      <w:r>
        <w:rPr>
          <w:rFonts w:hint="eastAsia" w:ascii="仿宋" w:hAnsi="仿宋" w:eastAsia="仿宋" w:cs="仿宋"/>
          <w:spacing w:val="-5"/>
          <w:sz w:val="24"/>
          <w:szCs w:val="24"/>
          <w:lang w:eastAsia="zh-CN"/>
        </w:rPr>
        <w:t>大小</w:t>
      </w:r>
      <w:r>
        <w:rPr>
          <w:rFonts w:hint="eastAsia" w:ascii="仿宋" w:hAnsi="仿宋" w:eastAsia="仿宋" w:cs="仿宋"/>
          <w:spacing w:val="-5"/>
          <w:sz w:val="24"/>
          <w:szCs w:val="24"/>
        </w:rPr>
        <w:t>为“全屏显示16:9”。</w:t>
      </w:r>
    </w:p>
    <w:p w14:paraId="3894B730">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③整体效果应风格统、</w:t>
      </w:r>
      <w:r>
        <w:rPr>
          <w:rFonts w:hint="eastAsia" w:ascii="仿宋" w:hAnsi="仿宋" w:eastAsia="仿宋" w:cs="仿宋"/>
          <w:spacing w:val="-5"/>
          <w:sz w:val="24"/>
          <w:szCs w:val="24"/>
          <w:lang w:eastAsia="zh-CN"/>
        </w:rPr>
        <w:t>色彩强调</w:t>
      </w:r>
      <w:r>
        <w:rPr>
          <w:rFonts w:hint="eastAsia" w:ascii="仿宋" w:hAnsi="仿宋" w:eastAsia="仿宋" w:cs="仿宋"/>
          <w:spacing w:val="-5"/>
          <w:sz w:val="24"/>
          <w:szCs w:val="24"/>
        </w:rPr>
        <w:t>、美观人力。</w:t>
      </w:r>
    </w:p>
    <w:p w14:paraId="5B3414A4">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(2)字体与字号</w:t>
      </w:r>
    </w:p>
    <w:p w14:paraId="57FC9C4F">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字体与字号参照下表：</w:t>
      </w:r>
    </w:p>
    <w:tbl>
      <w:tblPr>
        <w:tblStyle w:val="44"/>
        <w:tblW w:w="9265" w:type="dxa"/>
        <w:tblInd w:w="27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98"/>
        <w:gridCol w:w="2129"/>
        <w:gridCol w:w="1348"/>
        <w:gridCol w:w="1696"/>
        <w:gridCol w:w="1907"/>
        <w:gridCol w:w="1387"/>
      </w:tblGrid>
      <w:tr w14:paraId="03C1CA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8" w:hRule="atLeast"/>
        </w:trPr>
        <w:tc>
          <w:tcPr>
            <w:tcW w:w="798" w:type="dxa"/>
            <w:vAlign w:val="top"/>
          </w:tcPr>
          <w:p w14:paraId="1C0F1F17">
            <w:pPr>
              <w:pStyle w:val="43"/>
              <w:spacing w:before="134" w:line="219" w:lineRule="auto"/>
              <w:ind w:left="14"/>
              <w:jc w:val="center"/>
              <w:rPr>
                <w:rFonts w:hint="eastAsia" w:ascii="仿宋" w:hAnsi="仿宋" w:eastAsia="仿宋" w:cs="仿宋"/>
                <w:sz w:val="24"/>
                <w:szCs w:val="24"/>
              </w:rPr>
            </w:pPr>
            <w:r>
              <w:rPr>
                <w:rFonts w:hint="eastAsia" w:ascii="仿宋" w:hAnsi="仿宋" w:eastAsia="仿宋" w:cs="仿宋"/>
                <w:spacing w:val="7"/>
                <w:sz w:val="24"/>
                <w:szCs w:val="24"/>
              </w:rPr>
              <w:t>类型</w:t>
            </w:r>
          </w:p>
        </w:tc>
        <w:tc>
          <w:tcPr>
            <w:tcW w:w="2129" w:type="dxa"/>
            <w:vAlign w:val="top"/>
          </w:tcPr>
          <w:p w14:paraId="093527B4">
            <w:pPr>
              <w:pStyle w:val="43"/>
              <w:spacing w:before="134" w:line="220" w:lineRule="auto"/>
              <w:ind w:left="10"/>
              <w:jc w:val="center"/>
              <w:rPr>
                <w:rFonts w:hint="eastAsia" w:ascii="仿宋" w:hAnsi="仿宋" w:eastAsia="仿宋" w:cs="仿宋"/>
                <w:sz w:val="24"/>
                <w:szCs w:val="24"/>
              </w:rPr>
            </w:pPr>
            <w:r>
              <w:rPr>
                <w:rFonts w:hint="eastAsia" w:ascii="仿宋" w:hAnsi="仿宋" w:eastAsia="仿宋" w:cs="仿宋"/>
                <w:spacing w:val="3"/>
                <w:sz w:val="24"/>
                <w:szCs w:val="24"/>
                <w:lang w:val="en-US" w:eastAsia="zh-CN"/>
              </w:rPr>
              <w:t>大</w:t>
            </w:r>
            <w:r>
              <w:rPr>
                <w:rFonts w:hint="eastAsia" w:ascii="仿宋" w:hAnsi="仿宋" w:eastAsia="仿宋" w:cs="仿宋"/>
                <w:spacing w:val="3"/>
                <w:sz w:val="24"/>
                <w:szCs w:val="24"/>
              </w:rPr>
              <w:t>标题</w:t>
            </w:r>
          </w:p>
        </w:tc>
        <w:tc>
          <w:tcPr>
            <w:tcW w:w="1348" w:type="dxa"/>
            <w:vAlign w:val="top"/>
          </w:tcPr>
          <w:p w14:paraId="0519AFEA">
            <w:pPr>
              <w:pStyle w:val="43"/>
              <w:spacing w:before="134" w:line="219" w:lineRule="auto"/>
              <w:ind w:left="12"/>
              <w:jc w:val="center"/>
              <w:rPr>
                <w:rFonts w:hint="eastAsia" w:ascii="仿宋" w:hAnsi="仿宋" w:eastAsia="仿宋" w:cs="仿宋"/>
                <w:sz w:val="24"/>
                <w:szCs w:val="24"/>
              </w:rPr>
            </w:pPr>
            <w:r>
              <w:rPr>
                <w:rFonts w:hint="eastAsia" w:ascii="仿宋" w:hAnsi="仿宋" w:eastAsia="仿宋" w:cs="仿宋"/>
                <w:spacing w:val="4"/>
                <w:sz w:val="24"/>
                <w:szCs w:val="24"/>
              </w:rPr>
              <w:t>主讲信息</w:t>
            </w:r>
          </w:p>
        </w:tc>
        <w:tc>
          <w:tcPr>
            <w:tcW w:w="1696" w:type="dxa"/>
            <w:vAlign w:val="top"/>
          </w:tcPr>
          <w:p w14:paraId="32B862C9">
            <w:pPr>
              <w:pStyle w:val="43"/>
              <w:spacing w:before="134" w:line="220" w:lineRule="auto"/>
              <w:ind w:left="15"/>
              <w:jc w:val="center"/>
              <w:rPr>
                <w:rFonts w:hint="eastAsia" w:ascii="仿宋" w:hAnsi="仿宋" w:eastAsia="仿宋" w:cs="仿宋"/>
                <w:sz w:val="24"/>
                <w:szCs w:val="24"/>
              </w:rPr>
            </w:pPr>
            <w:r>
              <w:rPr>
                <w:rFonts w:hint="eastAsia" w:ascii="仿宋" w:hAnsi="仿宋" w:eastAsia="仿宋" w:cs="仿宋"/>
                <w:spacing w:val="2"/>
                <w:sz w:val="24"/>
                <w:szCs w:val="24"/>
              </w:rPr>
              <w:t>一级标题</w:t>
            </w:r>
          </w:p>
        </w:tc>
        <w:tc>
          <w:tcPr>
            <w:tcW w:w="1907" w:type="dxa"/>
            <w:vAlign w:val="top"/>
          </w:tcPr>
          <w:p w14:paraId="60C54AAC">
            <w:pPr>
              <w:pStyle w:val="43"/>
              <w:spacing w:before="136" w:line="221" w:lineRule="auto"/>
              <w:ind w:left="16"/>
              <w:jc w:val="center"/>
              <w:rPr>
                <w:rFonts w:hint="eastAsia" w:ascii="仿宋" w:hAnsi="仿宋" w:eastAsia="仿宋" w:cs="仿宋"/>
                <w:sz w:val="24"/>
                <w:szCs w:val="24"/>
              </w:rPr>
            </w:pPr>
            <w:r>
              <w:rPr>
                <w:rFonts w:hint="eastAsia" w:ascii="仿宋" w:hAnsi="仿宋" w:eastAsia="仿宋" w:cs="仿宋"/>
                <w:spacing w:val="6"/>
                <w:sz w:val="24"/>
                <w:szCs w:val="24"/>
              </w:rPr>
              <w:t>正文</w:t>
            </w:r>
          </w:p>
        </w:tc>
        <w:tc>
          <w:tcPr>
            <w:tcW w:w="1387" w:type="dxa"/>
            <w:vAlign w:val="top"/>
          </w:tcPr>
          <w:p w14:paraId="09A66262">
            <w:pPr>
              <w:pStyle w:val="43"/>
              <w:spacing w:before="132" w:line="219" w:lineRule="auto"/>
              <w:ind w:left="19"/>
              <w:jc w:val="center"/>
              <w:rPr>
                <w:rFonts w:hint="eastAsia" w:ascii="仿宋" w:hAnsi="仿宋" w:eastAsia="仿宋" w:cs="仿宋"/>
                <w:sz w:val="24"/>
                <w:szCs w:val="24"/>
              </w:rPr>
            </w:pPr>
            <w:r>
              <w:rPr>
                <w:rFonts w:hint="eastAsia" w:ascii="仿宋" w:hAnsi="仿宋" w:eastAsia="仿宋" w:cs="仿宋"/>
                <w:spacing w:val="-3"/>
                <w:sz w:val="24"/>
                <w:szCs w:val="24"/>
              </w:rPr>
              <w:t>字幕</w:t>
            </w:r>
          </w:p>
        </w:tc>
      </w:tr>
      <w:tr w14:paraId="2FE457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6" w:hRule="atLeast"/>
        </w:trPr>
        <w:tc>
          <w:tcPr>
            <w:tcW w:w="798" w:type="dxa"/>
            <w:vAlign w:val="top"/>
          </w:tcPr>
          <w:p w14:paraId="1338AAEE">
            <w:pPr>
              <w:spacing w:line="297" w:lineRule="auto"/>
              <w:jc w:val="center"/>
              <w:rPr>
                <w:rFonts w:hint="eastAsia" w:ascii="仿宋" w:hAnsi="仿宋" w:eastAsia="仿宋" w:cs="仿宋"/>
                <w:sz w:val="24"/>
                <w:szCs w:val="24"/>
              </w:rPr>
            </w:pPr>
          </w:p>
          <w:p w14:paraId="661F49EA">
            <w:pPr>
              <w:pStyle w:val="43"/>
              <w:spacing w:before="72" w:line="219" w:lineRule="auto"/>
              <w:ind w:left="14"/>
              <w:jc w:val="center"/>
              <w:rPr>
                <w:rFonts w:hint="eastAsia" w:ascii="仿宋" w:hAnsi="仿宋" w:eastAsia="仿宋" w:cs="仿宋"/>
                <w:sz w:val="24"/>
                <w:szCs w:val="24"/>
              </w:rPr>
            </w:pPr>
            <w:r>
              <w:rPr>
                <w:rFonts w:hint="eastAsia" w:ascii="仿宋" w:hAnsi="仿宋" w:eastAsia="仿宋" w:cs="仿宋"/>
                <w:spacing w:val="-3"/>
                <w:sz w:val="24"/>
                <w:szCs w:val="24"/>
              </w:rPr>
              <w:t>字体</w:t>
            </w:r>
          </w:p>
        </w:tc>
        <w:tc>
          <w:tcPr>
            <w:tcW w:w="2129" w:type="dxa"/>
            <w:vAlign w:val="top"/>
          </w:tcPr>
          <w:p w14:paraId="46932433">
            <w:pPr>
              <w:pStyle w:val="43"/>
              <w:spacing w:before="131" w:line="449" w:lineRule="exact"/>
              <w:jc w:val="center"/>
              <w:rPr>
                <w:rFonts w:hint="eastAsia" w:ascii="仿宋" w:hAnsi="仿宋" w:eastAsia="仿宋" w:cs="仿宋"/>
                <w:sz w:val="24"/>
                <w:szCs w:val="24"/>
              </w:rPr>
            </w:pPr>
            <w:r>
              <w:rPr>
                <w:rFonts w:hint="eastAsia" w:ascii="仿宋" w:hAnsi="仿宋" w:eastAsia="仿宋" w:cs="仿宋"/>
                <w:spacing w:val="-8"/>
                <w:position w:val="17"/>
                <w:sz w:val="24"/>
                <w:szCs w:val="24"/>
              </w:rPr>
              <w:t>大黑、时尚中黑、</w:t>
            </w:r>
          </w:p>
          <w:p w14:paraId="67CCAC4D">
            <w:pPr>
              <w:pStyle w:val="43"/>
              <w:spacing w:line="218" w:lineRule="auto"/>
              <w:ind w:left="10"/>
              <w:jc w:val="center"/>
              <w:rPr>
                <w:rFonts w:hint="eastAsia" w:ascii="仿宋" w:hAnsi="仿宋" w:eastAsia="仿宋" w:cs="仿宋"/>
                <w:sz w:val="24"/>
                <w:szCs w:val="24"/>
              </w:rPr>
            </w:pPr>
            <w:r>
              <w:rPr>
                <w:rFonts w:hint="eastAsia" w:ascii="仿宋" w:hAnsi="仿宋" w:eastAsia="仿宋" w:cs="仿宋"/>
                <w:spacing w:val="-6"/>
                <w:sz w:val="24"/>
                <w:szCs w:val="24"/>
              </w:rPr>
              <w:t>大隶书</w:t>
            </w:r>
          </w:p>
        </w:tc>
        <w:tc>
          <w:tcPr>
            <w:tcW w:w="1348" w:type="dxa"/>
            <w:vAlign w:val="top"/>
          </w:tcPr>
          <w:p w14:paraId="2F818A47">
            <w:pPr>
              <w:spacing w:line="298" w:lineRule="auto"/>
              <w:jc w:val="center"/>
              <w:rPr>
                <w:rFonts w:hint="eastAsia" w:ascii="仿宋" w:hAnsi="仿宋" w:eastAsia="仿宋" w:cs="仿宋"/>
                <w:sz w:val="24"/>
                <w:szCs w:val="24"/>
              </w:rPr>
            </w:pPr>
          </w:p>
          <w:p w14:paraId="2AD13CA7">
            <w:pPr>
              <w:pStyle w:val="43"/>
              <w:spacing w:before="72" w:line="221" w:lineRule="auto"/>
              <w:ind w:left="12"/>
              <w:jc w:val="center"/>
              <w:rPr>
                <w:rFonts w:hint="eastAsia" w:ascii="仿宋" w:hAnsi="仿宋" w:eastAsia="仿宋" w:cs="仿宋"/>
                <w:sz w:val="24"/>
                <w:szCs w:val="24"/>
              </w:rPr>
            </w:pPr>
            <w:r>
              <w:rPr>
                <w:rFonts w:hint="eastAsia" w:ascii="仿宋" w:hAnsi="仿宋" w:eastAsia="仿宋" w:cs="仿宋"/>
                <w:spacing w:val="4"/>
                <w:sz w:val="24"/>
                <w:szCs w:val="24"/>
                <w:lang w:val="en-US" w:eastAsia="zh-CN"/>
              </w:rPr>
              <w:t>黑</w:t>
            </w:r>
            <w:r>
              <w:rPr>
                <w:rFonts w:hint="eastAsia" w:ascii="仿宋" w:hAnsi="仿宋" w:eastAsia="仿宋" w:cs="仿宋"/>
                <w:spacing w:val="4"/>
                <w:sz w:val="24"/>
                <w:szCs w:val="24"/>
              </w:rPr>
              <w:t>体</w:t>
            </w:r>
          </w:p>
        </w:tc>
        <w:tc>
          <w:tcPr>
            <w:tcW w:w="1696" w:type="dxa"/>
            <w:vAlign w:val="top"/>
          </w:tcPr>
          <w:p w14:paraId="7E0D9229">
            <w:pPr>
              <w:pStyle w:val="43"/>
              <w:spacing w:before="130" w:line="461" w:lineRule="exact"/>
              <w:jc w:val="center"/>
              <w:rPr>
                <w:rFonts w:hint="eastAsia" w:ascii="仿宋" w:hAnsi="仿宋" w:eastAsia="仿宋" w:cs="仿宋"/>
                <w:sz w:val="24"/>
                <w:szCs w:val="24"/>
              </w:rPr>
            </w:pPr>
            <w:r>
              <w:rPr>
                <w:rFonts w:hint="eastAsia" w:ascii="仿宋" w:hAnsi="仿宋" w:eastAsia="仿宋" w:cs="仿宋"/>
                <w:spacing w:val="-10"/>
                <w:position w:val="18"/>
                <w:sz w:val="24"/>
                <w:szCs w:val="24"/>
              </w:rPr>
              <w:t>黑体、</w:t>
            </w:r>
            <w:r>
              <w:rPr>
                <w:rFonts w:hint="eastAsia" w:ascii="仿宋" w:hAnsi="仿宋" w:eastAsia="仿宋" w:cs="仿宋"/>
                <w:spacing w:val="-10"/>
                <w:position w:val="18"/>
                <w:sz w:val="24"/>
                <w:szCs w:val="24"/>
                <w:lang w:val="en-US" w:eastAsia="zh-CN"/>
              </w:rPr>
              <w:t>魏碑</w:t>
            </w:r>
            <w:r>
              <w:rPr>
                <w:rFonts w:hint="eastAsia" w:ascii="仿宋" w:hAnsi="仿宋" w:eastAsia="仿宋" w:cs="仿宋"/>
                <w:spacing w:val="-10"/>
                <w:position w:val="18"/>
                <w:sz w:val="24"/>
                <w:szCs w:val="24"/>
              </w:rPr>
              <w:t>、</w:t>
            </w:r>
          </w:p>
          <w:p w14:paraId="4F0AFE98">
            <w:pPr>
              <w:pStyle w:val="43"/>
              <w:spacing w:line="220" w:lineRule="auto"/>
              <w:ind w:left="15"/>
              <w:jc w:val="center"/>
              <w:rPr>
                <w:rFonts w:hint="eastAsia" w:ascii="仿宋" w:hAnsi="仿宋" w:eastAsia="仿宋" w:cs="仿宋"/>
                <w:sz w:val="24"/>
                <w:szCs w:val="24"/>
              </w:rPr>
            </w:pPr>
            <w:r>
              <w:rPr>
                <w:rFonts w:hint="eastAsia" w:ascii="仿宋" w:hAnsi="仿宋" w:eastAsia="仿宋" w:cs="仿宋"/>
                <w:spacing w:val="-7"/>
                <w:sz w:val="24"/>
                <w:szCs w:val="24"/>
              </w:rPr>
              <w:t>大宋</w:t>
            </w:r>
          </w:p>
        </w:tc>
        <w:tc>
          <w:tcPr>
            <w:tcW w:w="1907" w:type="dxa"/>
            <w:vAlign w:val="top"/>
          </w:tcPr>
          <w:p w14:paraId="39A3CCE4">
            <w:pPr>
              <w:spacing w:line="298" w:lineRule="auto"/>
              <w:jc w:val="center"/>
              <w:rPr>
                <w:rFonts w:hint="eastAsia" w:ascii="仿宋" w:hAnsi="仿宋" w:eastAsia="仿宋" w:cs="仿宋"/>
                <w:sz w:val="24"/>
                <w:szCs w:val="24"/>
              </w:rPr>
            </w:pPr>
          </w:p>
          <w:p w14:paraId="1B9CE9F0">
            <w:pPr>
              <w:pStyle w:val="43"/>
              <w:spacing w:before="71" w:line="220" w:lineRule="auto"/>
              <w:ind w:left="16"/>
              <w:jc w:val="center"/>
              <w:rPr>
                <w:rFonts w:hint="eastAsia" w:ascii="仿宋" w:hAnsi="仿宋" w:eastAsia="仿宋" w:cs="仿宋"/>
                <w:sz w:val="24"/>
                <w:szCs w:val="24"/>
              </w:rPr>
            </w:pPr>
            <w:r>
              <w:rPr>
                <w:rFonts w:hint="eastAsia" w:ascii="仿宋" w:hAnsi="仿宋" w:eastAsia="仿宋" w:cs="仿宋"/>
                <w:spacing w:val="-2"/>
                <w:sz w:val="24"/>
                <w:szCs w:val="24"/>
              </w:rPr>
              <w:t>雅黑、中宋</w:t>
            </w:r>
          </w:p>
        </w:tc>
        <w:tc>
          <w:tcPr>
            <w:tcW w:w="1387" w:type="dxa"/>
            <w:vAlign w:val="top"/>
          </w:tcPr>
          <w:p w14:paraId="1236B6CA">
            <w:pPr>
              <w:spacing w:line="298" w:lineRule="auto"/>
              <w:jc w:val="center"/>
              <w:rPr>
                <w:rFonts w:hint="eastAsia" w:ascii="仿宋" w:hAnsi="仿宋" w:eastAsia="仿宋" w:cs="仿宋"/>
                <w:sz w:val="24"/>
                <w:szCs w:val="24"/>
              </w:rPr>
            </w:pPr>
          </w:p>
          <w:p w14:paraId="4921B0EA">
            <w:pPr>
              <w:pStyle w:val="43"/>
              <w:spacing w:before="71" w:line="220" w:lineRule="auto"/>
              <w:ind w:left="19"/>
              <w:jc w:val="center"/>
              <w:rPr>
                <w:rFonts w:hint="eastAsia" w:ascii="仿宋" w:hAnsi="仿宋" w:eastAsia="仿宋" w:cs="仿宋"/>
                <w:sz w:val="24"/>
                <w:szCs w:val="24"/>
              </w:rPr>
            </w:pPr>
            <w:r>
              <w:rPr>
                <w:rFonts w:hint="eastAsia" w:ascii="仿宋" w:hAnsi="仿宋" w:eastAsia="仿宋" w:cs="仿宋"/>
                <w:spacing w:val="7"/>
                <w:sz w:val="24"/>
                <w:szCs w:val="24"/>
              </w:rPr>
              <w:t>雅黑</w:t>
            </w:r>
          </w:p>
        </w:tc>
      </w:tr>
      <w:tr w14:paraId="401012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8" w:hRule="atLeast"/>
        </w:trPr>
        <w:tc>
          <w:tcPr>
            <w:tcW w:w="798" w:type="dxa"/>
            <w:vAlign w:val="top"/>
          </w:tcPr>
          <w:p w14:paraId="23D892EB">
            <w:pPr>
              <w:pStyle w:val="43"/>
              <w:spacing w:before="145" w:line="219" w:lineRule="auto"/>
              <w:ind w:left="14"/>
              <w:jc w:val="center"/>
              <w:rPr>
                <w:rFonts w:hint="eastAsia" w:ascii="仿宋" w:hAnsi="仿宋" w:eastAsia="仿宋" w:cs="仿宋"/>
                <w:sz w:val="24"/>
                <w:szCs w:val="24"/>
              </w:rPr>
            </w:pPr>
            <w:r>
              <w:rPr>
                <w:rFonts w:hint="eastAsia" w:ascii="仿宋" w:hAnsi="仿宋" w:eastAsia="仿宋" w:cs="仿宋"/>
                <w:spacing w:val="6"/>
                <w:sz w:val="24"/>
                <w:szCs w:val="24"/>
              </w:rPr>
              <w:t>字号</w:t>
            </w:r>
          </w:p>
        </w:tc>
        <w:tc>
          <w:tcPr>
            <w:tcW w:w="2129" w:type="dxa"/>
            <w:vAlign w:val="top"/>
          </w:tcPr>
          <w:p w14:paraId="051F7B98">
            <w:pPr>
              <w:pStyle w:val="43"/>
              <w:spacing w:before="145" w:line="219" w:lineRule="auto"/>
              <w:ind w:left="10"/>
              <w:jc w:val="center"/>
              <w:rPr>
                <w:rFonts w:hint="eastAsia" w:ascii="仿宋" w:hAnsi="仿宋" w:eastAsia="仿宋" w:cs="仿宋"/>
                <w:sz w:val="24"/>
                <w:szCs w:val="24"/>
              </w:rPr>
            </w:pPr>
            <w:r>
              <w:rPr>
                <w:rFonts w:hint="eastAsia" w:ascii="仿宋" w:hAnsi="仿宋" w:eastAsia="仿宋" w:cs="仿宋"/>
                <w:spacing w:val="1"/>
                <w:sz w:val="24"/>
                <w:szCs w:val="24"/>
              </w:rPr>
              <w:t>50-70磅</w:t>
            </w:r>
          </w:p>
        </w:tc>
        <w:tc>
          <w:tcPr>
            <w:tcW w:w="1348" w:type="dxa"/>
            <w:vAlign w:val="top"/>
          </w:tcPr>
          <w:p w14:paraId="0B3EC808">
            <w:pPr>
              <w:pStyle w:val="43"/>
              <w:spacing w:before="145" w:line="219" w:lineRule="auto"/>
              <w:ind w:left="12"/>
              <w:jc w:val="center"/>
              <w:rPr>
                <w:rFonts w:hint="eastAsia" w:ascii="仿宋" w:hAnsi="仿宋" w:eastAsia="仿宋" w:cs="仿宋"/>
                <w:sz w:val="24"/>
                <w:szCs w:val="24"/>
              </w:rPr>
            </w:pPr>
            <w:r>
              <w:rPr>
                <w:rFonts w:hint="eastAsia" w:ascii="仿宋" w:hAnsi="仿宋" w:eastAsia="仿宋" w:cs="仿宋"/>
                <w:spacing w:val="16"/>
                <w:sz w:val="24"/>
                <w:szCs w:val="24"/>
              </w:rPr>
              <w:t>36</w:t>
            </w:r>
            <w:r>
              <w:rPr>
                <w:rFonts w:hint="eastAsia" w:ascii="仿宋" w:hAnsi="仿宋" w:eastAsia="仿宋" w:cs="仿宋"/>
                <w:spacing w:val="-57"/>
                <w:sz w:val="24"/>
                <w:szCs w:val="24"/>
              </w:rPr>
              <w:t xml:space="preserve"> </w:t>
            </w:r>
            <w:r>
              <w:rPr>
                <w:rFonts w:hint="eastAsia" w:ascii="仿宋" w:hAnsi="仿宋" w:eastAsia="仿宋" w:cs="仿宋"/>
                <w:spacing w:val="16"/>
                <w:sz w:val="24"/>
                <w:szCs w:val="24"/>
              </w:rPr>
              <w:t>-</w:t>
            </w:r>
            <w:r>
              <w:rPr>
                <w:rFonts w:hint="eastAsia" w:ascii="仿宋" w:hAnsi="仿宋" w:eastAsia="仿宋" w:cs="仿宋"/>
                <w:spacing w:val="-60"/>
                <w:sz w:val="24"/>
                <w:szCs w:val="24"/>
              </w:rPr>
              <w:t xml:space="preserve"> </w:t>
            </w:r>
            <w:r>
              <w:rPr>
                <w:rFonts w:hint="eastAsia" w:ascii="仿宋" w:hAnsi="仿宋" w:eastAsia="仿宋" w:cs="仿宋"/>
                <w:spacing w:val="16"/>
                <w:sz w:val="24"/>
                <w:szCs w:val="24"/>
              </w:rPr>
              <w:t>40磅</w:t>
            </w:r>
          </w:p>
        </w:tc>
        <w:tc>
          <w:tcPr>
            <w:tcW w:w="1696" w:type="dxa"/>
            <w:vAlign w:val="top"/>
          </w:tcPr>
          <w:p w14:paraId="4275B341">
            <w:pPr>
              <w:pStyle w:val="43"/>
              <w:spacing w:before="145" w:line="219" w:lineRule="auto"/>
              <w:ind w:left="15"/>
              <w:jc w:val="center"/>
              <w:rPr>
                <w:rFonts w:hint="eastAsia" w:ascii="仿宋" w:hAnsi="仿宋" w:eastAsia="仿宋" w:cs="仿宋"/>
                <w:sz w:val="24"/>
                <w:szCs w:val="24"/>
              </w:rPr>
            </w:pPr>
            <w:r>
              <w:rPr>
                <w:rFonts w:hint="eastAsia" w:ascii="仿宋" w:hAnsi="仿宋" w:eastAsia="仿宋" w:cs="仿宋"/>
                <w:spacing w:val="1"/>
                <w:sz w:val="24"/>
                <w:szCs w:val="24"/>
              </w:rPr>
              <w:t>36-40磅</w:t>
            </w:r>
          </w:p>
        </w:tc>
        <w:tc>
          <w:tcPr>
            <w:tcW w:w="1907" w:type="dxa"/>
            <w:vAlign w:val="top"/>
          </w:tcPr>
          <w:p w14:paraId="67E5FFD8">
            <w:pPr>
              <w:pStyle w:val="43"/>
              <w:spacing w:before="145" w:line="219" w:lineRule="auto"/>
              <w:ind w:left="16"/>
              <w:jc w:val="center"/>
              <w:rPr>
                <w:rFonts w:hint="eastAsia" w:ascii="仿宋" w:hAnsi="仿宋" w:eastAsia="仿宋" w:cs="仿宋"/>
                <w:sz w:val="24"/>
                <w:szCs w:val="24"/>
              </w:rPr>
            </w:pPr>
            <w:r>
              <w:rPr>
                <w:rFonts w:hint="eastAsia" w:ascii="仿宋" w:hAnsi="仿宋" w:eastAsia="仿宋" w:cs="仿宋"/>
                <w:spacing w:val="15"/>
                <w:sz w:val="24"/>
                <w:szCs w:val="24"/>
              </w:rPr>
              <w:t>24</w:t>
            </w:r>
            <w:r>
              <w:rPr>
                <w:rFonts w:hint="eastAsia" w:ascii="仿宋" w:hAnsi="仿宋" w:eastAsia="仿宋" w:cs="仿宋"/>
                <w:spacing w:val="-56"/>
                <w:sz w:val="24"/>
                <w:szCs w:val="24"/>
              </w:rPr>
              <w:t xml:space="preserve"> </w:t>
            </w:r>
            <w:r>
              <w:rPr>
                <w:rFonts w:hint="eastAsia" w:ascii="仿宋" w:hAnsi="仿宋" w:eastAsia="仿宋" w:cs="仿宋"/>
                <w:spacing w:val="15"/>
                <w:sz w:val="24"/>
                <w:szCs w:val="24"/>
              </w:rPr>
              <w:t>-</w:t>
            </w:r>
            <w:r>
              <w:rPr>
                <w:rFonts w:hint="eastAsia" w:ascii="仿宋" w:hAnsi="仿宋" w:eastAsia="仿宋" w:cs="仿宋"/>
                <w:spacing w:val="-55"/>
                <w:sz w:val="24"/>
                <w:szCs w:val="24"/>
              </w:rPr>
              <w:t xml:space="preserve"> </w:t>
            </w:r>
            <w:r>
              <w:rPr>
                <w:rFonts w:hint="eastAsia" w:ascii="仿宋" w:hAnsi="仿宋" w:eastAsia="仿宋" w:cs="仿宋"/>
                <w:spacing w:val="15"/>
                <w:sz w:val="24"/>
                <w:szCs w:val="24"/>
              </w:rPr>
              <w:t>32磅</w:t>
            </w:r>
          </w:p>
        </w:tc>
        <w:tc>
          <w:tcPr>
            <w:tcW w:w="1387" w:type="dxa"/>
            <w:vAlign w:val="top"/>
          </w:tcPr>
          <w:p w14:paraId="1DB3DDBD">
            <w:pPr>
              <w:pStyle w:val="43"/>
              <w:spacing w:before="145" w:line="219" w:lineRule="auto"/>
              <w:ind w:left="19"/>
              <w:jc w:val="center"/>
              <w:rPr>
                <w:rFonts w:hint="eastAsia" w:ascii="仿宋" w:hAnsi="仿宋" w:eastAsia="仿宋" w:cs="仿宋"/>
                <w:sz w:val="24"/>
                <w:szCs w:val="24"/>
              </w:rPr>
            </w:pPr>
            <w:r>
              <w:rPr>
                <w:rFonts w:hint="eastAsia" w:ascii="仿宋" w:hAnsi="仿宋" w:eastAsia="仿宋" w:cs="仿宋"/>
                <w:spacing w:val="-9"/>
                <w:sz w:val="24"/>
                <w:szCs w:val="24"/>
              </w:rPr>
              <w:t>32</w:t>
            </w:r>
            <w:r>
              <w:rPr>
                <w:rFonts w:hint="eastAsia" w:ascii="仿宋" w:hAnsi="仿宋" w:eastAsia="仿宋" w:cs="仿宋"/>
                <w:spacing w:val="-20"/>
                <w:sz w:val="24"/>
                <w:szCs w:val="24"/>
              </w:rPr>
              <w:t xml:space="preserve"> </w:t>
            </w:r>
            <w:r>
              <w:rPr>
                <w:rFonts w:hint="eastAsia" w:ascii="仿宋" w:hAnsi="仿宋" w:eastAsia="仿宋" w:cs="仿宋"/>
                <w:spacing w:val="-9"/>
                <w:sz w:val="24"/>
                <w:szCs w:val="24"/>
              </w:rPr>
              <w:t>磅</w:t>
            </w:r>
          </w:p>
        </w:tc>
      </w:tr>
      <w:tr w14:paraId="31A115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3" w:hRule="atLeast"/>
        </w:trPr>
        <w:tc>
          <w:tcPr>
            <w:tcW w:w="798" w:type="dxa"/>
            <w:vAlign w:val="top"/>
          </w:tcPr>
          <w:p w14:paraId="73EDC6A7">
            <w:pPr>
              <w:pStyle w:val="43"/>
              <w:spacing w:before="138" w:line="221" w:lineRule="auto"/>
              <w:ind w:left="14"/>
              <w:jc w:val="center"/>
              <w:rPr>
                <w:rFonts w:hint="eastAsia" w:ascii="仿宋" w:hAnsi="仿宋" w:eastAsia="仿宋" w:cs="仿宋"/>
                <w:sz w:val="24"/>
                <w:szCs w:val="24"/>
              </w:rPr>
            </w:pPr>
            <w:r>
              <w:rPr>
                <w:rFonts w:hint="eastAsia" w:ascii="仿宋" w:hAnsi="仿宋" w:eastAsia="仿宋" w:cs="仿宋"/>
                <w:spacing w:val="13"/>
                <w:sz w:val="24"/>
                <w:szCs w:val="24"/>
              </w:rPr>
              <w:t>应用</w:t>
            </w:r>
          </w:p>
        </w:tc>
        <w:tc>
          <w:tcPr>
            <w:tcW w:w="2129" w:type="dxa"/>
            <w:vAlign w:val="top"/>
          </w:tcPr>
          <w:p w14:paraId="2DC8A8DB">
            <w:pPr>
              <w:pStyle w:val="43"/>
              <w:spacing w:before="137" w:line="220" w:lineRule="auto"/>
              <w:ind w:left="10"/>
              <w:jc w:val="center"/>
              <w:rPr>
                <w:rFonts w:hint="eastAsia" w:ascii="仿宋" w:hAnsi="仿宋" w:eastAsia="仿宋" w:cs="仿宋"/>
                <w:sz w:val="24"/>
                <w:szCs w:val="24"/>
              </w:rPr>
            </w:pPr>
            <w:r>
              <w:rPr>
                <w:rFonts w:hint="eastAsia" w:ascii="仿宋" w:hAnsi="仿宋" w:eastAsia="仿宋" w:cs="仿宋"/>
                <w:spacing w:val="4"/>
                <w:sz w:val="24"/>
                <w:szCs w:val="24"/>
              </w:rPr>
              <w:t>上下左右居中</w:t>
            </w:r>
          </w:p>
        </w:tc>
        <w:tc>
          <w:tcPr>
            <w:tcW w:w="1348" w:type="dxa"/>
            <w:vAlign w:val="top"/>
          </w:tcPr>
          <w:p w14:paraId="6481FF85">
            <w:pPr>
              <w:pStyle w:val="43"/>
              <w:spacing w:before="137" w:line="220" w:lineRule="auto"/>
              <w:ind w:left="12"/>
              <w:jc w:val="center"/>
              <w:rPr>
                <w:rFonts w:hint="eastAsia" w:ascii="仿宋" w:hAnsi="仿宋" w:eastAsia="仿宋" w:cs="仿宋"/>
                <w:sz w:val="24"/>
                <w:szCs w:val="24"/>
              </w:rPr>
            </w:pPr>
            <w:r>
              <w:rPr>
                <w:rFonts w:hint="eastAsia" w:ascii="仿宋" w:hAnsi="仿宋" w:eastAsia="仿宋" w:cs="仿宋"/>
                <w:spacing w:val="5"/>
                <w:sz w:val="24"/>
                <w:szCs w:val="24"/>
              </w:rPr>
              <w:t>左右居中</w:t>
            </w:r>
          </w:p>
        </w:tc>
        <w:tc>
          <w:tcPr>
            <w:tcW w:w="1696" w:type="dxa"/>
            <w:vAlign w:val="top"/>
          </w:tcPr>
          <w:p w14:paraId="680BF8E5">
            <w:pPr>
              <w:pStyle w:val="43"/>
              <w:spacing w:before="137" w:line="220" w:lineRule="auto"/>
              <w:ind w:left="15"/>
              <w:jc w:val="center"/>
              <w:rPr>
                <w:rFonts w:hint="eastAsia" w:ascii="仿宋" w:hAnsi="仿宋" w:eastAsia="仿宋" w:cs="仿宋"/>
                <w:sz w:val="24"/>
                <w:szCs w:val="24"/>
              </w:rPr>
            </w:pPr>
            <w:r>
              <w:rPr>
                <w:rFonts w:hint="eastAsia" w:ascii="仿宋" w:hAnsi="仿宋" w:eastAsia="仿宋" w:cs="仿宋"/>
                <w:spacing w:val="5"/>
                <w:sz w:val="24"/>
                <w:szCs w:val="24"/>
              </w:rPr>
              <w:t>左右居中</w:t>
            </w:r>
          </w:p>
        </w:tc>
        <w:tc>
          <w:tcPr>
            <w:tcW w:w="1907" w:type="dxa"/>
            <w:vAlign w:val="top"/>
          </w:tcPr>
          <w:p w14:paraId="6319A31E">
            <w:pPr>
              <w:pStyle w:val="43"/>
              <w:spacing w:before="137" w:line="219" w:lineRule="auto"/>
              <w:ind w:left="16"/>
              <w:jc w:val="center"/>
              <w:rPr>
                <w:rFonts w:hint="eastAsia" w:ascii="仿宋" w:hAnsi="仿宋" w:eastAsia="仿宋" w:cs="仿宋"/>
                <w:sz w:val="24"/>
                <w:szCs w:val="24"/>
              </w:rPr>
            </w:pPr>
            <w:r>
              <w:rPr>
                <w:rFonts w:hint="eastAsia" w:ascii="仿宋" w:hAnsi="仿宋" w:eastAsia="仿宋" w:cs="仿宋"/>
                <w:spacing w:val="4"/>
                <w:sz w:val="24"/>
                <w:szCs w:val="24"/>
              </w:rPr>
              <w:t>左对齐或居中</w:t>
            </w:r>
          </w:p>
        </w:tc>
        <w:tc>
          <w:tcPr>
            <w:tcW w:w="1387" w:type="dxa"/>
            <w:vAlign w:val="top"/>
          </w:tcPr>
          <w:p w14:paraId="031A40FB">
            <w:pPr>
              <w:pStyle w:val="43"/>
              <w:spacing w:before="137" w:line="220" w:lineRule="auto"/>
              <w:ind w:left="19"/>
              <w:jc w:val="center"/>
              <w:rPr>
                <w:rFonts w:hint="eastAsia" w:ascii="仿宋" w:hAnsi="仿宋" w:eastAsia="仿宋" w:cs="仿宋"/>
                <w:sz w:val="24"/>
                <w:szCs w:val="24"/>
              </w:rPr>
            </w:pPr>
            <w:r>
              <w:rPr>
                <w:rFonts w:hint="eastAsia" w:ascii="仿宋" w:hAnsi="仿宋" w:eastAsia="仿宋" w:cs="仿宋"/>
                <w:spacing w:val="5"/>
                <w:sz w:val="24"/>
                <w:szCs w:val="24"/>
              </w:rPr>
              <w:t>左右居中</w:t>
            </w:r>
          </w:p>
        </w:tc>
      </w:tr>
    </w:tbl>
    <w:p w14:paraId="6CB268EB">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(3)版心与版式</w:t>
      </w:r>
    </w:p>
    <w:p w14:paraId="5A1D2AB5">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每页四周留出空白，应避免内容顶到页</w:t>
      </w:r>
      <w:r>
        <w:rPr>
          <w:rFonts w:hint="eastAsia" w:ascii="仿宋" w:hAnsi="仿宋" w:eastAsia="仿宋" w:cs="仿宋"/>
          <w:spacing w:val="-5"/>
          <w:sz w:val="24"/>
          <w:szCs w:val="24"/>
          <w:lang w:val="en-US" w:eastAsia="zh-CN"/>
        </w:rPr>
        <w:t>面</w:t>
      </w:r>
      <w:r>
        <w:rPr>
          <w:rFonts w:hint="eastAsia" w:ascii="仿宋" w:hAnsi="仿宋" w:eastAsia="仿宋" w:cs="仿宋"/>
          <w:spacing w:val="-5"/>
          <w:sz w:val="24"/>
          <w:szCs w:val="24"/>
        </w:rPr>
        <w:t>边缘，边界安全区域分别为左、右130像素内，上、下90像素内。</w:t>
      </w:r>
    </w:p>
    <w:p w14:paraId="42A9B156">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(4)背景</w:t>
      </w:r>
    </w:p>
    <w:p w14:paraId="0F52A853">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①背景色以简洁适中饱和度为主(颜色保持在一至两种背景色系内);</w:t>
      </w:r>
    </w:p>
    <w:p w14:paraId="12DE001F">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lang w:eastAsia="zh-CN"/>
        </w:rPr>
      </w:pPr>
      <w:r>
        <w:rPr>
          <w:rFonts w:hint="eastAsia" w:ascii="仿宋" w:hAnsi="仿宋" w:eastAsia="仿宋" w:cs="仿宋"/>
          <w:spacing w:val="-5"/>
          <w:sz w:val="24"/>
          <w:szCs w:val="24"/>
        </w:rPr>
        <w:t>②背景和场景不</w:t>
      </w:r>
      <w:r>
        <w:rPr>
          <w:rFonts w:hint="eastAsia" w:ascii="仿宋" w:hAnsi="仿宋" w:eastAsia="仿宋" w:cs="仿宋"/>
          <w:spacing w:val="-5"/>
          <w:sz w:val="24"/>
          <w:szCs w:val="24"/>
          <w:lang w:val="en-US" w:eastAsia="zh-CN"/>
        </w:rPr>
        <w:t>宜</w:t>
      </w:r>
      <w:r>
        <w:rPr>
          <w:rFonts w:hint="eastAsia" w:ascii="仿宋" w:hAnsi="仿宋" w:eastAsia="仿宋" w:cs="仿宋"/>
          <w:spacing w:val="-5"/>
          <w:sz w:val="24"/>
          <w:szCs w:val="24"/>
        </w:rPr>
        <w:t>变化过多</w:t>
      </w:r>
      <w:r>
        <w:rPr>
          <w:rFonts w:hint="eastAsia" w:ascii="仿宋" w:hAnsi="仿宋" w:eastAsia="仿宋" w:cs="仿宋"/>
          <w:spacing w:val="-5"/>
          <w:sz w:val="24"/>
          <w:szCs w:val="24"/>
          <w:lang w:eastAsia="zh-CN"/>
        </w:rPr>
        <w:t>；</w:t>
      </w:r>
    </w:p>
    <w:p w14:paraId="6B8FC026">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③文字、图形等内容应与背景对比醒目。</w:t>
      </w:r>
    </w:p>
    <w:p w14:paraId="594249CE">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(5)色调</w:t>
      </w:r>
    </w:p>
    <w:p w14:paraId="36FC474B">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①色彩的选配应与课程科目主旨相吻合；</w:t>
      </w:r>
    </w:p>
    <w:p w14:paraId="30FA0374">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②每一短视频或一系列短视频在配色上应体现出系统性，可选一种主色调再加上一至两种辅助色进行匹配；</w:t>
      </w:r>
    </w:p>
    <w:p w14:paraId="1F5B0D0A">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③同一屏里文字不宜超出三种颜色。</w:t>
      </w:r>
    </w:p>
    <w:p w14:paraId="09C5BDE1">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(6)字距与行距</w:t>
      </w:r>
    </w:p>
    <w:p w14:paraId="6D7124CB">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lang w:eastAsia="zh-CN"/>
        </w:rPr>
      </w:pPr>
      <w:r>
        <w:rPr>
          <w:rFonts w:hint="eastAsia" w:ascii="仿宋" w:hAnsi="仿宋" w:eastAsia="仿宋" w:cs="仿宋"/>
          <w:spacing w:val="-5"/>
          <w:sz w:val="24"/>
          <w:szCs w:val="24"/>
        </w:rPr>
        <w:t>① 标题：在文字少的情形下，字距放宽一倍体现舒展性</w:t>
      </w:r>
      <w:r>
        <w:rPr>
          <w:rFonts w:hint="eastAsia" w:ascii="仿宋" w:hAnsi="仿宋" w:eastAsia="仿宋" w:cs="仿宋"/>
          <w:spacing w:val="-5"/>
          <w:sz w:val="24"/>
          <w:szCs w:val="24"/>
          <w:lang w:eastAsia="zh-CN"/>
        </w:rPr>
        <w:t>；</w:t>
      </w:r>
    </w:p>
    <w:p w14:paraId="391B6B7B">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lang w:eastAsia="zh-CN"/>
        </w:rPr>
      </w:pPr>
      <w:r>
        <w:rPr>
          <w:rFonts w:hint="eastAsia" w:ascii="仿宋" w:hAnsi="仿宋" w:eastAsia="仿宋" w:cs="仿宋"/>
          <w:spacing w:val="-5"/>
          <w:sz w:val="24"/>
          <w:szCs w:val="24"/>
        </w:rPr>
        <w:t>②正文：行距使用1行或1</w:t>
      </w:r>
      <w:r>
        <w:rPr>
          <w:rFonts w:hint="eastAsia" w:ascii="仿宋" w:hAnsi="仿宋" w:eastAsia="仿宋" w:cs="仿宋"/>
          <w:spacing w:val="-5"/>
          <w:sz w:val="24"/>
          <w:szCs w:val="24"/>
          <w:lang w:val="en-US" w:eastAsia="zh-CN"/>
        </w:rPr>
        <w:t>.</w:t>
      </w:r>
      <w:r>
        <w:rPr>
          <w:rFonts w:hint="eastAsia" w:ascii="仿宋" w:hAnsi="仿宋" w:eastAsia="仿宋" w:cs="仿宋"/>
          <w:spacing w:val="-5"/>
          <w:sz w:val="24"/>
          <w:szCs w:val="24"/>
        </w:rPr>
        <w:t>5 行，便于阅读</w:t>
      </w:r>
      <w:r>
        <w:rPr>
          <w:rFonts w:hint="eastAsia" w:ascii="仿宋" w:hAnsi="仿宋" w:eastAsia="仿宋" w:cs="仿宋"/>
          <w:spacing w:val="-5"/>
          <w:sz w:val="24"/>
          <w:szCs w:val="24"/>
          <w:lang w:eastAsia="zh-CN"/>
        </w:rPr>
        <w:t>。</w:t>
      </w:r>
    </w:p>
    <w:p w14:paraId="4C39F885">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(7)配图</w:t>
      </w:r>
    </w:p>
    <w:p w14:paraId="2FDB65BE">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①图像应清晰并能反映出内容主题思想，</w:t>
      </w:r>
      <w:r>
        <w:rPr>
          <w:rFonts w:hint="eastAsia" w:ascii="仿宋" w:hAnsi="仿宋" w:eastAsia="仿宋" w:cs="仿宋"/>
          <w:spacing w:val="-5"/>
          <w:sz w:val="24"/>
          <w:szCs w:val="24"/>
          <w:lang w:val="en-US" w:eastAsia="zh-CN"/>
        </w:rPr>
        <w:t>分辨</w:t>
      </w:r>
      <w:r>
        <w:rPr>
          <w:rFonts w:hint="eastAsia" w:ascii="仿宋" w:hAnsi="仿宋" w:eastAsia="仿宋" w:cs="仿宋"/>
          <w:spacing w:val="-5"/>
          <w:sz w:val="24"/>
          <w:szCs w:val="24"/>
        </w:rPr>
        <w:t>率应达到72dpi以上；</w:t>
      </w:r>
    </w:p>
    <w:p w14:paraId="56A0B765">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lang w:val="en-US" w:eastAsia="zh-CN"/>
        </w:rPr>
      </w:pPr>
      <w:r>
        <w:rPr>
          <w:rFonts w:hint="eastAsia" w:ascii="仿宋" w:hAnsi="仿宋" w:eastAsia="仿宋" w:cs="仿宋"/>
          <w:spacing w:val="-5"/>
          <w:sz w:val="24"/>
          <w:szCs w:val="24"/>
        </w:rPr>
        <w:t>②图片不可加长或压窄</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rPr>
        <w:t>防止变形；</w:t>
      </w:r>
    </w:p>
    <w:p w14:paraId="5B8A097C">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③图形使用应通俗易懂</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lang w:val="en-US" w:eastAsia="zh-CN"/>
        </w:rPr>
        <w:t>便于</w:t>
      </w:r>
      <w:r>
        <w:rPr>
          <w:rFonts w:hint="eastAsia" w:ascii="仿宋" w:hAnsi="仿宋" w:eastAsia="仿宋" w:cs="仿宋"/>
          <w:spacing w:val="-5"/>
          <w:sz w:val="24"/>
          <w:szCs w:val="24"/>
        </w:rPr>
        <w:t>理解。</w:t>
      </w:r>
    </w:p>
    <w:p w14:paraId="6C93856D">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(8)修饰</w:t>
      </w:r>
    </w:p>
    <w:p w14:paraId="2108AA0B">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①细线条的运用比粗线条更显精致；</w:t>
      </w:r>
    </w:p>
    <w:p w14:paraId="06CD708F">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②扁平式的装饰更接近时代审美：</w:t>
      </w:r>
    </w:p>
    <w:p w14:paraId="1FFF4FE1">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③有趣味的装饰通常更能吸引人，</w:t>
      </w:r>
    </w:p>
    <w:p w14:paraId="3925B7CC">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(9)版权来源</w:t>
      </w:r>
    </w:p>
    <w:p w14:paraId="3036E60B">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素材选用注意版权，涉及版权问题须加入“版权来源”信息。</w:t>
      </w:r>
    </w:p>
    <w:p w14:paraId="0C7A5886">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jc w:val="both"/>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5.二维动画素材</w:t>
      </w:r>
    </w:p>
    <w:p w14:paraId="50A3C6F4">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jc w:val="both"/>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所有动画资源交付时除了成品外还必须提交合成前的源文件。分辨率1920X1080,24位以上真彩色画面，每秒帧数大于24。</w:t>
      </w:r>
    </w:p>
    <w:p w14:paraId="1B63F94F">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jc w:val="both"/>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(1)品质要求：动画的开始要有醒目的标题，标题要能够体现动画所表现的内容，动画中如果有文字，文字要醒目，文字的字体、字号与内容协调，字体颜色避免与背景色相近，动画色彩造型应和谐。</w:t>
      </w:r>
      <w:r>
        <w:rPr>
          <w:rFonts w:hint="eastAsia" w:ascii="仿宋" w:hAnsi="仿宋" w:eastAsia="仿宋" w:cs="仿宋"/>
          <w:spacing w:val="-5"/>
          <w:sz w:val="24"/>
          <w:szCs w:val="24"/>
          <w:lang w:val="en-US" w:eastAsia="zh-CN"/>
        </w:rPr>
        <w:t>画面</w:t>
      </w:r>
      <w:r>
        <w:rPr>
          <w:rFonts w:hint="eastAsia" w:ascii="仿宋" w:hAnsi="仿宋" w:eastAsia="仿宋" w:cs="仿宋"/>
          <w:spacing w:val="-5"/>
          <w:sz w:val="24"/>
          <w:szCs w:val="24"/>
        </w:rPr>
        <w:t>简洁清晰，界面友好，交互设计合理，操作简单，画连续，节奏合适，帧和帧之间的关联性要强。如果有解说</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rPr>
        <w:t>配音应标准</w:t>
      </w:r>
      <w:r>
        <w:rPr>
          <w:rFonts w:hint="eastAsia" w:ascii="仿宋" w:hAnsi="仿宋" w:eastAsia="仿宋" w:cs="仿宋"/>
          <w:spacing w:val="-5"/>
          <w:sz w:val="24"/>
          <w:szCs w:val="24"/>
          <w:lang w:eastAsia="zh-CN"/>
        </w:rPr>
        <w:t>，无噪声，</w:t>
      </w:r>
      <w:r>
        <w:rPr>
          <w:rFonts w:hint="eastAsia" w:ascii="仿宋" w:hAnsi="仿宋" w:eastAsia="仿宋" w:cs="仿宋"/>
          <w:spacing w:val="-5"/>
          <w:sz w:val="24"/>
          <w:szCs w:val="24"/>
        </w:rPr>
        <w:t>声音悦耳</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rPr>
        <w:t>音量适当</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rPr>
        <w:t>快慢适度</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rPr>
        <w:t>并提供控制解说的开关</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rPr>
        <w:t>如果有背景音乐，背景音乐音量不宜过大，音乐与内容相符，并提供控制开关</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rPr>
        <w:t>动画演播过程要流畅</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rPr>
        <w:t>静止</w:t>
      </w:r>
      <w:r>
        <w:rPr>
          <w:rFonts w:hint="eastAsia" w:ascii="仿宋" w:hAnsi="仿宋" w:eastAsia="仿宋" w:cs="仿宋"/>
          <w:spacing w:val="-5"/>
          <w:sz w:val="24"/>
          <w:szCs w:val="24"/>
          <w:lang w:eastAsia="zh-CN"/>
        </w:rPr>
        <w:t>画面</w:t>
      </w:r>
      <w:r>
        <w:rPr>
          <w:rFonts w:hint="eastAsia" w:ascii="仿宋" w:hAnsi="仿宋" w:eastAsia="仿宋" w:cs="仿宋"/>
          <w:spacing w:val="-5"/>
          <w:sz w:val="24"/>
          <w:szCs w:val="24"/>
        </w:rPr>
        <w:t>时间不超过5秒钟</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rPr>
        <w:t>一般情况下，应设置暂停与播放控制按钮，当动画时间较长时应设置进度拖动。</w:t>
      </w:r>
    </w:p>
    <w:p w14:paraId="6FBABE54">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(2)制作要求：</w:t>
      </w:r>
    </w:p>
    <w:p w14:paraId="4CC572C3">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①由专业美工人员用专业绘图软件制作。</w:t>
      </w:r>
    </w:p>
    <w:p w14:paraId="60BD20D5">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②绘图：使用专业绘图工具，绘制场景模型及使用素材。</w:t>
      </w:r>
    </w:p>
    <w:p w14:paraId="1D8A7D85">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③采用GIF、SWF (不低于Fash8.0)或SVG等存储格式。</w:t>
      </w:r>
    </w:p>
    <w:p w14:paraId="53405DFF">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④补间动画：采用动作补间、形状补间动画、逐帧动画、遮罩动画、引导层动画对场景模型、元素进行控制，满足动画脚本内容需要。</w:t>
      </w:r>
    </w:p>
    <w:p w14:paraId="0DC2341A">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lang w:eastAsia="zh-CN"/>
        </w:rPr>
      </w:pPr>
      <w:r>
        <w:rPr>
          <w:rFonts w:hint="eastAsia" w:ascii="仿宋" w:hAnsi="仿宋" w:eastAsia="仿宋" w:cs="仿宋"/>
          <w:spacing w:val="-5"/>
          <w:sz w:val="24"/>
          <w:szCs w:val="24"/>
        </w:rPr>
        <w:t>⑤控制：FIash使用ActionScript给动画添加交互性。在简单动画中，Flash按顺序播放动画中的场景和帧</w:t>
      </w:r>
      <w:r>
        <w:rPr>
          <w:rFonts w:hint="eastAsia" w:ascii="仿宋" w:hAnsi="仿宋" w:eastAsia="仿宋" w:cs="仿宋"/>
          <w:spacing w:val="-5"/>
          <w:sz w:val="24"/>
          <w:szCs w:val="24"/>
          <w:lang w:eastAsia="zh-CN"/>
        </w:rPr>
        <w:t>。</w:t>
      </w:r>
    </w:p>
    <w:p w14:paraId="70A6D9CE">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lang w:eastAsia="zh-CN"/>
        </w:rPr>
      </w:pPr>
      <w:r>
        <w:rPr>
          <w:rFonts w:hint="eastAsia" w:ascii="仿宋" w:hAnsi="仿宋" w:eastAsia="仿宋" w:cs="仿宋"/>
          <w:spacing w:val="-5"/>
          <w:sz w:val="24"/>
          <w:szCs w:val="24"/>
        </w:rPr>
        <w:t>(3)格式要求：使用mp4格式</w:t>
      </w:r>
      <w:r>
        <w:rPr>
          <w:rFonts w:hint="eastAsia" w:ascii="仿宋" w:hAnsi="仿宋" w:eastAsia="仿宋" w:cs="仿宋"/>
          <w:spacing w:val="-5"/>
          <w:sz w:val="24"/>
          <w:szCs w:val="24"/>
          <w:lang w:eastAsia="zh-CN"/>
        </w:rPr>
        <w:t>。</w:t>
      </w:r>
    </w:p>
    <w:p w14:paraId="3260A3F6">
      <w:pPr>
        <w:keepNext w:val="0"/>
        <w:keepLines w:val="0"/>
        <w:pageBreakBefore w:val="0"/>
        <w:widowControl w:val="0"/>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(4)命名要求：文件命名应直接指明资源所属课程、章节及性质。 (如学校有新要求以</w:t>
      </w:r>
      <w:r>
        <w:rPr>
          <w:rFonts w:hint="eastAsia" w:ascii="仿宋" w:hAnsi="仿宋" w:eastAsia="仿宋" w:cs="仿宋"/>
          <w:spacing w:val="-5"/>
          <w:sz w:val="24"/>
          <w:szCs w:val="24"/>
          <w:lang w:val="en-US" w:eastAsia="zh-CN"/>
        </w:rPr>
        <w:t>学校</w:t>
      </w:r>
      <w:r>
        <w:rPr>
          <w:rFonts w:hint="eastAsia" w:ascii="仿宋" w:hAnsi="仿宋" w:eastAsia="仿宋" w:cs="仿宋"/>
          <w:spacing w:val="-5"/>
          <w:sz w:val="24"/>
          <w:szCs w:val="24"/>
        </w:rPr>
        <w:t>文件为准)。</w:t>
      </w:r>
    </w:p>
    <w:p w14:paraId="59A20B05">
      <w:pPr>
        <w:keepNext w:val="0"/>
        <w:keepLines w:val="0"/>
        <w:pageBreakBefore w:val="0"/>
        <w:widowControl w:val="0"/>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(5)内容和版权要求：有明确的版权标识信息，动画内容符合我国法律法规，版权不存在争议；尊重各民族的风俗习惯。</w:t>
      </w:r>
    </w:p>
    <w:p w14:paraId="5E6E462D">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6.三维动画素材</w:t>
      </w:r>
    </w:p>
    <w:p w14:paraId="409B5354">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(1)开发</w:t>
      </w:r>
      <w:r>
        <w:rPr>
          <w:rFonts w:hint="eastAsia" w:ascii="仿宋" w:hAnsi="仿宋" w:eastAsia="仿宋" w:cs="仿宋"/>
          <w:spacing w:val="-5"/>
          <w:sz w:val="24"/>
          <w:szCs w:val="24"/>
          <w:lang w:val="en-US" w:eastAsia="zh-CN"/>
        </w:rPr>
        <w:t>工具</w:t>
      </w:r>
      <w:r>
        <w:rPr>
          <w:rFonts w:hint="eastAsia" w:ascii="仿宋" w:hAnsi="仿宋" w:eastAsia="仿宋" w:cs="仿宋"/>
          <w:spacing w:val="-5"/>
          <w:sz w:val="24"/>
          <w:szCs w:val="24"/>
        </w:rPr>
        <w:t>： Aut</w:t>
      </w:r>
      <w:r>
        <w:rPr>
          <w:rFonts w:hint="eastAsia" w:ascii="仿宋" w:hAnsi="仿宋" w:eastAsia="仿宋" w:cs="仿宋"/>
          <w:spacing w:val="-5"/>
          <w:sz w:val="24"/>
          <w:szCs w:val="24"/>
          <w:lang w:val="en-US" w:eastAsia="zh-CN"/>
        </w:rPr>
        <w:t>o</w:t>
      </w:r>
      <w:r>
        <w:rPr>
          <w:rFonts w:hint="eastAsia" w:ascii="仿宋" w:hAnsi="仿宋" w:eastAsia="仿宋" w:cs="仿宋"/>
          <w:spacing w:val="-5"/>
          <w:sz w:val="24"/>
          <w:szCs w:val="24"/>
        </w:rPr>
        <w:t xml:space="preserve">desk 3ds </w:t>
      </w:r>
      <w:r>
        <w:rPr>
          <w:rFonts w:hint="eastAsia" w:ascii="仿宋" w:hAnsi="仿宋" w:eastAsia="仿宋" w:cs="仿宋"/>
          <w:spacing w:val="-5"/>
          <w:sz w:val="24"/>
          <w:szCs w:val="24"/>
          <w:lang w:val="en-US" w:eastAsia="zh-CN"/>
        </w:rPr>
        <w:t>M</w:t>
      </w:r>
      <w:r>
        <w:rPr>
          <w:rFonts w:hint="eastAsia" w:ascii="仿宋" w:hAnsi="仿宋" w:eastAsia="仿宋" w:cs="仿宋"/>
          <w:spacing w:val="-5"/>
          <w:sz w:val="24"/>
          <w:szCs w:val="24"/>
        </w:rPr>
        <w:t>ax2016及以上</w:t>
      </w:r>
      <w:r>
        <w:rPr>
          <w:rFonts w:hint="eastAsia" w:ascii="仿宋" w:hAnsi="仿宋" w:eastAsia="仿宋" w:cs="仿宋"/>
          <w:spacing w:val="-5"/>
          <w:sz w:val="24"/>
          <w:szCs w:val="24"/>
          <w:lang w:val="en-US" w:eastAsia="zh-CN"/>
        </w:rPr>
        <w:t>版本</w:t>
      </w:r>
      <w:r>
        <w:rPr>
          <w:rFonts w:hint="eastAsia" w:ascii="仿宋" w:hAnsi="仿宋" w:eastAsia="仿宋" w:cs="仿宋"/>
          <w:spacing w:val="-5"/>
          <w:sz w:val="24"/>
          <w:szCs w:val="24"/>
        </w:rPr>
        <w:t>. Ado</w:t>
      </w:r>
      <w:r>
        <w:rPr>
          <w:rFonts w:hint="eastAsia" w:ascii="仿宋" w:hAnsi="仿宋" w:eastAsia="仿宋" w:cs="仿宋"/>
          <w:spacing w:val="-5"/>
          <w:sz w:val="24"/>
          <w:szCs w:val="24"/>
          <w:lang w:val="en-US" w:eastAsia="zh-CN"/>
        </w:rPr>
        <w:t>b</w:t>
      </w:r>
      <w:r>
        <w:rPr>
          <w:rFonts w:hint="eastAsia" w:ascii="仿宋" w:hAnsi="仿宋" w:eastAsia="仿宋" w:cs="仿宋"/>
          <w:spacing w:val="-5"/>
          <w:sz w:val="24"/>
          <w:szCs w:val="24"/>
        </w:rPr>
        <w:t>e Photoshop CC2017及以上版本。</w:t>
      </w:r>
    </w:p>
    <w:p w14:paraId="33462CF5">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(2)渲染工具采用VR</w:t>
      </w:r>
      <w:r>
        <w:rPr>
          <w:rFonts w:hint="eastAsia" w:ascii="仿宋" w:hAnsi="仿宋" w:eastAsia="仿宋" w:cs="仿宋"/>
          <w:spacing w:val="-5"/>
          <w:sz w:val="24"/>
          <w:szCs w:val="24"/>
          <w:lang w:val="en-US" w:eastAsia="zh-CN"/>
        </w:rPr>
        <w:t>a</w:t>
      </w:r>
      <w:r>
        <w:rPr>
          <w:rFonts w:hint="eastAsia" w:ascii="仿宋" w:hAnsi="仿宋" w:eastAsia="仿宋" w:cs="仿宋"/>
          <w:spacing w:val="-5"/>
          <w:sz w:val="24"/>
          <w:szCs w:val="24"/>
        </w:rPr>
        <w:t>y 渲染器2.0以上版</w:t>
      </w:r>
      <w:r>
        <w:rPr>
          <w:rFonts w:hint="eastAsia" w:ascii="仿宋" w:hAnsi="仿宋" w:eastAsia="仿宋" w:cs="仿宋"/>
          <w:spacing w:val="-5"/>
          <w:sz w:val="24"/>
          <w:szCs w:val="24"/>
          <w:lang w:val="en-US" w:eastAsia="zh-CN"/>
        </w:rPr>
        <w:t>本</w:t>
      </w:r>
      <w:r>
        <w:rPr>
          <w:rFonts w:hint="eastAsia" w:ascii="仿宋" w:hAnsi="仿宋" w:eastAsia="仿宋" w:cs="仿宋"/>
          <w:spacing w:val="-5"/>
          <w:sz w:val="24"/>
          <w:szCs w:val="24"/>
        </w:rPr>
        <w:t>。</w:t>
      </w:r>
    </w:p>
    <w:p w14:paraId="3D88CEA6">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lang w:eastAsia="zh-CN"/>
        </w:rPr>
      </w:pPr>
      <w:r>
        <w:rPr>
          <w:rFonts w:hint="eastAsia" w:ascii="仿宋" w:hAnsi="仿宋" w:eastAsia="仿宋" w:cs="仿宋"/>
          <w:spacing w:val="-5"/>
          <w:sz w:val="24"/>
          <w:szCs w:val="24"/>
        </w:rPr>
        <w:t>(3)模型要求：模型由三角面或四角</w:t>
      </w:r>
      <w:r>
        <w:rPr>
          <w:rFonts w:hint="eastAsia" w:ascii="仿宋" w:hAnsi="仿宋" w:eastAsia="仿宋" w:cs="仿宋"/>
          <w:spacing w:val="-5"/>
          <w:sz w:val="24"/>
          <w:szCs w:val="24"/>
          <w:lang w:val="en-US" w:eastAsia="zh-CN"/>
        </w:rPr>
        <w:t>面</w:t>
      </w:r>
      <w:r>
        <w:rPr>
          <w:rFonts w:hint="eastAsia" w:ascii="仿宋" w:hAnsi="仿宋" w:eastAsia="仿宋" w:cs="仿宋"/>
          <w:spacing w:val="-5"/>
          <w:sz w:val="24"/>
          <w:szCs w:val="24"/>
        </w:rPr>
        <w:t>构成，不能出现有五条边或五条以上边构成的</w:t>
      </w:r>
      <w:r>
        <w:rPr>
          <w:rFonts w:hint="eastAsia" w:ascii="仿宋" w:hAnsi="仿宋" w:eastAsia="仿宋" w:cs="仿宋"/>
          <w:spacing w:val="-5"/>
          <w:sz w:val="24"/>
          <w:szCs w:val="24"/>
          <w:lang w:val="en-US" w:eastAsia="zh-CN"/>
        </w:rPr>
        <w:t>面</w:t>
      </w:r>
      <w:r>
        <w:rPr>
          <w:rFonts w:hint="eastAsia" w:ascii="仿宋" w:hAnsi="仿宋" w:eastAsia="仿宋" w:cs="仿宋"/>
          <w:spacing w:val="-5"/>
          <w:sz w:val="24"/>
          <w:szCs w:val="24"/>
        </w:rPr>
        <w:t>，在确保模型正确的情况下尽量减少面数，不能出现空点、露面、黑面等问题</w:t>
      </w:r>
      <w:r>
        <w:rPr>
          <w:rFonts w:hint="eastAsia" w:ascii="仿宋" w:hAnsi="仿宋" w:eastAsia="仿宋" w:cs="仿宋"/>
          <w:spacing w:val="-5"/>
          <w:sz w:val="24"/>
          <w:szCs w:val="24"/>
          <w:lang w:eastAsia="zh-CN"/>
        </w:rPr>
        <w:t>。</w:t>
      </w:r>
    </w:p>
    <w:p w14:paraId="6EA67247">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(4)材质贴图要求：贴图一定是</w:t>
      </w:r>
      <w:r>
        <w:rPr>
          <w:rFonts w:hint="eastAsia" w:ascii="仿宋" w:hAnsi="仿宋" w:eastAsia="仿宋" w:cs="仿宋"/>
          <w:spacing w:val="-5"/>
          <w:sz w:val="24"/>
          <w:szCs w:val="24"/>
          <w:lang w:val="en-US" w:eastAsia="zh-CN"/>
        </w:rPr>
        <w:t>正</w:t>
      </w:r>
      <w:r>
        <w:rPr>
          <w:rFonts w:hint="eastAsia" w:ascii="仿宋" w:hAnsi="仿宋" w:eastAsia="仿宋" w:cs="仿宋"/>
          <w:spacing w:val="-5"/>
          <w:sz w:val="24"/>
          <w:szCs w:val="24"/>
        </w:rPr>
        <w:t>方形的，而且要按最低不低于256*256、最高不高于2048*2048的标准比例定制贴图大小，并要求图像清晰、色彩和谐。</w:t>
      </w:r>
    </w:p>
    <w:p w14:paraId="2DA7223C">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(5)渲染要求输出图像</w:t>
      </w:r>
      <w:r>
        <w:rPr>
          <w:rFonts w:hint="eastAsia" w:ascii="仿宋" w:hAnsi="仿宋" w:eastAsia="仿宋" w:cs="仿宋"/>
          <w:spacing w:val="-5"/>
          <w:sz w:val="24"/>
          <w:szCs w:val="24"/>
          <w:lang w:val="en-US" w:eastAsia="zh-CN"/>
        </w:rPr>
        <w:t>清晰</w:t>
      </w:r>
      <w:r>
        <w:rPr>
          <w:rFonts w:hint="eastAsia" w:ascii="仿宋" w:hAnsi="仿宋" w:eastAsia="仿宋" w:cs="仿宋"/>
          <w:spacing w:val="-5"/>
          <w:sz w:val="24"/>
          <w:szCs w:val="24"/>
        </w:rPr>
        <w:t>干净</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rPr>
        <w:t>色彩明快鲜</w:t>
      </w:r>
      <w:r>
        <w:rPr>
          <w:rFonts w:hint="eastAsia" w:ascii="仿宋" w:hAnsi="仿宋" w:eastAsia="仿宋" w:cs="仿宋"/>
          <w:spacing w:val="-5"/>
          <w:sz w:val="24"/>
          <w:szCs w:val="24"/>
          <w:lang w:val="en-US" w:eastAsia="zh-CN"/>
        </w:rPr>
        <w:t>明</w:t>
      </w:r>
      <w:r>
        <w:rPr>
          <w:rFonts w:hint="eastAsia" w:ascii="仿宋" w:hAnsi="仿宋" w:eastAsia="仿宋" w:cs="仿宋"/>
          <w:spacing w:val="-5"/>
          <w:sz w:val="24"/>
          <w:szCs w:val="24"/>
        </w:rPr>
        <w:t>，要求体现各种物体的质感，不得出现由于灯光</w:t>
      </w:r>
      <w:r>
        <w:rPr>
          <w:rFonts w:hint="eastAsia" w:ascii="仿宋" w:hAnsi="仿宋" w:eastAsia="仿宋" w:cs="仿宋"/>
          <w:spacing w:val="-5"/>
          <w:sz w:val="24"/>
          <w:szCs w:val="24"/>
          <w:lang w:val="en-US" w:eastAsia="zh-CN"/>
        </w:rPr>
        <w:t>曝光</w:t>
      </w:r>
      <w:r>
        <w:rPr>
          <w:rFonts w:hint="eastAsia" w:ascii="仿宋" w:hAnsi="仿宋" w:eastAsia="仿宋" w:cs="仿宋"/>
          <w:spacing w:val="-5"/>
          <w:sz w:val="24"/>
          <w:szCs w:val="24"/>
        </w:rPr>
        <w:t>问题导致画面过亮</w:t>
      </w:r>
      <w:r>
        <w:rPr>
          <w:rFonts w:hint="eastAsia" w:ascii="仿宋" w:hAnsi="仿宋" w:eastAsia="仿宋" w:cs="仿宋"/>
          <w:spacing w:val="-5"/>
          <w:sz w:val="24"/>
          <w:szCs w:val="24"/>
          <w:lang w:eastAsia="zh-CN"/>
        </w:rPr>
        <w:t>过</w:t>
      </w:r>
      <w:r>
        <w:rPr>
          <w:rFonts w:hint="eastAsia" w:ascii="仿宋" w:hAnsi="仿宋" w:eastAsia="仿宋" w:cs="仿宋"/>
          <w:spacing w:val="-5"/>
          <w:sz w:val="24"/>
          <w:szCs w:val="24"/>
        </w:rPr>
        <w:t>暗。动画要求设置好帧速率， FPS不低于25帧/秒。</w:t>
      </w:r>
    </w:p>
    <w:p w14:paraId="13DABAA4">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(6)格式要求：使用mp4 格式</w:t>
      </w:r>
    </w:p>
    <w:p w14:paraId="7A06F71E">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7.微课制作要求</w:t>
      </w:r>
    </w:p>
    <w:p w14:paraId="577C7FB0">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微课作品中</w:t>
      </w:r>
      <w:r>
        <w:rPr>
          <w:rFonts w:hint="eastAsia" w:ascii="仿宋" w:hAnsi="仿宋" w:eastAsia="仿宋" w:cs="仿宋"/>
          <w:spacing w:val="-5"/>
          <w:sz w:val="24"/>
          <w:szCs w:val="24"/>
          <w:lang w:val="en-US" w:eastAsia="zh-CN"/>
        </w:rPr>
        <w:t>以实践操作为主，</w:t>
      </w:r>
      <w:r>
        <w:rPr>
          <w:rFonts w:hint="eastAsia" w:ascii="仿宋" w:hAnsi="仿宋" w:eastAsia="仿宋" w:cs="仿宋"/>
          <w:spacing w:val="-5"/>
          <w:sz w:val="24"/>
          <w:szCs w:val="24"/>
        </w:rPr>
        <w:t>包括教师出镜摄像、PPT演示文稿、动画、演示视频以及</w:t>
      </w:r>
      <w:r>
        <w:rPr>
          <w:rFonts w:hint="eastAsia" w:ascii="仿宋" w:hAnsi="仿宋" w:eastAsia="仿宋" w:cs="仿宋"/>
          <w:spacing w:val="-5"/>
          <w:sz w:val="24"/>
          <w:szCs w:val="24"/>
          <w:lang w:eastAsia="zh-CN"/>
        </w:rPr>
        <w:t>辅助</w:t>
      </w:r>
      <w:r>
        <w:rPr>
          <w:rFonts w:hint="eastAsia" w:ascii="仿宋" w:hAnsi="仿宋" w:eastAsia="仿宋" w:cs="仿宋"/>
          <w:spacing w:val="-5"/>
          <w:sz w:val="24"/>
          <w:szCs w:val="24"/>
        </w:rPr>
        <w:t>扩展资料、习题等表现形式。</w:t>
      </w:r>
    </w:p>
    <w:p w14:paraId="1B2C90DC">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(1)摄像部分要求</w:t>
      </w:r>
    </w:p>
    <w:p w14:paraId="4A317FD3">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①</w:t>
      </w:r>
      <w:r>
        <w:rPr>
          <w:rFonts w:hint="eastAsia" w:ascii="仿宋" w:hAnsi="仿宋" w:eastAsia="仿宋" w:cs="仿宋"/>
          <w:spacing w:val="-5"/>
          <w:sz w:val="24"/>
          <w:szCs w:val="24"/>
          <w:lang w:val="en-US" w:eastAsia="zh-CN"/>
        </w:rPr>
        <w:t>供应商</w:t>
      </w:r>
      <w:r>
        <w:rPr>
          <w:rFonts w:hint="eastAsia" w:ascii="仿宋" w:hAnsi="仿宋" w:eastAsia="仿宋" w:cs="仿宋"/>
          <w:spacing w:val="-5"/>
          <w:sz w:val="24"/>
          <w:szCs w:val="24"/>
        </w:rPr>
        <w:t>利用专业摄像机在专业摄影棚中摄制。</w:t>
      </w:r>
    </w:p>
    <w:p w14:paraId="42BCDAA1">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②微课作品视频质量要求图像稳定、对焦</w:t>
      </w:r>
      <w:r>
        <w:rPr>
          <w:rFonts w:hint="eastAsia" w:ascii="仿宋" w:hAnsi="仿宋" w:eastAsia="仿宋" w:cs="仿宋"/>
          <w:spacing w:val="-5"/>
          <w:sz w:val="24"/>
          <w:szCs w:val="24"/>
          <w:lang w:val="en-US" w:eastAsia="zh-CN"/>
        </w:rPr>
        <w:t>清</w:t>
      </w:r>
      <w:r>
        <w:rPr>
          <w:rFonts w:hint="eastAsia" w:ascii="仿宋" w:hAnsi="仿宋" w:eastAsia="仿宋" w:cs="仿宋"/>
          <w:spacing w:val="-5"/>
          <w:sz w:val="24"/>
          <w:szCs w:val="24"/>
        </w:rPr>
        <w:t>晰、构图合理</w:t>
      </w:r>
      <w:r>
        <w:rPr>
          <w:rFonts w:hint="eastAsia" w:ascii="仿宋" w:hAnsi="仿宋" w:eastAsia="仿宋" w:cs="仿宋"/>
          <w:spacing w:val="-5"/>
          <w:sz w:val="24"/>
          <w:szCs w:val="24"/>
          <w:lang w:eastAsia="zh-CN"/>
        </w:rPr>
        <w:t>、</w:t>
      </w:r>
      <w:r>
        <w:rPr>
          <w:rFonts w:hint="eastAsia" w:ascii="仿宋" w:hAnsi="仿宋" w:eastAsia="仿宋" w:cs="仿宋"/>
          <w:spacing w:val="-5"/>
          <w:sz w:val="24"/>
          <w:szCs w:val="24"/>
        </w:rPr>
        <w:t>镜头运用恰当。</w:t>
      </w:r>
    </w:p>
    <w:p w14:paraId="1254F3BE">
      <w:pPr>
        <w:keepNext w:val="0"/>
        <w:keepLines w:val="0"/>
        <w:pageBreakBefore w:val="0"/>
        <w:widowControl w:val="0"/>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③各微课作品的视频分辨率应统一，分辨率采用1280*720及以上、采用高清影像。</w:t>
      </w:r>
    </w:p>
    <w:p w14:paraId="1D34B2A3">
      <w:pPr>
        <w:keepNext w:val="0"/>
        <w:keepLines w:val="0"/>
        <w:pageBreakBefore w:val="0"/>
        <w:widowControl w:val="0"/>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④同期声音采用双声道，要求</w:t>
      </w:r>
      <w:r>
        <w:rPr>
          <w:rFonts w:hint="eastAsia" w:ascii="仿宋" w:hAnsi="仿宋" w:eastAsia="仿宋" w:cs="仿宋"/>
          <w:spacing w:val="-5"/>
          <w:sz w:val="24"/>
          <w:szCs w:val="24"/>
          <w:lang w:eastAsia="zh-CN"/>
        </w:rPr>
        <w:t>清晰</w:t>
      </w:r>
      <w:r>
        <w:rPr>
          <w:rFonts w:hint="eastAsia" w:ascii="仿宋" w:hAnsi="仿宋" w:eastAsia="仿宋" w:cs="仿宋"/>
          <w:spacing w:val="-5"/>
          <w:sz w:val="24"/>
          <w:szCs w:val="24"/>
        </w:rPr>
        <w:t>、饱满、圆润，无失真、噪声</w:t>
      </w:r>
      <w:r>
        <w:rPr>
          <w:rFonts w:hint="eastAsia" w:ascii="仿宋" w:hAnsi="仿宋" w:eastAsia="仿宋" w:cs="仿宋"/>
          <w:spacing w:val="-5"/>
          <w:sz w:val="24"/>
          <w:szCs w:val="24"/>
          <w:lang w:eastAsia="zh-CN"/>
        </w:rPr>
        <w:t>杂音</w:t>
      </w:r>
      <w:r>
        <w:rPr>
          <w:rFonts w:hint="eastAsia" w:ascii="仿宋" w:hAnsi="仿宋" w:eastAsia="仿宋" w:cs="仿宋"/>
          <w:spacing w:val="-5"/>
          <w:sz w:val="24"/>
          <w:szCs w:val="24"/>
        </w:rPr>
        <w:t>干扰、音量忽大忽小现象。解说声与背景音乐无明显比例失调。</w:t>
      </w:r>
    </w:p>
    <w:p w14:paraId="5BDDB483">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(2)动画部分要求：微课根据主讲教师要求，可加入不超过2分钟的动画(三维动画),由</w:t>
      </w:r>
      <w:r>
        <w:rPr>
          <w:rFonts w:hint="eastAsia" w:ascii="仿宋" w:hAnsi="仿宋" w:eastAsia="仿宋" w:cs="仿宋"/>
          <w:spacing w:val="-5"/>
          <w:sz w:val="24"/>
          <w:szCs w:val="24"/>
          <w:lang w:val="en-US" w:eastAsia="zh-CN"/>
        </w:rPr>
        <w:t>供应商</w:t>
      </w:r>
      <w:r>
        <w:rPr>
          <w:rFonts w:hint="eastAsia" w:ascii="仿宋" w:hAnsi="仿宋" w:eastAsia="仿宋" w:cs="仿宋"/>
          <w:spacing w:val="-5"/>
          <w:sz w:val="24"/>
          <w:szCs w:val="24"/>
        </w:rPr>
        <w:t>负责制作，动画要能够完整</w:t>
      </w:r>
      <w:r>
        <w:rPr>
          <w:rFonts w:hint="eastAsia" w:ascii="仿宋" w:hAnsi="仿宋" w:eastAsia="仿宋" w:cs="仿宋"/>
          <w:spacing w:val="-5"/>
          <w:sz w:val="24"/>
          <w:szCs w:val="24"/>
          <w:lang w:eastAsia="zh-CN"/>
        </w:rPr>
        <w:t>地</w:t>
      </w:r>
      <w:r>
        <w:rPr>
          <w:rFonts w:hint="eastAsia" w:ascii="仿宋" w:hAnsi="仿宋" w:eastAsia="仿宋" w:cs="仿宋"/>
          <w:spacing w:val="-5"/>
          <w:sz w:val="24"/>
          <w:szCs w:val="24"/>
        </w:rPr>
        <w:t>体现出课程特点。要求接近于真实物体的效果，利用专业软件进行材质的渲染。播放流畅，播放时没有明显的噪点。</w:t>
      </w:r>
    </w:p>
    <w:p w14:paraId="429E226F">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(3)输出成品要求</w:t>
      </w:r>
    </w:p>
    <w:p w14:paraId="5C311D94">
      <w:pPr>
        <w:keepNext w:val="0"/>
        <w:keepLines w:val="0"/>
        <w:pageBreakBefore w:val="0"/>
        <w:widowControl/>
        <w:kinsoku w:val="0"/>
        <w:wordWrap/>
        <w:overflowPunct/>
        <w:topLinePunct w:val="0"/>
        <w:autoSpaceDE w:val="0"/>
        <w:autoSpaceDN w:val="0"/>
        <w:bidi w:val="0"/>
        <w:adjustRightInd w:val="0"/>
        <w:snapToGrid w:val="0"/>
        <w:spacing w:line="360" w:lineRule="auto"/>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①微课作品视频压缩采用H.264格式编码，视频格式为MP4格式，时长为8-15分钟。</w:t>
      </w:r>
    </w:p>
    <w:p w14:paraId="23F22B90">
      <w:pPr>
        <w:keepNext w:val="0"/>
        <w:keepLines w:val="0"/>
        <w:pageBreakBefore w:val="0"/>
        <w:widowControl/>
        <w:kinsoku w:val="0"/>
        <w:wordWrap/>
        <w:overflowPunct/>
        <w:topLinePunct w:val="0"/>
        <w:autoSpaceDE w:val="0"/>
        <w:autoSpaceDN w:val="0"/>
        <w:bidi w:val="0"/>
        <w:adjustRightInd w:val="0"/>
        <w:snapToGrid w:val="0"/>
        <w:spacing w:line="360" w:lineRule="auto"/>
        <w:ind w:firstLine="460" w:firstLineChars="200"/>
        <w:jc w:val="both"/>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②微课作品视频码流率：动态码流的最高码率不高于2000Kbps,  最低码率不得低于1024Kbps。</w:t>
      </w:r>
    </w:p>
    <w:p w14:paraId="006D5249">
      <w:pPr>
        <w:keepNext w:val="0"/>
        <w:keepLines w:val="0"/>
        <w:pageBreakBefore w:val="0"/>
        <w:widowControl/>
        <w:kinsoku w:val="0"/>
        <w:wordWrap/>
        <w:overflowPunct/>
        <w:topLinePunct w:val="0"/>
        <w:autoSpaceDE w:val="0"/>
        <w:autoSpaceDN w:val="0"/>
        <w:bidi w:val="0"/>
        <w:adjustRightInd w:val="0"/>
        <w:snapToGrid w:val="0"/>
        <w:spacing w:line="360" w:lineRule="auto"/>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③微课作品视频分辨率：分辨率采用1280*720及以上。</w:t>
      </w:r>
    </w:p>
    <w:p w14:paraId="57EBBF88">
      <w:pPr>
        <w:keepNext w:val="0"/>
        <w:keepLines w:val="0"/>
        <w:pageBreakBefore w:val="0"/>
        <w:widowControl/>
        <w:kinsoku w:val="0"/>
        <w:wordWrap/>
        <w:overflowPunct/>
        <w:topLinePunct w:val="0"/>
        <w:autoSpaceDE w:val="0"/>
        <w:autoSpaceDN w:val="0"/>
        <w:bidi w:val="0"/>
        <w:adjustRightInd w:val="0"/>
        <w:snapToGrid w:val="0"/>
        <w:spacing w:line="360" w:lineRule="auto"/>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④在同一课程中，各微课作品的视频分辨率应统一，采用高清影像。</w:t>
      </w:r>
    </w:p>
    <w:p w14:paraId="5DCD5658">
      <w:pPr>
        <w:keepNext w:val="0"/>
        <w:keepLines w:val="0"/>
        <w:pageBreakBefore w:val="0"/>
        <w:widowControl/>
        <w:kinsoku w:val="0"/>
        <w:wordWrap/>
        <w:overflowPunct/>
        <w:topLinePunct w:val="0"/>
        <w:autoSpaceDE w:val="0"/>
        <w:autoSpaceDN w:val="0"/>
        <w:bidi w:val="0"/>
        <w:adjustRightInd w:val="0"/>
        <w:snapToGrid w:val="0"/>
        <w:spacing w:line="360" w:lineRule="auto"/>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⑤微课作品视频帧率为25帧/秒，扫描方式采用逐行扫。</w:t>
      </w:r>
    </w:p>
    <w:p w14:paraId="7D1937E3">
      <w:pPr>
        <w:keepNext w:val="0"/>
        <w:keepLines w:val="0"/>
        <w:pageBreakBefore w:val="0"/>
        <w:widowControl/>
        <w:kinsoku w:val="0"/>
        <w:wordWrap/>
        <w:overflowPunct/>
        <w:topLinePunct w:val="0"/>
        <w:autoSpaceDE w:val="0"/>
        <w:autoSpaceDN w:val="0"/>
        <w:bidi w:val="0"/>
        <w:adjustRightInd w:val="0"/>
        <w:snapToGrid w:val="0"/>
        <w:spacing w:line="360" w:lineRule="auto"/>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⑥字幕：要使用符合国家标准的规范字，不出现繁体字、异体字(国家规定的除外)、错别字；字幕的字体建议采用：微软雅黑，大小、色彩搭配、摆放位置、停留时间、出入屏方式力求与其他要素(</w:t>
      </w:r>
      <w:r>
        <w:rPr>
          <w:rFonts w:hint="eastAsia" w:ascii="仿宋" w:hAnsi="仿宋" w:eastAsia="仿宋" w:cs="仿宋"/>
          <w:spacing w:val="-5"/>
          <w:sz w:val="24"/>
          <w:szCs w:val="24"/>
          <w:lang w:eastAsia="zh-CN"/>
        </w:rPr>
        <w:t>画面</w:t>
      </w:r>
      <w:r>
        <w:rPr>
          <w:rFonts w:hint="eastAsia" w:ascii="仿宋" w:hAnsi="仿宋" w:eastAsia="仿宋" w:cs="仿宋"/>
          <w:spacing w:val="-5"/>
          <w:sz w:val="24"/>
          <w:szCs w:val="24"/>
        </w:rPr>
        <w:t>、解说词、音乐)配合适当，不能破坏原有画面。</w:t>
      </w:r>
    </w:p>
    <w:p w14:paraId="18D8FFD1">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(4)命名要求：文件命名应直接指明资源所属课程、章节及性质。</w:t>
      </w:r>
    </w:p>
    <w:p w14:paraId="522C7394">
      <w:pPr>
        <w:keepNext w:val="0"/>
        <w:keepLines w:val="0"/>
        <w:pageBreakBefore w:val="0"/>
        <w:widowControl/>
        <w:kinsoku w:val="0"/>
        <w:wordWrap/>
        <w:overflowPunct/>
        <w:topLinePunct w:val="0"/>
        <w:autoSpaceDE w:val="0"/>
        <w:autoSpaceDN w:val="0"/>
        <w:bidi w:val="0"/>
        <w:adjustRightInd w:val="0"/>
        <w:snapToGrid w:val="0"/>
        <w:spacing w:line="500" w:lineRule="exact"/>
        <w:ind w:firstLine="46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(5)内容和版权要求：微课作品内容应忠实于原文献，完整有序，版权不存在争议；符合我国法律法规，尊重各民族风俗习惯。</w:t>
      </w:r>
    </w:p>
    <w:p w14:paraId="6F87FF7B">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2" w:firstLineChars="200"/>
        <w:textAlignment w:val="auto"/>
        <w:rPr>
          <w:rFonts w:hint="eastAsia" w:ascii="仿宋" w:hAnsi="仿宋" w:eastAsia="仿宋" w:cs="仿宋"/>
          <w:b/>
          <w:bCs/>
          <w:color w:val="auto"/>
          <w:kern w:val="0"/>
          <w:sz w:val="24"/>
          <w:szCs w:val="24"/>
          <w:highlight w:val="none"/>
          <w:lang w:val="en-US" w:eastAsia="zh-CN" w:bidi="ar"/>
        </w:rPr>
      </w:pPr>
      <w:r>
        <w:rPr>
          <w:rFonts w:hint="eastAsia" w:ascii="仿宋" w:hAnsi="仿宋" w:eastAsia="仿宋" w:cs="仿宋"/>
          <w:b/>
          <w:bCs/>
          <w:color w:val="auto"/>
          <w:kern w:val="0"/>
          <w:sz w:val="24"/>
          <w:szCs w:val="24"/>
          <w:highlight w:val="none"/>
          <w:lang w:val="en-US" w:eastAsia="zh-CN" w:bidi="ar"/>
        </w:rPr>
        <w:t>4.课程运行平台要求：</w:t>
      </w:r>
    </w:p>
    <w:p w14:paraId="338F6D77">
      <w:pPr>
        <w:pStyle w:val="8"/>
        <w:rPr>
          <w:rFonts w:hint="eastAsia" w:ascii="仿宋" w:hAnsi="仿宋" w:eastAsia="仿宋" w:cs="仿宋"/>
          <w:b w:val="0"/>
          <w:bCs w:val="0"/>
          <w:sz w:val="24"/>
          <w:szCs w:val="24"/>
          <w:lang w:val="en-US" w:eastAsia="zh-CN"/>
        </w:rPr>
      </w:pPr>
    </w:p>
    <w:p w14:paraId="63A3B903">
      <w:pPr>
        <w:pStyle w:val="8"/>
        <w:shd w:val="clear"/>
        <w:ind w:firstLine="480" w:firstLineChars="200"/>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w:t>
      </w:r>
      <w:r>
        <w:rPr>
          <w:rFonts w:hint="eastAsia" w:ascii="仿宋" w:hAnsi="仿宋" w:eastAsia="仿宋" w:cs="仿宋"/>
          <w:b/>
          <w:bCs/>
          <w:color w:val="000000" w:themeColor="text1"/>
          <w:sz w:val="24"/>
          <w:szCs w:val="24"/>
          <w:lang w:val="en-US" w:eastAsia="zh-CN"/>
          <w14:textFill>
            <w14:solidFill>
              <w14:schemeClr w14:val="tx1"/>
            </w14:solidFill>
          </w14:textFill>
        </w:rPr>
        <w:t>所建设的在线精品开放课程能够在国家在线精品开放课程有关平台运行(不少于5年)，</w:t>
      </w:r>
      <w:r>
        <w:rPr>
          <w:rFonts w:hint="eastAsia" w:ascii="仿宋" w:hAnsi="仿宋" w:eastAsia="仿宋" w:cs="仿宋"/>
          <w:b/>
          <w:bCs/>
          <w:spacing w:val="-5"/>
          <w:sz w:val="24"/>
          <w:szCs w:val="24"/>
          <w:lang w:val="en-US" w:eastAsia="zh-CN"/>
        </w:rPr>
        <w:t>供应商</w:t>
      </w:r>
      <w:r>
        <w:rPr>
          <w:rFonts w:hint="eastAsia" w:ascii="仿宋" w:hAnsi="仿宋" w:eastAsia="仿宋" w:cs="仿宋"/>
          <w:b/>
          <w:bCs/>
          <w:color w:val="000000" w:themeColor="text1"/>
          <w:sz w:val="24"/>
          <w:szCs w:val="24"/>
          <w:lang w:val="en-US" w:eastAsia="zh-CN"/>
          <w14:textFill>
            <w14:solidFill>
              <w14:schemeClr w14:val="tx1"/>
            </w14:solidFill>
          </w14:textFill>
        </w:rPr>
        <w:t>提供但不限于近年来所承建在线精品开放课程在国家在线精品开放课程有关平台上运行的案例。</w:t>
      </w:r>
    </w:p>
    <w:p w14:paraId="2D523715">
      <w:pPr>
        <w:pStyle w:val="50"/>
        <w:rPr>
          <w:rFonts w:hint="eastAsia" w:ascii="仿宋" w:hAnsi="仿宋" w:eastAsia="仿宋" w:cs="仿宋"/>
          <w:sz w:val="24"/>
          <w:szCs w:val="24"/>
        </w:rPr>
      </w:pPr>
    </w:p>
    <w:tbl>
      <w:tblPr>
        <w:tblStyle w:val="24"/>
        <w:tblW w:w="0" w:type="auto"/>
        <w:tblInd w:w="16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5"/>
        <w:gridCol w:w="867"/>
        <w:gridCol w:w="1566"/>
        <w:gridCol w:w="6245"/>
      </w:tblGrid>
      <w:tr w14:paraId="4BA77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995" w:type="dxa"/>
            <w:vAlign w:val="center"/>
          </w:tcPr>
          <w:p w14:paraId="65B80A64">
            <w:pPr>
              <w:widowControl w:val="0"/>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功能</w:t>
            </w:r>
          </w:p>
          <w:p w14:paraId="5B137778">
            <w:pPr>
              <w:widowControl w:val="0"/>
              <w:jc w:val="center"/>
              <w:rPr>
                <w:rFonts w:hint="eastAsia" w:ascii="仿宋" w:hAnsi="仿宋" w:eastAsia="仿宋" w:cs="仿宋"/>
                <w:b/>
                <w:bCs/>
                <w:sz w:val="24"/>
                <w:szCs w:val="24"/>
                <w:highlight w:val="none"/>
                <w:lang w:eastAsia="zh-CN"/>
              </w:rPr>
            </w:pPr>
            <w:r>
              <w:rPr>
                <w:rFonts w:hint="eastAsia" w:ascii="仿宋" w:hAnsi="仿宋" w:eastAsia="仿宋" w:cs="仿宋"/>
                <w:b/>
                <w:bCs/>
                <w:color w:val="auto"/>
                <w:sz w:val="24"/>
                <w:szCs w:val="24"/>
                <w:highlight w:val="none"/>
                <w:lang w:val="en-US" w:eastAsia="zh-CN"/>
              </w:rPr>
              <w:t>系统</w:t>
            </w:r>
          </w:p>
        </w:tc>
        <w:tc>
          <w:tcPr>
            <w:tcW w:w="867" w:type="dxa"/>
            <w:vAlign w:val="center"/>
          </w:tcPr>
          <w:p w14:paraId="3B0713B0">
            <w:pPr>
              <w:widowControl w:val="0"/>
              <w:jc w:val="center"/>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序号</w:t>
            </w:r>
          </w:p>
        </w:tc>
        <w:tc>
          <w:tcPr>
            <w:tcW w:w="1566" w:type="dxa"/>
            <w:vAlign w:val="center"/>
          </w:tcPr>
          <w:p w14:paraId="5ED0F18B">
            <w:pPr>
              <w:widowControl w:val="0"/>
              <w:jc w:val="center"/>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模块名称</w:t>
            </w:r>
          </w:p>
        </w:tc>
        <w:tc>
          <w:tcPr>
            <w:tcW w:w="6245" w:type="dxa"/>
            <w:vAlign w:val="center"/>
          </w:tcPr>
          <w:p w14:paraId="6F3526F2">
            <w:pPr>
              <w:widowControl w:val="0"/>
              <w:jc w:val="center"/>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功能要求</w:t>
            </w:r>
          </w:p>
        </w:tc>
      </w:tr>
      <w:tr w14:paraId="158FA9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5" w:type="dxa"/>
            <w:vMerge w:val="restart"/>
            <w:vAlign w:val="center"/>
          </w:tcPr>
          <w:p w14:paraId="035EA094">
            <w:pPr>
              <w:widowControl w:val="0"/>
              <w:jc w:val="center"/>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在线开放</w:t>
            </w:r>
            <w:r>
              <w:rPr>
                <w:rFonts w:hint="eastAsia" w:ascii="仿宋" w:hAnsi="仿宋" w:eastAsia="仿宋" w:cs="仿宋"/>
                <w:sz w:val="24"/>
                <w:szCs w:val="24"/>
                <w:highlight w:val="none"/>
              </w:rPr>
              <w:t>课程系统</w:t>
            </w:r>
          </w:p>
        </w:tc>
        <w:tc>
          <w:tcPr>
            <w:tcW w:w="867" w:type="dxa"/>
            <w:vAlign w:val="center"/>
          </w:tcPr>
          <w:p w14:paraId="1B4B877B">
            <w:pPr>
              <w:widowControl w:val="0"/>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w:t>
            </w:r>
          </w:p>
        </w:tc>
        <w:tc>
          <w:tcPr>
            <w:tcW w:w="1566" w:type="dxa"/>
            <w:vAlign w:val="center"/>
          </w:tcPr>
          <w:p w14:paraId="22D1A487">
            <w:pPr>
              <w:widowControl w:val="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系统对接服务</w:t>
            </w:r>
          </w:p>
        </w:tc>
        <w:tc>
          <w:tcPr>
            <w:tcW w:w="6245" w:type="dxa"/>
          </w:tcPr>
          <w:p w14:paraId="40D535AF">
            <w:pPr>
              <w:widowControl w:val="0"/>
              <w:numPr>
                <w:ilvl w:val="0"/>
                <w:numId w:val="8"/>
              </w:numPr>
              <w:rPr>
                <w:rFonts w:hint="eastAsia" w:ascii="仿宋" w:hAnsi="仿宋" w:eastAsia="仿宋" w:cs="仿宋"/>
                <w:sz w:val="24"/>
                <w:szCs w:val="24"/>
                <w:highlight w:val="none"/>
              </w:rPr>
            </w:pPr>
            <w:r>
              <w:rPr>
                <w:rFonts w:hint="eastAsia" w:ascii="仿宋" w:hAnsi="仿宋" w:eastAsia="仿宋" w:cs="仿宋"/>
                <w:sz w:val="24"/>
                <w:szCs w:val="24"/>
                <w:highlight w:val="none"/>
              </w:rPr>
              <w:t>需支持对接学校统一身份认证系统，实现用户信息统一管理。</w:t>
            </w:r>
          </w:p>
          <w:p w14:paraId="6650B784">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w:t>
            </w:r>
            <w:r>
              <w:rPr>
                <w:rFonts w:hint="eastAsia" w:ascii="仿宋" w:hAnsi="仿宋" w:eastAsia="仿宋" w:cs="仿宋"/>
                <w:sz w:val="24"/>
                <w:szCs w:val="24"/>
                <w:highlight w:val="none"/>
                <w:lang w:eastAsia="zh-CN"/>
              </w:rPr>
              <w:t>２</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需支持通过数据视图、接口等方式对接学校教务管理数据（学生、教师、课程、选课等数据），并进行定期维护和更新，实现教务数据的同步。</w:t>
            </w:r>
          </w:p>
          <w:p w14:paraId="42091198">
            <w:pPr>
              <w:pStyle w:val="2"/>
              <w:widowControl w:val="0"/>
              <w:rPr>
                <w:rFonts w:hint="eastAsia" w:eastAsia="仿宋"/>
                <w:lang w:eastAsia="zh-CN"/>
              </w:rPr>
            </w:pP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rPr>
              <w:t>具有微服务平台软件</w:t>
            </w:r>
            <w:r>
              <w:rPr>
                <w:rFonts w:hint="eastAsia" w:ascii="仿宋" w:hAnsi="仿宋" w:eastAsia="仿宋" w:cs="仿宋"/>
                <w:sz w:val="24"/>
                <w:szCs w:val="24"/>
                <w:lang w:val="en-US" w:eastAsia="zh-CN"/>
              </w:rPr>
              <w:t>相关证明</w:t>
            </w:r>
            <w:r>
              <w:rPr>
                <w:rFonts w:hint="eastAsia" w:ascii="仿宋" w:hAnsi="仿宋" w:eastAsia="仿宋" w:cs="仿宋"/>
                <w:sz w:val="24"/>
                <w:szCs w:val="24"/>
                <w:lang w:eastAsia="zh-CN"/>
              </w:rPr>
              <w:t>。</w:t>
            </w:r>
          </w:p>
        </w:tc>
      </w:tr>
      <w:tr w14:paraId="681FE7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5" w:type="dxa"/>
            <w:vMerge w:val="continue"/>
          </w:tcPr>
          <w:p w14:paraId="33F74197">
            <w:pPr>
              <w:widowControl w:val="0"/>
              <w:rPr>
                <w:rFonts w:hint="eastAsia" w:ascii="仿宋" w:hAnsi="仿宋" w:eastAsia="仿宋" w:cs="仿宋"/>
                <w:sz w:val="24"/>
                <w:szCs w:val="24"/>
                <w:highlight w:val="none"/>
              </w:rPr>
            </w:pPr>
          </w:p>
        </w:tc>
        <w:tc>
          <w:tcPr>
            <w:tcW w:w="867" w:type="dxa"/>
            <w:vAlign w:val="center"/>
          </w:tcPr>
          <w:p w14:paraId="30492C3C">
            <w:pPr>
              <w:widowControl w:val="0"/>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w:t>
            </w:r>
          </w:p>
        </w:tc>
        <w:tc>
          <w:tcPr>
            <w:tcW w:w="1566" w:type="dxa"/>
            <w:vAlign w:val="center"/>
          </w:tcPr>
          <w:p w14:paraId="59DF50CF">
            <w:pPr>
              <w:widowControl w:val="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系统功能要求</w:t>
            </w:r>
          </w:p>
        </w:tc>
        <w:tc>
          <w:tcPr>
            <w:tcW w:w="6245" w:type="dxa"/>
          </w:tcPr>
          <w:p w14:paraId="637DBA3A">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智慧教学系统是应用计算机技术、多媒体技术、网络通信技术、数字技术、虚拟现实技术等现代信息技术手段构建的一种新型教学模式，是融合现代教育理念、教学内容和现代信息技术的具有多种功能的开放式的教与学交互系统。</w:t>
            </w:r>
          </w:p>
        </w:tc>
      </w:tr>
      <w:tr w14:paraId="70DCC4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95" w:type="dxa"/>
            <w:vMerge w:val="continue"/>
          </w:tcPr>
          <w:p w14:paraId="22200E8D">
            <w:pPr>
              <w:widowControl w:val="0"/>
              <w:rPr>
                <w:rFonts w:hint="eastAsia" w:ascii="仿宋" w:hAnsi="仿宋" w:eastAsia="仿宋" w:cs="仿宋"/>
                <w:sz w:val="24"/>
                <w:szCs w:val="24"/>
                <w:highlight w:val="none"/>
              </w:rPr>
            </w:pPr>
          </w:p>
        </w:tc>
        <w:tc>
          <w:tcPr>
            <w:tcW w:w="867" w:type="dxa"/>
            <w:vAlign w:val="center"/>
          </w:tcPr>
          <w:p w14:paraId="1CEE6E47">
            <w:pPr>
              <w:widowControl w:val="0"/>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w:t>
            </w:r>
          </w:p>
        </w:tc>
        <w:tc>
          <w:tcPr>
            <w:tcW w:w="1566" w:type="dxa"/>
            <w:vAlign w:val="center"/>
          </w:tcPr>
          <w:p w14:paraId="15CEB1A5">
            <w:pPr>
              <w:widowControl w:val="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系统技术要求</w:t>
            </w:r>
          </w:p>
        </w:tc>
        <w:tc>
          <w:tcPr>
            <w:tcW w:w="6245" w:type="dxa"/>
          </w:tcPr>
          <w:p w14:paraId="61B2D584">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1.支持整个课程创建、内容共享、学习过程跟踪和控制、在线测试和作业发布、交流互动、成绩评测和学习成果反馈教学流程，实现信息技术与教学过程的深度融合。</w:t>
            </w:r>
          </w:p>
          <w:p w14:paraId="2E4C7C4A">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2.成熟稳定的软件产品，具有国家软件著作权登记证书，已在至少2000所高校部署使用。</w:t>
            </w:r>
          </w:p>
          <w:p w14:paraId="1B85670A">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3.系统设计满足大规模用户使用、支持分布式部署，应满足万人在线学习的性能要求。</w:t>
            </w:r>
          </w:p>
          <w:p w14:paraId="67785A1C">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4.采用B/S结构，基于J2EE架构，页面采用Web2.0 AJAX开发，不需要另行安装插件就可以支持IE9及以上版本、safari、Firefox、chrome等浏览器。</w:t>
            </w:r>
          </w:p>
          <w:p w14:paraId="3671414C">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5.具有先进性、可移植性、开放性和兼容性，支持标准化多媒体课件。支持随用户使用量的增大而只需增加相应的硬件即可。</w:t>
            </w:r>
          </w:p>
          <w:p w14:paraId="198EBDCC">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6.支持Web服务器集群。具有安全策略和备份机制，可根据不同的业务要求采用不同的安全措施，保证发生故障时不影响整个系统的正常运行。提供各级数据备份机制能够每天非工作时段定时备份数据库。具有相关策略对知识产权进行保护。</w:t>
            </w:r>
          </w:p>
          <w:p w14:paraId="3B776282">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7.不限注册课程数量和注册用户数，其中的网络课程可以实现按课程的导入、导出进行备份。</w:t>
            </w:r>
          </w:p>
          <w:p w14:paraId="39CC4BF7">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8.全面支持学生的自主学习与合作学习，体现在教学活动中学生的主体地位和教师的主导地位，为学生构建自主学习、主动探索的环境，教师通过组织学习材料，实时和非实时的教学手段引导和帮助学生学习。</w:t>
            </w:r>
          </w:p>
          <w:p w14:paraId="30AB4E8C">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9.平台支持辅助教学、混合式教学、纯网络教学、直播课堂等多种网络教学模式。</w:t>
            </w:r>
          </w:p>
          <w:p w14:paraId="77986CCB">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10.平台具有视频、文档格式自动转换、码流自动转换的功能， 以适应不同的访问终端（Android，iOS）；所有文档资源自动转码成flash格式播放，视频类资源系统自动转码为mp4、flv等多种格式。</w:t>
            </w:r>
          </w:p>
          <w:p w14:paraId="1C8E3CCE">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11.具有强大的交流协作功能，提供同步、异步的交流讨论工具，使得学生之间、学生与教师之间方便地共享信息、交流、讨论、协商，从而提高网络学习的效果和质量。</w:t>
            </w:r>
          </w:p>
          <w:p w14:paraId="7D8E8A6A">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12.角色管理：可建立学生、教师、管理员、超级管理员等角色，各级管理员也可以根据自身的需求创建角色和为角色指定权限。</w:t>
            </w:r>
          </w:p>
          <w:p w14:paraId="47C89697">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13.权限管理：可为每个导航功能点分配访问、管理等不同的权限，管理员可以批量给用户分配、收回权限，具有权限整体移交功能。</w:t>
            </w:r>
          </w:p>
          <w:p w14:paraId="00243D65">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14.机构和用户管理：管理员可以批量增加、删除、修改组织机构树，可单个、批量增加、删除、修改、查找用户信息。</w:t>
            </w:r>
          </w:p>
          <w:p w14:paraId="342DBF3F">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15.提供强大的基于浏览器的数学、化学公式在线编辑器。提供精确的学习进度监控信息，实现学生再次登录平台时能从上次学习的结束点继续学习课程。可记录、查询用户登录及操作信息。</w:t>
            </w:r>
          </w:p>
          <w:p w14:paraId="1C17327A">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16.提供专门的APP移动学习平台，需支持iOS和Android系统。与网络教学平台数据同步，进行在线课程的学习、通知、作业、考试、讨论、笔记、小组、成绩分析、学生管理，支持PPT上课、同步课堂、课堂签到、抢答、问卷、讨论、选人、资料、直播等功能。</w:t>
            </w:r>
          </w:p>
          <w:p w14:paraId="1CF2A533">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17.提供专门的教室端，支持PPT投屏及课堂互动功能，PPT投屏演示保留动画效果，播放流畅，在投屏演示时随时可发起签到、投票、测验、抢答、选人、讨论、测验、问卷等多种课堂活动，活动内容可大屏显示。PPT文件来源多种渠道，可以通过电脑端把文件直接发送至移动端，提高资源展示的便捷性。</w:t>
            </w:r>
          </w:p>
          <w:p w14:paraId="37B29003">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18.系统专属的管理端，方便管理者提随时查看教学运行情况、教学预警、办公应用、综合管理。</w:t>
            </w:r>
          </w:p>
          <w:p w14:paraId="1CA3D545">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19.支持管理员在后台对全校老师和学生用户的课程导航进行自定义配置，配置内容包含对已有默认栏目如班级活动、课件、教案、章节、资料、通知、讨论、作业、考试、题库、知识图谱、统计、管理、工具箱的隐藏、上移、下移、编辑操作，同时也支持新增自定义导航到课程导航内，添加自定义导航仅需添加导航名称、链接地址就可以配置到课程导航内，同时支持新增导航的提示、打开方式的配置。</w:t>
            </w:r>
          </w:p>
          <w:p w14:paraId="1D9C5455">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20.具备三级等保及以上的公安备案和年度年检测评报告。</w:t>
            </w:r>
          </w:p>
        </w:tc>
      </w:tr>
      <w:tr w14:paraId="5F1FE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5" w:type="dxa"/>
            <w:vMerge w:val="continue"/>
          </w:tcPr>
          <w:p w14:paraId="5247F970">
            <w:pPr>
              <w:widowControl w:val="0"/>
              <w:rPr>
                <w:rFonts w:hint="eastAsia" w:ascii="仿宋" w:hAnsi="仿宋" w:eastAsia="仿宋" w:cs="仿宋"/>
                <w:sz w:val="24"/>
                <w:szCs w:val="24"/>
                <w:highlight w:val="none"/>
              </w:rPr>
            </w:pPr>
          </w:p>
        </w:tc>
        <w:tc>
          <w:tcPr>
            <w:tcW w:w="867" w:type="dxa"/>
            <w:vAlign w:val="center"/>
          </w:tcPr>
          <w:p w14:paraId="03395295">
            <w:pPr>
              <w:widowControl w:val="0"/>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w:t>
            </w:r>
          </w:p>
        </w:tc>
        <w:tc>
          <w:tcPr>
            <w:tcW w:w="1566" w:type="dxa"/>
            <w:vAlign w:val="center"/>
          </w:tcPr>
          <w:p w14:paraId="75E6E20B">
            <w:pPr>
              <w:widowControl w:val="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课程建设</w:t>
            </w:r>
          </w:p>
        </w:tc>
        <w:tc>
          <w:tcPr>
            <w:tcW w:w="6245" w:type="dxa"/>
          </w:tcPr>
          <w:p w14:paraId="1E733085">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▲1．支持制作富媒体课程，选择不同的模板就可以建设慕课或精品课程的个性化课程网站。</w:t>
            </w:r>
          </w:p>
          <w:p w14:paraId="765F0D56">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2. 提供多套精美网络课程建课模板，教师可依据个人资料的丰富程度及喜欢的风格进行个性化的设置，支持教师在建课程自动生成课程网站。</w:t>
            </w:r>
          </w:p>
          <w:p w14:paraId="248C36BC">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3. 支持使用示范教学包建课，示范教学包需整合本科、中高职、基础教育等各层次院校，各学科、专业的资源，教师可以在建课时引用示范教学包中的课程资源、课堂活动示例、题库等内容，同时可以根据教师自己课程的需要进行重新组合使用。</w:t>
            </w:r>
          </w:p>
          <w:p w14:paraId="0A44F6DA">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▲4. 支持导入章节内容，支持从教师自己的其他课程章节中导入，也支持从平台提供的教学资源库中导入其他课程的章节；支持选择所需章节内容。</w:t>
            </w:r>
          </w:p>
          <w:p w14:paraId="404CC3D0">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5.支持导出或者打印章节内容，导出支持PDF版或Word版。</w:t>
            </w:r>
          </w:p>
          <w:p w14:paraId="6426ED0F">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6.课程编辑页面操作简单、灵活方便、原位编辑、所见即所得。可以发布通告、课程资料、任务、教学资源链接、教师简介等信息。可以任意编写和设置课程的介绍、封面、教学要求、教师团队等，并支持模块的添加、删除和位置调整，支持设置模块中文标题或英文标题，支持模块内容富媒体编辑，支持是否公开显示的设置，可以上传课程片花，并支持选择是否自动播放。</w:t>
            </w:r>
          </w:p>
          <w:p w14:paraId="6BB28D0B">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7. 课程负责人可指派其他教师，作为具有同等或者小于本身课程建设管理权限的课程建设者共建同一门课程，并且可以对共建教师的权限进行设置，比如，是否允许管理教师团队的课堂活动、允许管理“课件”模块、允许管理“教案”模块、章节详情页允许查看章节测验答案、允许克隆课程、允许映射课程等。</w:t>
            </w:r>
          </w:p>
          <w:p w14:paraId="7DF68C5F">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8. 课程负责人可为自己指定助教辅助自己进行课程建设和教学管理。并且可以对助教的权限进行设置，比如，允许使用允许使用“通知”模块、允许管理“讨论”模块、允许管理“作业”模块、使用作业库、允许新建及编辑作业、允许修改作业发布设置及删除作业、允许批阅作业、允许管理“考试”模块等。</w:t>
            </w:r>
          </w:p>
          <w:p w14:paraId="625B056C">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9. 教师可通过平台上传课程所需要的教材、参考书、参考文献、视频等资源。课程的内容建设，参考资料，课程介绍等任何位置都可以使用平台提供的海量图书、图片、视频的资源一键式搜索插入，插入的资源可以直接点击在线播放查阅，也支持自己上传资料。</w:t>
            </w:r>
          </w:p>
          <w:p w14:paraId="79EECCD8">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10.支持课程教学流程管理，可在课程学习过程中任意位置添加随堂测验，可在单元学习完成后布置作业，可以在章节学习完成后安排考试。</w:t>
            </w:r>
          </w:p>
          <w:p w14:paraId="4EFA19D0">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11.支持慕课制作和慕课教学模式，实现课程知识单元化，每个知识单元聚合丰富的富媒体教学资源，并在同一个页面中进行显示。每个课程单元还可以设置多个标签页。</w:t>
            </w:r>
          </w:p>
          <w:p w14:paraId="20B62BAD">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12.课程单元内容建设采用富媒体编辑器，编辑器包含视频、文档、图片、音频、图书、公式、符号、附件、网页、动画等常用组件。</w:t>
            </w:r>
          </w:p>
          <w:p w14:paraId="1639895E">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13.支持直接将从word中将内容复制粘贴到富媒体编辑器内，并完整保留里面的文字内容。</w:t>
            </w:r>
          </w:p>
          <w:p w14:paraId="2A1FABC7">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14.支持rmvb、3gp、mpg、mpeg、mov、wmv、avi、mkv、mp4、flv、vob等高清和网络格式视频上传，视频上传后自动转码，无需下载可以直接在线进行播放。</w:t>
            </w:r>
          </w:p>
          <w:p w14:paraId="77355010">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15.支持多种文档格式的上传，包括DOC、PPT、PDF、TXT等，上传后自动转码，无需下载可以直接在线阅读。</w:t>
            </w:r>
          </w:p>
          <w:p w14:paraId="4F18458C">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★16.支持将资源先批量上传至个人云盘中，然后在课程中引用；支持超大文件（2G以上）使用客户端上传；</w:t>
            </w:r>
          </w:p>
          <w:p w14:paraId="647F8089">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17.支持视频中任意时间点插入互动测验：上传视频后，可以在任意时间点插入测试题，包含单选题、多选题和对错题；支持设置答错是否允许继续观看视频，如果答错，支持设置或看多少分钟，或者设置回看时间段；支持学生作答后查看答案。</w:t>
            </w:r>
          </w:p>
          <w:p w14:paraId="5581141D">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18.支持视频中插入图片、插入知识点、插入批注、插入测验、导入字幕。</w:t>
            </w:r>
          </w:p>
          <w:p w14:paraId="7E872383">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19.支持视频中任意时间点插入图片或PPT：可以在任意时间点插入图片或PPT，同时支持对插入的内容在时间轴上随意拖动。插入的PPT可以任意拖动位置，并可以跟视频窗口进行切换。支持观看视频时的弹幕功能。</w:t>
            </w:r>
          </w:p>
          <w:p w14:paraId="3D6E90E3">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20.支持视频的虚拟剪辑，只需要拖动视频播放的起始点、终止点，就可以将视频文件按照课程的要求剪辑成适当长度，教师还可手动输入时间点，进行视频在线虚拟剪辑，不破坏教师原有视频，同一视频可以重复多次使用进行不同时间段虚拟剪辑。</w:t>
            </w:r>
          </w:p>
          <w:p w14:paraId="7576D8A1">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★21.支持视频替换功能，替换学习视频后，不影响学生已产生的学习记录和成绩。</w:t>
            </w:r>
          </w:p>
          <w:p w14:paraId="2B5E104D">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22.提供可视化的公式编辑器，可以在线进行公式的录入与编辑。</w:t>
            </w:r>
          </w:p>
          <w:p w14:paraId="03C9A154">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23.支持在线录音功能，录完的声音可以直接在线播放。</w:t>
            </w:r>
          </w:p>
          <w:p w14:paraId="5902D642">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24.知识点拓展阅读功能，可以根据一个关键词自动生成相关知识点的知识树，插入到课程单元中，并自动推送知识点相关的图书、期刊、论文等资料。</w:t>
            </w:r>
          </w:p>
          <w:p w14:paraId="05C29708">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25.支持课程管理，设置试读范围、设置学生导航栏目、克隆与映射课程等。</w:t>
            </w:r>
          </w:p>
          <w:p w14:paraId="0AAA4008">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26.提供课程编辑的详细操作日志和学生退课日志，便于追溯问题、查找原因。</w:t>
            </w:r>
          </w:p>
          <w:p w14:paraId="7B82EE7D">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27.支持将录制好的速课插入到课程章节内，并支持设置为任务点。</w:t>
            </w:r>
          </w:p>
          <w:p w14:paraId="740B4F56">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28.</w:t>
            </w:r>
            <w:r>
              <w:rPr>
                <w:rFonts w:hint="eastAsia" w:ascii="仿宋" w:hAnsi="仿宋" w:eastAsia="仿宋" w:cs="仿宋"/>
                <w:sz w:val="24"/>
                <w:szCs w:val="24"/>
                <w:highlight w:val="none"/>
                <w:lang w:val="en-US" w:eastAsia="zh-CN"/>
              </w:rPr>
              <w:t>支持</w:t>
            </w:r>
            <w:r>
              <w:rPr>
                <w:rFonts w:hint="eastAsia" w:ascii="仿宋" w:hAnsi="仿宋" w:eastAsia="仿宋" w:cs="仿宋"/>
                <w:sz w:val="24"/>
                <w:szCs w:val="24"/>
                <w:highlight w:val="none"/>
              </w:rPr>
              <w:t>在线备课，在课前、课中、课后等环节进行备课，并插入教学活动。</w:t>
            </w:r>
          </w:p>
          <w:p w14:paraId="500A0E90">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29.可以在课程中插入直播作为任务点。</w:t>
            </w:r>
          </w:p>
          <w:p w14:paraId="7B0DAD10">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30.</w:t>
            </w:r>
            <w:r>
              <w:rPr>
                <w:rFonts w:hint="eastAsia" w:ascii="仿宋" w:hAnsi="仿宋" w:eastAsia="仿宋" w:cs="仿宋"/>
                <w:sz w:val="24"/>
                <w:szCs w:val="24"/>
                <w:highlight w:val="none"/>
                <w:lang w:val="en-US" w:eastAsia="zh-CN"/>
              </w:rPr>
              <w:t>课程门户支持</w:t>
            </w:r>
            <w:r>
              <w:rPr>
                <w:rFonts w:hint="eastAsia" w:ascii="仿宋" w:hAnsi="仿宋" w:eastAsia="仿宋" w:cs="仿宋"/>
                <w:sz w:val="24"/>
                <w:szCs w:val="24"/>
                <w:highlight w:val="none"/>
              </w:rPr>
              <w:t>编辑课程封面相关信息、归属院系等。</w:t>
            </w:r>
          </w:p>
          <w:p w14:paraId="2DF65679">
            <w:pPr>
              <w:widowControl w:val="0"/>
              <w:numPr>
                <w:ilvl w:val="-1"/>
                <w:numId w:val="0"/>
              </w:numPr>
              <w:rPr>
                <w:rFonts w:hint="eastAsia" w:ascii="仿宋" w:hAnsi="仿宋" w:eastAsia="仿宋" w:cs="仿宋"/>
                <w:sz w:val="24"/>
                <w:szCs w:val="24"/>
                <w:lang w:val="en-US" w:eastAsia="zh-CN"/>
              </w:rPr>
            </w:pPr>
            <w:r>
              <w:rPr>
                <w:rFonts w:hint="eastAsia" w:ascii="仿宋" w:hAnsi="仿宋" w:eastAsia="仿宋" w:cs="仿宋"/>
                <w:sz w:val="24"/>
                <w:szCs w:val="24"/>
                <w:highlight w:val="none"/>
                <w:lang w:val="en-US" w:eastAsia="zh-CN"/>
              </w:rPr>
              <w:t>31.</w:t>
            </w:r>
            <w:r>
              <w:rPr>
                <w:rFonts w:hint="eastAsia" w:ascii="仿宋" w:hAnsi="仿宋" w:eastAsia="仿宋" w:cs="仿宋"/>
                <w:sz w:val="24"/>
                <w:szCs w:val="24"/>
                <w:highlight w:val="none"/>
              </w:rPr>
              <w:t>支持设置学生端页面，包括导航功能、是否允许学生自测、显示章节视频水印、开启课程通知、开启学生学习监控。</w:t>
            </w:r>
          </w:p>
        </w:tc>
      </w:tr>
      <w:tr w14:paraId="3B0103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5" w:type="dxa"/>
            <w:vMerge w:val="continue"/>
          </w:tcPr>
          <w:p w14:paraId="1E22F90C">
            <w:pPr>
              <w:widowControl w:val="0"/>
              <w:rPr>
                <w:rFonts w:hint="eastAsia" w:ascii="仿宋" w:hAnsi="仿宋" w:eastAsia="仿宋" w:cs="仿宋"/>
                <w:sz w:val="24"/>
                <w:szCs w:val="24"/>
                <w:highlight w:val="none"/>
              </w:rPr>
            </w:pPr>
          </w:p>
        </w:tc>
        <w:tc>
          <w:tcPr>
            <w:tcW w:w="867" w:type="dxa"/>
            <w:vAlign w:val="center"/>
          </w:tcPr>
          <w:p w14:paraId="1BEE74E4">
            <w:pPr>
              <w:widowControl w:val="0"/>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5</w:t>
            </w:r>
          </w:p>
        </w:tc>
        <w:tc>
          <w:tcPr>
            <w:tcW w:w="1566" w:type="dxa"/>
            <w:vAlign w:val="center"/>
          </w:tcPr>
          <w:p w14:paraId="3A5ADDE0">
            <w:pPr>
              <w:widowControl w:val="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教学互动</w:t>
            </w:r>
          </w:p>
        </w:tc>
        <w:tc>
          <w:tcPr>
            <w:tcW w:w="6245" w:type="dxa"/>
          </w:tcPr>
          <w:p w14:paraId="5AE186CA">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1．支持辅助教学、混合式教学、纯网络教学、直播课等多种教学模式。 </w:t>
            </w:r>
          </w:p>
          <w:p w14:paraId="27DB8176">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2．教师端提供课程管理、班级管理、教师团队管理、助教管理、统计、考试及作业管理、课程通告管理等。</w:t>
            </w:r>
          </w:p>
          <w:p w14:paraId="3AE8E4A2">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3. 提供当前学习过程实时监管。提供进度统计功能、成绩统计并支持报表导出。</w:t>
            </w:r>
          </w:p>
          <w:p w14:paraId="76DC54EA">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4. 学生端实现学生友好学习体验、根据教师设定的课程学习进度，完整地学习网络课程、记录笔记方便复习。</w:t>
            </w:r>
          </w:p>
          <w:p w14:paraId="0B2A55C6">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5．支持师生、生生在线讨论交流、在线作业、在线考试。</w:t>
            </w:r>
          </w:p>
          <w:p w14:paraId="7B883E89">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6. 提供功能强大的辅助教学活动的功能，比如：发布作业、在线考试、讨论、答疑、资料等。</w:t>
            </w:r>
          </w:p>
          <w:p w14:paraId="1796A52F">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7. 可以上传教案ppt，并基于PPT的某一页内容添加课堂互动及资源进行展示。</w:t>
            </w:r>
          </w:p>
          <w:p w14:paraId="60DF712C">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8. 可以进行备课教案的填写，在课前、课中、课后各环节进行备课并插入课堂活动。</w:t>
            </w:r>
          </w:p>
          <w:p w14:paraId="3959FD67">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▲9. 课表应用：支持对接教务系统课表或手工添加课表，可以设置关联线上课程、编写教案、关联网络班级、编辑上课周次、上课时间、节次、节数、上课地点等，上课地点支持填写线下地点和线上地点，线上地点支持和腾讯会议、zoom等会议软件对接。通过课表教师可以直接发起直播和课堂活动，展开教学。</w:t>
            </w:r>
          </w:p>
          <w:p w14:paraId="2A5A27F2">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0. 课表进行相关内容学习及参与课堂互动。课堂结束后直接生成教学日志。</w:t>
            </w:r>
          </w:p>
          <w:p w14:paraId="5AEE3592">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11.</w:t>
            </w:r>
            <w:r>
              <w:rPr>
                <w:rFonts w:hint="eastAsia" w:ascii="仿宋" w:hAnsi="仿宋" w:eastAsia="仿宋" w:cs="仿宋"/>
                <w:sz w:val="24"/>
                <w:szCs w:val="24"/>
                <w:highlight w:val="none"/>
              </w:rPr>
              <w:t>可对课程中的视频、作业、考试、测验、章节学习次数、直播课观看时长、线下考试成绩等做权重设置。</w:t>
            </w:r>
          </w:p>
          <w:p w14:paraId="2C3373C2">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▲12.</w:t>
            </w:r>
            <w:r>
              <w:rPr>
                <w:rFonts w:hint="eastAsia" w:ascii="仿宋" w:hAnsi="仿宋" w:eastAsia="仿宋" w:cs="仿宋"/>
                <w:sz w:val="24"/>
                <w:szCs w:val="24"/>
                <w:highlight w:val="none"/>
              </w:rPr>
              <w:t>可以针对作业模块细化到每一份作业的权重设置，可以导入线下考试成绩，并细化到每一次线下考试权重设置。</w:t>
            </w:r>
          </w:p>
        </w:tc>
      </w:tr>
      <w:tr w14:paraId="785844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5" w:type="dxa"/>
            <w:vMerge w:val="continue"/>
          </w:tcPr>
          <w:p w14:paraId="050F6917">
            <w:pPr>
              <w:widowControl w:val="0"/>
              <w:rPr>
                <w:rFonts w:hint="eastAsia" w:ascii="仿宋" w:hAnsi="仿宋" w:eastAsia="仿宋" w:cs="仿宋"/>
                <w:sz w:val="24"/>
                <w:szCs w:val="24"/>
                <w:highlight w:val="none"/>
              </w:rPr>
            </w:pPr>
          </w:p>
        </w:tc>
        <w:tc>
          <w:tcPr>
            <w:tcW w:w="867" w:type="dxa"/>
            <w:vAlign w:val="center"/>
          </w:tcPr>
          <w:p w14:paraId="389D654B">
            <w:pPr>
              <w:widowControl w:val="0"/>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6</w:t>
            </w:r>
          </w:p>
        </w:tc>
        <w:tc>
          <w:tcPr>
            <w:tcW w:w="1566" w:type="dxa"/>
            <w:vAlign w:val="center"/>
          </w:tcPr>
          <w:p w14:paraId="516CA3FB">
            <w:pPr>
              <w:widowControl w:val="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学习过程监控与管理</w:t>
            </w:r>
          </w:p>
        </w:tc>
        <w:tc>
          <w:tcPr>
            <w:tcW w:w="6245" w:type="dxa"/>
          </w:tcPr>
          <w:p w14:paraId="371E087A">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1．人脸识别:学生在平台进行课程学习过程时，需要进行人脸识别，通过认证才可以学习课程内容。</w:t>
            </w:r>
          </w:p>
          <w:p w14:paraId="762D3BC4">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2．章节知识点学习推送控制:教师可以针对每一个教学班对每个章节学习内容进行“开放、定时开放、闯关模式开放、隐藏模式、复习模式”等设置。“开放”，表示该章节可以学习。“定时开放”，表示该章节在设置的一个时间段内开放习。“闯关模式开放”，表示学生需要完成上一章节学习内容并通过相应的作业和测试后才能进行下一章节的学习内容。“隐藏模式”，该章节学生不可见，且学生已产生的学习数据将不计算成绩。“复习模式”学生可以对该章节学习，但学习任务点不计算进成绩。</w:t>
            </w:r>
          </w:p>
          <w:p w14:paraId="293FF13E">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3．任务驱动式的进阶式学习:教师可以将课程章节内视频、图书、作业等内容设置为任务点，要求学生必须完成，灵活控制学生学习的情况。学生端可以看到整个课程和每个章节需要完成的任务点情况，每完成一个任务，数量会自动减一。</w:t>
            </w:r>
          </w:p>
          <w:p w14:paraId="5681C3BF">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4．学习过程的监督和跟踪:支持可以跟踪记录并统计基于每个学生的学习进度、课程登录详情、学习材料浏览和下载详情、作业和测试完成情况、在线时长、视频观看的详情、参加答疑讨论的情况等多项学习考核指标。</w:t>
            </w:r>
          </w:p>
          <w:p w14:paraId="4646F39F">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5．视频播放控制:课程的教学视频文件具有“防拖拽和防窗口切换”功能，即视频播放的时候无法进行快进播放，打开章节学习的时候不能再打开其它网页，否则视频播放停止。同时在章节视频中可以插入测验题，包含单选题、多选题和对错题，支持设置答错是否允许继续观看视频，如果答错，支持设置或看多少分钟，或者设置回看时间段；支持学生作答后查看答案。</w:t>
            </w:r>
          </w:p>
          <w:p w14:paraId="3B603F1B">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6．证书发放功能:证书支持多种模板选择，且支持自定义在线编辑证书内容。系统支持自动发放证书和选人发放，其中自动发放证书包括按综合成绩发放证书和按任务点完成率发放证书。自动发放证书支持定时发放，学生可以将证书下载并打印。</w:t>
            </w:r>
          </w:p>
          <w:p w14:paraId="0C9B865D">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7．课程复习模式:教师在开课时可以设定课程的开课时间和结课时间，并且在课程结束后，可以自动开启复习模式，在复习模式中，学生可以复习，但学习记录不记入总成绩。</w:t>
            </w:r>
          </w:p>
          <w:p w14:paraId="69A88AF7">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8．学习监控:</w:t>
            </w:r>
          </w:p>
          <w:p w14:paraId="5EFB73B6">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支持章节视频任务点、作业、考试异常行为监控。</w:t>
            </w:r>
          </w:p>
          <w:p w14:paraId="0890A316">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支持学生进入课程、观看视频时进行人脸识别和抓拍。观看视频抓拍需要支持视频起始、视频播放、视频暂停再播放、视频结束抓拍设置，也支持播放中的定时抓拍,如10分钟抓拍一次和随机抓拍。识别失败支持记录并继续学习和不允许学习的配置。</w:t>
            </w:r>
          </w:p>
          <w:p w14:paraId="689C929A">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支持教师查看学生学习监控数据，若有异常学习行为，可清除其学习记录。</w:t>
            </w:r>
          </w:p>
        </w:tc>
      </w:tr>
      <w:tr w14:paraId="0B1C49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5" w:type="dxa"/>
            <w:vMerge w:val="continue"/>
          </w:tcPr>
          <w:p w14:paraId="67B95A84">
            <w:pPr>
              <w:widowControl w:val="0"/>
              <w:rPr>
                <w:rFonts w:hint="eastAsia" w:ascii="仿宋" w:hAnsi="仿宋" w:eastAsia="仿宋" w:cs="仿宋"/>
                <w:sz w:val="24"/>
                <w:szCs w:val="24"/>
                <w:highlight w:val="none"/>
              </w:rPr>
            </w:pPr>
          </w:p>
        </w:tc>
        <w:tc>
          <w:tcPr>
            <w:tcW w:w="867" w:type="dxa"/>
            <w:vAlign w:val="center"/>
          </w:tcPr>
          <w:p w14:paraId="4B816B80">
            <w:pPr>
              <w:widowControl w:val="0"/>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7</w:t>
            </w:r>
          </w:p>
        </w:tc>
        <w:tc>
          <w:tcPr>
            <w:tcW w:w="1566" w:type="dxa"/>
            <w:vAlign w:val="center"/>
          </w:tcPr>
          <w:p w14:paraId="0E0EF3FB">
            <w:pPr>
              <w:widowControl w:val="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教学资源管理</w:t>
            </w:r>
          </w:p>
        </w:tc>
        <w:tc>
          <w:tcPr>
            <w:tcW w:w="6245" w:type="dxa"/>
          </w:tcPr>
          <w:p w14:paraId="55AAF01D">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教学资源管理包括上传课程资源，支持课程资源共享给指定教师或指定教学班，同时资源可在不同板块中反复调用，随时随地下载。教师可从本地、云盘、在线图书、网址、教学资源库等添加资源到课程资料模块。</w:t>
            </w:r>
          </w:p>
          <w:p w14:paraId="07756469">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1．教学资料:教师可以对自己所负责的课程的资料进行管理，建立课程文件的目录层级，同时教师可以根据课程需要，赋予一人或多人一定权限，共同参于课程资源建设，即委派角色。支持选择文件夹中内容共享给哪些老师和班级。教师可以直接从备课资源库检索、添加相关在线资源。</w:t>
            </w:r>
          </w:p>
          <w:p w14:paraId="2001536B">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▲2. 支持对资料进行转发分享，支持多种转发渠道，可转发至个人笔记、通知、群聊等，支持通过资料二维码、链接地址等形式进行资料共享。</w:t>
            </w:r>
          </w:p>
          <w:p w14:paraId="15E24E07">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3. 教材教参:教师可以从备课资源库中查找并添加课程相关的教学参考书，推荐给学生直接进行在线阅读。</w:t>
            </w:r>
          </w:p>
          <w:p w14:paraId="65BBBFF8">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4. 教学资源库:教师可以从教学资源库中查找并添加课程相关的课件、音视频、图片、文档，推荐给学生直接进行在线观看。</w:t>
            </w:r>
          </w:p>
          <w:p w14:paraId="15C05301">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5. 题库管理</w:t>
            </w:r>
          </w:p>
          <w:p w14:paraId="21AB47AD">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★(1)</w:t>
            </w:r>
            <w:r>
              <w:rPr>
                <w:rFonts w:hint="eastAsia" w:ascii="仿宋" w:hAnsi="仿宋" w:eastAsia="仿宋" w:cs="仿宋"/>
                <w:sz w:val="24"/>
                <w:szCs w:val="24"/>
                <w:highlight w:val="none"/>
              </w:rPr>
              <w:tab/>
            </w:r>
            <w:r>
              <w:rPr>
                <w:rFonts w:hint="eastAsia" w:ascii="仿宋" w:hAnsi="仿宋" w:eastAsia="仿宋" w:cs="仿宋"/>
                <w:sz w:val="24"/>
                <w:szCs w:val="24"/>
                <w:highlight w:val="none"/>
              </w:rPr>
              <w:t>题库建设支持模板导入及智能导入。智能导入需能智能识别题目类型、题干、答案、拼音标点解析等，并能实现原位编辑。</w:t>
            </w:r>
          </w:p>
          <w:p w14:paraId="5BBE1845">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▲(2)</w:t>
            </w:r>
            <w:r>
              <w:rPr>
                <w:rFonts w:hint="eastAsia" w:ascii="仿宋" w:hAnsi="仿宋" w:eastAsia="仿宋" w:cs="仿宋"/>
                <w:sz w:val="24"/>
                <w:szCs w:val="24"/>
                <w:highlight w:val="none"/>
              </w:rPr>
              <w:tab/>
            </w:r>
            <w:r>
              <w:rPr>
                <w:rFonts w:hint="eastAsia" w:ascii="仿宋" w:hAnsi="仿宋" w:eastAsia="仿宋" w:cs="仿宋"/>
                <w:sz w:val="24"/>
                <w:szCs w:val="24"/>
                <w:highlight w:val="none"/>
              </w:rPr>
              <w:t>教师可以创建课程试题库，对试题库进行管理，包括添加、修改、删除、查询、浏览等功能。题型包括单选、多选、判断、简答、填空、连线题、共用选项题、测评题、钟表题、选词填空、选做题等，题的属性除难度系数外，可自定以题目标签，最多支持六级标签。</w:t>
            </w:r>
          </w:p>
          <w:p w14:paraId="7B67C727">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(3)</w:t>
            </w:r>
            <w:r>
              <w:rPr>
                <w:rFonts w:hint="eastAsia" w:ascii="仿宋" w:hAnsi="仿宋" w:eastAsia="仿宋" w:cs="仿宋"/>
                <w:sz w:val="24"/>
                <w:szCs w:val="24"/>
                <w:highlight w:val="none"/>
              </w:rPr>
              <w:tab/>
            </w:r>
            <w:r>
              <w:rPr>
                <w:rFonts w:hint="eastAsia" w:ascii="仿宋" w:hAnsi="仿宋" w:eastAsia="仿宋" w:cs="仿宋"/>
                <w:sz w:val="24"/>
                <w:szCs w:val="24"/>
                <w:highlight w:val="none"/>
              </w:rPr>
              <w:t>题库导入支持excel及word格式的模板方式导入。</w:t>
            </w:r>
          </w:p>
          <w:p w14:paraId="6A7EB3F3">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(4)</w:t>
            </w:r>
            <w:r>
              <w:rPr>
                <w:rFonts w:hint="eastAsia" w:ascii="仿宋" w:hAnsi="仿宋" w:eastAsia="仿宋" w:cs="仿宋"/>
                <w:sz w:val="24"/>
                <w:szCs w:val="24"/>
                <w:highlight w:val="none"/>
              </w:rPr>
              <w:tab/>
            </w:r>
            <w:r>
              <w:rPr>
                <w:rFonts w:hint="eastAsia" w:ascii="仿宋" w:hAnsi="仿宋" w:eastAsia="仿宋" w:cs="仿宋"/>
                <w:sz w:val="24"/>
                <w:szCs w:val="24"/>
                <w:highlight w:val="none"/>
              </w:rPr>
              <w:t>支持创建文件夹对试题进行分类管理，支持多文件夹目录层级。文件夹支持设置共享范围：私有（仅自己可见，文件夹中只能添加自己创建的题目）、共享给指定教学团队成员（仅指定成员可见，文件夹中只能添加自己创建的题目）、公开（所有教学团队成员可见，文件夹中可添加其他成员创建的题目）、是否允许学生自测（是否允许学生从此文件夹中抽题自测）。</w:t>
            </w:r>
          </w:p>
          <w:p w14:paraId="1DAE7553">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(5)</w:t>
            </w:r>
            <w:r>
              <w:rPr>
                <w:rFonts w:hint="eastAsia" w:ascii="仿宋" w:hAnsi="仿宋" w:eastAsia="仿宋" w:cs="仿宋"/>
                <w:sz w:val="24"/>
                <w:szCs w:val="24"/>
                <w:highlight w:val="none"/>
              </w:rPr>
              <w:tab/>
            </w:r>
            <w:r>
              <w:rPr>
                <w:rFonts w:hint="eastAsia" w:ascii="仿宋" w:hAnsi="仿宋" w:eastAsia="仿宋" w:cs="仿宋"/>
                <w:sz w:val="24"/>
                <w:szCs w:val="24"/>
                <w:highlight w:val="none"/>
              </w:rPr>
              <w:t>支持文件夹及题目复制功能。</w:t>
            </w:r>
          </w:p>
          <w:p w14:paraId="69381E06">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(6)</w:t>
            </w:r>
            <w:r>
              <w:rPr>
                <w:rFonts w:hint="eastAsia" w:ascii="仿宋" w:hAnsi="仿宋" w:eastAsia="仿宋" w:cs="仿宋"/>
                <w:sz w:val="24"/>
                <w:szCs w:val="24"/>
                <w:highlight w:val="none"/>
              </w:rPr>
              <w:tab/>
            </w:r>
            <w:r>
              <w:rPr>
                <w:rFonts w:hint="eastAsia" w:ascii="仿宋" w:hAnsi="仿宋" w:eastAsia="仿宋" w:cs="仿宋"/>
                <w:sz w:val="24"/>
                <w:szCs w:val="24"/>
                <w:highlight w:val="none"/>
              </w:rPr>
              <w:t>允许设置文件夹锁定功能。锁定后，题目将放入“已锁定题目”文件夹，已锁定题目将不会出现在题库选题和随机组卷中。</w:t>
            </w:r>
          </w:p>
          <w:p w14:paraId="502E0F11">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(7)</w:t>
            </w:r>
            <w:r>
              <w:rPr>
                <w:rFonts w:hint="eastAsia" w:ascii="仿宋" w:hAnsi="仿宋" w:eastAsia="仿宋" w:cs="仿宋"/>
                <w:sz w:val="24"/>
                <w:szCs w:val="24"/>
                <w:highlight w:val="none"/>
              </w:rPr>
              <w:tab/>
            </w:r>
            <w:r>
              <w:rPr>
                <w:rFonts w:hint="eastAsia" w:ascii="仿宋" w:hAnsi="仿宋" w:eastAsia="仿宋" w:cs="仿宋"/>
                <w:sz w:val="24"/>
                <w:szCs w:val="24"/>
                <w:highlight w:val="none"/>
              </w:rPr>
              <w:t>支持智能导入，直接将word试题文档快速导入，支持线上修改题目内容。</w:t>
            </w:r>
          </w:p>
          <w:p w14:paraId="22A2CF8C">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▲(8)</w:t>
            </w:r>
            <w:r>
              <w:rPr>
                <w:rFonts w:hint="eastAsia" w:ascii="仿宋" w:hAnsi="仿宋" w:eastAsia="仿宋" w:cs="仿宋"/>
                <w:sz w:val="24"/>
                <w:szCs w:val="24"/>
                <w:highlight w:val="none"/>
              </w:rPr>
              <w:tab/>
            </w:r>
            <w:r>
              <w:rPr>
                <w:rFonts w:hint="eastAsia" w:ascii="仿宋" w:hAnsi="仿宋" w:eastAsia="仿宋" w:cs="仿宋"/>
                <w:sz w:val="24"/>
                <w:szCs w:val="24"/>
                <w:highlight w:val="none"/>
              </w:rPr>
              <w:t>支持教师对系统题型重命名，支持新建题型，满足更多题型要求。支持试题批量导出，支持多种导出格式，包括word、pdf、excel格式。</w:t>
            </w:r>
          </w:p>
          <w:p w14:paraId="541D94C0">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(9)</w:t>
            </w:r>
            <w:r>
              <w:rPr>
                <w:rFonts w:hint="eastAsia" w:ascii="仿宋" w:hAnsi="仿宋" w:eastAsia="仿宋" w:cs="仿宋"/>
                <w:sz w:val="24"/>
                <w:szCs w:val="24"/>
                <w:highlight w:val="none"/>
              </w:rPr>
              <w:tab/>
            </w:r>
            <w:r>
              <w:rPr>
                <w:rFonts w:hint="eastAsia" w:ascii="仿宋" w:hAnsi="仿宋" w:eastAsia="仿宋" w:cs="仿宋"/>
                <w:sz w:val="24"/>
                <w:szCs w:val="24"/>
                <w:highlight w:val="none"/>
              </w:rPr>
              <w:t>支持对单个试题进行排序、编辑、移动、锁定、修改题型、修改难易度、关联知识点、关联课程目标、一键推送云盘功能。</w:t>
            </w:r>
          </w:p>
          <w:p w14:paraId="178C59FA">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(10)题库支持统计试题使用次数、学生答题正确率、题目创建日期等。</w:t>
            </w:r>
          </w:p>
          <w:p w14:paraId="22ED0D30">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5.作业管理</w:t>
            </w:r>
          </w:p>
          <w:p w14:paraId="14024316">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(1)教师可以创建作业，形成课程作业库，也可以从教学资源库引入作业，导入作业。</w:t>
            </w:r>
          </w:p>
          <w:p w14:paraId="2F2A9724">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教师可以对平台导出的作业进行二次导入。</w:t>
            </w:r>
          </w:p>
          <w:p w14:paraId="043824F7">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(2)教师可以对已发布的作业进行分数和答案的校正。</w:t>
            </w:r>
          </w:p>
          <w:p w14:paraId="62CCA3C1">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6.试卷管理</w:t>
            </w:r>
          </w:p>
          <w:p w14:paraId="399DD5FC">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(1)具有从题库或以前的测验中随机生成新的试卷的功能，教师可以对试卷中的试题进行添加、修改、删除、任意排序、预览等功能，还可以对试题设定分值。</w:t>
            </w:r>
          </w:p>
          <w:p w14:paraId="0EB44336">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(2)试卷可多次重复使用。教师可以按照模板导入编辑好的试卷。</w:t>
            </w:r>
          </w:p>
          <w:p w14:paraId="18593986">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(3)教师可以对创建好的试卷进行封存，设置封存密码对试卷进行保护。</w:t>
            </w:r>
          </w:p>
          <w:p w14:paraId="1C8615E8">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(4)教师可以选择随机组卷和手动组卷两种组卷方式。</w:t>
            </w:r>
          </w:p>
          <w:p w14:paraId="6D2D29DB">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(5)支持试卷结构分析：试卷分析功能分为题型统计分析、难易度统计分析、题目详情。题型统计和难易度统计分析支持按照题量和题目分数分布进行统计。题目详情支持按照题型、难易度、知识点进行查看题目的题号、题干、题型、难易度、知识点、正确率（该题在多次考试中使用的正确率）、题目分数。</w:t>
            </w:r>
          </w:p>
        </w:tc>
      </w:tr>
      <w:tr w14:paraId="1A05F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5" w:type="dxa"/>
            <w:vMerge w:val="continue"/>
          </w:tcPr>
          <w:p w14:paraId="001A178A">
            <w:pPr>
              <w:widowControl w:val="0"/>
              <w:rPr>
                <w:rFonts w:hint="eastAsia" w:ascii="仿宋" w:hAnsi="仿宋" w:eastAsia="仿宋" w:cs="仿宋"/>
                <w:sz w:val="24"/>
                <w:szCs w:val="24"/>
                <w:highlight w:val="none"/>
              </w:rPr>
            </w:pPr>
          </w:p>
        </w:tc>
        <w:tc>
          <w:tcPr>
            <w:tcW w:w="867" w:type="dxa"/>
            <w:vAlign w:val="center"/>
          </w:tcPr>
          <w:p w14:paraId="73876BEF">
            <w:pPr>
              <w:widowControl w:val="0"/>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8</w:t>
            </w:r>
          </w:p>
        </w:tc>
        <w:tc>
          <w:tcPr>
            <w:tcW w:w="1566" w:type="dxa"/>
            <w:vAlign w:val="center"/>
          </w:tcPr>
          <w:p w14:paraId="1C17F17E">
            <w:pPr>
              <w:widowControl w:val="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作业与考试</w:t>
            </w:r>
          </w:p>
        </w:tc>
        <w:tc>
          <w:tcPr>
            <w:tcW w:w="6245" w:type="dxa"/>
          </w:tcPr>
          <w:p w14:paraId="1B547E0B">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1.作业</w:t>
            </w:r>
          </w:p>
          <w:p w14:paraId="2F84C28F">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(1)作业可以是来源于题库、作业库自定义或模板导入，每次布置作业，自定义的题目需具有保存到题库的功能。作业从题库选题时不限于使用本门课程的题库，可跨课程使用教师本人其他课程的题库。</w:t>
            </w:r>
          </w:p>
          <w:p w14:paraId="26A9FBAC">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(2)教师可以随时查看学生作业的完成情况并对作业进行线上批阅打分，学生在线提交作业后，对于客观题系统能自动判分。线下作业教师可以将成绩登记到线上，以备定期统计，了解学生的学习情况。</w:t>
            </w:r>
          </w:p>
          <w:p w14:paraId="5165818A">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★(3)作业需具备生生互评的功能，设为互评的作业，支持设置教师批阅得分、学生批阅得分、互评参与情况之间占比。支持设置学生批语字数限制以及学生主观题评分范围。</w:t>
            </w:r>
          </w:p>
          <w:p w14:paraId="471D1095">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(4)作业支持文档、附件、视频、音频等形式，同时音视频支持在线播放功能。</w:t>
            </w:r>
          </w:p>
          <w:p w14:paraId="1D2F94BD">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(5)支持填空题是否为客观题的设定，当设填空题为客观题，系统可自动对其批阅，同时，支持设置是否允许学生补考、及格分数的设定，并可设置是否允许学生重考。</w:t>
            </w:r>
          </w:p>
          <w:p w14:paraId="0E4D4DCC">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(6)教师可随时设定作业答案是否公开、作业分数是否公开，可设定学生答案的字数范围及是否防止粘贴的功能。可以对作业进行设置，设置发布作业的时间、是否允许补交、是否允许重做、是否允许学生查看分数、允许学生查看题型分数、允许学生粘贴答案、学生重做时显示对错、题目乱序、督促设置、作答要求、评分设置、排序题按空给分。</w:t>
            </w:r>
          </w:p>
          <w:p w14:paraId="4377D7ED">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(7)对于同一套作业，可以设置题目乱序和选项乱序，防止学生作弊。</w:t>
            </w:r>
          </w:p>
          <w:p w14:paraId="2FE8C429">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(8)对于未提交作业的学生，可以进行督促，发放督促通知。</w:t>
            </w:r>
          </w:p>
          <w:p w14:paraId="1F7D1D18">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(9)作业需具备指定发送给某个人的功能，实现有针对性的教学管理。</w:t>
            </w:r>
          </w:p>
          <w:p w14:paraId="30618B24">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(10)作业支持智能导入，一键识别加入作业库。</w:t>
            </w:r>
          </w:p>
          <w:p w14:paraId="544A6BB1">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(11)教师可以按人、按题目批阅，也可以打回重做。</w:t>
            </w:r>
          </w:p>
          <w:p w14:paraId="671CF2F5">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(12)可以导出成绩、导出作业附件。</w:t>
            </w:r>
          </w:p>
          <w:p w14:paraId="71618FEE">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(13)可以查看作业的每道题的正确率情况和答题详情并支持导出。</w:t>
            </w:r>
          </w:p>
          <w:p w14:paraId="6984B142">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)题库试题创建支持在线录音</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录完的声音可以直接在线播放。提供强大的基于浏览器的数学、化学公式在线编辑器。</w:t>
            </w:r>
          </w:p>
          <w:p w14:paraId="53F6F0AA">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rPr>
              <w:t>)能够设置任务学习完成的情况作为是否能完成作业的条件。</w:t>
            </w:r>
          </w:p>
          <w:p w14:paraId="59228F78">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)支持将学生答案拍照上传，同时支持主观题答案与教师设定的标准答案之间进行相似度智能分析，并根据分析结果给出推荐得分，辅助老师进行主观题批阅。</w:t>
            </w:r>
          </w:p>
          <w:p w14:paraId="5C399F09">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2.测验与考试</w:t>
            </w:r>
          </w:p>
          <w:p w14:paraId="018AE109">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(1)能为学生提供限时，能按照设定的日期和时间自动开放或关闭测验和考试。</w:t>
            </w:r>
          </w:p>
          <w:p w14:paraId="5E8C5DF0">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(2)支持设置考试限时、限时提交规则、限时进入。考试限时支持设置单题限时，包括所有题型统一限时、按题型限时。</w:t>
            </w:r>
          </w:p>
          <w:p w14:paraId="7266B3BF">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(3)需具备随机组卷功能，可以随机组若干套试卷发放给学生。</w:t>
            </w:r>
          </w:p>
          <w:p w14:paraId="348E845B">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(4)支持设置任务学习完成的情况作为是否能参加考试的条件；支持设置综合成绩达标情况作为是否能参加考试的条件。</w:t>
            </w:r>
          </w:p>
          <w:p w14:paraId="4F934CE9">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(5)支持设置学生端作答时上传的附件类型，包括拍照/录像、录音、上传附件。</w:t>
            </w:r>
          </w:p>
          <w:p w14:paraId="25A33D1E">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(6)对于同一套试卷，可以设置选项和考题乱序，防止学生作弊。</w:t>
            </w:r>
          </w:p>
          <w:p w14:paraId="2C6FE462">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(7)需对考试进行是否允许查看答案及分数的设定，避免学生因答题时间不同而产生作弊现象。</w:t>
            </w:r>
          </w:p>
          <w:p w14:paraId="4EF3F966">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(8)需具备设定随机验证码的功能，学生进入考试前需输入验证码，从而实现对学生的身份认证。</w:t>
            </w:r>
          </w:p>
          <w:p w14:paraId="72FECBF3">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(9)支持考试客户端功能，支持客户端独立进行考试。</w:t>
            </w:r>
          </w:p>
          <w:p w14:paraId="7E46E5D3">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(10)考试过程抓拍：开启后在考生的整个答题过程进行抓拍。</w:t>
            </w:r>
          </w:p>
          <w:p w14:paraId="484AB33C">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(11)考试过程切屏监控：在考生考</w:t>
            </w:r>
            <w:r>
              <w:rPr>
                <w:rFonts w:hint="eastAsia" w:ascii="仿宋" w:hAnsi="仿宋" w:eastAsia="仿宋" w:cs="仿宋"/>
                <w:sz w:val="24"/>
                <w:szCs w:val="24"/>
                <w:highlight w:val="none"/>
                <w:lang w:val="en-US" w:eastAsia="zh-CN"/>
              </w:rPr>
              <w:t>试</w:t>
            </w:r>
            <w:r>
              <w:rPr>
                <w:rFonts w:hint="eastAsia" w:ascii="仿宋" w:hAnsi="仿宋" w:eastAsia="仿宋" w:cs="仿宋"/>
                <w:sz w:val="24"/>
                <w:szCs w:val="24"/>
                <w:highlight w:val="none"/>
              </w:rPr>
              <w:t>过程中将全程监控考生的答题界面。</w:t>
            </w:r>
          </w:p>
          <w:p w14:paraId="2D810DD7">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(12)考试码：考试码在教师端显示，学生需输入考试码后才能参加考试。</w:t>
            </w:r>
          </w:p>
          <w:p w14:paraId="76451416">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(13)人脸识别：开启后考生在考试前需进行人脸核对，保证本人参考。</w:t>
            </w:r>
          </w:p>
          <w:p w14:paraId="4907C01D">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(14)支持设置考前多长时间可以进行考前准备。</w:t>
            </w:r>
          </w:p>
          <w:p w14:paraId="3EFA2117">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(15)支持发布考试须知，可自定义编辑。</w:t>
            </w:r>
          </w:p>
          <w:p w14:paraId="5DB8F5B4">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(16)可以设置题目乱序、选项乱序</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支持</w:t>
            </w:r>
            <w:r>
              <w:rPr>
                <w:rFonts w:hint="eastAsia" w:ascii="仿宋" w:hAnsi="仿宋" w:eastAsia="仿宋" w:cs="仿宋"/>
                <w:sz w:val="24"/>
                <w:szCs w:val="24"/>
                <w:highlight w:val="none"/>
              </w:rPr>
              <w:t>设置指定IP参加考试、可以单题限时作答。</w:t>
            </w:r>
          </w:p>
          <w:p w14:paraId="5008D854">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(17)支持自动随机组卷，组多套试卷时，可设置试卷试题重复率为0、不高于20%、不高于50%、不高于80%等。</w:t>
            </w:r>
          </w:p>
          <w:p w14:paraId="265BCC02">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(18)允许学生考后查看试卷、允许学生查看题目对错、允许学生查看分数、允许学生查看题型分数、允许学生查看考试等级、允许学生查看排名、允许自定义设置学生考试完成后展示的提示信息。</w:t>
            </w:r>
          </w:p>
          <w:p w14:paraId="68DE2D28">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(19)支持生成试卷分析报告，报告中需至少包含试卷难度、区分度统计，成绩正态分布，成绩标准差、方差、试卷信度等分析数据项。</w:t>
            </w:r>
          </w:p>
          <w:p w14:paraId="2A5807FA">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▲(20)支持在线阅卷，阅卷教师可在线打分、写评语、如答案为图片，支持在图片上进行批注；可切换批阅方式，支持按人批阅或按题目批阅。</w:t>
            </w:r>
          </w:p>
          <w:p w14:paraId="35F884B8">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(21)在线监考：支持监考教师实时查看每位考生是否进入考试、进入时间、当前状态、IP地址、所在地区、考试方式、人脸识别情况、切屏次数、考试过程中抓拍照片识别次数、考试过程中抓拍照片识别异常次数、屏幕抓拍识别异常次数、是否被标记等。</w:t>
            </w:r>
          </w:p>
          <w:p w14:paraId="3685BB11">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(22)查看考生详情：监考老师可随时查看每位考生的考试行为记录，详情以时间轴形式呈现，包括考生进入考试人脸识别结果、考试切屏记录、考试抓拍记录、屏幕抓拍识别记录、考生答题记录、直播监考记录、监考教师操作记录等。</w:t>
            </w:r>
          </w:p>
          <w:p w14:paraId="17190A0E">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(23)平台支持试卷导出功能，至少支持A3、A4、B4等版式。</w:t>
            </w:r>
          </w:p>
          <w:p w14:paraId="2C92F1A2">
            <w:pPr>
              <w:pStyle w:val="13"/>
              <w:widowControl w:val="0"/>
              <w:spacing w:line="240" w:lineRule="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24</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支持自定义设置导出试卷模板，包括密封线位置，显示的课程信息，学生信息，考试承诺书等多项内容。</w:t>
            </w:r>
          </w:p>
        </w:tc>
      </w:tr>
      <w:tr w14:paraId="3C64EE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5" w:type="dxa"/>
            <w:vMerge w:val="continue"/>
          </w:tcPr>
          <w:p w14:paraId="55CFBA0D">
            <w:pPr>
              <w:widowControl w:val="0"/>
              <w:rPr>
                <w:rFonts w:hint="eastAsia" w:ascii="仿宋" w:hAnsi="仿宋" w:eastAsia="仿宋" w:cs="仿宋"/>
                <w:sz w:val="24"/>
                <w:szCs w:val="24"/>
                <w:highlight w:val="none"/>
              </w:rPr>
            </w:pPr>
          </w:p>
        </w:tc>
        <w:tc>
          <w:tcPr>
            <w:tcW w:w="867" w:type="dxa"/>
            <w:vAlign w:val="center"/>
          </w:tcPr>
          <w:p w14:paraId="0D3E2761">
            <w:pPr>
              <w:widowControl w:val="0"/>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9</w:t>
            </w:r>
          </w:p>
        </w:tc>
        <w:tc>
          <w:tcPr>
            <w:tcW w:w="1566" w:type="dxa"/>
            <w:vAlign w:val="center"/>
          </w:tcPr>
          <w:p w14:paraId="3DD80E46">
            <w:pPr>
              <w:widowControl w:val="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教学互动</w:t>
            </w:r>
          </w:p>
        </w:tc>
        <w:tc>
          <w:tcPr>
            <w:tcW w:w="6245" w:type="dxa"/>
          </w:tcPr>
          <w:p w14:paraId="7BA5C614">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1.通知</w:t>
            </w:r>
          </w:p>
          <w:p w14:paraId="1DC79CFF">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教师可以在课程中发布课程通知。</w:t>
            </w:r>
          </w:p>
          <w:p w14:paraId="01BB325B">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移动端能针对学校的组织机构、班级等不同的范围发放通知，并能及时统计到已读和未读人员名单。</w:t>
            </w:r>
          </w:p>
          <w:p w14:paraId="5A4A2ED8">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并且可与移动端打通，无缝对接。针对未读通知，支持短信提醒、电话提醒、微信提醒等提醒方式。</w:t>
            </w:r>
          </w:p>
          <w:p w14:paraId="6B57CD73">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2.讨论</w:t>
            </w:r>
          </w:p>
          <w:p w14:paraId="167DA152">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学生和教师可以在讨论区中发起讨论，讨论可以跟某一个章节进行关联。教师可针对精彩的讨论或有重要意义的讨论做加精或置顶的操作，也可对非法讨论进行删除。</w:t>
            </w:r>
          </w:p>
          <w:p w14:paraId="3BCE0A15">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移动端可以建立各种讨论小组，进行权限设置，小组成员可以发帖、回帖、置顶、观看小组的动态等。</w:t>
            </w:r>
          </w:p>
          <w:p w14:paraId="79A89D27">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★3.笔记</w:t>
            </w:r>
          </w:p>
          <w:p w14:paraId="68F4B101">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学生在学习某一个章节时，可以针对此章节做笔记。</w:t>
            </w:r>
          </w:p>
          <w:p w14:paraId="6FFFB1E3">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移动端可以记录笔记，笔记支持富媒体撰写，并可以分享给单位、好友，也可以私有，同时可以查看好友的笔记，关注好友笔记。并能实时统计阅读次数、回复笔记等。</w:t>
            </w:r>
          </w:p>
        </w:tc>
      </w:tr>
      <w:tr w14:paraId="63B36C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5" w:type="dxa"/>
            <w:vMerge w:val="continue"/>
          </w:tcPr>
          <w:p w14:paraId="7A69380C">
            <w:pPr>
              <w:widowControl w:val="0"/>
              <w:rPr>
                <w:rFonts w:hint="eastAsia" w:ascii="仿宋" w:hAnsi="仿宋" w:eastAsia="仿宋" w:cs="仿宋"/>
                <w:sz w:val="24"/>
                <w:szCs w:val="24"/>
                <w:highlight w:val="none"/>
              </w:rPr>
            </w:pPr>
          </w:p>
        </w:tc>
        <w:tc>
          <w:tcPr>
            <w:tcW w:w="867" w:type="dxa"/>
            <w:vAlign w:val="center"/>
          </w:tcPr>
          <w:p w14:paraId="54D9AD7F">
            <w:pPr>
              <w:widowControl w:val="0"/>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10</w:t>
            </w:r>
          </w:p>
        </w:tc>
        <w:tc>
          <w:tcPr>
            <w:tcW w:w="1566" w:type="dxa"/>
            <w:vAlign w:val="center"/>
          </w:tcPr>
          <w:p w14:paraId="20C0F194">
            <w:pPr>
              <w:widowControl w:val="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统计督学</w:t>
            </w:r>
          </w:p>
        </w:tc>
        <w:tc>
          <w:tcPr>
            <w:tcW w:w="6245" w:type="dxa"/>
          </w:tcPr>
          <w:p w14:paraId="66EC039A">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1.基础数据</w:t>
            </w:r>
          </w:p>
          <w:p w14:paraId="6835546F">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可以对课程学生人数、班级个数、作业次数、课堂活动数、课程章节个数、视频、文档等资源个数、课程资料数、题库题数、考试次数、讨论数进行统计；</w:t>
            </w:r>
          </w:p>
          <w:p w14:paraId="217AFF54">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2.课堂报告</w:t>
            </w:r>
          </w:p>
          <w:p w14:paraId="0EB0169A">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以班级和教师筛选展示整个课程的课堂活动发放情况、签到情况、课堂回顾。可以按日筛选查看不同日期课堂报告，可以导出课堂报告。</w:t>
            </w:r>
          </w:p>
          <w:p w14:paraId="1E8CAB2D">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3.学情分析</w:t>
            </w:r>
          </w:p>
          <w:p w14:paraId="4A897EC8">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展示课程当中学生的学习情况，从多个维度展示学情，包括学习动态监测、章节学习次数、章节任务点、签到、课程积分、作业、章节测验、考试、讨论、教学预警、互动测验、分组任务等学习情况，可以导出学生详细学习情况。</w:t>
            </w:r>
          </w:p>
          <w:p w14:paraId="04D8CD49">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4.学生成绩</w:t>
            </w:r>
          </w:p>
          <w:p w14:paraId="1701D546">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（1）可查看课程下每个班级综合成绩平均分、查看每个学生综合成绩、各分项成绩及权重占比，支持教师手动修改成绩。可查看学生各分项考核模块学习进度情况，可查看每个学生学习情况。</w:t>
            </w:r>
          </w:p>
          <w:p w14:paraId="00B108F3">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（2）可对课程中的视频、作业、测验、在线时长等做权重设置，可以针对作业模块做细化到每一份作业的权重设置。</w:t>
            </w:r>
          </w:p>
          <w:p w14:paraId="58F9629A">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3）教师可以设置是否允许学生查看成绩，如果允许，学生端可以查看自己的各项成绩及综合排名，同时其他同学的成绩可设为保秘状态；同时，可以导入线下成绩，导入课堂互动的成绩如签到、课堂互动、阅读、直播等课堂成绩，保证学生的成绩更加全面。</w:t>
            </w:r>
          </w:p>
          <w:p w14:paraId="1E41CCBE">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▲5.教学预警</w:t>
            </w:r>
          </w:p>
          <w:p w14:paraId="12EA001B">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可以按照条件进行预设设置，包括低于任务点平均完成度、低于章节测验平均完成度、低于章节测验平均分、低于作业平均分、低于访问平均分、低于考试平均分、低于综合成绩平均分 。按照条件筛选，并可执行提醒，可查看督学记录。</w:t>
            </w:r>
          </w:p>
        </w:tc>
      </w:tr>
      <w:tr w14:paraId="204A0A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5" w:type="dxa"/>
            <w:vMerge w:val="continue"/>
          </w:tcPr>
          <w:p w14:paraId="3C60482C">
            <w:pPr>
              <w:widowControl w:val="0"/>
              <w:rPr>
                <w:rFonts w:hint="eastAsia" w:ascii="仿宋" w:hAnsi="仿宋" w:eastAsia="仿宋" w:cs="仿宋"/>
                <w:sz w:val="24"/>
                <w:szCs w:val="24"/>
                <w:highlight w:val="none"/>
              </w:rPr>
            </w:pPr>
          </w:p>
        </w:tc>
        <w:tc>
          <w:tcPr>
            <w:tcW w:w="867" w:type="dxa"/>
            <w:vAlign w:val="center"/>
          </w:tcPr>
          <w:p w14:paraId="657F7E04">
            <w:pPr>
              <w:widowControl w:val="0"/>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11</w:t>
            </w:r>
          </w:p>
        </w:tc>
        <w:tc>
          <w:tcPr>
            <w:tcW w:w="1566" w:type="dxa"/>
            <w:vAlign w:val="center"/>
          </w:tcPr>
          <w:p w14:paraId="18A82B79">
            <w:pPr>
              <w:widowControl w:val="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学习空间</w:t>
            </w:r>
          </w:p>
        </w:tc>
        <w:tc>
          <w:tcPr>
            <w:tcW w:w="6245" w:type="dxa"/>
          </w:tcPr>
          <w:p w14:paraId="1300852E">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学习、互动、考试等都通过空间完成，教师空间包含所教的课，学生空间包含所学的课。</w:t>
            </w:r>
          </w:p>
          <w:p w14:paraId="6008A6AA">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学习空间至少包含以下APP：</w:t>
            </w:r>
          </w:p>
          <w:p w14:paraId="560E87A1">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1.收件箱</w:t>
            </w:r>
          </w:p>
          <w:p w14:paraId="2CBEFD2A">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可以查收&amp;回复收到的站内信函。信函编辑支持署名设置，支持设定内容模版，可通过选择指定模版进行信函快速编辑。</w:t>
            </w:r>
          </w:p>
          <w:p w14:paraId="7616921C">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2.云盘</w:t>
            </w:r>
          </w:p>
          <w:p w14:paraId="5943A35B">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可以将文件上传至云盘中，随时随地进行下载，并可以在课程建设时引用云盘的资源。支持共享云盘。</w:t>
            </w:r>
          </w:p>
          <w:p w14:paraId="79364818">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▲3.小组</w:t>
            </w:r>
          </w:p>
          <w:p w14:paraId="39E0F7CA">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小组是就某一类话题或兴趣点（例如计算机、电影、电子产品等）跟别人交流的场所。用户可以自己创建小组，可以设定小组名称、介绍、加入的权限，权限包括公开加入、邀请加入、审批加入等。用户可以浏览和发现小组。进入小组后，可以参与小组的讨论，查看小组成员。</w:t>
            </w:r>
          </w:p>
        </w:tc>
      </w:tr>
      <w:tr w14:paraId="595CED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5" w:type="dxa"/>
            <w:vMerge w:val="continue"/>
          </w:tcPr>
          <w:p w14:paraId="1412E435">
            <w:pPr>
              <w:widowControl w:val="0"/>
              <w:rPr>
                <w:rFonts w:hint="eastAsia" w:ascii="仿宋" w:hAnsi="仿宋" w:eastAsia="仿宋" w:cs="仿宋"/>
                <w:sz w:val="24"/>
                <w:szCs w:val="24"/>
                <w:highlight w:val="none"/>
              </w:rPr>
            </w:pPr>
          </w:p>
        </w:tc>
        <w:tc>
          <w:tcPr>
            <w:tcW w:w="867" w:type="dxa"/>
            <w:vAlign w:val="center"/>
          </w:tcPr>
          <w:p w14:paraId="2B911E69">
            <w:pPr>
              <w:widowControl w:val="0"/>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12</w:t>
            </w:r>
          </w:p>
        </w:tc>
        <w:tc>
          <w:tcPr>
            <w:tcW w:w="1566" w:type="dxa"/>
            <w:vAlign w:val="center"/>
          </w:tcPr>
          <w:p w14:paraId="07777D6F">
            <w:pPr>
              <w:widowControl w:val="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网络教学门户网站</w:t>
            </w:r>
          </w:p>
        </w:tc>
        <w:tc>
          <w:tcPr>
            <w:tcW w:w="6245" w:type="dxa"/>
          </w:tcPr>
          <w:p w14:paraId="4CE5B49C">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帮助学校建设个性化门户网站，展示学校精品课程，发布新闻公告，活跃班级信息、名师风采展示等，个性化导航栏可以自定义配置。</w:t>
            </w:r>
          </w:p>
          <w:p w14:paraId="3323C9C7">
            <w:pPr>
              <w:widowControl w:val="0"/>
              <w:numPr>
                <w:ilvl w:val="0"/>
                <w:numId w:val="9"/>
              </w:numPr>
              <w:rPr>
                <w:rFonts w:hint="eastAsia" w:ascii="仿宋" w:hAnsi="仿宋" w:eastAsia="仿宋" w:cs="仿宋"/>
                <w:sz w:val="24"/>
                <w:szCs w:val="24"/>
                <w:highlight w:val="none"/>
              </w:rPr>
            </w:pPr>
            <w:r>
              <w:rPr>
                <w:rFonts w:hint="eastAsia" w:ascii="仿宋" w:hAnsi="仿宋" w:eastAsia="仿宋" w:cs="仿宋"/>
                <w:sz w:val="24"/>
                <w:szCs w:val="24"/>
                <w:highlight w:val="none"/>
              </w:rPr>
              <w:t>PC门户配置功能：页面支持用户自定义模块布局，支持拖拽式调整同一模块内不同栏目的位置，支持用户自定义对页面背景、音乐、主题色及简体或繁体字的转换设置。每一个模块内的数据来源均支持人工培植；可以是外部数据接入，直接复用已有接口，也可以直接从数据中心抽调；</w:t>
            </w:r>
          </w:p>
          <w:p w14:paraId="7B4D5A69">
            <w:pPr>
              <w:widowControl w:val="0"/>
              <w:numPr>
                <w:ilvl w:val="0"/>
                <w:numId w:val="9"/>
              </w:numPr>
              <w:rPr>
                <w:rFonts w:hint="eastAsia" w:ascii="仿宋" w:hAnsi="仿宋" w:eastAsia="仿宋" w:cs="仿宋"/>
                <w:sz w:val="24"/>
                <w:szCs w:val="24"/>
                <w:highlight w:val="none"/>
              </w:rPr>
            </w:pPr>
            <w:r>
              <w:rPr>
                <w:rFonts w:hint="eastAsia" w:ascii="仿宋" w:hAnsi="仿宋" w:eastAsia="仿宋" w:cs="仿宋"/>
                <w:sz w:val="24"/>
                <w:szCs w:val="24"/>
                <w:highlight w:val="none"/>
              </w:rPr>
              <w:t>移动端门户配置：支持系统对移动端APP的门户进行配置，配置操作需要简单明了。模拟手机界面采用可视化拖拽的形式添加如图片、检索、推荐、功能等。并能根据我校不同身份的用户配置不同的移动端APP门户界面。</w:t>
            </w:r>
          </w:p>
        </w:tc>
      </w:tr>
      <w:tr w14:paraId="369DA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5" w:type="dxa"/>
            <w:vMerge w:val="continue"/>
          </w:tcPr>
          <w:p w14:paraId="6DE94A1E">
            <w:pPr>
              <w:widowControl w:val="0"/>
              <w:rPr>
                <w:rFonts w:hint="eastAsia" w:ascii="仿宋" w:hAnsi="仿宋" w:eastAsia="仿宋" w:cs="仿宋"/>
                <w:sz w:val="24"/>
                <w:szCs w:val="24"/>
                <w:highlight w:val="none"/>
              </w:rPr>
            </w:pPr>
          </w:p>
        </w:tc>
        <w:tc>
          <w:tcPr>
            <w:tcW w:w="867" w:type="dxa"/>
            <w:vAlign w:val="center"/>
          </w:tcPr>
          <w:p w14:paraId="79D02E1F">
            <w:pPr>
              <w:widowControl w:val="0"/>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13</w:t>
            </w:r>
          </w:p>
        </w:tc>
        <w:tc>
          <w:tcPr>
            <w:tcW w:w="1566" w:type="dxa"/>
            <w:vAlign w:val="center"/>
          </w:tcPr>
          <w:p w14:paraId="57CC1E98">
            <w:pPr>
              <w:widowControl w:val="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教室端</w:t>
            </w:r>
          </w:p>
        </w:tc>
        <w:tc>
          <w:tcPr>
            <w:tcW w:w="6245" w:type="dxa"/>
          </w:tcPr>
          <w:p w14:paraId="2935D9CC">
            <w:pPr>
              <w:widowControl w:val="0"/>
              <w:numPr>
                <w:ilvl w:val="0"/>
                <w:numId w:val="10"/>
              </w:numPr>
              <w:rPr>
                <w:rFonts w:hint="eastAsia" w:ascii="仿宋" w:hAnsi="仿宋" w:eastAsia="仿宋" w:cs="仿宋"/>
                <w:sz w:val="24"/>
                <w:szCs w:val="24"/>
                <w:highlight w:val="none"/>
              </w:rPr>
            </w:pPr>
            <w:r>
              <w:rPr>
                <w:rFonts w:hint="eastAsia" w:ascii="仿宋" w:hAnsi="仿宋" w:eastAsia="仿宋" w:cs="仿宋"/>
                <w:sz w:val="24"/>
                <w:szCs w:val="24"/>
                <w:highlight w:val="none"/>
              </w:rPr>
              <w:t>支持不借助任何第三方投屏软件进行投屏。不仅包括自有的PPT、课程章节、笔记、专题、图片、文档、课堂活动等，也支持在线搜索平台提供的资料，包括期刊、学术视频、专题等，均可利用手机端一键投屏到教室大屏。投屏PPT、专题时，可以直接在手机终端使用上下翻页，激光笔、聚光灯等功能。</w:t>
            </w:r>
          </w:p>
          <w:p w14:paraId="4097DA16">
            <w:pPr>
              <w:widowControl w:val="0"/>
              <w:numPr>
                <w:ilvl w:val="0"/>
                <w:numId w:val="10"/>
              </w:numPr>
              <w:rPr>
                <w:rFonts w:hint="eastAsia" w:ascii="仿宋" w:hAnsi="仿宋" w:eastAsia="仿宋" w:cs="仿宋"/>
                <w:sz w:val="24"/>
                <w:szCs w:val="24"/>
                <w:highlight w:val="none"/>
              </w:rPr>
            </w:pPr>
            <w:r>
              <w:rPr>
                <w:rFonts w:hint="eastAsia" w:ascii="仿宋" w:hAnsi="仿宋" w:eastAsia="仿宋" w:cs="仿宋"/>
                <w:sz w:val="24"/>
                <w:szCs w:val="24"/>
                <w:highlight w:val="none"/>
              </w:rPr>
              <w:t>▲课程录制：同步课堂授课时，教师的教学过程包括不限于：板书、课件、同步的讲课声音等，课程结束后自动保存到教学平台，供学生复习使用。</w:t>
            </w:r>
          </w:p>
          <w:p w14:paraId="6C31E1DC">
            <w:pPr>
              <w:widowControl w:val="0"/>
              <w:numPr>
                <w:ilvl w:val="0"/>
                <w:numId w:val="10"/>
              </w:numPr>
              <w:rPr>
                <w:rFonts w:hint="eastAsia" w:ascii="仿宋" w:hAnsi="仿宋" w:eastAsia="仿宋" w:cs="仿宋"/>
                <w:sz w:val="24"/>
                <w:szCs w:val="24"/>
                <w:highlight w:val="none"/>
              </w:rPr>
            </w:pPr>
            <w:r>
              <w:rPr>
                <w:rFonts w:hint="eastAsia" w:ascii="仿宋" w:hAnsi="仿宋" w:eastAsia="仿宋" w:cs="仿宋"/>
                <w:sz w:val="24"/>
                <w:szCs w:val="24"/>
                <w:highlight w:val="none"/>
              </w:rPr>
              <w:t>教师轻松通过投屏进行签到、选人、抢答等教学环节，并能直接在投屏上展示结果数据。</w:t>
            </w:r>
          </w:p>
          <w:p w14:paraId="3AF4E7DE">
            <w:pPr>
              <w:widowControl w:val="0"/>
              <w:numPr>
                <w:ilvl w:val="0"/>
                <w:numId w:val="10"/>
              </w:numPr>
              <w:rPr>
                <w:rFonts w:hint="eastAsia" w:ascii="仿宋" w:hAnsi="仿宋" w:eastAsia="仿宋" w:cs="仿宋"/>
                <w:sz w:val="24"/>
                <w:szCs w:val="24"/>
                <w:highlight w:val="none"/>
              </w:rPr>
            </w:pPr>
            <w:r>
              <w:rPr>
                <w:rFonts w:hint="eastAsia" w:ascii="仿宋" w:hAnsi="仿宋" w:eastAsia="仿宋" w:cs="仿宋"/>
                <w:sz w:val="24"/>
                <w:szCs w:val="24"/>
                <w:highlight w:val="none"/>
              </w:rPr>
              <w:t>▲支持强大PPT演示功能，PPT投屏演示保留动画效果，播放流畅。PPT文件来源多种渠道，可以通过电脑端把文件直接发送至移动端，提高资源展示的便捷性。</w:t>
            </w:r>
          </w:p>
          <w:p w14:paraId="6107E639">
            <w:pPr>
              <w:widowControl w:val="0"/>
              <w:numPr>
                <w:ilvl w:val="0"/>
                <w:numId w:val="10"/>
              </w:numPr>
              <w:rPr>
                <w:rFonts w:hint="eastAsia" w:ascii="仿宋" w:hAnsi="仿宋" w:eastAsia="仿宋" w:cs="仿宋"/>
                <w:sz w:val="24"/>
                <w:szCs w:val="24"/>
                <w:highlight w:val="none"/>
              </w:rPr>
            </w:pPr>
            <w:r>
              <w:rPr>
                <w:rFonts w:hint="eastAsia" w:ascii="仿宋" w:hAnsi="仿宋" w:eastAsia="仿宋" w:cs="仿宋"/>
                <w:sz w:val="24"/>
                <w:szCs w:val="24"/>
                <w:highlight w:val="none"/>
              </w:rPr>
              <w:t>投屏过程中，教师使用主题讨论，系统根据所有学生的回答自动分析生产数个关键词语。</w:t>
            </w:r>
          </w:p>
          <w:p w14:paraId="1B710E4C">
            <w:pPr>
              <w:widowControl w:val="0"/>
              <w:numPr>
                <w:ilvl w:val="0"/>
                <w:numId w:val="10"/>
              </w:numPr>
              <w:rPr>
                <w:rFonts w:hint="eastAsia" w:ascii="仿宋" w:hAnsi="仿宋" w:eastAsia="仿宋" w:cs="仿宋"/>
                <w:sz w:val="24"/>
                <w:szCs w:val="24"/>
                <w:highlight w:val="none"/>
              </w:rPr>
            </w:pPr>
            <w:r>
              <w:rPr>
                <w:rFonts w:hint="eastAsia" w:ascii="仿宋" w:hAnsi="仿宋" w:eastAsia="仿宋" w:cs="仿宋"/>
                <w:sz w:val="24"/>
                <w:szCs w:val="24"/>
                <w:highlight w:val="none"/>
              </w:rPr>
              <w:t>教师备课：教师可以在移动端中的活动库中，设置移动教案。按照教学计划，教师可提前在上组织教学内容，有序安排资料推送、签到、问答、抢答、投票等教学活动，方便课堂发放并易于复用。</w:t>
            </w:r>
          </w:p>
          <w:p w14:paraId="7D015CA1">
            <w:pPr>
              <w:widowControl w:val="0"/>
              <w:numPr>
                <w:ilvl w:val="0"/>
                <w:numId w:val="10"/>
              </w:numPr>
              <w:rPr>
                <w:rFonts w:hint="eastAsia" w:ascii="仿宋" w:hAnsi="仿宋" w:eastAsia="仿宋" w:cs="仿宋"/>
                <w:sz w:val="24"/>
                <w:szCs w:val="24"/>
                <w:highlight w:val="none"/>
              </w:rPr>
            </w:pPr>
            <w:r>
              <w:rPr>
                <w:rFonts w:hint="eastAsia" w:ascii="仿宋" w:hAnsi="仿宋" w:eastAsia="仿宋" w:cs="仿宋"/>
                <w:sz w:val="24"/>
                <w:szCs w:val="24"/>
                <w:highlight w:val="none"/>
              </w:rPr>
              <w:t>页面会有“扫码进班”，尚未加入班级的同学，可以通过扫面班级二维码进入班级。</w:t>
            </w:r>
          </w:p>
          <w:p w14:paraId="19F6BE0D">
            <w:pPr>
              <w:widowControl w:val="0"/>
              <w:numPr>
                <w:ilvl w:val="0"/>
                <w:numId w:val="10"/>
              </w:numPr>
              <w:rPr>
                <w:rFonts w:hint="eastAsia" w:ascii="仿宋" w:hAnsi="仿宋" w:eastAsia="仿宋" w:cs="仿宋"/>
                <w:sz w:val="24"/>
                <w:szCs w:val="24"/>
                <w:highlight w:val="none"/>
              </w:rPr>
            </w:pPr>
            <w:r>
              <w:rPr>
                <w:rFonts w:hint="eastAsia" w:ascii="仿宋" w:hAnsi="仿宋" w:eastAsia="仿宋" w:cs="仿宋"/>
                <w:sz w:val="24"/>
                <w:szCs w:val="24"/>
                <w:highlight w:val="none"/>
              </w:rPr>
              <w:t>支持通过手机端投屏功能把课程相关图片、视频资源直接在投屏上展示。</w:t>
            </w:r>
          </w:p>
          <w:p w14:paraId="31C91B59">
            <w:pPr>
              <w:widowControl w:val="0"/>
              <w:numPr>
                <w:ilvl w:val="0"/>
                <w:numId w:val="10"/>
              </w:numPr>
              <w:rPr>
                <w:rFonts w:hint="eastAsia" w:ascii="仿宋" w:hAnsi="仿宋" w:eastAsia="仿宋" w:cs="仿宋"/>
                <w:sz w:val="24"/>
                <w:szCs w:val="24"/>
                <w:highlight w:val="none"/>
              </w:rPr>
            </w:pPr>
            <w:r>
              <w:rPr>
                <w:rFonts w:hint="eastAsia" w:ascii="仿宋" w:hAnsi="仿宋" w:eastAsia="仿宋" w:cs="仿宋"/>
                <w:sz w:val="24"/>
                <w:szCs w:val="24"/>
                <w:highlight w:val="none"/>
              </w:rPr>
              <w:t>PPT 演示提供激光笔、聚光灯、画笔功能。</w:t>
            </w:r>
          </w:p>
          <w:p w14:paraId="026D5DE9">
            <w:pPr>
              <w:widowControl w:val="0"/>
              <w:numPr>
                <w:ilvl w:val="0"/>
                <w:numId w:val="10"/>
              </w:numPr>
              <w:rPr>
                <w:rFonts w:hint="eastAsia" w:ascii="仿宋" w:hAnsi="仿宋" w:eastAsia="仿宋" w:cs="仿宋"/>
                <w:sz w:val="24"/>
                <w:szCs w:val="24"/>
                <w:highlight w:val="none"/>
              </w:rPr>
            </w:pPr>
            <w:r>
              <w:rPr>
                <w:rFonts w:hint="eastAsia" w:ascii="仿宋" w:hAnsi="仿宋" w:eastAsia="仿宋" w:cs="仿宋"/>
                <w:sz w:val="24"/>
                <w:szCs w:val="24"/>
                <w:highlight w:val="none"/>
              </w:rPr>
              <w:t>支持同步课堂，教师可发布同步课堂活动，通过web链接的方式，学生可在不同地点进行课堂同步，并进行上述的课程互动。</w:t>
            </w:r>
          </w:p>
          <w:p w14:paraId="148D9CA8">
            <w:pPr>
              <w:widowControl w:val="0"/>
              <w:numPr>
                <w:ilvl w:val="0"/>
                <w:numId w:val="10"/>
              </w:numPr>
              <w:rPr>
                <w:rFonts w:hint="eastAsia" w:ascii="仿宋" w:hAnsi="仿宋" w:eastAsia="仿宋" w:cs="仿宋"/>
                <w:sz w:val="24"/>
                <w:szCs w:val="24"/>
                <w:highlight w:val="none"/>
              </w:rPr>
            </w:pPr>
            <w:r>
              <w:rPr>
                <w:rFonts w:hint="eastAsia" w:ascii="仿宋" w:hAnsi="仿宋" w:eastAsia="仿宋" w:cs="仿宋"/>
                <w:sz w:val="24"/>
                <w:szCs w:val="24"/>
                <w:highlight w:val="none"/>
              </w:rPr>
              <w:t>支持计时器、白板、学生反馈功能。</w:t>
            </w:r>
          </w:p>
          <w:p w14:paraId="077D3079">
            <w:pPr>
              <w:widowControl w:val="0"/>
              <w:numPr>
                <w:ilvl w:val="0"/>
                <w:numId w:val="10"/>
              </w:numPr>
              <w:rPr>
                <w:rFonts w:hint="eastAsia" w:ascii="仿宋" w:hAnsi="仿宋" w:eastAsia="仿宋" w:cs="仿宋"/>
                <w:sz w:val="24"/>
                <w:szCs w:val="24"/>
                <w:highlight w:val="none"/>
              </w:rPr>
            </w:pPr>
            <w:r>
              <w:rPr>
                <w:rFonts w:hint="eastAsia" w:ascii="仿宋" w:hAnsi="仿宋" w:eastAsia="仿宋" w:cs="仿宋"/>
                <w:sz w:val="24"/>
                <w:szCs w:val="24"/>
                <w:highlight w:val="none"/>
              </w:rPr>
              <w:t>支持找资料功能，课堂上可随时检索添加系统自带的专题、学术视频、期刊等资源，并进行投屏展示。</w:t>
            </w:r>
          </w:p>
          <w:p w14:paraId="32A3855F">
            <w:pPr>
              <w:widowControl w:val="0"/>
              <w:numPr>
                <w:ilvl w:val="0"/>
                <w:numId w:val="10"/>
              </w:numPr>
              <w:rPr>
                <w:rFonts w:hint="eastAsia" w:ascii="仿宋" w:hAnsi="仿宋" w:eastAsia="仿宋" w:cs="仿宋"/>
                <w:sz w:val="24"/>
                <w:szCs w:val="24"/>
                <w:highlight w:val="none"/>
              </w:rPr>
            </w:pPr>
            <w:r>
              <w:rPr>
                <w:rFonts w:hint="eastAsia" w:ascii="仿宋" w:hAnsi="仿宋" w:eastAsia="仿宋" w:cs="仿宋"/>
                <w:sz w:val="24"/>
                <w:szCs w:val="24"/>
                <w:highlight w:val="none"/>
              </w:rPr>
              <w:t>支持通过电脑端直接发放签到、选人、抢答、投票、讨论等课堂互动，电脑端也可直接调用课程章节、资料、云盘的教学资源。</w:t>
            </w:r>
          </w:p>
          <w:p w14:paraId="7923B3A1">
            <w:pPr>
              <w:widowControl w:val="0"/>
              <w:numPr>
                <w:ilvl w:val="0"/>
                <w:numId w:val="10"/>
              </w:numPr>
              <w:rPr>
                <w:rFonts w:hint="eastAsia" w:ascii="仿宋" w:hAnsi="仿宋" w:eastAsia="仿宋" w:cs="仿宋"/>
                <w:sz w:val="24"/>
                <w:szCs w:val="24"/>
                <w:highlight w:val="none"/>
              </w:rPr>
            </w:pPr>
            <w:r>
              <w:rPr>
                <w:rFonts w:hint="eastAsia" w:ascii="仿宋" w:hAnsi="仿宋" w:eastAsia="仿宋" w:cs="仿宋"/>
                <w:sz w:val="24"/>
                <w:szCs w:val="24"/>
                <w:highlight w:val="none"/>
              </w:rPr>
              <w:t>投屏支持分屏操作，支持PPT与活动内容分屏展示。</w:t>
            </w:r>
          </w:p>
          <w:p w14:paraId="61F40A2E">
            <w:pPr>
              <w:widowControl w:val="0"/>
              <w:numPr>
                <w:ilvl w:val="0"/>
                <w:numId w:val="10"/>
              </w:numPr>
              <w:rPr>
                <w:rFonts w:hint="eastAsia" w:ascii="仿宋" w:hAnsi="仿宋" w:eastAsia="仿宋" w:cs="仿宋"/>
                <w:sz w:val="24"/>
                <w:szCs w:val="24"/>
                <w:highlight w:val="none"/>
              </w:rPr>
            </w:pPr>
            <w:r>
              <w:rPr>
                <w:rFonts w:hint="eastAsia" w:ascii="仿宋" w:hAnsi="仿宋" w:eastAsia="仿宋" w:cs="仿宋"/>
                <w:sz w:val="24"/>
                <w:szCs w:val="24"/>
                <w:highlight w:val="none"/>
              </w:rPr>
              <w:t>课堂互动功能即可在电脑上编辑ppt下的活动及发起课堂互动，也可以在手机端发起，两端同步互联。</w:t>
            </w:r>
          </w:p>
        </w:tc>
      </w:tr>
      <w:tr w14:paraId="279BC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5" w:type="dxa"/>
            <w:vMerge w:val="continue"/>
          </w:tcPr>
          <w:p w14:paraId="39AB9499">
            <w:pPr>
              <w:widowControl w:val="0"/>
              <w:rPr>
                <w:rFonts w:hint="eastAsia" w:ascii="仿宋" w:hAnsi="仿宋" w:eastAsia="仿宋" w:cs="仿宋"/>
                <w:sz w:val="24"/>
                <w:szCs w:val="24"/>
                <w:highlight w:val="none"/>
              </w:rPr>
            </w:pPr>
          </w:p>
        </w:tc>
        <w:tc>
          <w:tcPr>
            <w:tcW w:w="867" w:type="dxa"/>
            <w:vAlign w:val="center"/>
          </w:tcPr>
          <w:p w14:paraId="33CE117C">
            <w:pPr>
              <w:widowControl w:val="0"/>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14</w:t>
            </w:r>
          </w:p>
        </w:tc>
        <w:tc>
          <w:tcPr>
            <w:tcW w:w="1566" w:type="dxa"/>
            <w:vAlign w:val="center"/>
          </w:tcPr>
          <w:p w14:paraId="6EED453D">
            <w:pPr>
              <w:widowControl w:val="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移动端</w:t>
            </w:r>
          </w:p>
        </w:tc>
        <w:tc>
          <w:tcPr>
            <w:tcW w:w="6245" w:type="dxa"/>
          </w:tcPr>
          <w:p w14:paraId="145F625D">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1.具有移动客户端，支持iOS和Android操作系统，用于手机、Pad等智能移动终端中，实现在线移动学习。</w:t>
            </w:r>
          </w:p>
          <w:p w14:paraId="5A173640">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2.PC端与移动端的学习进度保持同步，学生在任何终端上，都可以实现学习记录的持续性，系统也可对任何终端的学习行为进行监控。</w:t>
            </w:r>
          </w:p>
          <w:p w14:paraId="449A78EA">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3.按照教学计划，可在移动端组织教学内容，有序安排资料推送、签到、问答、抢答、投票等教学活动，可实现互动内容课堂发放并复用。</w:t>
            </w:r>
          </w:p>
          <w:p w14:paraId="100C7D4C">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▲4.教师可以发布课堂签到，学生直接用手机通过扫描二维码、或输入教师分享的邀请码等方式进行签到，显示距离发起者的签到距离。                             </w:t>
            </w:r>
          </w:p>
          <w:p w14:paraId="0315D7AF">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5.教师可以在课堂上发布问题，通过抢答进行提问，学生同时在手机收到抢答请求进行抢答。</w:t>
            </w:r>
          </w:p>
          <w:p w14:paraId="54D378AA">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6.教师可通过随机选人功能选择学生回答问题，并可以将选择结果投屏显示。                 </w:t>
            </w:r>
          </w:p>
          <w:p w14:paraId="0E7DBDF7">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7.教师可以在课堂上实时发布</w:t>
            </w:r>
            <w:r>
              <w:rPr>
                <w:rFonts w:hint="eastAsia" w:ascii="仿宋" w:hAnsi="仿宋" w:eastAsia="仿宋" w:cs="仿宋"/>
                <w:sz w:val="24"/>
                <w:szCs w:val="24"/>
                <w:highlight w:val="none"/>
                <w:lang w:val="en-US" w:eastAsia="zh-CN"/>
              </w:rPr>
              <w:t>课程微评</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学生能进行评价。</w:t>
            </w:r>
            <w:r>
              <w:rPr>
                <w:rFonts w:hint="eastAsia" w:ascii="仿宋" w:hAnsi="仿宋" w:eastAsia="仿宋" w:cs="仿宋"/>
                <w:sz w:val="24"/>
                <w:szCs w:val="24"/>
                <w:highlight w:val="none"/>
              </w:rPr>
              <w:t xml:space="preserve">             </w:t>
            </w:r>
          </w:p>
          <w:p w14:paraId="096121DD">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8.课堂结束后，可以将所有课堂上发布的控件进行记录，生成课堂历史记录。能实时查看任一活动的详细参与情况。 </w:t>
            </w:r>
          </w:p>
          <w:p w14:paraId="60725919">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▲9.可基于课程形成师生互动交流群，实时进行即时通讯，进行讨论与交流。                 </w:t>
            </w:r>
          </w:p>
          <w:p w14:paraId="2BD54CE3">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10.教师可以编辑问答题并可将题目发布到学生端，学生可以回答问题并提交，教师可以实时查看学生提交结果。 </w:t>
            </w:r>
          </w:p>
          <w:p w14:paraId="7DF41511">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11.教师和学生可以开展话题讨论，利用发帖形式进行小组话题交流。                   </w:t>
            </w:r>
          </w:p>
          <w:p w14:paraId="370447AB">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12.教师在课前对资料进行云盘存储，课堂上可以利用云盘功能选择和自己课程相关的资料进行资料推送，推送完成后参与教学的学生和教师都可以查看资料的详细内容。</w:t>
            </w:r>
          </w:p>
          <w:p w14:paraId="6A6D2581">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13.学生在移动端进行视频学习时，系统自动记录所有学习行为，完成视频学习任务点后系统自动同步学习记录与PC端相同。同时将视频学习成绩计算后加入综合成绩中。</w:t>
            </w:r>
          </w:p>
          <w:p w14:paraId="16A117D6">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14.学生通过移动端作业功能可以查看作业列表，作业列表支持标示待做作业和已完成、已过期作业展示。学生可以通过本功能支持待做作业在移动端完成。支持产看已完成作业的批阅状态和最后得分，支持查看作业答案。</w:t>
            </w:r>
          </w:p>
          <w:p w14:paraId="235BBB18">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15.教师可以通过手机在课程中发布考试试卷和查看考试分项统计结果，学生同样可以通过移动端进行在线考试和查看考试信息。</w:t>
            </w:r>
          </w:p>
          <w:p w14:paraId="31661550">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16.学生的课堂签到情况、课堂表现等都以积分形式形成评价，可转换为平时成绩；在线课程的学习同时记录作业成绩、考试成绩、按照老师设计的成绩权重给出综合评价。</w:t>
            </w:r>
          </w:p>
          <w:p w14:paraId="71594BAA">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17.可以阅读本校师生制作的专题等资源，可以订阅到自己的空间，并进行分类管理；可以对所有精彩的内容进行分享。</w:t>
            </w:r>
          </w:p>
          <w:p w14:paraId="074D6A89">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18.可以按照组织架构建立通讯录，可查看组织内所有人的联系方式。</w:t>
            </w:r>
          </w:p>
          <w:p w14:paraId="3CE2F39A">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19.可以在移动客户端选择给指定的人发送通知，并统计已读和未读名单。并与pc端无缝对接。针对未读通知，支持短信提醒、电话提醒、微信提醒等提醒方式。</w:t>
            </w:r>
          </w:p>
          <w:p w14:paraId="3C4E4C6F">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20.支持手机端、电脑端发起视频直播，学生可以通过手机观看直播并留言。</w:t>
            </w:r>
          </w:p>
          <w:p w14:paraId="52861A5E">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21.投屏教学：用户只需要打开网页，输入指定网页，就可以直接利用手机进行投屏课堂教学，投屏教学包含签到、抢答、问卷、讨论、选人、测验等教学活动投屏，并能直接在投屏上展示结果数据。</w:t>
            </w:r>
          </w:p>
          <w:p w14:paraId="514085E8">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22.支持强大PPT演示功能，PPT投屏演示保留动画效果，播放流畅。支持PPT投屏及课堂互动功能，PPT投屏演示保留动画效果，播放流畅，在投屏演示时随时可发起签到、投票、测验、抢答、选人、讨论、测验、问卷等多种课堂活动，活动内容可大屏显示。PPT文件来源多种渠道，可以通过电脑端把文件直接发送至移动端，提高资源展示的便捷性。</w:t>
            </w:r>
          </w:p>
          <w:p w14:paraId="6DA75579">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23.PPT投屏功能需要支持激光笔功能和聚光灯功能，激光笔功能支持在手机上提供激光笔功能，并通过该功能对投屏PPT进行激光指引。聚光灯功能支持对投屏PPT进行聚光展示。</w:t>
            </w:r>
          </w:p>
          <w:p w14:paraId="5875FA9E">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24.课堂结束后，即生成课堂报告，包括课堂互动的所有详情记录及学生的课堂表现积分情况。</w:t>
            </w:r>
          </w:p>
          <w:p w14:paraId="084075CE">
            <w:pPr>
              <w:widowControl w:val="0"/>
              <w:numPr>
                <w:ilvl w:val="-1"/>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rPr>
              <w:t>★25.可以创建班级空间，支持学生扫码加入，同时在班级空间内发起课堂互动，关联课程内容。</w:t>
            </w:r>
          </w:p>
        </w:tc>
      </w:tr>
      <w:tr w14:paraId="29C102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5" w:type="dxa"/>
            <w:vMerge w:val="continue"/>
          </w:tcPr>
          <w:p w14:paraId="423C90A3">
            <w:pPr>
              <w:widowControl w:val="0"/>
              <w:rPr>
                <w:rFonts w:hint="eastAsia" w:ascii="仿宋" w:hAnsi="仿宋" w:eastAsia="仿宋" w:cs="仿宋"/>
                <w:sz w:val="24"/>
                <w:szCs w:val="24"/>
                <w:highlight w:val="none"/>
              </w:rPr>
            </w:pPr>
          </w:p>
        </w:tc>
        <w:tc>
          <w:tcPr>
            <w:tcW w:w="867" w:type="dxa"/>
            <w:vAlign w:val="center"/>
          </w:tcPr>
          <w:p w14:paraId="4EFDFB67">
            <w:pPr>
              <w:widowControl w:val="0"/>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15</w:t>
            </w:r>
          </w:p>
        </w:tc>
        <w:tc>
          <w:tcPr>
            <w:tcW w:w="1566" w:type="dxa"/>
            <w:vAlign w:val="center"/>
          </w:tcPr>
          <w:p w14:paraId="795F89FB">
            <w:pPr>
              <w:widowControl w:val="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教学大数据</w:t>
            </w:r>
          </w:p>
        </w:tc>
        <w:tc>
          <w:tcPr>
            <w:tcW w:w="6245" w:type="dxa"/>
          </w:tcPr>
          <w:p w14:paraId="4974C0A9">
            <w:pPr>
              <w:widowControl w:val="0"/>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1.教学大数据分析平台——PC端可视化分析系统</w:t>
            </w:r>
          </w:p>
          <w:p w14:paraId="58FB4C8E">
            <w:pPr>
              <w:widowControl w:val="0"/>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(1)综合数据</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包括</w:t>
            </w:r>
            <w:r>
              <w:rPr>
                <w:rFonts w:hint="eastAsia" w:ascii="仿宋" w:hAnsi="仿宋" w:eastAsia="仿宋" w:cs="仿宋"/>
                <w:sz w:val="24"/>
                <w:szCs w:val="24"/>
                <w:highlight w:val="none"/>
              </w:rPr>
              <w:t>整体数据概况</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活跃课程</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今日动态</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行为分析</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学生到课情况</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资源建设情况</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院系运行情况</w:t>
            </w:r>
            <w:r>
              <w:rPr>
                <w:rFonts w:hint="eastAsia" w:ascii="仿宋" w:hAnsi="仿宋" w:eastAsia="仿宋" w:cs="仿宋"/>
                <w:sz w:val="24"/>
                <w:szCs w:val="24"/>
                <w:highlight w:val="none"/>
                <w:lang w:val="en-US" w:eastAsia="zh-CN"/>
              </w:rPr>
              <w:t>等。</w:t>
            </w:r>
          </w:p>
          <w:p w14:paraId="11CBD194">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a</w:t>
            </w:r>
            <w:r>
              <w:rPr>
                <w:rFonts w:hint="eastAsia" w:ascii="仿宋" w:hAnsi="仿宋" w:eastAsia="仿宋" w:cs="仿宋"/>
                <w:sz w:val="24"/>
                <w:szCs w:val="24"/>
                <w:highlight w:val="none"/>
              </w:rPr>
              <w:t>.访问量教师榜、访问量学生榜、访问量课程榜。</w:t>
            </w:r>
          </w:p>
          <w:p w14:paraId="4302AB4E">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b</w:t>
            </w:r>
            <w:r>
              <w:rPr>
                <w:rFonts w:hint="eastAsia" w:ascii="仿宋" w:hAnsi="仿宋" w:eastAsia="仿宋" w:cs="仿宋"/>
                <w:sz w:val="24"/>
                <w:szCs w:val="24"/>
                <w:highlight w:val="none"/>
              </w:rPr>
              <w:t>.分析平台支持过滤教学平台隐藏的院系，即教学平台设置隐藏"课程数据统计"的院系。</w:t>
            </w:r>
          </w:p>
          <w:p w14:paraId="2940D4BB">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(2)师生活跃</w:t>
            </w:r>
          </w:p>
          <w:p w14:paraId="629F1B9F">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A.数据概览：总活动数、教师活动数、学生活动数。</w:t>
            </w:r>
          </w:p>
          <w:p w14:paraId="2E0BEC91">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B.活动数变化趋势：展示教师活动数变化趋势、学生活动数变化趋势。</w:t>
            </w:r>
          </w:p>
          <w:p w14:paraId="55CFEF63">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C.活动类型分布：展示教师、学生的活动类型分布情况。</w:t>
            </w:r>
          </w:p>
          <w:p w14:paraId="77878974">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D.各院系师生活动数排名：展示各院系师生活动数排名对比。</w:t>
            </w:r>
          </w:p>
          <w:p w14:paraId="77950876">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E.平台终端使用情况：展示平台各类型终端访问次数及占比情况、各类型终端的访问次数变化趋势。</w:t>
            </w:r>
          </w:p>
          <w:p w14:paraId="6CC904FD">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F.活动数TOP100教师榜、活动数TOP100学生榜。</w:t>
            </w:r>
          </w:p>
          <w:p w14:paraId="16BD6BB5">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G.师生活动日志：支持以时间维度、角色维度、活动类型维度、院系维度筛选，展示师生活动时间趋势以及详细活动数据（操作时间、活动类型、操作IP、IP地址、使用设备）。</w:t>
            </w:r>
          </w:p>
          <w:p w14:paraId="2E3D8FA6">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(3)课程数据</w:t>
            </w:r>
          </w:p>
          <w:p w14:paraId="5D774E70">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A.数据概览</w:t>
            </w:r>
          </w:p>
          <w:p w14:paraId="283BA130">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新建课程门数、活跃课程门数、运行班次。</w:t>
            </w:r>
          </w:p>
          <w:p w14:paraId="2892EF9D">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B.各院系课程数量排行</w:t>
            </w:r>
          </w:p>
          <w:p w14:paraId="4FFCE808">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新建课程门数、自建课程运行、活跃课程门数可视化分析，以柱形图形式展示各院系课程数量及排名对比情况。</w:t>
            </w:r>
          </w:p>
          <w:p w14:paraId="447FF010">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C.课程趋势</w:t>
            </w:r>
          </w:p>
          <w:p w14:paraId="1FED1316">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新建课程门数、自建课程运行、活跃课程门数可视化分析，以趋势图形式展示课程运行的变化趋势。</w:t>
            </w:r>
          </w:p>
          <w:p w14:paraId="18CCB5DA">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▲D.课程建设情况</w:t>
            </w:r>
          </w:p>
          <w:p w14:paraId="66CE7F7A">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统计所选院系的课程建设总体情况，包括创建试卷数、创建作业数、创建题目数、创建章节总数；以院系维度展示各院系课程建设情况排行；以课程维度展示各课程建设情况排名，可按总数、创建章节总数、创建题目数、创建作业数、创建试卷数进行排名。</w:t>
            </w:r>
          </w:p>
          <w:p w14:paraId="36411F8A">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E.活跃课程TOP100</w:t>
            </w:r>
          </w:p>
          <w:p w14:paraId="64B753CA">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展示课程活跃度前100名，可查看、导出活跃课程详情数据。</w:t>
            </w:r>
          </w:p>
          <w:p w14:paraId="0283F9BC">
            <w:pPr>
              <w:widowControl w:val="0"/>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F.</w:t>
            </w:r>
            <w:r>
              <w:rPr>
                <w:rFonts w:hint="eastAsia" w:ascii="仿宋" w:hAnsi="仿宋" w:eastAsia="仿宋" w:cs="仿宋"/>
                <w:sz w:val="24"/>
                <w:szCs w:val="24"/>
                <w:highlight w:val="none"/>
                <w:lang w:val="en-US" w:eastAsia="zh-CN"/>
              </w:rPr>
              <w:t>.在线督导</w:t>
            </w:r>
          </w:p>
          <w:p w14:paraId="1D538A0B">
            <w:pPr>
              <w:pStyle w:val="13"/>
              <w:widowControl w:val="0"/>
              <w:numPr>
                <w:ilvl w:val="-1"/>
                <w:numId w:val="0"/>
              </w:numPr>
              <w:spacing w:line="240" w:lineRule="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线上考察某一课程的教师教学和学生学习情况，筛选今日在线课程、今日直播课程、点击进入该课程的旁听，查看该课程的基础信息、发布的班级任务、该课程具体的学员学习情况、该课程的操作日志、方便管理者随时进入旁听，掌握该课程的进行情况。</w:t>
            </w:r>
          </w:p>
          <w:p w14:paraId="01FDB0DF">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(4)教学运行</w:t>
            </w:r>
          </w:p>
          <w:p w14:paraId="3FA3770E">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在教师教学数据当中分为五个板块：任务点/章节测验、作业/考试、课堂活动、互动讨论、教师教学数据。</w:t>
            </w:r>
          </w:p>
          <w:p w14:paraId="7F7215DB">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★比如：</w:t>
            </w:r>
            <w:r>
              <w:rPr>
                <w:rFonts w:hint="eastAsia" w:ascii="仿宋" w:hAnsi="仿宋" w:eastAsia="仿宋" w:cs="仿宋"/>
                <w:sz w:val="24"/>
                <w:szCs w:val="24"/>
                <w:highlight w:val="none"/>
              </w:rPr>
              <w:t>教师教学数据</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可按教师、按课程两种维度，按学期、按日、按周、按月四种时间维度查看教学数据。</w:t>
            </w:r>
          </w:p>
          <w:p w14:paraId="0D909751">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A.数据概览</w:t>
            </w:r>
          </w:p>
          <w:p w14:paraId="085EB669">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上线教师人数、资源上传量、在线总时长。</w:t>
            </w:r>
          </w:p>
          <w:p w14:paraId="48BD6F10">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B.教学数据具体包括</w:t>
            </w:r>
          </w:p>
          <w:p w14:paraId="609330AE">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访问量、在线时长、上传图片等资源建设数据、发签到等活动数据，以及新增积分。</w:t>
            </w:r>
          </w:p>
          <w:p w14:paraId="4B016254">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C.积分设置</w:t>
            </w:r>
          </w:p>
          <w:p w14:paraId="13741281">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可自定义查看项及积分规则。</w:t>
            </w:r>
          </w:p>
          <w:p w14:paraId="464B622E">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(5)学情分析</w:t>
            </w:r>
          </w:p>
          <w:p w14:paraId="151DA9C0">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(5.1)任务点分析</w:t>
            </w:r>
          </w:p>
          <w:p w14:paraId="4AE5114E">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A.任务点完成情况</w:t>
            </w:r>
          </w:p>
          <w:p w14:paraId="2CFD47C1">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以趋势图的形式展示任务点完成数的变化趋势；按院系维度，以柱状图形式展示各院系的任务点完成数及排行情况；按课程维度，以柱状图形式展示各课程的任务点完成数及排行情况。</w:t>
            </w:r>
          </w:p>
          <w:p w14:paraId="08814514">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B</w:t>
            </w:r>
            <w:r>
              <w:rPr>
                <w:rFonts w:hint="eastAsia" w:ascii="仿宋" w:hAnsi="仿宋" w:eastAsia="仿宋" w:cs="仿宋"/>
                <w:sz w:val="24"/>
                <w:szCs w:val="24"/>
                <w:highlight w:val="none"/>
              </w:rPr>
              <w:t>.任务点完成数TOP100学生、任务点完成数TOP100课程。</w:t>
            </w:r>
          </w:p>
          <w:p w14:paraId="600F5606">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(5.2)章节测验分析</w:t>
            </w:r>
          </w:p>
          <w:p w14:paraId="42462929">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A.数据概览</w:t>
            </w:r>
          </w:p>
          <w:p w14:paraId="6089835A">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章节测验已完成人次、章节测验平均分、章节测验及格率、章节测验优良率。</w:t>
            </w:r>
          </w:p>
          <w:p w14:paraId="75B4713F">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B.章节测验完成情况</w:t>
            </w:r>
          </w:p>
          <w:p w14:paraId="36B27EED">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以趋势图的形式展示章节测验完成数的变化趋势；按院系维度，以柱状图形式展示各院系的章节测验完成数及排行情况；按课程维度，以柱状图形式展示各课程的章节测验完成数及排行情况。</w:t>
            </w:r>
          </w:p>
          <w:p w14:paraId="4B0BE7DC">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D.章节测验成绩情况</w:t>
            </w:r>
          </w:p>
          <w:p w14:paraId="5969B6C1">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以柱形图的形式展示各分数区间学生人数分布情况；按院系维度，以柱形图形式展示各院系的章节测验平均分及排行情况；按课程维度，以柱形图形式展示各课程的章节测验平均分及排行情况任务点完成数章</w:t>
            </w:r>
          </w:p>
          <w:p w14:paraId="71D09BCD">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E.节测验完成TOP100学生、章节测验成绩TOP100。</w:t>
            </w:r>
          </w:p>
          <w:p w14:paraId="6D66FF70">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(5.3)课堂活动分析</w:t>
            </w:r>
          </w:p>
          <w:p w14:paraId="008D8479">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A.课堂活动参与情况</w:t>
            </w:r>
          </w:p>
          <w:p w14:paraId="4CFEFAC1">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以饼状图形式展示各类型课堂活动的数量；以趋势图的形式展示课堂活动参与数的变化趋势。</w:t>
            </w:r>
          </w:p>
          <w:p w14:paraId="27E5E172">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B</w:t>
            </w:r>
            <w:r>
              <w:rPr>
                <w:rFonts w:hint="eastAsia" w:ascii="仿宋" w:hAnsi="仿宋" w:eastAsia="仿宋" w:cs="仿宋"/>
                <w:sz w:val="24"/>
                <w:szCs w:val="24"/>
                <w:highlight w:val="none"/>
              </w:rPr>
              <w:t>.课堂活动参与排行</w:t>
            </w:r>
          </w:p>
          <w:p w14:paraId="24D354A3">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按院系维度，以柱状图形式展示各院系各类型课堂活动发布数及排行情况。</w:t>
            </w:r>
          </w:p>
          <w:p w14:paraId="05510E7F">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C</w:t>
            </w:r>
            <w:r>
              <w:rPr>
                <w:rFonts w:hint="eastAsia" w:ascii="仿宋" w:hAnsi="仿宋" w:eastAsia="仿宋" w:cs="仿宋"/>
                <w:sz w:val="24"/>
                <w:szCs w:val="24"/>
                <w:highlight w:val="none"/>
              </w:rPr>
              <w:t>.课堂活动TOP100课程、课堂活动TOP100班级。</w:t>
            </w:r>
          </w:p>
          <w:p w14:paraId="491A1ED8">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(5.4)作业分析</w:t>
            </w:r>
          </w:p>
          <w:p w14:paraId="1A39D7BF">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A.数据概况</w:t>
            </w:r>
          </w:p>
          <w:p w14:paraId="15B2D69E">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作业已完成人次、作业应完成人次、作业平均分、作业及格率、作业优良率。</w:t>
            </w:r>
          </w:p>
          <w:p w14:paraId="631D4F81">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B.作业完成情况</w:t>
            </w:r>
          </w:p>
          <w:p w14:paraId="331918A0">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以趋势图形式展示作业完成人次的变化趋势；按院系维度，以柱状图形式展示各院系的作业完成人次及排行情况；按课程维度，以柱状图形式展示各课程的作业完成人次及排行情况。</w:t>
            </w:r>
          </w:p>
          <w:p w14:paraId="23657D63">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C.作业成绩情况</w:t>
            </w:r>
          </w:p>
          <w:p w14:paraId="6ADF9B0C">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以柱形图的形式展示各分数区间学生人数分布情况；按院系维度，以柱形图形式展示各院系的作业平均分及排行情况；按课程维度，以柱形图形式展示各课程的作业平均分及排行情况。</w:t>
            </w:r>
          </w:p>
          <w:p w14:paraId="19F07CB7">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D.作业完成TOP100学生、作业成绩TOP100学生。</w:t>
            </w:r>
          </w:p>
          <w:p w14:paraId="6FB0AA99">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(5.5)考试分析</w:t>
            </w:r>
          </w:p>
          <w:p w14:paraId="53AA4B62">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A.数据概况</w:t>
            </w:r>
          </w:p>
          <w:p w14:paraId="6BA92198">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考试已完成人次、考试应完成人次、考试平均分、考试及格率、考试优良率。</w:t>
            </w:r>
          </w:p>
          <w:p w14:paraId="7618DEEE">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B.考试完成情况</w:t>
            </w:r>
          </w:p>
          <w:p w14:paraId="6E272247">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以趋势图形式展示考试完成人次的变化趋势；按院系维度，以柱状图形式展示各院系的考试完成人次及排行情况；按课程维度，以柱状图形式展示各课程的考试完成人次及排行情况。</w:t>
            </w:r>
          </w:p>
          <w:p w14:paraId="08DA63DF">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C.考试成绩情况</w:t>
            </w:r>
          </w:p>
          <w:p w14:paraId="047AADBD">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以柱形图的形式展示各分数区间学生人数分布情况；按院系维度，以柱形图形式展示各院系的考试平均分及排行情况；按课程维度，以柱形图形式展示各课程的考试平均分及排行情况。</w:t>
            </w:r>
          </w:p>
          <w:p w14:paraId="1FD3ADF3">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D.考试完成TOP100学生、考试成绩TOP100学生。</w:t>
            </w:r>
          </w:p>
          <w:p w14:paraId="152662C2">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(5.6)互动讨论分析</w:t>
            </w:r>
          </w:p>
          <w:p w14:paraId="271E7A7F">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A.互动讨论趋势</w:t>
            </w:r>
          </w:p>
          <w:p w14:paraId="23E16221">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以趋势图形式展示互动讨论数的变化趋势。</w:t>
            </w:r>
          </w:p>
          <w:p w14:paraId="5078E9EF">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B</w:t>
            </w:r>
            <w:r>
              <w:rPr>
                <w:rFonts w:hint="eastAsia" w:ascii="仿宋" w:hAnsi="仿宋" w:eastAsia="仿宋" w:cs="仿宋"/>
                <w:sz w:val="24"/>
                <w:szCs w:val="24"/>
                <w:highlight w:val="none"/>
              </w:rPr>
              <w:t>.互动讨论排行情况</w:t>
            </w:r>
          </w:p>
          <w:p w14:paraId="2E122F09">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按院系维度，以柱状图的形式展示各院系的发帖数、回帖数及排行情况；按教学班维度，以柱状图的形式展示各教学班的发帖数、回帖数及排行情况。</w:t>
            </w:r>
          </w:p>
          <w:p w14:paraId="68E12409">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C</w:t>
            </w:r>
            <w:r>
              <w:rPr>
                <w:rFonts w:hint="eastAsia" w:ascii="仿宋" w:hAnsi="仿宋" w:eastAsia="仿宋" w:cs="仿宋"/>
                <w:sz w:val="24"/>
                <w:szCs w:val="24"/>
                <w:highlight w:val="none"/>
              </w:rPr>
              <w:t>.学生发帖数TOP100、学生回帖数TOP100。</w:t>
            </w:r>
          </w:p>
          <w:p w14:paraId="3DBBF476">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(5.7)过程考核分析</w:t>
            </w:r>
          </w:p>
          <w:p w14:paraId="61BCBCF2">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以柱状图的形式展示各分数区间学生人数分布情况；按院系维度，以柱形图形式展示各院系的过程考核平均分及排行情况；按课程维度，以柱形图形式展示各课程的过程考核平均分及排行情况。</w:t>
            </w:r>
          </w:p>
          <w:p w14:paraId="6A0E1E4D">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(5.8)基础数据</w:t>
            </w:r>
          </w:p>
          <w:p w14:paraId="1F953DEC">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按院系、课程、学生、教师四个维度查看学生的任务点已完成人次、章节测验已完成人次、参与课堂活动数、作业应完成人次、作业已完成人次、考试应完成人次、考试已完成人次等学生参与课程学习数据。</w:t>
            </w:r>
          </w:p>
          <w:p w14:paraId="362A131A">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(6)出勤分析</w:t>
            </w:r>
          </w:p>
          <w:p w14:paraId="2E7596CB">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展示</w:t>
            </w:r>
            <w:r>
              <w:rPr>
                <w:rFonts w:hint="eastAsia" w:ascii="仿宋" w:hAnsi="仿宋" w:eastAsia="仿宋" w:cs="仿宋"/>
                <w:sz w:val="24"/>
                <w:szCs w:val="24"/>
                <w:highlight w:val="none"/>
              </w:rPr>
              <w:t>全校平均到课率 学生应签到总数、完成签到人次</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学生整体出勤情况</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今日上课班级出勤率</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各院系学生出勤率排行</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院系学生签到异常监测</w:t>
            </w:r>
            <w:r>
              <w:rPr>
                <w:rFonts w:hint="eastAsia" w:ascii="仿宋" w:hAnsi="仿宋" w:eastAsia="仿宋" w:cs="仿宋"/>
                <w:sz w:val="24"/>
                <w:szCs w:val="24"/>
                <w:highlight w:val="none"/>
                <w:lang w:val="en-US" w:eastAsia="zh-CN"/>
              </w:rPr>
              <w:t>等。</w:t>
            </w:r>
          </w:p>
          <w:p w14:paraId="54AA5D22">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(7)资源建设</w:t>
            </w:r>
          </w:p>
          <w:p w14:paraId="3C1F7A8B">
            <w:pPr>
              <w:widowControl w:val="0"/>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▲展示</w:t>
            </w:r>
            <w:r>
              <w:rPr>
                <w:rFonts w:hint="eastAsia" w:ascii="仿宋" w:hAnsi="仿宋" w:eastAsia="仿宋" w:cs="仿宋"/>
                <w:sz w:val="24"/>
                <w:szCs w:val="24"/>
                <w:highlight w:val="none"/>
              </w:rPr>
              <w:t>上传资源总量、创建题目数、创建作业数、创建试卷数</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资源上传趋势图</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各类型资源上传量</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各类型题目创建量</w:t>
            </w:r>
            <w:r>
              <w:rPr>
                <w:rFonts w:hint="eastAsia" w:ascii="仿宋" w:hAnsi="仿宋" w:eastAsia="仿宋" w:cs="仿宋"/>
                <w:sz w:val="24"/>
                <w:szCs w:val="24"/>
                <w:highlight w:val="none"/>
                <w:lang w:val="en-US" w:eastAsia="zh-CN"/>
              </w:rPr>
              <w:t>等。</w:t>
            </w:r>
          </w:p>
          <w:p w14:paraId="501846F4">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(8)用户画像</w:t>
            </w:r>
          </w:p>
          <w:p w14:paraId="528D930B">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(8.1)全校画像</w:t>
            </w:r>
          </w:p>
          <w:p w14:paraId="01867606">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以教师、学生、课程三个维度，展示全校整体数据，把标准抽象的画像用图表和标签展示，把数据具体化，把各个数据量清晰的展示出来，进而反映出全校的整体情况。</w:t>
            </w:r>
          </w:p>
          <w:p w14:paraId="5590C7DD">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(8.2)院系画像</w:t>
            </w:r>
          </w:p>
          <w:p w14:paraId="5FB52BDC">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A.根据管理者的管理范围，可看到对应院系画像。</w:t>
            </w:r>
          </w:p>
          <w:p w14:paraId="38BA1005">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B.院系画像由教师、学生、课程三个维度显示，展示院系维度的教师、学生、课程情况。</w:t>
            </w:r>
          </w:p>
          <w:p w14:paraId="694B366F">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(8.3)教师画像</w:t>
            </w:r>
          </w:p>
          <w:p w14:paraId="2BF78F69">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A.展示全校教师情况，画像上方有不同学期和累计数据的切换选择，还可进入具体的学生列表当中。</w:t>
            </w:r>
          </w:p>
          <w:p w14:paraId="342513C5">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B.全校教师画像的头部通过标签、雷达图等展示整体教师的情况。画像底部，以教师活动类型top5、上线教师人数趋势图、课堂互动发布排行、各类型资源上传量、综合成绩、在线总时长分布、教师综合得分top100来展示整体课况。</w:t>
            </w:r>
          </w:p>
          <w:p w14:paraId="52792DB4">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C.点击“查看个人画像”，展示整个教师的列表，以教师活动数和综合指标为指标进行展示，点击“查看”可进入到该教师的教师画像。</w:t>
            </w:r>
          </w:p>
          <w:p w14:paraId="1DA55BE0">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D.教师个人画像头部分为三部分，第一部分是教师的标签与个人信息，第二部分是平台教师评比等级、第三部分是教师雷达图分为六个维度（发布任务、资源建设、在线时长、学生成绩、平台活跃度、课堂活动）展示教师的综合情况。画像底部分为四个板块展示，所教课程、基础数据、教学分析、教学轨迹。</w:t>
            </w:r>
          </w:p>
          <w:p w14:paraId="45BEA7A8">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(8.4)学生画像</w:t>
            </w:r>
          </w:p>
          <w:p w14:paraId="21722599">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A.学生画像展示整体学生情况，画像上方有不同学期和累计数据的切换选择，还可进入具体的学生列表当中。</w:t>
            </w:r>
          </w:p>
          <w:p w14:paraId="0BC310FC">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B.全校学生画像的头部通过标签、雷达图等展示整体学生的情况。画像底部，以学生活动类型top5、上线学生人数趋势图、签到率、学习完成率、课堂活动参与排行、全校学生综合成绩、学生综合表现top100来展示整体课程情况。</w:t>
            </w:r>
          </w:p>
          <w:p w14:paraId="4E035F2D">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C.“查看个人画像”，展示整个学生的列表，以学生活动数和综合表现为指标进行展示，点击“查看”可进入到该学生的学生画像。</w:t>
            </w:r>
          </w:p>
          <w:p w14:paraId="73E3B042">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D.学生个人画像头部分为三部分展示，第一部分是学生的标签与个人信息，第二部分是平台学生表现等级、第三部分是学生雷达图分为六个维度（自主学习、到课率、学习完成率、学习成绩、平台活跃度、学生成绩）展示课程的综合情况。画像中间部分展示学生成绩趋势图。画像底部分为四个板块展示，所学课程、基础数据、学习分析、学生轨迹。</w:t>
            </w:r>
          </w:p>
          <w:p w14:paraId="4376EAD5">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(8.5)课程画像</w:t>
            </w:r>
          </w:p>
          <w:p w14:paraId="61C02C35">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A.课程画像展示整体课程情况，画像上方有不同学期和累计数据的切换选择，还可进入具体的课程列表当中。</w:t>
            </w:r>
          </w:p>
          <w:p w14:paraId="57EB4AE1">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B.全校课程画像的头部通过标签、雷达图等展示整体课程的情况。画像底部，以教学课堂活动统计、课程建设情况、课程活跃度趋势图、综合成绩、资源与题库建设、学习完成率、课程质量排名TOP100展示整体课程情况。</w:t>
            </w:r>
          </w:p>
          <w:p w14:paraId="498F6468">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C.“查看课程详情”展示课程画像列表，以课程质量排名和课程pv值为指标进行展示，“查看”可进入到该课程的课程画像。</w:t>
            </w:r>
          </w:p>
          <w:p w14:paraId="03F56102">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D.课程画像头部分为三部分展示，第一部分是课程的标签与信息，可跳转到课程门户和线上巡课页面，第二部分是课程质量排名，第三部分是课程雷达图分为六个维度（课程活跃度、课堂活动、课程资源、课程讨论、学习完成度、学生成绩）展示课程的综合情况。画像底部分为五个板块展示，基础数据、课堂报告、学情分析、学生成绩、课程日志。</w:t>
            </w:r>
          </w:p>
          <w:p w14:paraId="60FCFF8C">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(9)教学报告</w:t>
            </w:r>
          </w:p>
          <w:p w14:paraId="1D2D69B7">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(9.1)日常报告</w:t>
            </w:r>
          </w:p>
          <w:p w14:paraId="101ADCDC">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平台每日、每周、每月会自动生成运行报告，支持生成自定义报告（时间跨度在30天内），以课程、教师、学生、资源、活动数五个维度，统计运行情况。</w:t>
            </w:r>
          </w:p>
          <w:p w14:paraId="47BBD1C7">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(9.2)学期报告</w:t>
            </w:r>
          </w:p>
          <w:p w14:paraId="0688A4FC">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平台每学期会自动生成学期报告（平台支持学期设置），以院系、教师、学生、课程、资源、活动数、签到七个维度，统计运行情况。</w:t>
            </w:r>
          </w:p>
          <w:p w14:paraId="66D0AAD4">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(10)教学报告</w:t>
            </w:r>
          </w:p>
          <w:p w14:paraId="4C5D87D6">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线上考察某一课程的教师教学和学生学习情况，筛选今日在线课程、今日直播课程、进入该课程的旁听，查看该课程的基础信息、发布的班级任务、该课程具体的学员学习情况、该课程的操作日志、方便管理者随时进入旁听，掌握该课程的进行情况。</w:t>
            </w:r>
          </w:p>
          <w:p w14:paraId="20C89BB1">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(11)教学预警</w:t>
            </w:r>
          </w:p>
          <w:p w14:paraId="70592035">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★A.课程预警</w:t>
            </w:r>
          </w:p>
          <w:p w14:paraId="7C3B0DDD">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设置筛选项对课程进行筛选，展示满足筛选条件的课程门数及院系分布情况；展示满足筛选条件课程的基本信息，支持导出满足条件的课程数据，支持对达到预警标准的课程发送预警通知。</w:t>
            </w:r>
          </w:p>
          <w:p w14:paraId="5C8CEB88">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B.教师预警</w:t>
            </w:r>
          </w:p>
          <w:p w14:paraId="7E7C37FE">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设置筛选项对教师进行筛选，展示满足筛选条件的教师人数及院系分布情况；展示满足筛选条件教师的基本信息，支持导出满足条件的教师数据，支持对达到预警标准的教师发送预警通知。</w:t>
            </w:r>
          </w:p>
          <w:p w14:paraId="49FA6EBE">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C.学生预警</w:t>
            </w:r>
          </w:p>
          <w:p w14:paraId="7C4B3570">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设置筛选项对学生进行筛选，展示满足筛选条件的学生人数及院系分布情况；展示满足筛选条件学生的基本信息，支持导出满足条件的学生数据，支持对达到预警标准的学生发送预警通知。</w:t>
            </w:r>
          </w:p>
          <w:p w14:paraId="3C313744">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D.班级预警</w:t>
            </w:r>
          </w:p>
          <w:p w14:paraId="74E1442C">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设置筛选项对班级进行筛选，展示满足筛选条件的班级人数及院系分布情况；展示满足筛选条件班级的基本信息，支持导出满足条件的班级数据，支持对达到预警标准的班级发送预警通知。</w:t>
            </w:r>
          </w:p>
          <w:p w14:paraId="79BFF501">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E.预警分析</w:t>
            </w:r>
          </w:p>
          <w:p w14:paraId="2FD9D51E">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以柱状图形式展示各院系教师、学生被预警次数；以环形图形式展示各被预警次数区间的课程门数及占比，并支持查看课程预警记录；以环形图形式展示各被预警次数区间的教师人数及占比，并支持查看教师预警记录；以环形图形式展示各被预警次数区间的学生人数及占比，并支持查看学生预警记录；以环形图形式展示各预警项使用情况。</w:t>
            </w:r>
          </w:p>
          <w:p w14:paraId="2091AAF5">
            <w:pPr>
              <w:widowControl w:val="0"/>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2.教学大数据监控平台——大数据展示屏</w:t>
            </w:r>
          </w:p>
          <w:p w14:paraId="4E88CDEF">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(1)今日动态</w:t>
            </w:r>
          </w:p>
          <w:p w14:paraId="4FB861F7">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呈现今日的实时动态，包括今日教师资源上传量、今日学生签到率、今日上线师生人数、今日运行课程数、今日运行班级数、今日师生活动数、今日师生活动类型分布、今日活跃院系、今日活跃课，以及及师生实时动态。</w:t>
            </w:r>
          </w:p>
          <w:p w14:paraId="0EB28FD6">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(2)整体概况</w:t>
            </w:r>
          </w:p>
          <w:p w14:paraId="3C7614CF">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A.以课程维度</w:t>
            </w:r>
          </w:p>
          <w:p w14:paraId="40BFC39D">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展示平台本学期累计活跃课程数、近7日运行课程院系排行、近7日课程访问量变化趋势。</w:t>
            </w:r>
          </w:p>
          <w:p w14:paraId="4D18BA81">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B.以教师维度</w:t>
            </w:r>
          </w:p>
          <w:p w14:paraId="071930DB">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展示平台本学期累计使用教师数、教师发布任务点数、发布课堂活动数、发布测验作业数、发布考试数、线上发起讨论数，以及本学期教师累计访问时长。</w:t>
            </w:r>
          </w:p>
          <w:p w14:paraId="1162A82C">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C.以学生维度</w:t>
            </w:r>
          </w:p>
          <w:p w14:paraId="59150265">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展示平台本学期累计使用学生数、学生参与任务点数、参与课堂活动数、参与测验作业数、参与考试数、线上参与讨论数、本学期学生累计访问时长。</w:t>
            </w:r>
          </w:p>
          <w:p w14:paraId="59071BD0">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(3)签到监测</w:t>
            </w:r>
          </w:p>
          <w:p w14:paraId="1C8DB40B">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A.统计展示今日全校整体签到率、签到人次、签到班级数。</w:t>
            </w:r>
          </w:p>
          <w:p w14:paraId="78937BF2">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B.统计展示近7日教师发布签到数排行、班级签到率排行。</w:t>
            </w:r>
          </w:p>
          <w:p w14:paraId="2B675251">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C.统计展示近30日整体签到趋势、课程签到率排行、院系签到率排行。</w:t>
            </w:r>
          </w:p>
          <w:p w14:paraId="709A452D">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(4)课堂活动</w:t>
            </w:r>
          </w:p>
          <w:p w14:paraId="22F676BD">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A.统计展示近30日师生课堂活动总数、发起课堂活动教师数、参与课堂活动学生数、课堂活动完成率、院系课堂活动数排行，以及评分、问卷、分组任务、投票、主题讨论、抢答、选人这七种课堂活动类型的教师发布情况、学生完成情况。</w:t>
            </w:r>
          </w:p>
          <w:p w14:paraId="3A04298E">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B.展示近7日师生课堂活动数变化趋势、课堂活动数最多的5门课程。</w:t>
            </w:r>
          </w:p>
          <w:p w14:paraId="7BF01E71">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C.点击院系排行、课堂活动榜、师生活跃榜跳转到分析平台对应的的院系画像、课程画像、教师画像、学生画像实现快速查看对于详情。</w:t>
            </w:r>
          </w:p>
          <w:p w14:paraId="021A04B0">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(5)活跃师生</w:t>
            </w:r>
          </w:p>
          <w:p w14:paraId="744D628C">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A.统计展示近7日师生活动数、活跃师生数、活跃课程数及班级数。</w:t>
            </w:r>
          </w:p>
          <w:p w14:paraId="6427EA0B">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B.统计展示近7日活跃院系排行、活跃课程排行、活跃师生榜。</w:t>
            </w:r>
          </w:p>
          <w:p w14:paraId="10276FD1">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C.统计展示近7日师生活跃趋势、近24小时师生活跃趋势。</w:t>
            </w:r>
          </w:p>
          <w:p w14:paraId="4D582B23">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(6)资源建设</w:t>
            </w:r>
          </w:p>
          <w:p w14:paraId="0CD04BEA">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A.统计展平台累计全校题库量、资源总量、资源类型分布、院系资源建设排行、题库题型情况、院系题库建设占比、教师资源上传排行。</w:t>
            </w:r>
          </w:p>
          <w:p w14:paraId="798D4F09">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B.统计展示近30日资源新增趋势。</w:t>
            </w:r>
          </w:p>
          <w:p w14:paraId="3C93ED63">
            <w:pPr>
              <w:widowControl w:val="0"/>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3.教学大数据分析平台——移动端监控平台</w:t>
            </w:r>
          </w:p>
          <w:p w14:paraId="382DADE5">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移动端分析系统提供多个监控入口，包括教学日报、签到监控、教学</w:t>
            </w:r>
            <w:r>
              <w:rPr>
                <w:rFonts w:hint="eastAsia" w:ascii="仿宋" w:hAnsi="仿宋" w:eastAsia="仿宋" w:cs="仿宋"/>
                <w:sz w:val="24"/>
                <w:szCs w:val="24"/>
                <w:highlight w:val="none"/>
                <w:lang w:val="en-US" w:eastAsia="zh-CN"/>
              </w:rPr>
              <w:t>监控</w:t>
            </w:r>
            <w:r>
              <w:rPr>
                <w:rFonts w:hint="eastAsia" w:ascii="仿宋" w:hAnsi="仿宋" w:eastAsia="仿宋" w:cs="仿宋"/>
                <w:sz w:val="24"/>
                <w:szCs w:val="24"/>
                <w:highlight w:val="none"/>
              </w:rPr>
              <w:t>、学情分析、资源监控、日常监控等。解决教务管理者使用移动端即可对教学运行状况进行实时监控的需求。</w:t>
            </w:r>
          </w:p>
          <w:p w14:paraId="06A605AB">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(1)教学日报</w:t>
            </w:r>
          </w:p>
          <w:p w14:paraId="1575CEDA">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A.对本日的教学运行情况进行统计汇报，以课程、教师、学生三个维度展示具体数据。</w:t>
            </w:r>
          </w:p>
          <w:p w14:paraId="7012AE81">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B.课程维度统计今日自建课程运行数、新建课程数量、运行班级、资源上传数、运行班次、课堂活动数、师生讨论数，反馈今日学校的开课情况。</w:t>
            </w:r>
          </w:p>
          <w:p w14:paraId="56BACF1E">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C.教师维度统计今日教师活动数、发布课堂活动数、发起讨论数、发布作业数、批阅作业数，反映今日教师的教学情况。</w:t>
            </w:r>
          </w:p>
          <w:p w14:paraId="7751B3DB">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D.学生维度统计今日学生活动数、完成任务点数、参与课堂活动数、学生讨论数、完成作业数，反映今日学生的上课情况。</w:t>
            </w:r>
          </w:p>
          <w:p w14:paraId="39473B31">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E.支持查看今日师生在线/访问趋势、互动/讨论趋势、资源上传趋势以及各院系使用数据、今日最活跃的5位教师、5位学生。</w:t>
            </w:r>
          </w:p>
          <w:p w14:paraId="49D48A29">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(2)签到监控</w:t>
            </w:r>
          </w:p>
          <w:p w14:paraId="672C681A">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A.展示全校今日学生签到情况，包括今日已发签到班级数、签到人次、整体签到率，展示学生签到实时动态、今日班级签到情况，以及学生签到榜TOP5。</w:t>
            </w:r>
          </w:p>
          <w:p w14:paraId="3CB57CF9">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B.以院系课程、学生维度展示签到率变化趋势，展示最近一月/一周学生的出勤情况。</w:t>
            </w:r>
          </w:p>
          <w:p w14:paraId="6C9ADEC0">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(3) 教学</w:t>
            </w:r>
            <w:r>
              <w:rPr>
                <w:rFonts w:hint="eastAsia" w:ascii="仿宋" w:hAnsi="仿宋" w:eastAsia="仿宋" w:cs="仿宋"/>
                <w:sz w:val="24"/>
                <w:szCs w:val="24"/>
                <w:highlight w:val="none"/>
                <w:lang w:val="en-US" w:eastAsia="zh-CN"/>
              </w:rPr>
              <w:t>监控</w:t>
            </w:r>
          </w:p>
          <w:p w14:paraId="12897E16">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通过采集平台使用数据，实时展示全校教师数、今日活跃教师、建课教师数、近日动态、活跃教师排行top10，并通过图表展示今日及历史平均单日的课程活动发放情况、课堂作业布置情况、课堂作业评阅情况、师生互动情况，通过趋势图展示本周师生访问量变化趋势、今日教师、学生讨论数对比。</w:t>
            </w:r>
          </w:p>
          <w:p w14:paraId="62C4B153">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(4)学情分析</w:t>
            </w:r>
          </w:p>
          <w:p w14:paraId="2F9902BF">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通过采集平台使用数据，实时展示今日完成任务量、完成视频数、完成其他任务点数及学生实时动态，并通过图表展示学习终端占比、学生参与课堂活动详情、完成作业考试详情，通过趋势图展示近24小时访问量变化趋势。</w:t>
            </w:r>
          </w:p>
          <w:p w14:paraId="5358BD4D">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(5)资源监控</w:t>
            </w:r>
          </w:p>
          <w:p w14:paraId="78832BF6">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通过采集平台使用数据，实时展示今日上传资源量、资源总量、上传最多资源类型实时动态，并通过图表展示各类型资源资源分布、上传资源量趋势、课程资源排名、学院资源排名、上传资源数教师排名。</w:t>
            </w:r>
          </w:p>
          <w:p w14:paraId="3A27E81A">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(6)学生画像</w:t>
            </w:r>
          </w:p>
          <w:p w14:paraId="48DC73A9">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A.通过学生的数据采集和分析，生成学生画像。</w:t>
            </w:r>
          </w:p>
          <w:p w14:paraId="589EC79E">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B.学生画像</w:t>
            </w:r>
          </w:p>
          <w:p w14:paraId="2B693A1D">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包括其个人标签、平台学习表现、包含课堂表现考核维度、自主学习考核维度、学习完成率考核维度、到课率考核维度、学习成绩考核维度、平台活跃度考核维度等。</w:t>
            </w:r>
          </w:p>
          <w:p w14:paraId="2EA48C6C">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C.学生数据</w:t>
            </w:r>
          </w:p>
          <w:p w14:paraId="64249173">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展示学生的所学课程、基础数据、学习分析、学习轨迹等具体学习数据。</w:t>
            </w:r>
          </w:p>
          <w:p w14:paraId="101FF2AE">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(7)教师画像</w:t>
            </w:r>
          </w:p>
          <w:p w14:paraId="3C613415">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A.通过教师的数据采集和分析，生成教师画像。</w:t>
            </w:r>
          </w:p>
          <w:p w14:paraId="61CB9BC2">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B.教师画像</w:t>
            </w:r>
          </w:p>
          <w:p w14:paraId="01F27FC2">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包括个人标签、平台教师评比、包含课堂互动考核维度、日常评测考核维度、在线时长考核维度、资源建设考核维度、学生成绩考核维度、活跃度考核维度等。</w:t>
            </w:r>
          </w:p>
          <w:p w14:paraId="56F75D18">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C.教学数据</w:t>
            </w:r>
          </w:p>
          <w:p w14:paraId="666361D8">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展示所教课程、基础数据、教学分析、教学轨迹等教学数据。</w:t>
            </w:r>
          </w:p>
          <w:p w14:paraId="2286F574">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(8)在线督导</w:t>
            </w:r>
          </w:p>
          <w:p w14:paraId="711F31B9">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A.展示网络课程数、课程活动数、课程资源数。支持查看活跃课程，包含课堂报告、学情统计、成绩统计。支持查看课程建设，包含教师团队、网络课程的班级情况、课程资源建设情况、课堂运行情况、活跃学生排行、综合成绩排行。</w:t>
            </w:r>
          </w:p>
          <w:p w14:paraId="4392424A">
            <w:pPr>
              <w:widowControl w:val="0"/>
              <w:rPr>
                <w:rFonts w:hint="eastAsia" w:ascii="仿宋" w:hAnsi="仿宋" w:eastAsia="仿宋" w:cs="仿宋"/>
                <w:sz w:val="24"/>
                <w:szCs w:val="24"/>
                <w:highlight w:val="none"/>
              </w:rPr>
            </w:pPr>
            <w:r>
              <w:rPr>
                <w:rFonts w:hint="eastAsia" w:ascii="仿宋" w:hAnsi="仿宋" w:eastAsia="仿宋" w:cs="仿宋"/>
                <w:sz w:val="24"/>
                <w:szCs w:val="24"/>
                <w:highlight w:val="none"/>
              </w:rPr>
              <w:t>B.后台进行数据的分析汇总支持多终端展示，移动端大数据展示实时展示日常监控、教学监控、学情分析、签到监控、资源监控，打破时间、地域限制，最终实现实时监控、移动监控</w:t>
            </w:r>
          </w:p>
        </w:tc>
      </w:tr>
    </w:tbl>
    <w:p w14:paraId="2C7B4044">
      <w:pPr>
        <w:pStyle w:val="50"/>
        <w:numPr>
          <w:ilvl w:val="0"/>
          <w:numId w:val="0"/>
        </w:numPr>
        <w:ind w:leftChars="0" w:right="181" w:rightChars="0"/>
        <w:rPr>
          <w:rFonts w:hint="eastAsia" w:ascii="仿宋" w:hAnsi="仿宋" w:eastAsia="仿宋" w:cs="仿宋"/>
          <w:b/>
          <w:bCs/>
          <w:sz w:val="24"/>
          <w:szCs w:val="24"/>
          <w:lang w:val="en-US" w:eastAsia="zh-CN"/>
        </w:rPr>
      </w:pPr>
    </w:p>
    <w:p w14:paraId="5D9C9245">
      <w:pPr>
        <w:pStyle w:val="2"/>
        <w:snapToGrid w:val="0"/>
        <w:spacing w:line="560" w:lineRule="exact"/>
        <w:ind w:firstLine="0" w:firstLineChars="0"/>
        <w:textAlignment w:val="baseline"/>
        <w:rPr>
          <w:rFonts w:hint="eastAsia" w:ascii="仿宋" w:hAnsi="仿宋" w:eastAsia="仿宋" w:cs="仿宋"/>
          <w:b/>
          <w:bCs/>
          <w:snapToGrid/>
          <w:spacing w:val="0"/>
          <w:kern w:val="2"/>
          <w:sz w:val="28"/>
          <w:szCs w:val="28"/>
          <w:lang w:eastAsia="zh-CN"/>
        </w:rPr>
        <w:sectPr>
          <w:footerReference r:id="rId9" w:type="default"/>
          <w:pgSz w:w="11907" w:h="16840"/>
          <w:pgMar w:top="1440" w:right="1080" w:bottom="1440" w:left="1080" w:header="851" w:footer="851" w:gutter="0"/>
          <w:pgBorders>
            <w:top w:val="none" w:sz="0" w:space="0"/>
            <w:left w:val="none" w:sz="0" w:space="0"/>
            <w:bottom w:val="none" w:sz="0" w:space="0"/>
            <w:right w:val="none" w:sz="0" w:space="0"/>
          </w:pgBorders>
          <w:pgNumType w:fmt="decimal"/>
          <w:cols w:space="720" w:num="1"/>
          <w:docGrid w:linePitch="462" w:charSpace="0"/>
        </w:sectPr>
      </w:pPr>
    </w:p>
    <w:p w14:paraId="711E048E">
      <w:pPr>
        <w:pStyle w:val="2"/>
        <w:snapToGrid w:val="0"/>
        <w:spacing w:line="560" w:lineRule="exact"/>
        <w:ind w:firstLine="0" w:firstLineChars="0"/>
        <w:textAlignment w:val="baseline"/>
        <w:rPr>
          <w:rFonts w:hint="eastAsia" w:ascii="仿宋" w:hAnsi="仿宋" w:eastAsia="仿宋" w:cs="仿宋"/>
          <w:b/>
          <w:bCs/>
          <w:snapToGrid/>
          <w:spacing w:val="0"/>
          <w:kern w:val="2"/>
          <w:sz w:val="28"/>
          <w:szCs w:val="28"/>
          <w:lang w:val="en-US" w:eastAsia="zh-CN"/>
        </w:rPr>
      </w:pPr>
      <w:r>
        <w:rPr>
          <w:rFonts w:hint="eastAsia" w:ascii="仿宋" w:hAnsi="仿宋" w:eastAsia="仿宋" w:cs="仿宋"/>
          <w:b/>
          <w:bCs/>
          <w:snapToGrid/>
          <w:spacing w:val="0"/>
          <w:kern w:val="2"/>
          <w:sz w:val="28"/>
          <w:szCs w:val="28"/>
          <w:lang w:eastAsia="zh-CN"/>
        </w:rPr>
        <w:t xml:space="preserve">附件 </w:t>
      </w:r>
      <w:r>
        <w:rPr>
          <w:rFonts w:hint="eastAsia" w:ascii="仿宋" w:hAnsi="仿宋" w:eastAsia="仿宋" w:cs="仿宋"/>
          <w:b/>
          <w:bCs/>
          <w:snapToGrid/>
          <w:spacing w:val="0"/>
          <w:kern w:val="2"/>
          <w:sz w:val="28"/>
          <w:szCs w:val="28"/>
          <w:lang w:val="en-US" w:eastAsia="zh-CN"/>
        </w:rPr>
        <w:t>1</w:t>
      </w:r>
      <w:r>
        <w:rPr>
          <w:rFonts w:hint="eastAsia" w:ascii="仿宋" w:hAnsi="仿宋" w:eastAsia="仿宋" w:cs="仿宋"/>
          <w:b/>
          <w:bCs/>
          <w:snapToGrid/>
          <w:spacing w:val="0"/>
          <w:kern w:val="2"/>
          <w:sz w:val="28"/>
          <w:szCs w:val="28"/>
          <w:lang w:eastAsia="zh-CN"/>
        </w:rPr>
        <w:t xml:space="preserve"> ：</w:t>
      </w:r>
      <w:r>
        <w:rPr>
          <w:rFonts w:hint="eastAsia" w:ascii="仿宋" w:hAnsi="仿宋" w:eastAsia="仿宋" w:cs="仿宋"/>
          <w:b/>
          <w:bCs/>
          <w:snapToGrid/>
          <w:spacing w:val="0"/>
          <w:kern w:val="2"/>
          <w:sz w:val="28"/>
          <w:szCs w:val="28"/>
          <w:lang w:val="en-US" w:eastAsia="zh-CN"/>
        </w:rPr>
        <w:t>课程验收标准</w:t>
      </w:r>
    </w:p>
    <w:tbl>
      <w:tblPr>
        <w:tblStyle w:val="23"/>
        <w:tblpPr w:leftFromText="180" w:rightFromText="180" w:vertAnchor="text" w:horzAnchor="page" w:tblpXSpec="center" w:tblpY="560"/>
        <w:tblOverlap w:val="never"/>
        <w:tblW w:w="501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2471"/>
        <w:gridCol w:w="1025"/>
        <w:gridCol w:w="6286"/>
      </w:tblGrid>
      <w:tr w14:paraId="558202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5" w:hRule="atLeast"/>
          <w:jc w:val="center"/>
        </w:trPr>
        <w:tc>
          <w:tcPr>
            <w:tcW w:w="1263" w:type="pct"/>
            <w:tcBorders>
              <w:top w:val="single" w:color="auto" w:sz="4" w:space="0"/>
              <w:left w:val="single" w:color="auto" w:sz="4" w:space="0"/>
              <w:bottom w:val="single" w:color="auto" w:sz="4" w:space="0"/>
              <w:right w:val="single" w:color="auto" w:sz="4" w:space="0"/>
            </w:tcBorders>
            <w:noWrap w:val="0"/>
            <w:vAlign w:val="center"/>
          </w:tcPr>
          <w:p w14:paraId="4A870B81">
            <w:pPr>
              <w:bidi w:val="0"/>
              <w:jc w:val="center"/>
              <w:rPr>
                <w:rFonts w:hint="eastAsia" w:ascii="仿宋" w:hAnsi="仿宋" w:eastAsia="仿宋" w:cs="仿宋"/>
                <w:sz w:val="24"/>
                <w:szCs w:val="24"/>
              </w:rPr>
            </w:pPr>
            <w:r>
              <w:rPr>
                <w:rFonts w:hint="eastAsia" w:ascii="仿宋" w:hAnsi="仿宋" w:eastAsia="仿宋" w:cs="仿宋"/>
                <w:sz w:val="24"/>
                <w:szCs w:val="24"/>
              </w:rPr>
              <w:t>课程建设项目</w:t>
            </w:r>
          </w:p>
        </w:tc>
        <w:tc>
          <w:tcPr>
            <w:tcW w:w="524" w:type="pct"/>
            <w:tcBorders>
              <w:top w:val="single" w:color="auto" w:sz="4" w:space="0"/>
              <w:left w:val="single" w:color="auto" w:sz="4" w:space="0"/>
              <w:bottom w:val="single" w:color="auto" w:sz="4" w:space="0"/>
              <w:right w:val="single" w:color="auto" w:sz="4" w:space="0"/>
            </w:tcBorders>
            <w:noWrap w:val="0"/>
            <w:vAlign w:val="center"/>
          </w:tcPr>
          <w:p w14:paraId="5A158129">
            <w:pPr>
              <w:bidi w:val="0"/>
              <w:jc w:val="center"/>
              <w:rPr>
                <w:rFonts w:hint="eastAsia" w:ascii="仿宋" w:hAnsi="仿宋" w:eastAsia="仿宋" w:cs="仿宋"/>
                <w:sz w:val="24"/>
                <w:szCs w:val="24"/>
                <w:lang w:val="en-US" w:eastAsia="zh-CN"/>
              </w:rPr>
            </w:pPr>
            <w:r>
              <w:rPr>
                <w:rFonts w:hint="eastAsia" w:ascii="仿宋" w:hAnsi="仿宋" w:eastAsia="仿宋" w:cs="仿宋"/>
                <w:sz w:val="24"/>
                <w:szCs w:val="24"/>
              </w:rPr>
              <w:t>课程上线标</w:t>
            </w:r>
            <w:r>
              <w:rPr>
                <w:rFonts w:hint="eastAsia" w:ascii="仿宋" w:hAnsi="仿宋" w:eastAsia="仿宋" w:cs="仿宋"/>
                <w:sz w:val="24"/>
                <w:szCs w:val="24"/>
                <w:lang w:val="en-US" w:eastAsia="zh-CN"/>
              </w:rPr>
              <w:t>准</w:t>
            </w:r>
          </w:p>
        </w:tc>
        <w:tc>
          <w:tcPr>
            <w:tcW w:w="3212" w:type="pct"/>
            <w:tcBorders>
              <w:top w:val="single" w:color="auto" w:sz="4" w:space="0"/>
              <w:left w:val="single" w:color="auto" w:sz="4" w:space="0"/>
              <w:bottom w:val="single" w:color="auto" w:sz="4" w:space="0"/>
              <w:right w:val="single" w:color="auto" w:sz="4" w:space="0"/>
            </w:tcBorders>
            <w:noWrap w:val="0"/>
            <w:vAlign w:val="center"/>
          </w:tcPr>
          <w:p w14:paraId="71979DCA">
            <w:pPr>
              <w:bidi w:val="0"/>
              <w:jc w:val="center"/>
              <w:rPr>
                <w:rFonts w:hint="eastAsia" w:ascii="仿宋" w:hAnsi="仿宋" w:eastAsia="仿宋" w:cs="仿宋"/>
                <w:sz w:val="24"/>
                <w:szCs w:val="24"/>
                <w:lang w:val="en-US" w:eastAsia="zh-CN"/>
              </w:rPr>
            </w:pPr>
            <w:r>
              <w:rPr>
                <w:rFonts w:hint="eastAsia" w:ascii="仿宋" w:hAnsi="仿宋" w:eastAsia="仿宋" w:cs="仿宋"/>
                <w:sz w:val="24"/>
                <w:szCs w:val="24"/>
              </w:rPr>
              <w:t>课程建设</w:t>
            </w:r>
            <w:r>
              <w:rPr>
                <w:rFonts w:hint="eastAsia" w:ascii="仿宋" w:hAnsi="仿宋" w:eastAsia="仿宋" w:cs="仿宋"/>
                <w:sz w:val="24"/>
                <w:szCs w:val="24"/>
                <w:lang w:val="en-US" w:eastAsia="zh-CN"/>
              </w:rPr>
              <w:t>要求</w:t>
            </w:r>
          </w:p>
        </w:tc>
      </w:tr>
      <w:tr w14:paraId="6C32E1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30" w:hRule="atLeast"/>
          <w:jc w:val="center"/>
        </w:trPr>
        <w:tc>
          <w:tcPr>
            <w:tcW w:w="1263" w:type="pct"/>
            <w:tcBorders>
              <w:top w:val="single" w:color="auto" w:sz="4" w:space="0"/>
              <w:left w:val="single" w:color="auto" w:sz="4" w:space="0"/>
              <w:bottom w:val="single" w:color="auto" w:sz="4" w:space="0"/>
              <w:right w:val="single" w:color="auto" w:sz="4" w:space="0"/>
            </w:tcBorders>
            <w:noWrap w:val="0"/>
            <w:vAlign w:val="center"/>
          </w:tcPr>
          <w:p w14:paraId="111A52F9">
            <w:pPr>
              <w:bidi w:val="0"/>
              <w:jc w:val="center"/>
              <w:rPr>
                <w:rFonts w:hint="eastAsia" w:ascii="仿宋" w:hAnsi="仿宋" w:eastAsia="仿宋" w:cs="仿宋"/>
                <w:sz w:val="24"/>
                <w:szCs w:val="24"/>
              </w:rPr>
            </w:pPr>
            <w:r>
              <w:rPr>
                <w:rFonts w:hint="eastAsia" w:ascii="仿宋" w:hAnsi="仿宋" w:eastAsia="仿宋" w:cs="仿宋"/>
                <w:sz w:val="24"/>
                <w:szCs w:val="24"/>
              </w:rPr>
              <w:t>主讲教师</w:t>
            </w:r>
          </w:p>
        </w:tc>
        <w:tc>
          <w:tcPr>
            <w:tcW w:w="524" w:type="pct"/>
            <w:tcBorders>
              <w:top w:val="single" w:color="auto" w:sz="4" w:space="0"/>
              <w:left w:val="single" w:color="auto" w:sz="4" w:space="0"/>
              <w:bottom w:val="single" w:color="auto" w:sz="4" w:space="0"/>
              <w:right w:val="single" w:color="auto" w:sz="4" w:space="0"/>
            </w:tcBorders>
            <w:noWrap w:val="0"/>
            <w:vAlign w:val="center"/>
          </w:tcPr>
          <w:p w14:paraId="7235F44E">
            <w:pPr>
              <w:keepNext w:val="0"/>
              <w:keepLines w:val="0"/>
              <w:pageBreakBefore w:val="0"/>
              <w:widowControl/>
              <w:kinsoku w:val="0"/>
              <w:wordWrap/>
              <w:overflowPunct/>
              <w:topLinePunct w:val="0"/>
              <w:autoSpaceDE w:val="0"/>
              <w:autoSpaceDN w:val="0"/>
              <w:bidi w:val="0"/>
              <w:adjustRightInd w:val="0"/>
              <w:snapToGrid w:val="0"/>
              <w:jc w:val="center"/>
              <w:textAlignment w:val="baseline"/>
              <w:rPr>
                <w:rFonts w:hint="eastAsia" w:ascii="仿宋" w:hAnsi="仿宋" w:eastAsia="仿宋" w:cs="仿宋"/>
                <w:sz w:val="24"/>
                <w:szCs w:val="24"/>
              </w:rPr>
            </w:pPr>
            <w:r>
              <w:rPr>
                <w:rFonts w:hint="eastAsia" w:ascii="仿宋" w:hAnsi="仿宋" w:eastAsia="仿宋" w:cs="仿宋"/>
                <w:sz w:val="24"/>
                <w:szCs w:val="24"/>
              </w:rPr>
              <w:t>√</w:t>
            </w:r>
          </w:p>
        </w:tc>
        <w:tc>
          <w:tcPr>
            <w:tcW w:w="3212" w:type="pct"/>
            <w:tcBorders>
              <w:top w:val="single" w:color="auto" w:sz="4" w:space="0"/>
              <w:left w:val="single" w:color="auto" w:sz="4" w:space="0"/>
              <w:bottom w:val="single" w:color="auto" w:sz="4" w:space="0"/>
              <w:right w:val="single" w:color="auto" w:sz="4" w:space="0"/>
            </w:tcBorders>
            <w:noWrap w:val="0"/>
            <w:vAlign w:val="center"/>
          </w:tcPr>
          <w:p w14:paraId="7DD69C60">
            <w:pPr>
              <w:bidi w:val="0"/>
              <w:jc w:val="both"/>
              <w:rPr>
                <w:rFonts w:hint="eastAsia" w:ascii="仿宋" w:hAnsi="仿宋" w:eastAsia="仿宋" w:cs="仿宋"/>
                <w:sz w:val="24"/>
                <w:szCs w:val="24"/>
              </w:rPr>
            </w:pPr>
            <w:r>
              <w:rPr>
                <w:rFonts w:hint="eastAsia" w:ascii="仿宋" w:hAnsi="仿宋" w:eastAsia="仿宋" w:cs="仿宋"/>
                <w:sz w:val="24"/>
                <w:szCs w:val="24"/>
                <w:lang w:val="en-US" w:eastAsia="zh-CN"/>
              </w:rPr>
              <w:t>教</w:t>
            </w:r>
            <w:r>
              <w:rPr>
                <w:rFonts w:hint="eastAsia" w:ascii="仿宋" w:hAnsi="仿宋" w:eastAsia="仿宋" w:cs="仿宋"/>
                <w:sz w:val="24"/>
                <w:szCs w:val="24"/>
              </w:rPr>
              <w:t>师姓名、职称、所在学校</w:t>
            </w:r>
            <w:r>
              <w:rPr>
                <w:rFonts w:hint="eastAsia" w:ascii="仿宋" w:hAnsi="仿宋" w:eastAsia="仿宋" w:cs="仿宋"/>
                <w:sz w:val="24"/>
                <w:szCs w:val="24"/>
                <w:lang w:eastAsia="zh-CN"/>
              </w:rPr>
              <w:t>（</w:t>
            </w:r>
            <w:r>
              <w:rPr>
                <w:rFonts w:hint="eastAsia" w:ascii="仿宋" w:hAnsi="仿宋" w:eastAsia="仿宋" w:cs="仿宋"/>
                <w:sz w:val="24"/>
                <w:szCs w:val="24"/>
              </w:rPr>
              <w:t>须是学校官方名称</w:t>
            </w:r>
            <w:r>
              <w:rPr>
                <w:rFonts w:hint="eastAsia" w:ascii="仿宋" w:hAnsi="仿宋" w:eastAsia="仿宋" w:cs="仿宋"/>
                <w:sz w:val="24"/>
                <w:szCs w:val="24"/>
                <w:lang w:eastAsia="zh-CN"/>
              </w:rPr>
              <w:t>）</w:t>
            </w:r>
          </w:p>
        </w:tc>
      </w:tr>
      <w:tr w14:paraId="37006D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69" w:hRule="atLeast"/>
          <w:jc w:val="center"/>
        </w:trPr>
        <w:tc>
          <w:tcPr>
            <w:tcW w:w="1263" w:type="pct"/>
            <w:tcBorders>
              <w:top w:val="single" w:color="auto" w:sz="4" w:space="0"/>
              <w:left w:val="single" w:color="auto" w:sz="4" w:space="0"/>
              <w:bottom w:val="single" w:color="auto" w:sz="4" w:space="0"/>
              <w:right w:val="single" w:color="auto" w:sz="4" w:space="0"/>
            </w:tcBorders>
            <w:noWrap w:val="0"/>
            <w:vAlign w:val="center"/>
          </w:tcPr>
          <w:p w14:paraId="008062CC">
            <w:pPr>
              <w:bidi w:val="0"/>
              <w:jc w:val="center"/>
              <w:rPr>
                <w:rFonts w:hint="eastAsia" w:ascii="仿宋" w:hAnsi="仿宋" w:eastAsia="仿宋" w:cs="仿宋"/>
                <w:sz w:val="24"/>
                <w:szCs w:val="24"/>
              </w:rPr>
            </w:pPr>
          </w:p>
          <w:p w14:paraId="4B219827">
            <w:pPr>
              <w:bidi w:val="0"/>
              <w:jc w:val="center"/>
              <w:rPr>
                <w:rFonts w:hint="eastAsia" w:ascii="仿宋" w:hAnsi="仿宋" w:eastAsia="仿宋" w:cs="仿宋"/>
                <w:sz w:val="24"/>
                <w:szCs w:val="24"/>
              </w:rPr>
            </w:pPr>
            <w:r>
              <w:rPr>
                <w:rFonts w:hint="eastAsia" w:ascii="仿宋" w:hAnsi="仿宋" w:eastAsia="仿宋" w:cs="仿宋"/>
                <w:sz w:val="24"/>
                <w:szCs w:val="24"/>
              </w:rPr>
              <w:t>课程门户信息完善</w:t>
            </w:r>
          </w:p>
        </w:tc>
        <w:tc>
          <w:tcPr>
            <w:tcW w:w="524" w:type="pct"/>
            <w:tcBorders>
              <w:top w:val="single" w:color="auto" w:sz="4" w:space="0"/>
              <w:left w:val="single" w:color="auto" w:sz="4" w:space="0"/>
              <w:bottom w:val="single" w:color="auto" w:sz="4" w:space="0"/>
              <w:right w:val="single" w:color="auto" w:sz="4" w:space="0"/>
            </w:tcBorders>
            <w:noWrap w:val="0"/>
            <w:vAlign w:val="center"/>
          </w:tcPr>
          <w:p w14:paraId="7C779F25">
            <w:pPr>
              <w:keepNext w:val="0"/>
              <w:keepLines w:val="0"/>
              <w:pageBreakBefore w:val="0"/>
              <w:widowControl/>
              <w:kinsoku w:val="0"/>
              <w:wordWrap/>
              <w:overflowPunct/>
              <w:topLinePunct w:val="0"/>
              <w:autoSpaceDE w:val="0"/>
              <w:autoSpaceDN w:val="0"/>
              <w:bidi w:val="0"/>
              <w:adjustRightInd w:val="0"/>
              <w:snapToGrid w:val="0"/>
              <w:jc w:val="center"/>
              <w:textAlignment w:val="baseline"/>
              <w:rPr>
                <w:rFonts w:hint="eastAsia" w:ascii="仿宋" w:hAnsi="仿宋" w:eastAsia="仿宋" w:cs="仿宋"/>
                <w:sz w:val="24"/>
                <w:szCs w:val="24"/>
              </w:rPr>
            </w:pPr>
            <w:r>
              <w:rPr>
                <w:rFonts w:hint="eastAsia" w:ascii="仿宋" w:hAnsi="仿宋" w:eastAsia="仿宋" w:cs="仿宋"/>
                <w:sz w:val="24"/>
                <w:szCs w:val="24"/>
              </w:rPr>
              <w:t>√</w:t>
            </w:r>
          </w:p>
        </w:tc>
        <w:tc>
          <w:tcPr>
            <w:tcW w:w="3212" w:type="pct"/>
            <w:tcBorders>
              <w:top w:val="single" w:color="auto" w:sz="4" w:space="0"/>
              <w:left w:val="single" w:color="auto" w:sz="4" w:space="0"/>
              <w:bottom w:val="single" w:color="auto" w:sz="4" w:space="0"/>
              <w:right w:val="single" w:color="auto" w:sz="4" w:space="0"/>
            </w:tcBorders>
            <w:noWrap w:val="0"/>
            <w:vAlign w:val="center"/>
          </w:tcPr>
          <w:p w14:paraId="076FDE39">
            <w:pPr>
              <w:bidi w:val="0"/>
              <w:jc w:val="both"/>
              <w:rPr>
                <w:rFonts w:hint="eastAsia" w:ascii="仿宋" w:hAnsi="仿宋" w:eastAsia="仿宋" w:cs="仿宋"/>
                <w:sz w:val="24"/>
                <w:szCs w:val="24"/>
              </w:rPr>
            </w:pPr>
            <w:r>
              <w:rPr>
                <w:rFonts w:hint="eastAsia" w:ascii="仿宋" w:hAnsi="仿宋" w:eastAsia="仿宋" w:cs="仿宋"/>
                <w:sz w:val="24"/>
                <w:szCs w:val="24"/>
              </w:rPr>
              <w:t>1.完善课程封面、片花</w:t>
            </w:r>
            <w:r>
              <w:rPr>
                <w:rFonts w:hint="eastAsia" w:ascii="仿宋" w:hAnsi="仿宋" w:eastAsia="仿宋" w:cs="仿宋"/>
                <w:sz w:val="24"/>
                <w:szCs w:val="24"/>
                <w:lang w:eastAsia="zh-CN"/>
              </w:rPr>
              <w:t>（</w:t>
            </w:r>
            <w:r>
              <w:rPr>
                <w:rFonts w:hint="eastAsia" w:ascii="仿宋" w:hAnsi="仿宋" w:eastAsia="仿宋" w:cs="仿宋"/>
                <w:sz w:val="24"/>
                <w:szCs w:val="24"/>
              </w:rPr>
              <w:t>非必须</w:t>
            </w:r>
            <w:r>
              <w:rPr>
                <w:rFonts w:hint="eastAsia" w:ascii="仿宋" w:hAnsi="仿宋" w:eastAsia="仿宋" w:cs="仿宋"/>
                <w:sz w:val="24"/>
                <w:szCs w:val="24"/>
                <w:lang w:eastAsia="zh-CN"/>
              </w:rPr>
              <w:t>）</w:t>
            </w:r>
            <w:r>
              <w:rPr>
                <w:rFonts w:hint="eastAsia" w:ascii="仿宋" w:hAnsi="仿宋" w:eastAsia="仿宋" w:cs="仿宋"/>
                <w:sz w:val="24"/>
                <w:szCs w:val="24"/>
              </w:rPr>
              <w:t>、课程简介</w:t>
            </w:r>
            <w:r>
              <w:rPr>
                <w:rFonts w:hint="eastAsia" w:ascii="仿宋" w:hAnsi="仿宋" w:eastAsia="仿宋" w:cs="仿宋"/>
                <w:sz w:val="24"/>
                <w:szCs w:val="24"/>
                <w:lang w:eastAsia="zh-CN"/>
              </w:rPr>
              <w:t>（</w:t>
            </w:r>
            <w:r>
              <w:rPr>
                <w:rFonts w:hint="eastAsia" w:ascii="仿宋" w:hAnsi="仿宋" w:eastAsia="仿宋" w:cs="仿宋"/>
                <w:sz w:val="24"/>
                <w:szCs w:val="24"/>
              </w:rPr>
              <w:t>不能超过145字</w:t>
            </w:r>
            <w:r>
              <w:rPr>
                <w:rFonts w:hint="eastAsia" w:ascii="仿宋" w:hAnsi="仿宋" w:eastAsia="仿宋" w:cs="仿宋"/>
                <w:sz w:val="24"/>
                <w:szCs w:val="24"/>
                <w:lang w:eastAsia="zh-CN"/>
              </w:rPr>
              <w:t>）</w:t>
            </w:r>
            <w:r>
              <w:rPr>
                <w:rFonts w:hint="eastAsia" w:ascii="仿宋" w:hAnsi="仿宋" w:eastAsia="仿宋" w:cs="仿宋"/>
                <w:sz w:val="24"/>
                <w:szCs w:val="24"/>
              </w:rPr>
              <w:t>。</w:t>
            </w:r>
          </w:p>
          <w:p w14:paraId="7EC92C37">
            <w:pPr>
              <w:bidi w:val="0"/>
              <w:jc w:val="both"/>
              <w:rPr>
                <w:rFonts w:hint="eastAsia" w:ascii="仿宋" w:hAnsi="仿宋" w:eastAsia="仿宋" w:cs="仿宋"/>
                <w:sz w:val="24"/>
                <w:szCs w:val="24"/>
              </w:rPr>
            </w:pPr>
            <w:r>
              <w:rPr>
                <w:rFonts w:hint="eastAsia" w:ascii="仿宋" w:hAnsi="仿宋" w:eastAsia="仿宋" w:cs="仿宋"/>
                <w:sz w:val="24"/>
                <w:szCs w:val="24"/>
              </w:rPr>
              <w:t>2.撰写课程介绍：这门课会讲什么</w:t>
            </w:r>
            <w:r>
              <w:rPr>
                <w:rFonts w:hint="eastAsia" w:ascii="仿宋" w:hAnsi="仿宋" w:eastAsia="仿宋" w:cs="仿宋"/>
                <w:sz w:val="24"/>
                <w:szCs w:val="24"/>
                <w:lang w:eastAsia="zh-CN"/>
              </w:rPr>
              <w:t>（</w:t>
            </w:r>
            <w:r>
              <w:rPr>
                <w:rFonts w:hint="eastAsia" w:ascii="仿宋" w:hAnsi="仿宋" w:eastAsia="仿宋" w:cs="仿宋"/>
                <w:sz w:val="24"/>
                <w:szCs w:val="24"/>
              </w:rPr>
              <w:t>建议500字以内为宜</w:t>
            </w:r>
            <w:r>
              <w:rPr>
                <w:rFonts w:hint="eastAsia" w:ascii="仿宋" w:hAnsi="仿宋" w:eastAsia="仿宋" w:cs="仿宋"/>
                <w:sz w:val="24"/>
                <w:szCs w:val="24"/>
                <w:lang w:eastAsia="zh-CN"/>
              </w:rPr>
              <w:t>）</w:t>
            </w:r>
            <w:r>
              <w:rPr>
                <w:rFonts w:hint="eastAsia" w:ascii="仿宋" w:hAnsi="仿宋" w:eastAsia="仿宋" w:cs="仿宋"/>
                <w:sz w:val="24"/>
                <w:szCs w:val="24"/>
              </w:rPr>
              <w:t>、你将收获什么</w:t>
            </w:r>
            <w:r>
              <w:rPr>
                <w:rFonts w:hint="eastAsia" w:ascii="仿宋" w:hAnsi="仿宋" w:eastAsia="仿宋" w:cs="仿宋"/>
                <w:sz w:val="24"/>
                <w:szCs w:val="24"/>
                <w:lang w:eastAsia="zh-CN"/>
              </w:rPr>
              <w:t>（</w:t>
            </w:r>
            <w:r>
              <w:rPr>
                <w:rFonts w:hint="eastAsia" w:ascii="仿宋" w:hAnsi="仿宋" w:eastAsia="仿宋" w:cs="仿宋"/>
                <w:sz w:val="24"/>
                <w:szCs w:val="24"/>
              </w:rPr>
              <w:t>建议500字以内为宜</w:t>
            </w:r>
            <w:r>
              <w:rPr>
                <w:rFonts w:hint="eastAsia" w:ascii="仿宋" w:hAnsi="仿宋" w:eastAsia="仿宋" w:cs="仿宋"/>
                <w:sz w:val="24"/>
                <w:szCs w:val="24"/>
                <w:lang w:eastAsia="zh-CN"/>
              </w:rPr>
              <w:t>）</w:t>
            </w:r>
            <w:r>
              <w:rPr>
                <w:rFonts w:hint="eastAsia" w:ascii="仿宋" w:hAnsi="仿宋" w:eastAsia="仿宋" w:cs="仿宋"/>
                <w:sz w:val="24"/>
                <w:szCs w:val="24"/>
              </w:rPr>
              <w:t>、适合什么人学习、师资团队</w:t>
            </w:r>
            <w:r>
              <w:rPr>
                <w:rFonts w:hint="eastAsia" w:ascii="仿宋" w:hAnsi="仿宋" w:eastAsia="仿宋" w:cs="仿宋"/>
                <w:sz w:val="24"/>
                <w:szCs w:val="24"/>
                <w:lang w:eastAsia="zh-CN"/>
              </w:rPr>
              <w:t>（</w:t>
            </w:r>
            <w:r>
              <w:rPr>
                <w:rFonts w:hint="eastAsia" w:ascii="仿宋" w:hAnsi="仿宋" w:eastAsia="仿宋" w:cs="仿宋"/>
                <w:sz w:val="24"/>
                <w:szCs w:val="24"/>
              </w:rPr>
              <w:t>建议500字以内为宜</w:t>
            </w:r>
            <w:r>
              <w:rPr>
                <w:rFonts w:hint="eastAsia" w:ascii="仿宋" w:hAnsi="仿宋" w:eastAsia="仿宋" w:cs="仿宋"/>
                <w:sz w:val="24"/>
                <w:szCs w:val="24"/>
                <w:lang w:eastAsia="zh-CN"/>
              </w:rPr>
              <w:t>）</w:t>
            </w:r>
          </w:p>
        </w:tc>
      </w:tr>
      <w:tr w14:paraId="32E171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38" w:hRule="atLeast"/>
          <w:jc w:val="center"/>
        </w:trPr>
        <w:tc>
          <w:tcPr>
            <w:tcW w:w="1263" w:type="pct"/>
            <w:tcBorders>
              <w:top w:val="single" w:color="auto" w:sz="4" w:space="0"/>
              <w:left w:val="single" w:color="auto" w:sz="4" w:space="0"/>
              <w:bottom w:val="single" w:color="auto" w:sz="4" w:space="0"/>
              <w:right w:val="single" w:color="auto" w:sz="4" w:space="0"/>
            </w:tcBorders>
            <w:noWrap w:val="0"/>
            <w:vAlign w:val="center"/>
          </w:tcPr>
          <w:p w14:paraId="3F8ACD93">
            <w:pPr>
              <w:bidi w:val="0"/>
              <w:jc w:val="center"/>
              <w:rPr>
                <w:rFonts w:hint="eastAsia" w:ascii="仿宋" w:hAnsi="仿宋" w:eastAsia="仿宋" w:cs="仿宋"/>
                <w:sz w:val="24"/>
                <w:szCs w:val="24"/>
              </w:rPr>
            </w:pPr>
            <w:r>
              <w:rPr>
                <w:rFonts w:hint="eastAsia" w:ascii="仿宋" w:hAnsi="仿宋" w:eastAsia="仿宋" w:cs="仿宋"/>
                <w:sz w:val="24"/>
                <w:szCs w:val="24"/>
              </w:rPr>
              <w:t>教学计划</w:t>
            </w:r>
          </w:p>
        </w:tc>
        <w:tc>
          <w:tcPr>
            <w:tcW w:w="524" w:type="pct"/>
            <w:tcBorders>
              <w:top w:val="single" w:color="auto" w:sz="4" w:space="0"/>
              <w:left w:val="single" w:color="auto" w:sz="4" w:space="0"/>
              <w:bottom w:val="single" w:color="auto" w:sz="4" w:space="0"/>
              <w:right w:val="single" w:color="auto" w:sz="4" w:space="0"/>
            </w:tcBorders>
            <w:noWrap w:val="0"/>
            <w:vAlign w:val="center"/>
          </w:tcPr>
          <w:p w14:paraId="4E7421D5">
            <w:pPr>
              <w:keepNext w:val="0"/>
              <w:keepLines w:val="0"/>
              <w:pageBreakBefore w:val="0"/>
              <w:widowControl/>
              <w:kinsoku w:val="0"/>
              <w:wordWrap/>
              <w:overflowPunct/>
              <w:topLinePunct w:val="0"/>
              <w:autoSpaceDE w:val="0"/>
              <w:autoSpaceDN w:val="0"/>
              <w:bidi w:val="0"/>
              <w:adjustRightInd w:val="0"/>
              <w:snapToGrid w:val="0"/>
              <w:jc w:val="center"/>
              <w:textAlignment w:val="baseline"/>
              <w:rPr>
                <w:rFonts w:hint="eastAsia" w:ascii="仿宋" w:hAnsi="仿宋" w:eastAsia="仿宋" w:cs="仿宋"/>
                <w:sz w:val="24"/>
                <w:szCs w:val="24"/>
              </w:rPr>
            </w:pPr>
          </w:p>
        </w:tc>
        <w:tc>
          <w:tcPr>
            <w:tcW w:w="3212" w:type="pct"/>
            <w:tcBorders>
              <w:top w:val="single" w:color="auto" w:sz="4" w:space="0"/>
              <w:left w:val="single" w:color="auto" w:sz="4" w:space="0"/>
              <w:bottom w:val="single" w:color="auto" w:sz="4" w:space="0"/>
              <w:right w:val="single" w:color="auto" w:sz="4" w:space="0"/>
            </w:tcBorders>
            <w:noWrap w:val="0"/>
            <w:vAlign w:val="center"/>
          </w:tcPr>
          <w:p w14:paraId="26F9A851">
            <w:pPr>
              <w:bidi w:val="0"/>
              <w:jc w:val="both"/>
              <w:rPr>
                <w:rFonts w:hint="eastAsia" w:ascii="仿宋" w:hAnsi="仿宋" w:eastAsia="仿宋" w:cs="仿宋"/>
                <w:sz w:val="24"/>
                <w:szCs w:val="24"/>
              </w:rPr>
            </w:pPr>
            <w:r>
              <w:rPr>
                <w:rFonts w:hint="eastAsia" w:ascii="仿宋" w:hAnsi="仿宋" w:eastAsia="仿宋" w:cs="仿宋"/>
                <w:sz w:val="24"/>
                <w:szCs w:val="24"/>
              </w:rPr>
              <w:t>1.该教学计划是指与在线开课相匹配的计划，有别于线下学校课堂的教学计划。</w:t>
            </w:r>
          </w:p>
          <w:p w14:paraId="2D44DA73">
            <w:pPr>
              <w:bidi w:val="0"/>
              <w:jc w:val="both"/>
              <w:rPr>
                <w:rFonts w:hint="eastAsia" w:ascii="仿宋" w:hAnsi="仿宋" w:eastAsia="仿宋" w:cs="仿宋"/>
                <w:sz w:val="24"/>
                <w:szCs w:val="24"/>
              </w:rPr>
            </w:pPr>
            <w:r>
              <w:rPr>
                <w:rFonts w:hint="eastAsia" w:ascii="仿宋" w:hAnsi="仿宋" w:eastAsia="仿宋" w:cs="仿宋"/>
                <w:sz w:val="24"/>
                <w:szCs w:val="24"/>
              </w:rPr>
              <w:t>2.在课程章节目录中建设独立的章节：绪论/教学计划——教学计划，</w:t>
            </w:r>
            <w:r>
              <w:rPr>
                <w:rFonts w:hint="eastAsia" w:ascii="仿宋" w:hAnsi="仿宋" w:eastAsia="仿宋" w:cs="仿宋"/>
                <w:sz w:val="24"/>
                <w:szCs w:val="24"/>
                <w:lang w:eastAsia="zh-CN"/>
              </w:rPr>
              <w:t>无须设置</w:t>
            </w:r>
            <w:r>
              <w:rPr>
                <w:rFonts w:hint="eastAsia" w:ascii="仿宋" w:hAnsi="仿宋" w:eastAsia="仿宋" w:cs="仿宋"/>
                <w:sz w:val="24"/>
                <w:szCs w:val="24"/>
              </w:rPr>
              <w:t xml:space="preserve">任务点。 </w:t>
            </w:r>
          </w:p>
          <w:p w14:paraId="0C2E3641">
            <w:pPr>
              <w:bidi w:val="0"/>
              <w:jc w:val="both"/>
              <w:rPr>
                <w:rFonts w:hint="eastAsia" w:ascii="仿宋" w:hAnsi="仿宋" w:eastAsia="仿宋" w:cs="仿宋"/>
                <w:sz w:val="24"/>
                <w:szCs w:val="24"/>
              </w:rPr>
            </w:pPr>
            <w:r>
              <w:rPr>
                <w:rFonts w:hint="eastAsia" w:ascii="仿宋" w:hAnsi="仿宋" w:eastAsia="仿宋" w:cs="仿宋"/>
                <w:sz w:val="24"/>
                <w:szCs w:val="24"/>
              </w:rPr>
              <w:t xml:space="preserve">3.内容主要为当前学期的教学安排，可以以教学周/章为单位，建议包含如下几个方面： </w:t>
            </w:r>
          </w:p>
          <w:p w14:paraId="0F4728F0">
            <w:pPr>
              <w:bidi w:val="0"/>
              <w:jc w:val="both"/>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rPr>
              <w:t>1</w:t>
            </w:r>
            <w:r>
              <w:rPr>
                <w:rFonts w:hint="eastAsia" w:ascii="仿宋" w:hAnsi="仿宋" w:eastAsia="仿宋" w:cs="仿宋"/>
                <w:sz w:val="24"/>
                <w:szCs w:val="24"/>
                <w:lang w:eastAsia="zh-CN"/>
              </w:rPr>
              <w:t>）</w:t>
            </w:r>
            <w:r>
              <w:rPr>
                <w:rFonts w:hint="eastAsia" w:ascii="仿宋" w:hAnsi="仿宋" w:eastAsia="仿宋" w:cs="仿宋"/>
                <w:sz w:val="24"/>
                <w:szCs w:val="24"/>
              </w:rPr>
              <w:t>整体描述教学原则和思路；</w:t>
            </w:r>
          </w:p>
          <w:p w14:paraId="41C5AFE1">
            <w:pPr>
              <w:bidi w:val="0"/>
              <w:jc w:val="both"/>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rPr>
              <w:t>2</w:t>
            </w:r>
            <w:r>
              <w:rPr>
                <w:rFonts w:hint="eastAsia" w:ascii="仿宋" w:hAnsi="仿宋" w:eastAsia="仿宋" w:cs="仿宋"/>
                <w:sz w:val="24"/>
                <w:szCs w:val="24"/>
                <w:lang w:eastAsia="zh-CN"/>
              </w:rPr>
              <w:t>）</w:t>
            </w:r>
            <w:r>
              <w:rPr>
                <w:rFonts w:hint="eastAsia" w:ascii="仿宋" w:hAnsi="仿宋" w:eastAsia="仿宋" w:cs="仿宋"/>
                <w:sz w:val="24"/>
                <w:szCs w:val="24"/>
              </w:rPr>
              <w:t>简要说明</w:t>
            </w:r>
            <w:r>
              <w:rPr>
                <w:rFonts w:hint="eastAsia" w:ascii="仿宋" w:hAnsi="仿宋" w:eastAsia="仿宋" w:cs="仿宋"/>
                <w:sz w:val="24"/>
                <w:szCs w:val="24"/>
                <w:lang w:val="en-US" w:eastAsia="zh-CN"/>
              </w:rPr>
              <w:t>每</w:t>
            </w:r>
            <w:r>
              <w:rPr>
                <w:rFonts w:hint="eastAsia" w:ascii="仿宋" w:hAnsi="仿宋" w:eastAsia="仿宋" w:cs="仿宋"/>
                <w:sz w:val="24"/>
                <w:szCs w:val="24"/>
              </w:rPr>
              <w:t>一周/章的教学内容和要求；</w:t>
            </w:r>
          </w:p>
          <w:p w14:paraId="4F14FAEF">
            <w:pPr>
              <w:bidi w:val="0"/>
              <w:jc w:val="both"/>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rPr>
              <w:t>3</w:t>
            </w:r>
            <w:r>
              <w:rPr>
                <w:rFonts w:hint="eastAsia" w:ascii="仿宋" w:hAnsi="仿宋" w:eastAsia="仿宋" w:cs="仿宋"/>
                <w:sz w:val="24"/>
                <w:szCs w:val="24"/>
                <w:lang w:eastAsia="zh-CN"/>
              </w:rPr>
              <w:t>）</w:t>
            </w:r>
            <w:r>
              <w:rPr>
                <w:rFonts w:hint="eastAsia" w:ascii="仿宋" w:hAnsi="仿宋" w:eastAsia="仿宋" w:cs="仿宋"/>
                <w:sz w:val="24"/>
                <w:szCs w:val="24"/>
              </w:rPr>
              <w:t>整体说明测验、作业、考试、直播课等安排：考试和直播课次数及大致时间，</w:t>
            </w:r>
          </w:p>
          <w:p w14:paraId="21E2601E">
            <w:pPr>
              <w:bidi w:val="0"/>
              <w:jc w:val="both"/>
              <w:rPr>
                <w:rFonts w:hint="eastAsia" w:ascii="仿宋" w:hAnsi="仿宋" w:eastAsia="仿宋" w:cs="仿宋"/>
                <w:sz w:val="24"/>
                <w:szCs w:val="24"/>
              </w:rPr>
            </w:pPr>
            <w:r>
              <w:rPr>
                <w:rFonts w:hint="eastAsia" w:ascii="仿宋" w:hAnsi="仿宋" w:eastAsia="仿宋" w:cs="仿宋"/>
                <w:sz w:val="24"/>
                <w:szCs w:val="24"/>
              </w:rPr>
              <w:t>4.呈现方式多样</w:t>
            </w:r>
            <w:r>
              <w:rPr>
                <w:rFonts w:hint="eastAsia" w:ascii="仿宋" w:hAnsi="仿宋" w:eastAsia="仿宋" w:cs="仿宋"/>
                <w:sz w:val="24"/>
                <w:szCs w:val="24"/>
                <w:lang w:eastAsia="zh-CN"/>
              </w:rPr>
              <w:t>，</w:t>
            </w:r>
            <w:r>
              <w:rPr>
                <w:rFonts w:hint="eastAsia" w:ascii="仿宋" w:hAnsi="仿宋" w:eastAsia="仿宋" w:cs="仿宋"/>
                <w:sz w:val="24"/>
                <w:szCs w:val="24"/>
              </w:rPr>
              <w:t>文本、图片、表格、文档等均可。</w:t>
            </w:r>
          </w:p>
        </w:tc>
      </w:tr>
      <w:tr w14:paraId="2B6D6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9" w:hRule="atLeast"/>
          <w:jc w:val="center"/>
        </w:trPr>
        <w:tc>
          <w:tcPr>
            <w:tcW w:w="1263" w:type="pct"/>
            <w:tcBorders>
              <w:top w:val="single" w:color="auto" w:sz="4" w:space="0"/>
              <w:left w:val="single" w:color="auto" w:sz="4" w:space="0"/>
              <w:bottom w:val="single" w:color="auto" w:sz="4" w:space="0"/>
              <w:right w:val="single" w:color="auto" w:sz="4" w:space="0"/>
            </w:tcBorders>
            <w:noWrap w:val="0"/>
            <w:vAlign w:val="center"/>
          </w:tcPr>
          <w:p w14:paraId="572D2DFC">
            <w:pPr>
              <w:bidi w:val="0"/>
              <w:jc w:val="center"/>
              <w:rPr>
                <w:rFonts w:hint="eastAsia" w:ascii="仿宋" w:hAnsi="仿宋" w:eastAsia="仿宋" w:cs="仿宋"/>
                <w:sz w:val="24"/>
                <w:szCs w:val="24"/>
              </w:rPr>
            </w:pPr>
            <w:r>
              <w:rPr>
                <w:rFonts w:hint="eastAsia" w:ascii="仿宋" w:hAnsi="仿宋" w:eastAsia="仿宋" w:cs="仿宋"/>
                <w:sz w:val="24"/>
                <w:szCs w:val="24"/>
              </w:rPr>
              <w:t>学时学分</w:t>
            </w:r>
          </w:p>
        </w:tc>
        <w:tc>
          <w:tcPr>
            <w:tcW w:w="524" w:type="pct"/>
            <w:tcBorders>
              <w:top w:val="single" w:color="auto" w:sz="4" w:space="0"/>
              <w:left w:val="single" w:color="auto" w:sz="4" w:space="0"/>
              <w:bottom w:val="single" w:color="auto" w:sz="4" w:space="0"/>
              <w:right w:val="single" w:color="auto" w:sz="4" w:space="0"/>
            </w:tcBorders>
            <w:noWrap w:val="0"/>
            <w:vAlign w:val="center"/>
          </w:tcPr>
          <w:p w14:paraId="38FC166B">
            <w:pPr>
              <w:keepNext w:val="0"/>
              <w:keepLines w:val="0"/>
              <w:pageBreakBefore w:val="0"/>
              <w:widowControl/>
              <w:kinsoku w:val="0"/>
              <w:wordWrap/>
              <w:overflowPunct/>
              <w:topLinePunct w:val="0"/>
              <w:autoSpaceDE w:val="0"/>
              <w:autoSpaceDN w:val="0"/>
              <w:bidi w:val="0"/>
              <w:adjustRightInd w:val="0"/>
              <w:snapToGrid w:val="0"/>
              <w:jc w:val="center"/>
              <w:textAlignment w:val="baseline"/>
              <w:rPr>
                <w:rFonts w:hint="eastAsia" w:ascii="仿宋" w:hAnsi="仿宋" w:eastAsia="仿宋" w:cs="仿宋"/>
                <w:sz w:val="24"/>
                <w:szCs w:val="24"/>
                <w:lang w:val="en-US" w:eastAsia="en-US"/>
              </w:rPr>
            </w:pPr>
            <w:r>
              <w:rPr>
                <w:rFonts w:hint="eastAsia" w:ascii="仿宋" w:hAnsi="仿宋" w:eastAsia="仿宋" w:cs="仿宋"/>
                <w:sz w:val="24"/>
                <w:szCs w:val="24"/>
              </w:rPr>
              <w:t>√</w:t>
            </w:r>
          </w:p>
        </w:tc>
        <w:tc>
          <w:tcPr>
            <w:tcW w:w="3212" w:type="pct"/>
            <w:tcBorders>
              <w:top w:val="single" w:color="auto" w:sz="4" w:space="0"/>
              <w:left w:val="single" w:color="auto" w:sz="4" w:space="0"/>
              <w:bottom w:val="single" w:color="auto" w:sz="4" w:space="0"/>
              <w:right w:val="single" w:color="auto" w:sz="4" w:space="0"/>
            </w:tcBorders>
            <w:noWrap w:val="0"/>
            <w:vAlign w:val="center"/>
          </w:tcPr>
          <w:p w14:paraId="74489EB7">
            <w:pPr>
              <w:bidi w:val="0"/>
              <w:jc w:val="both"/>
              <w:rPr>
                <w:rFonts w:hint="eastAsia" w:ascii="仿宋" w:hAnsi="仿宋" w:eastAsia="仿宋" w:cs="仿宋"/>
                <w:sz w:val="24"/>
                <w:szCs w:val="24"/>
              </w:rPr>
            </w:pPr>
            <w:r>
              <w:rPr>
                <w:rFonts w:hint="eastAsia" w:ascii="仿宋" w:hAnsi="仿宋" w:eastAsia="仿宋" w:cs="仿宋"/>
                <w:sz w:val="24"/>
                <w:szCs w:val="24"/>
              </w:rPr>
              <w:t>须有学时学分， 一般1学分=14-16学时。</w:t>
            </w:r>
          </w:p>
        </w:tc>
      </w:tr>
      <w:tr w14:paraId="7B9E9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0" w:hRule="atLeast"/>
          <w:jc w:val="center"/>
        </w:trPr>
        <w:tc>
          <w:tcPr>
            <w:tcW w:w="1263" w:type="pct"/>
            <w:tcBorders>
              <w:top w:val="single" w:color="auto" w:sz="4" w:space="0"/>
              <w:left w:val="single" w:color="auto" w:sz="4" w:space="0"/>
              <w:bottom w:val="single" w:color="auto" w:sz="4" w:space="0"/>
              <w:right w:val="single" w:color="auto" w:sz="4" w:space="0"/>
            </w:tcBorders>
            <w:noWrap w:val="0"/>
            <w:vAlign w:val="center"/>
          </w:tcPr>
          <w:p w14:paraId="47B34E1D">
            <w:pPr>
              <w:bidi w:val="0"/>
              <w:jc w:val="center"/>
              <w:rPr>
                <w:rFonts w:hint="eastAsia" w:ascii="仿宋" w:hAnsi="仿宋" w:eastAsia="仿宋" w:cs="仿宋"/>
                <w:sz w:val="24"/>
                <w:szCs w:val="24"/>
              </w:rPr>
            </w:pPr>
            <w:r>
              <w:rPr>
                <w:rFonts w:hint="eastAsia" w:ascii="仿宋" w:hAnsi="仿宋" w:eastAsia="仿宋" w:cs="仿宋"/>
                <w:sz w:val="24"/>
                <w:szCs w:val="24"/>
              </w:rPr>
              <w:t>课程视频数</w:t>
            </w:r>
            <w:r>
              <w:rPr>
                <w:rFonts w:hint="eastAsia" w:ascii="仿宋" w:hAnsi="仿宋" w:eastAsia="仿宋" w:cs="仿宋"/>
                <w:sz w:val="24"/>
                <w:szCs w:val="24"/>
                <w:lang w:eastAsia="zh-CN"/>
              </w:rPr>
              <w:t>（</w:t>
            </w:r>
            <w:r>
              <w:rPr>
                <w:rFonts w:hint="eastAsia" w:ascii="仿宋" w:hAnsi="仿宋" w:eastAsia="仿宋" w:cs="仿宋"/>
                <w:sz w:val="24"/>
                <w:szCs w:val="24"/>
              </w:rPr>
              <w:t>个</w:t>
            </w:r>
            <w:r>
              <w:rPr>
                <w:rFonts w:hint="eastAsia" w:ascii="仿宋" w:hAnsi="仿宋" w:eastAsia="仿宋" w:cs="仿宋"/>
                <w:sz w:val="24"/>
                <w:szCs w:val="24"/>
                <w:lang w:eastAsia="zh-CN"/>
              </w:rPr>
              <w:t>）</w:t>
            </w:r>
          </w:p>
        </w:tc>
        <w:tc>
          <w:tcPr>
            <w:tcW w:w="524" w:type="pct"/>
            <w:tcBorders>
              <w:top w:val="single" w:color="auto" w:sz="4" w:space="0"/>
              <w:left w:val="single" w:color="auto" w:sz="4" w:space="0"/>
              <w:bottom w:val="single" w:color="auto" w:sz="4" w:space="0"/>
              <w:right w:val="single" w:color="auto" w:sz="4" w:space="0"/>
            </w:tcBorders>
            <w:noWrap w:val="0"/>
            <w:vAlign w:val="center"/>
          </w:tcPr>
          <w:p w14:paraId="0AF460A8">
            <w:pPr>
              <w:keepNext w:val="0"/>
              <w:keepLines w:val="0"/>
              <w:pageBreakBefore w:val="0"/>
              <w:widowControl/>
              <w:kinsoku w:val="0"/>
              <w:wordWrap/>
              <w:overflowPunct/>
              <w:topLinePunct w:val="0"/>
              <w:autoSpaceDE w:val="0"/>
              <w:autoSpaceDN w:val="0"/>
              <w:bidi w:val="0"/>
              <w:adjustRightInd w:val="0"/>
              <w:snapToGrid w:val="0"/>
              <w:jc w:val="center"/>
              <w:textAlignment w:val="baseline"/>
              <w:rPr>
                <w:rFonts w:hint="default" w:ascii="仿宋" w:hAnsi="仿宋" w:eastAsia="仿宋" w:cs="仿宋"/>
                <w:sz w:val="24"/>
                <w:szCs w:val="24"/>
                <w:lang w:val="en-US" w:eastAsia="zh-CN"/>
              </w:rPr>
            </w:pPr>
            <w:r>
              <w:rPr>
                <w:rFonts w:hint="eastAsia" w:ascii="仿宋" w:hAnsi="仿宋" w:eastAsia="仿宋" w:cs="仿宋"/>
                <w:sz w:val="24"/>
                <w:szCs w:val="24"/>
              </w:rPr>
              <w:t>≥</w:t>
            </w:r>
            <w:r>
              <w:rPr>
                <w:rFonts w:hint="eastAsia" w:ascii="仿宋" w:hAnsi="仿宋" w:eastAsia="仿宋" w:cs="仿宋"/>
                <w:sz w:val="24"/>
                <w:szCs w:val="24"/>
                <w:lang w:val="en-US" w:eastAsia="zh-CN"/>
              </w:rPr>
              <w:t>30</w:t>
            </w:r>
          </w:p>
        </w:tc>
        <w:tc>
          <w:tcPr>
            <w:tcW w:w="3212" w:type="pct"/>
            <w:tcBorders>
              <w:top w:val="single" w:color="auto" w:sz="4" w:space="0"/>
              <w:left w:val="single" w:color="auto" w:sz="4" w:space="0"/>
              <w:bottom w:val="single" w:color="auto" w:sz="4" w:space="0"/>
              <w:right w:val="single" w:color="auto" w:sz="4" w:space="0"/>
            </w:tcBorders>
            <w:noWrap w:val="0"/>
            <w:vAlign w:val="center"/>
          </w:tcPr>
          <w:p w14:paraId="1AACC42F">
            <w:pPr>
              <w:bidi w:val="0"/>
              <w:jc w:val="both"/>
              <w:rPr>
                <w:rFonts w:hint="eastAsia" w:ascii="仿宋" w:hAnsi="仿宋" w:eastAsia="仿宋" w:cs="仿宋"/>
                <w:sz w:val="24"/>
                <w:szCs w:val="24"/>
              </w:rPr>
            </w:pPr>
            <w:r>
              <w:rPr>
                <w:rFonts w:hint="eastAsia" w:ascii="仿宋" w:hAnsi="仿宋" w:eastAsia="仿宋" w:cs="仿宋"/>
                <w:sz w:val="24"/>
                <w:szCs w:val="24"/>
              </w:rPr>
              <w:t>包含任务点视频和非任务点视频</w:t>
            </w:r>
          </w:p>
        </w:tc>
      </w:tr>
      <w:tr w14:paraId="526A4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9" w:hRule="atLeast"/>
          <w:jc w:val="center"/>
        </w:trPr>
        <w:tc>
          <w:tcPr>
            <w:tcW w:w="1263" w:type="pct"/>
            <w:tcBorders>
              <w:top w:val="single" w:color="auto" w:sz="4" w:space="0"/>
              <w:left w:val="single" w:color="auto" w:sz="4" w:space="0"/>
              <w:bottom w:val="single" w:color="auto" w:sz="4" w:space="0"/>
              <w:right w:val="single" w:color="auto" w:sz="4" w:space="0"/>
            </w:tcBorders>
            <w:noWrap w:val="0"/>
            <w:vAlign w:val="center"/>
          </w:tcPr>
          <w:p w14:paraId="11AE75A2">
            <w:pPr>
              <w:bidi w:val="0"/>
              <w:jc w:val="center"/>
              <w:rPr>
                <w:rFonts w:hint="eastAsia" w:ascii="仿宋" w:hAnsi="仿宋" w:eastAsia="仿宋" w:cs="仿宋"/>
                <w:sz w:val="24"/>
                <w:szCs w:val="24"/>
              </w:rPr>
            </w:pPr>
            <w:r>
              <w:rPr>
                <w:rFonts w:hint="eastAsia" w:ascii="仿宋" w:hAnsi="仿宋" w:eastAsia="仿宋" w:cs="仿宋"/>
                <w:sz w:val="24"/>
                <w:szCs w:val="24"/>
              </w:rPr>
              <w:t>视频时长(分钟</w:t>
            </w:r>
            <w:r>
              <w:rPr>
                <w:rFonts w:hint="eastAsia" w:ascii="仿宋" w:hAnsi="仿宋" w:eastAsia="仿宋" w:cs="仿宋"/>
                <w:sz w:val="24"/>
                <w:szCs w:val="24"/>
                <w:lang w:eastAsia="zh-CN"/>
              </w:rPr>
              <w:t>）</w:t>
            </w:r>
          </w:p>
        </w:tc>
        <w:tc>
          <w:tcPr>
            <w:tcW w:w="524" w:type="pct"/>
            <w:tcBorders>
              <w:top w:val="single" w:color="auto" w:sz="4" w:space="0"/>
              <w:left w:val="single" w:color="auto" w:sz="4" w:space="0"/>
              <w:bottom w:val="single" w:color="auto" w:sz="4" w:space="0"/>
              <w:right w:val="single" w:color="auto" w:sz="4" w:space="0"/>
            </w:tcBorders>
            <w:noWrap w:val="0"/>
            <w:vAlign w:val="center"/>
          </w:tcPr>
          <w:p w14:paraId="5E898A5F">
            <w:pPr>
              <w:keepNext w:val="0"/>
              <w:keepLines w:val="0"/>
              <w:pageBreakBefore w:val="0"/>
              <w:widowControl/>
              <w:kinsoku w:val="0"/>
              <w:wordWrap/>
              <w:overflowPunct/>
              <w:topLinePunct w:val="0"/>
              <w:autoSpaceDE w:val="0"/>
              <w:autoSpaceDN w:val="0"/>
              <w:bidi w:val="0"/>
              <w:adjustRightInd w:val="0"/>
              <w:snapToGrid w:val="0"/>
              <w:jc w:val="center"/>
              <w:textAlignment w:val="baseline"/>
              <w:rPr>
                <w:rFonts w:hint="eastAsia" w:ascii="仿宋" w:hAnsi="仿宋" w:eastAsia="仿宋" w:cs="仿宋"/>
                <w:sz w:val="24"/>
                <w:szCs w:val="24"/>
              </w:rPr>
            </w:pPr>
            <w:r>
              <w:rPr>
                <w:rFonts w:hint="eastAsia" w:ascii="仿宋" w:hAnsi="仿宋" w:eastAsia="仿宋" w:cs="仿宋"/>
                <w:sz w:val="24"/>
                <w:szCs w:val="24"/>
              </w:rPr>
              <w:t>≥150</w:t>
            </w:r>
          </w:p>
        </w:tc>
        <w:tc>
          <w:tcPr>
            <w:tcW w:w="3212" w:type="pct"/>
            <w:tcBorders>
              <w:top w:val="single" w:color="auto" w:sz="4" w:space="0"/>
              <w:left w:val="single" w:color="auto" w:sz="4" w:space="0"/>
              <w:bottom w:val="single" w:color="auto" w:sz="4" w:space="0"/>
              <w:right w:val="single" w:color="auto" w:sz="4" w:space="0"/>
            </w:tcBorders>
            <w:noWrap w:val="0"/>
            <w:vAlign w:val="center"/>
          </w:tcPr>
          <w:p w14:paraId="30EA82F5">
            <w:pPr>
              <w:bidi w:val="0"/>
              <w:jc w:val="both"/>
              <w:rPr>
                <w:rFonts w:hint="eastAsia" w:ascii="仿宋" w:hAnsi="仿宋" w:eastAsia="仿宋" w:cs="仿宋"/>
                <w:sz w:val="24"/>
                <w:szCs w:val="24"/>
              </w:rPr>
            </w:pPr>
            <w:r>
              <w:rPr>
                <w:rFonts w:hint="eastAsia" w:ascii="仿宋" w:hAnsi="仿宋" w:eastAsia="仿宋" w:cs="仿宋"/>
                <w:sz w:val="24"/>
                <w:szCs w:val="24"/>
              </w:rPr>
              <w:t>单个视频时长</w:t>
            </w:r>
            <w:r>
              <w:rPr>
                <w:rFonts w:hint="eastAsia" w:ascii="仿宋" w:hAnsi="仿宋" w:eastAsia="仿宋" w:cs="仿宋"/>
                <w:sz w:val="24"/>
                <w:szCs w:val="24"/>
                <w:lang w:val="en-US" w:eastAsia="zh-CN"/>
              </w:rPr>
              <w:t>8</w:t>
            </w:r>
            <w:r>
              <w:rPr>
                <w:rFonts w:hint="eastAsia" w:ascii="仿宋" w:hAnsi="仿宋" w:eastAsia="仿宋" w:cs="仿宋"/>
                <w:sz w:val="24"/>
                <w:szCs w:val="24"/>
                <w:lang w:eastAsia="zh-CN"/>
              </w:rPr>
              <w:t>—</w:t>
            </w:r>
            <w:r>
              <w:rPr>
                <w:rFonts w:hint="eastAsia" w:ascii="仿宋" w:hAnsi="仿宋" w:eastAsia="仿宋" w:cs="仿宋"/>
                <w:sz w:val="24"/>
                <w:szCs w:val="24"/>
              </w:rPr>
              <w:t>15分钟，申报课程建议</w:t>
            </w:r>
            <w:r>
              <w:rPr>
                <w:rFonts w:hint="eastAsia" w:ascii="仿宋" w:hAnsi="仿宋" w:eastAsia="仿宋" w:cs="仿宋"/>
                <w:sz w:val="24"/>
                <w:szCs w:val="24"/>
                <w:lang w:val="en-US" w:eastAsia="zh-CN"/>
              </w:rPr>
              <w:t>300</w:t>
            </w:r>
            <w:r>
              <w:rPr>
                <w:rFonts w:hint="eastAsia" w:ascii="仿宋" w:hAnsi="仿宋" w:eastAsia="仿宋" w:cs="仿宋"/>
                <w:sz w:val="24"/>
                <w:szCs w:val="24"/>
                <w:lang w:eastAsia="zh-CN"/>
              </w:rPr>
              <w:t>—</w:t>
            </w:r>
            <w:r>
              <w:rPr>
                <w:rFonts w:hint="eastAsia" w:ascii="仿宋" w:hAnsi="仿宋" w:eastAsia="仿宋" w:cs="仿宋"/>
                <w:sz w:val="24"/>
                <w:szCs w:val="24"/>
              </w:rPr>
              <w:t>600分钟。</w:t>
            </w:r>
            <w:r>
              <w:rPr>
                <w:rFonts w:hint="eastAsia" w:ascii="仿宋" w:hAnsi="仿宋" w:eastAsia="仿宋" w:cs="仿宋"/>
                <w:sz w:val="24"/>
                <w:szCs w:val="24"/>
                <w:lang w:eastAsia="zh-CN"/>
              </w:rPr>
              <w:t>（</w:t>
            </w:r>
            <w:r>
              <w:rPr>
                <w:rFonts w:hint="eastAsia" w:ascii="仿宋" w:hAnsi="仿宋" w:eastAsia="仿宋" w:cs="仿宋"/>
                <w:sz w:val="24"/>
                <w:szCs w:val="24"/>
              </w:rPr>
              <w:t>任务点视频中引用其他视频资源时长&lt;当前任务点视频时长的20%</w:t>
            </w:r>
            <w:r>
              <w:rPr>
                <w:rFonts w:hint="eastAsia" w:ascii="仿宋" w:hAnsi="仿宋" w:eastAsia="仿宋" w:cs="仿宋"/>
                <w:sz w:val="24"/>
                <w:szCs w:val="24"/>
                <w:lang w:eastAsia="zh-CN"/>
              </w:rPr>
              <w:t>）</w:t>
            </w:r>
          </w:p>
        </w:tc>
      </w:tr>
      <w:tr w14:paraId="655F2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28" w:hRule="atLeast"/>
          <w:jc w:val="center"/>
        </w:trPr>
        <w:tc>
          <w:tcPr>
            <w:tcW w:w="1263" w:type="pct"/>
            <w:tcBorders>
              <w:top w:val="single" w:color="auto" w:sz="4" w:space="0"/>
              <w:left w:val="single" w:color="auto" w:sz="4" w:space="0"/>
              <w:bottom w:val="single" w:color="auto" w:sz="4" w:space="0"/>
              <w:right w:val="single" w:color="auto" w:sz="4" w:space="0"/>
            </w:tcBorders>
            <w:noWrap w:val="0"/>
            <w:vAlign w:val="center"/>
          </w:tcPr>
          <w:p w14:paraId="78ADB204">
            <w:pPr>
              <w:bidi w:val="0"/>
              <w:jc w:val="center"/>
              <w:rPr>
                <w:rFonts w:hint="eastAsia" w:ascii="仿宋" w:hAnsi="仿宋" w:eastAsia="仿宋" w:cs="仿宋"/>
                <w:sz w:val="24"/>
                <w:szCs w:val="24"/>
              </w:rPr>
            </w:pPr>
            <w:r>
              <w:rPr>
                <w:rFonts w:hint="eastAsia" w:ascii="仿宋" w:hAnsi="仿宋" w:eastAsia="仿宋" w:cs="仿宋"/>
                <w:sz w:val="24"/>
                <w:szCs w:val="24"/>
              </w:rPr>
              <w:t>视频质量</w:t>
            </w:r>
          </w:p>
        </w:tc>
        <w:tc>
          <w:tcPr>
            <w:tcW w:w="524" w:type="pct"/>
            <w:tcBorders>
              <w:top w:val="single" w:color="auto" w:sz="4" w:space="0"/>
              <w:left w:val="single" w:color="auto" w:sz="4" w:space="0"/>
              <w:bottom w:val="single" w:color="auto" w:sz="4" w:space="0"/>
              <w:right w:val="single" w:color="auto" w:sz="4" w:space="0"/>
            </w:tcBorders>
            <w:noWrap w:val="0"/>
            <w:vAlign w:val="center"/>
          </w:tcPr>
          <w:p w14:paraId="5720E946">
            <w:pPr>
              <w:bidi w:val="0"/>
              <w:jc w:val="center"/>
              <w:rPr>
                <w:rFonts w:hint="eastAsia" w:ascii="仿宋" w:hAnsi="仿宋" w:eastAsia="仿宋" w:cs="仿宋"/>
                <w:sz w:val="24"/>
                <w:szCs w:val="24"/>
                <w:lang w:val="en-US" w:eastAsia="en-US"/>
              </w:rPr>
            </w:pPr>
            <w:r>
              <w:rPr>
                <w:rFonts w:hint="eastAsia" w:ascii="仿宋" w:hAnsi="仿宋" w:eastAsia="仿宋" w:cs="仿宋"/>
                <w:sz w:val="24"/>
                <w:szCs w:val="24"/>
              </w:rPr>
              <w:t>√</w:t>
            </w:r>
          </w:p>
        </w:tc>
        <w:tc>
          <w:tcPr>
            <w:tcW w:w="3212" w:type="pct"/>
            <w:tcBorders>
              <w:top w:val="single" w:color="auto" w:sz="4" w:space="0"/>
              <w:left w:val="single" w:color="auto" w:sz="4" w:space="0"/>
              <w:bottom w:val="single" w:color="auto" w:sz="4" w:space="0"/>
              <w:right w:val="single" w:color="auto" w:sz="4" w:space="0"/>
            </w:tcBorders>
            <w:noWrap w:val="0"/>
            <w:vAlign w:val="center"/>
          </w:tcPr>
          <w:p w14:paraId="2C1FE267">
            <w:pPr>
              <w:bidi w:val="0"/>
              <w:jc w:val="both"/>
              <w:rPr>
                <w:rFonts w:hint="eastAsia" w:ascii="仿宋" w:hAnsi="仿宋" w:eastAsia="仿宋" w:cs="仿宋"/>
                <w:sz w:val="24"/>
                <w:szCs w:val="24"/>
              </w:rPr>
            </w:pPr>
            <w:r>
              <w:rPr>
                <w:rFonts w:hint="eastAsia" w:ascii="仿宋" w:hAnsi="仿宋" w:eastAsia="仿宋" w:cs="仿宋"/>
                <w:sz w:val="24"/>
                <w:szCs w:val="24"/>
              </w:rPr>
              <w:t>1.视频画面建议分辨率：1280×720</w:t>
            </w:r>
            <w:r>
              <w:rPr>
                <w:rFonts w:hint="eastAsia" w:ascii="仿宋" w:hAnsi="仿宋" w:eastAsia="仿宋" w:cs="仿宋"/>
                <w:sz w:val="24"/>
                <w:szCs w:val="24"/>
                <w:lang w:eastAsia="zh-CN"/>
              </w:rPr>
              <w:t>，</w:t>
            </w:r>
            <w:r>
              <w:rPr>
                <w:rFonts w:hint="eastAsia" w:ascii="仿宋" w:hAnsi="仿宋" w:eastAsia="仿宋" w:cs="仿宋"/>
                <w:sz w:val="24"/>
                <w:szCs w:val="24"/>
              </w:rPr>
              <w:t>比例：16:9</w:t>
            </w:r>
            <w:r>
              <w:rPr>
                <w:rFonts w:hint="eastAsia" w:ascii="仿宋" w:hAnsi="仿宋" w:eastAsia="仿宋" w:cs="仿宋"/>
                <w:sz w:val="24"/>
                <w:szCs w:val="24"/>
                <w:lang w:eastAsia="zh-CN"/>
              </w:rPr>
              <w:t>；</w:t>
            </w:r>
            <w:r>
              <w:rPr>
                <w:rFonts w:hint="eastAsia" w:ascii="仿宋" w:hAnsi="仿宋" w:eastAsia="仿宋" w:cs="仿宋"/>
                <w:sz w:val="24"/>
                <w:szCs w:val="24"/>
              </w:rPr>
              <w:t>上传视频建议视频码流率不得低于2400kb/s</w:t>
            </w:r>
            <w:r>
              <w:rPr>
                <w:rFonts w:hint="eastAsia" w:ascii="仿宋" w:hAnsi="仿宋" w:eastAsia="仿宋" w:cs="仿宋"/>
                <w:sz w:val="24"/>
                <w:szCs w:val="24"/>
                <w:lang w:eastAsia="zh-CN"/>
              </w:rPr>
              <w:t>；</w:t>
            </w:r>
            <w:r>
              <w:rPr>
                <w:rFonts w:hint="eastAsia" w:ascii="仿宋" w:hAnsi="仿宋" w:eastAsia="仿宋" w:cs="仿宋"/>
                <w:sz w:val="24"/>
                <w:szCs w:val="24"/>
              </w:rPr>
              <w:t>视频帧率为 25帧/秒；</w:t>
            </w:r>
          </w:p>
          <w:p w14:paraId="024B5B82">
            <w:pPr>
              <w:bidi w:val="0"/>
              <w:jc w:val="both"/>
              <w:rPr>
                <w:rFonts w:hint="eastAsia" w:ascii="仿宋" w:hAnsi="仿宋" w:eastAsia="仿宋" w:cs="仿宋"/>
                <w:sz w:val="24"/>
                <w:szCs w:val="24"/>
              </w:rPr>
            </w:pPr>
            <w:r>
              <w:rPr>
                <w:rFonts w:hint="eastAsia" w:ascii="仿宋" w:hAnsi="仿宋" w:eastAsia="仿宋" w:cs="仿宋"/>
                <w:sz w:val="24"/>
                <w:szCs w:val="24"/>
              </w:rPr>
              <w:t>2.音频要求</w:t>
            </w:r>
            <w:r>
              <w:rPr>
                <w:rFonts w:hint="eastAsia" w:ascii="仿宋" w:hAnsi="仿宋" w:eastAsia="仿宋" w:cs="仿宋"/>
                <w:sz w:val="24"/>
                <w:szCs w:val="24"/>
                <w:lang w:eastAsia="zh-CN"/>
              </w:rPr>
              <w:t>清晰</w:t>
            </w:r>
            <w:r>
              <w:rPr>
                <w:rFonts w:hint="eastAsia" w:ascii="仿宋" w:hAnsi="仿宋" w:eastAsia="仿宋" w:cs="仿宋"/>
                <w:sz w:val="24"/>
                <w:szCs w:val="24"/>
              </w:rPr>
              <w:t>，无交流声或其他杂音、噪音等缺陷；上传音频建议采样率48KHz</w:t>
            </w:r>
            <w:r>
              <w:rPr>
                <w:rFonts w:hint="eastAsia" w:ascii="仿宋" w:hAnsi="仿宋" w:eastAsia="仿宋" w:cs="仿宋"/>
                <w:sz w:val="24"/>
                <w:szCs w:val="24"/>
                <w:lang w:eastAsia="zh-CN"/>
              </w:rPr>
              <w:t>；</w:t>
            </w:r>
            <w:r>
              <w:rPr>
                <w:rFonts w:hint="eastAsia" w:ascii="仿宋" w:hAnsi="仿宋" w:eastAsia="仿宋" w:cs="仿宋"/>
                <w:sz w:val="24"/>
                <w:szCs w:val="24"/>
              </w:rPr>
              <w:t>音频码流率128Kbps</w:t>
            </w:r>
            <w:r>
              <w:rPr>
                <w:rFonts w:hint="eastAsia" w:ascii="仿宋" w:hAnsi="仿宋" w:eastAsia="仿宋" w:cs="仿宋"/>
                <w:sz w:val="24"/>
                <w:szCs w:val="24"/>
                <w:lang w:eastAsia="zh-CN"/>
              </w:rPr>
              <w:t>（</w:t>
            </w:r>
            <w:r>
              <w:rPr>
                <w:rFonts w:hint="eastAsia" w:ascii="仿宋" w:hAnsi="仿宋" w:eastAsia="仿宋" w:cs="仿宋"/>
                <w:sz w:val="24"/>
                <w:szCs w:val="24"/>
              </w:rPr>
              <w:t>恒定</w:t>
            </w:r>
            <w:r>
              <w:rPr>
                <w:rFonts w:hint="eastAsia" w:ascii="仿宋" w:hAnsi="仿宋" w:eastAsia="仿宋" w:cs="仿宋"/>
                <w:sz w:val="24"/>
                <w:szCs w:val="24"/>
                <w:lang w:eastAsia="zh-CN"/>
              </w:rPr>
              <w:t>）；</w:t>
            </w:r>
          </w:p>
          <w:p w14:paraId="19802E0F">
            <w:pPr>
              <w:bidi w:val="0"/>
              <w:jc w:val="both"/>
              <w:rPr>
                <w:rFonts w:hint="eastAsia" w:ascii="仿宋" w:hAnsi="仿宋" w:eastAsia="仿宋" w:cs="仿宋"/>
                <w:sz w:val="24"/>
                <w:szCs w:val="24"/>
              </w:rPr>
            </w:pPr>
            <w:r>
              <w:rPr>
                <w:rFonts w:hint="eastAsia" w:ascii="仿宋" w:hAnsi="仿宋" w:eastAsia="仿宋" w:cs="仿宋"/>
                <w:sz w:val="24"/>
                <w:szCs w:val="24"/>
              </w:rPr>
              <w:t>3.画面中教师以中累和近疑为主，要求人物和板书</w:t>
            </w:r>
            <w:r>
              <w:rPr>
                <w:rFonts w:hint="eastAsia" w:ascii="仿宋" w:hAnsi="仿宋" w:eastAsia="仿宋" w:cs="仿宋"/>
                <w:sz w:val="24"/>
                <w:szCs w:val="24"/>
                <w:lang w:eastAsia="zh-CN"/>
              </w:rPr>
              <w:t>（</w:t>
            </w:r>
            <w:r>
              <w:rPr>
                <w:rFonts w:hint="eastAsia" w:ascii="仿宋" w:hAnsi="仿宋" w:eastAsia="仿宋" w:cs="仿宋"/>
                <w:sz w:val="24"/>
                <w:szCs w:val="24"/>
              </w:rPr>
              <w:t>或其他画面元素</w:t>
            </w:r>
            <w:r>
              <w:rPr>
                <w:rFonts w:hint="eastAsia" w:ascii="仿宋" w:hAnsi="仿宋" w:eastAsia="仿宋" w:cs="仿宋"/>
                <w:sz w:val="24"/>
                <w:szCs w:val="24"/>
                <w:lang w:eastAsia="zh-CN"/>
              </w:rPr>
              <w:t>）</w:t>
            </w:r>
            <w:r>
              <w:rPr>
                <w:rFonts w:hint="eastAsia" w:ascii="仿宋" w:hAnsi="仿宋" w:eastAsia="仿宋" w:cs="仿宋"/>
                <w:sz w:val="24"/>
                <w:szCs w:val="24"/>
              </w:rPr>
              <w:t>同样清晰，录像环境应光线充足、安静， 教师衣着整洁，讲话清晰，板书清楚。不建议无教师形象的全程板书或PPT教案配音；</w:t>
            </w:r>
          </w:p>
          <w:p w14:paraId="79F72E20">
            <w:pPr>
              <w:bidi w:val="0"/>
              <w:jc w:val="both"/>
              <w:rPr>
                <w:rFonts w:hint="eastAsia" w:ascii="仿宋" w:hAnsi="仿宋" w:eastAsia="仿宋" w:cs="仿宋"/>
                <w:sz w:val="24"/>
                <w:szCs w:val="24"/>
              </w:rPr>
            </w:pPr>
            <w:r>
              <w:rPr>
                <w:rFonts w:hint="eastAsia" w:ascii="仿宋" w:hAnsi="仿宋" w:eastAsia="仿宋" w:cs="仿宋"/>
                <w:sz w:val="24"/>
                <w:szCs w:val="24"/>
              </w:rPr>
              <w:t>4.</w:t>
            </w:r>
            <w:r>
              <w:rPr>
                <w:rFonts w:hint="eastAsia" w:ascii="仿宋" w:hAnsi="仿宋" w:eastAsia="仿宋" w:cs="仿宋"/>
                <w:sz w:val="24"/>
                <w:szCs w:val="24"/>
                <w:lang w:eastAsia="zh-CN"/>
              </w:rPr>
              <w:t>如果</w:t>
            </w:r>
            <w:r>
              <w:rPr>
                <w:rFonts w:hint="eastAsia" w:ascii="仿宋" w:hAnsi="仿宋" w:eastAsia="仿宋" w:cs="仿宋"/>
                <w:sz w:val="24"/>
                <w:szCs w:val="24"/>
              </w:rPr>
              <w:t>为视频配字幕，字幕要使用符合国家标准的规范字，避免繁体字、异体字、错别字。</w:t>
            </w:r>
          </w:p>
        </w:tc>
      </w:tr>
      <w:tr w14:paraId="60E552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0" w:hRule="atLeast"/>
          <w:jc w:val="center"/>
        </w:trPr>
        <w:tc>
          <w:tcPr>
            <w:tcW w:w="1263" w:type="pct"/>
            <w:tcBorders>
              <w:top w:val="single" w:color="auto" w:sz="4" w:space="0"/>
              <w:left w:val="single" w:color="auto" w:sz="4" w:space="0"/>
              <w:bottom w:val="single" w:color="auto" w:sz="4" w:space="0"/>
              <w:right w:val="single" w:color="auto" w:sz="4" w:space="0"/>
            </w:tcBorders>
            <w:noWrap w:val="0"/>
            <w:vAlign w:val="center"/>
          </w:tcPr>
          <w:p w14:paraId="4FE946E4">
            <w:pPr>
              <w:bidi w:val="0"/>
              <w:jc w:val="center"/>
              <w:rPr>
                <w:rFonts w:hint="eastAsia" w:ascii="仿宋" w:hAnsi="仿宋" w:eastAsia="仿宋" w:cs="仿宋"/>
                <w:sz w:val="24"/>
                <w:szCs w:val="24"/>
              </w:rPr>
            </w:pPr>
            <w:r>
              <w:rPr>
                <w:rFonts w:hint="eastAsia" w:ascii="仿宋" w:hAnsi="仿宋" w:eastAsia="仿宋" w:cs="仿宋"/>
                <w:sz w:val="24"/>
                <w:szCs w:val="24"/>
              </w:rPr>
              <w:t>非视频资料数</w:t>
            </w:r>
            <w:r>
              <w:rPr>
                <w:rFonts w:hint="eastAsia" w:ascii="仿宋" w:hAnsi="仿宋" w:eastAsia="仿宋" w:cs="仿宋"/>
                <w:sz w:val="24"/>
                <w:szCs w:val="24"/>
                <w:lang w:eastAsia="zh-CN"/>
              </w:rPr>
              <w:t>（</w:t>
            </w:r>
            <w:r>
              <w:rPr>
                <w:rFonts w:hint="eastAsia" w:ascii="仿宋" w:hAnsi="仿宋" w:eastAsia="仿宋" w:cs="仿宋"/>
                <w:sz w:val="24"/>
                <w:szCs w:val="24"/>
              </w:rPr>
              <w:t>个</w:t>
            </w:r>
            <w:r>
              <w:rPr>
                <w:rFonts w:hint="eastAsia" w:ascii="仿宋" w:hAnsi="仿宋" w:eastAsia="仿宋" w:cs="仿宋"/>
                <w:sz w:val="24"/>
                <w:szCs w:val="24"/>
                <w:lang w:eastAsia="zh-CN"/>
              </w:rPr>
              <w:t>）</w:t>
            </w:r>
          </w:p>
        </w:tc>
        <w:tc>
          <w:tcPr>
            <w:tcW w:w="524" w:type="pct"/>
            <w:tcBorders>
              <w:top w:val="single" w:color="auto" w:sz="4" w:space="0"/>
              <w:left w:val="single" w:color="auto" w:sz="4" w:space="0"/>
              <w:bottom w:val="single" w:color="auto" w:sz="4" w:space="0"/>
              <w:right w:val="single" w:color="auto" w:sz="4" w:space="0"/>
            </w:tcBorders>
            <w:noWrap w:val="0"/>
            <w:vAlign w:val="center"/>
          </w:tcPr>
          <w:p w14:paraId="6D09B0D5">
            <w:pPr>
              <w:bidi w:val="0"/>
              <w:jc w:val="center"/>
              <w:rPr>
                <w:rFonts w:hint="eastAsia" w:ascii="仿宋" w:hAnsi="仿宋" w:eastAsia="仿宋" w:cs="仿宋"/>
                <w:sz w:val="24"/>
                <w:szCs w:val="24"/>
              </w:rPr>
            </w:pPr>
            <w:r>
              <w:rPr>
                <w:rFonts w:hint="eastAsia" w:ascii="仿宋" w:hAnsi="仿宋" w:eastAsia="仿宋" w:cs="仿宋"/>
                <w:sz w:val="24"/>
                <w:szCs w:val="24"/>
              </w:rPr>
              <w:t>≥15</w:t>
            </w:r>
          </w:p>
        </w:tc>
        <w:tc>
          <w:tcPr>
            <w:tcW w:w="3212" w:type="pct"/>
            <w:tcBorders>
              <w:top w:val="single" w:color="auto" w:sz="4" w:space="0"/>
              <w:left w:val="single" w:color="auto" w:sz="4" w:space="0"/>
              <w:bottom w:val="single" w:color="auto" w:sz="4" w:space="0"/>
              <w:right w:val="single" w:color="auto" w:sz="4" w:space="0"/>
            </w:tcBorders>
            <w:noWrap w:val="0"/>
            <w:vAlign w:val="center"/>
          </w:tcPr>
          <w:p w14:paraId="1FF10B8B">
            <w:pPr>
              <w:bidi w:val="0"/>
              <w:jc w:val="both"/>
              <w:rPr>
                <w:rFonts w:hint="eastAsia" w:ascii="仿宋" w:hAnsi="仿宋" w:eastAsia="仿宋" w:cs="仿宋"/>
                <w:sz w:val="24"/>
                <w:szCs w:val="24"/>
              </w:rPr>
            </w:pPr>
            <w:r>
              <w:rPr>
                <w:rFonts w:hint="eastAsia" w:ascii="仿宋" w:hAnsi="仿宋" w:eastAsia="仿宋" w:cs="仿宋"/>
                <w:sz w:val="24"/>
                <w:szCs w:val="24"/>
              </w:rPr>
              <w:t>如图片、音频、文档</w:t>
            </w:r>
            <w:r>
              <w:rPr>
                <w:rFonts w:hint="eastAsia" w:ascii="仿宋" w:hAnsi="仿宋" w:eastAsia="仿宋" w:cs="仿宋"/>
                <w:sz w:val="24"/>
                <w:szCs w:val="24"/>
                <w:lang w:eastAsia="zh-CN"/>
              </w:rPr>
              <w:t>（</w:t>
            </w:r>
            <w:r>
              <w:rPr>
                <w:rFonts w:hint="eastAsia" w:ascii="仿宋" w:hAnsi="仿宋" w:eastAsia="仿宋" w:cs="仿宋"/>
                <w:sz w:val="24"/>
                <w:szCs w:val="24"/>
              </w:rPr>
              <w:t>建议上传PDF格式</w:t>
            </w:r>
            <w:r>
              <w:rPr>
                <w:rFonts w:hint="eastAsia" w:ascii="仿宋" w:hAnsi="仿宋" w:eastAsia="仿宋" w:cs="仿宋"/>
                <w:sz w:val="24"/>
                <w:szCs w:val="24"/>
                <w:lang w:eastAsia="zh-CN"/>
              </w:rPr>
              <w:t>）</w:t>
            </w:r>
            <w:r>
              <w:rPr>
                <w:rFonts w:hint="eastAsia" w:ascii="仿宋" w:hAnsi="仿宋" w:eastAsia="仿宋" w:cs="仿宋"/>
                <w:sz w:val="24"/>
                <w:szCs w:val="24"/>
              </w:rPr>
              <w:t>等。</w:t>
            </w:r>
          </w:p>
        </w:tc>
      </w:tr>
      <w:tr w14:paraId="416BC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99" w:hRule="atLeast"/>
          <w:jc w:val="center"/>
        </w:trPr>
        <w:tc>
          <w:tcPr>
            <w:tcW w:w="1263" w:type="pct"/>
            <w:tcBorders>
              <w:top w:val="single" w:color="auto" w:sz="4" w:space="0"/>
              <w:left w:val="single" w:color="auto" w:sz="4" w:space="0"/>
              <w:bottom w:val="single" w:color="auto" w:sz="4" w:space="0"/>
              <w:right w:val="single" w:color="auto" w:sz="4" w:space="0"/>
            </w:tcBorders>
            <w:noWrap w:val="0"/>
            <w:vAlign w:val="center"/>
          </w:tcPr>
          <w:p w14:paraId="10DE10D9">
            <w:pPr>
              <w:bidi w:val="0"/>
              <w:jc w:val="center"/>
              <w:rPr>
                <w:rFonts w:hint="eastAsia" w:ascii="仿宋" w:hAnsi="仿宋" w:eastAsia="仿宋" w:cs="仿宋"/>
                <w:sz w:val="24"/>
                <w:szCs w:val="24"/>
              </w:rPr>
            </w:pPr>
            <w:r>
              <w:rPr>
                <w:rFonts w:hint="eastAsia" w:ascii="仿宋" w:hAnsi="仿宋" w:eastAsia="仿宋" w:cs="仿宋"/>
                <w:sz w:val="24"/>
                <w:szCs w:val="24"/>
              </w:rPr>
              <w:t>课程章节</w:t>
            </w:r>
          </w:p>
        </w:tc>
        <w:tc>
          <w:tcPr>
            <w:tcW w:w="524" w:type="pct"/>
            <w:tcBorders>
              <w:top w:val="single" w:color="auto" w:sz="4" w:space="0"/>
              <w:left w:val="single" w:color="auto" w:sz="4" w:space="0"/>
              <w:bottom w:val="single" w:color="auto" w:sz="4" w:space="0"/>
              <w:right w:val="single" w:color="auto" w:sz="4" w:space="0"/>
            </w:tcBorders>
            <w:noWrap w:val="0"/>
            <w:vAlign w:val="center"/>
          </w:tcPr>
          <w:p w14:paraId="682A3D52">
            <w:pPr>
              <w:bidi w:val="0"/>
              <w:jc w:val="center"/>
              <w:rPr>
                <w:rFonts w:hint="eastAsia" w:ascii="仿宋" w:hAnsi="仿宋" w:eastAsia="仿宋" w:cs="仿宋"/>
                <w:sz w:val="24"/>
                <w:szCs w:val="24"/>
              </w:rPr>
            </w:pPr>
            <w:r>
              <w:rPr>
                <w:rFonts w:hint="eastAsia" w:ascii="仿宋" w:hAnsi="仿宋" w:eastAsia="仿宋" w:cs="仿宋"/>
                <w:sz w:val="24"/>
                <w:szCs w:val="24"/>
              </w:rPr>
              <w:t>√</w:t>
            </w:r>
          </w:p>
        </w:tc>
        <w:tc>
          <w:tcPr>
            <w:tcW w:w="3212" w:type="pct"/>
            <w:tcBorders>
              <w:top w:val="single" w:color="auto" w:sz="4" w:space="0"/>
              <w:left w:val="single" w:color="auto" w:sz="4" w:space="0"/>
              <w:bottom w:val="single" w:color="auto" w:sz="4" w:space="0"/>
              <w:right w:val="single" w:color="auto" w:sz="4" w:space="0"/>
            </w:tcBorders>
            <w:noWrap w:val="0"/>
            <w:vAlign w:val="center"/>
          </w:tcPr>
          <w:p w14:paraId="2B68AC10">
            <w:pPr>
              <w:bidi w:val="0"/>
              <w:jc w:val="both"/>
              <w:rPr>
                <w:rFonts w:hint="eastAsia" w:ascii="仿宋" w:hAnsi="仿宋" w:eastAsia="仿宋" w:cs="仿宋"/>
                <w:sz w:val="24"/>
                <w:szCs w:val="24"/>
              </w:rPr>
            </w:pPr>
            <w:r>
              <w:rPr>
                <w:rFonts w:hint="eastAsia" w:ascii="仿宋" w:hAnsi="仿宋" w:eastAsia="仿宋" w:cs="仿宋"/>
                <w:sz w:val="24"/>
                <w:szCs w:val="24"/>
              </w:rPr>
              <w:t>不少于6</w:t>
            </w:r>
            <w:r>
              <w:rPr>
                <w:rFonts w:hint="eastAsia" w:ascii="仿宋" w:hAnsi="仿宋" w:eastAsia="仿宋" w:cs="仿宋"/>
                <w:sz w:val="24"/>
                <w:szCs w:val="24"/>
                <w:lang w:val="en-US" w:eastAsia="zh-CN"/>
              </w:rPr>
              <w:t>章</w:t>
            </w:r>
            <w:r>
              <w:rPr>
                <w:rFonts w:hint="eastAsia" w:ascii="仿宋" w:hAnsi="仿宋" w:eastAsia="仿宋" w:cs="仿宋"/>
                <w:sz w:val="24"/>
                <w:szCs w:val="24"/>
              </w:rPr>
              <w:t>，70%以上的章节小节建议不少于3个。</w:t>
            </w:r>
          </w:p>
        </w:tc>
      </w:tr>
      <w:tr w14:paraId="4BDE49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0" w:hRule="atLeast"/>
          <w:jc w:val="center"/>
        </w:trPr>
        <w:tc>
          <w:tcPr>
            <w:tcW w:w="1263" w:type="pct"/>
            <w:tcBorders>
              <w:top w:val="single" w:color="auto" w:sz="4" w:space="0"/>
              <w:left w:val="single" w:color="auto" w:sz="4" w:space="0"/>
              <w:bottom w:val="single" w:color="auto" w:sz="4" w:space="0"/>
              <w:right w:val="single" w:color="auto" w:sz="4" w:space="0"/>
            </w:tcBorders>
            <w:noWrap w:val="0"/>
            <w:vAlign w:val="center"/>
          </w:tcPr>
          <w:p w14:paraId="10EF448B">
            <w:pPr>
              <w:bidi w:val="0"/>
              <w:jc w:val="center"/>
              <w:rPr>
                <w:rFonts w:hint="eastAsia" w:ascii="仿宋" w:hAnsi="仿宋" w:eastAsia="仿宋" w:cs="仿宋"/>
                <w:sz w:val="24"/>
                <w:szCs w:val="24"/>
              </w:rPr>
            </w:pPr>
            <w:r>
              <w:rPr>
                <w:rFonts w:hint="eastAsia" w:ascii="仿宋" w:hAnsi="仿宋" w:eastAsia="仿宋" w:cs="仿宋"/>
                <w:sz w:val="24"/>
                <w:szCs w:val="24"/>
              </w:rPr>
              <w:t>章节测验</w:t>
            </w:r>
          </w:p>
        </w:tc>
        <w:tc>
          <w:tcPr>
            <w:tcW w:w="524" w:type="pct"/>
            <w:tcBorders>
              <w:top w:val="single" w:color="auto" w:sz="4" w:space="0"/>
              <w:left w:val="single" w:color="auto" w:sz="4" w:space="0"/>
              <w:bottom w:val="single" w:color="auto" w:sz="4" w:space="0"/>
              <w:right w:val="single" w:color="auto" w:sz="4" w:space="0"/>
            </w:tcBorders>
            <w:noWrap w:val="0"/>
            <w:vAlign w:val="center"/>
          </w:tcPr>
          <w:p w14:paraId="2E483CDA">
            <w:pPr>
              <w:bidi w:val="0"/>
              <w:jc w:val="center"/>
              <w:rPr>
                <w:rFonts w:hint="eastAsia" w:ascii="仿宋" w:hAnsi="仿宋" w:eastAsia="仿宋" w:cs="仿宋"/>
                <w:sz w:val="24"/>
                <w:szCs w:val="24"/>
              </w:rPr>
            </w:pPr>
          </w:p>
        </w:tc>
        <w:tc>
          <w:tcPr>
            <w:tcW w:w="3212" w:type="pct"/>
            <w:tcBorders>
              <w:top w:val="single" w:color="auto" w:sz="4" w:space="0"/>
              <w:left w:val="single" w:color="auto" w:sz="4" w:space="0"/>
              <w:bottom w:val="single" w:color="auto" w:sz="4" w:space="0"/>
              <w:right w:val="single" w:color="auto" w:sz="4" w:space="0"/>
            </w:tcBorders>
            <w:noWrap w:val="0"/>
            <w:vAlign w:val="center"/>
          </w:tcPr>
          <w:p w14:paraId="0CDD4A21">
            <w:pPr>
              <w:bidi w:val="0"/>
              <w:jc w:val="both"/>
              <w:rPr>
                <w:rFonts w:hint="eastAsia" w:ascii="仿宋" w:hAnsi="仿宋" w:eastAsia="仿宋" w:cs="仿宋"/>
                <w:sz w:val="24"/>
                <w:szCs w:val="24"/>
              </w:rPr>
            </w:pPr>
            <w:r>
              <w:rPr>
                <w:rFonts w:hint="eastAsia" w:ascii="仿宋" w:hAnsi="仿宋" w:eastAsia="仿宋" w:cs="仿宋"/>
                <w:sz w:val="24"/>
                <w:szCs w:val="24"/>
              </w:rPr>
              <w:t>70%以上的</w:t>
            </w:r>
            <w:r>
              <w:rPr>
                <w:rFonts w:hint="eastAsia" w:ascii="仿宋" w:hAnsi="仿宋" w:eastAsia="仿宋" w:cs="仿宋"/>
                <w:sz w:val="24"/>
                <w:szCs w:val="24"/>
                <w:lang w:val="en-US" w:eastAsia="zh-CN"/>
              </w:rPr>
              <w:t>章节</w:t>
            </w:r>
            <w:r>
              <w:rPr>
                <w:rFonts w:hint="eastAsia" w:ascii="仿宋" w:hAnsi="仿宋" w:eastAsia="仿宋" w:cs="仿宋"/>
                <w:sz w:val="24"/>
                <w:szCs w:val="24"/>
              </w:rPr>
              <w:t>须有</w:t>
            </w:r>
            <w:r>
              <w:rPr>
                <w:rFonts w:hint="eastAsia" w:ascii="仿宋" w:hAnsi="仿宋" w:eastAsia="仿宋" w:cs="仿宋"/>
                <w:sz w:val="24"/>
                <w:szCs w:val="24"/>
                <w:lang w:val="en-US" w:eastAsia="zh-CN"/>
              </w:rPr>
              <w:t>章节</w:t>
            </w:r>
            <w:r>
              <w:rPr>
                <w:rFonts w:hint="eastAsia" w:ascii="仿宋" w:hAnsi="仿宋" w:eastAsia="仿宋" w:cs="仿宋"/>
                <w:sz w:val="24"/>
                <w:szCs w:val="24"/>
              </w:rPr>
              <w:t>测验</w:t>
            </w:r>
          </w:p>
        </w:tc>
      </w:tr>
      <w:tr w14:paraId="42667B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9" w:hRule="atLeast"/>
          <w:jc w:val="center"/>
        </w:trPr>
        <w:tc>
          <w:tcPr>
            <w:tcW w:w="1263" w:type="pct"/>
            <w:tcBorders>
              <w:top w:val="single" w:color="auto" w:sz="4" w:space="0"/>
              <w:left w:val="single" w:color="auto" w:sz="4" w:space="0"/>
              <w:bottom w:val="single" w:color="auto" w:sz="4" w:space="0"/>
              <w:right w:val="single" w:color="auto" w:sz="4" w:space="0"/>
            </w:tcBorders>
            <w:noWrap w:val="0"/>
            <w:vAlign w:val="center"/>
          </w:tcPr>
          <w:p w14:paraId="2500D1F7">
            <w:pPr>
              <w:bidi w:val="0"/>
              <w:jc w:val="center"/>
              <w:rPr>
                <w:rFonts w:hint="eastAsia" w:ascii="仿宋" w:hAnsi="仿宋" w:eastAsia="仿宋" w:cs="仿宋"/>
                <w:sz w:val="24"/>
                <w:szCs w:val="24"/>
                <w:lang w:eastAsia="zh-CN"/>
              </w:rPr>
            </w:pPr>
            <w:r>
              <w:rPr>
                <w:rFonts w:hint="eastAsia" w:ascii="仿宋" w:hAnsi="仿宋" w:eastAsia="仿宋" w:cs="仿宋"/>
                <w:sz w:val="24"/>
                <w:szCs w:val="24"/>
              </w:rPr>
              <w:t>【资料题库</w:t>
            </w:r>
            <w:r>
              <w:rPr>
                <w:rFonts w:hint="eastAsia" w:ascii="仿宋" w:hAnsi="仿宋" w:eastAsia="仿宋" w:cs="仿宋"/>
                <w:sz w:val="24"/>
                <w:szCs w:val="24"/>
                <w:lang w:eastAsia="zh-CN"/>
              </w:rPr>
              <w:t>】</w:t>
            </w:r>
          </w:p>
        </w:tc>
        <w:tc>
          <w:tcPr>
            <w:tcW w:w="524" w:type="pct"/>
            <w:tcBorders>
              <w:top w:val="single" w:color="auto" w:sz="4" w:space="0"/>
              <w:left w:val="single" w:color="auto" w:sz="4" w:space="0"/>
              <w:bottom w:val="single" w:color="auto" w:sz="4" w:space="0"/>
              <w:right w:val="single" w:color="auto" w:sz="4" w:space="0"/>
            </w:tcBorders>
            <w:noWrap w:val="0"/>
            <w:vAlign w:val="center"/>
          </w:tcPr>
          <w:p w14:paraId="1A70F4C2">
            <w:pPr>
              <w:bidi w:val="0"/>
              <w:jc w:val="center"/>
              <w:rPr>
                <w:rFonts w:hint="eastAsia" w:ascii="仿宋" w:hAnsi="仿宋" w:eastAsia="仿宋" w:cs="仿宋"/>
                <w:sz w:val="24"/>
                <w:szCs w:val="24"/>
              </w:rPr>
            </w:pPr>
            <w:r>
              <w:rPr>
                <w:rFonts w:hint="eastAsia" w:ascii="仿宋" w:hAnsi="仿宋" w:eastAsia="仿宋" w:cs="仿宋"/>
                <w:sz w:val="24"/>
                <w:szCs w:val="24"/>
              </w:rPr>
              <w:t>√</w:t>
            </w:r>
          </w:p>
        </w:tc>
        <w:tc>
          <w:tcPr>
            <w:tcW w:w="3212" w:type="pct"/>
            <w:tcBorders>
              <w:top w:val="single" w:color="auto" w:sz="4" w:space="0"/>
              <w:left w:val="single" w:color="auto" w:sz="4" w:space="0"/>
              <w:bottom w:val="single" w:color="auto" w:sz="4" w:space="0"/>
              <w:right w:val="single" w:color="auto" w:sz="4" w:space="0"/>
            </w:tcBorders>
            <w:noWrap w:val="0"/>
            <w:vAlign w:val="center"/>
          </w:tcPr>
          <w:p w14:paraId="3CF12108">
            <w:pPr>
              <w:bidi w:val="0"/>
              <w:jc w:val="both"/>
              <w:rPr>
                <w:rFonts w:hint="eastAsia" w:ascii="仿宋" w:hAnsi="仿宋" w:eastAsia="仿宋" w:cs="仿宋"/>
                <w:sz w:val="24"/>
                <w:szCs w:val="24"/>
              </w:rPr>
            </w:pPr>
            <w:r>
              <w:rPr>
                <w:rFonts w:hint="eastAsia" w:ascii="仿宋" w:hAnsi="仿宋" w:eastAsia="仿宋" w:cs="仿宋"/>
                <w:sz w:val="24"/>
                <w:szCs w:val="24"/>
              </w:rPr>
              <w:t>不少于</w:t>
            </w:r>
            <w:r>
              <w:rPr>
                <w:rFonts w:hint="eastAsia" w:ascii="仿宋" w:hAnsi="仿宋" w:eastAsia="仿宋" w:cs="仿宋"/>
                <w:sz w:val="24"/>
                <w:szCs w:val="24"/>
                <w:lang w:val="en-US" w:eastAsia="zh-CN"/>
              </w:rPr>
              <w:t>60</w:t>
            </w:r>
            <w:r>
              <w:rPr>
                <w:rFonts w:hint="eastAsia" w:ascii="仿宋" w:hAnsi="仿宋" w:eastAsia="仿宋" w:cs="仿宋"/>
                <w:sz w:val="24"/>
                <w:szCs w:val="24"/>
              </w:rPr>
              <w:t>道</w:t>
            </w:r>
          </w:p>
        </w:tc>
      </w:tr>
      <w:tr w14:paraId="014469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0" w:hRule="atLeast"/>
          <w:jc w:val="center"/>
        </w:trPr>
        <w:tc>
          <w:tcPr>
            <w:tcW w:w="1263" w:type="pct"/>
            <w:tcBorders>
              <w:top w:val="single" w:color="auto" w:sz="4" w:space="0"/>
              <w:left w:val="single" w:color="auto" w:sz="4" w:space="0"/>
              <w:bottom w:val="single" w:color="auto" w:sz="4" w:space="0"/>
              <w:right w:val="single" w:color="auto" w:sz="4" w:space="0"/>
            </w:tcBorders>
            <w:noWrap w:val="0"/>
            <w:vAlign w:val="center"/>
          </w:tcPr>
          <w:p w14:paraId="65CD423B">
            <w:pPr>
              <w:bidi w:val="0"/>
              <w:jc w:val="center"/>
              <w:rPr>
                <w:rFonts w:hint="eastAsia" w:ascii="仿宋" w:hAnsi="仿宋" w:eastAsia="仿宋" w:cs="仿宋"/>
                <w:sz w:val="24"/>
                <w:szCs w:val="24"/>
              </w:rPr>
            </w:pPr>
            <w:r>
              <w:rPr>
                <w:rFonts w:hint="eastAsia" w:ascii="仿宋" w:hAnsi="仿宋" w:eastAsia="仿宋" w:cs="仿宋"/>
                <w:sz w:val="24"/>
                <w:szCs w:val="24"/>
              </w:rPr>
              <w:t>试卷库</w:t>
            </w:r>
          </w:p>
        </w:tc>
        <w:tc>
          <w:tcPr>
            <w:tcW w:w="524" w:type="pct"/>
            <w:tcBorders>
              <w:top w:val="single" w:color="auto" w:sz="4" w:space="0"/>
              <w:left w:val="single" w:color="auto" w:sz="4" w:space="0"/>
              <w:bottom w:val="single" w:color="auto" w:sz="4" w:space="0"/>
              <w:right w:val="single" w:color="auto" w:sz="4" w:space="0"/>
            </w:tcBorders>
            <w:noWrap w:val="0"/>
            <w:vAlign w:val="center"/>
          </w:tcPr>
          <w:p w14:paraId="30766090">
            <w:pPr>
              <w:bidi w:val="0"/>
              <w:jc w:val="center"/>
              <w:rPr>
                <w:rFonts w:hint="eastAsia" w:ascii="仿宋" w:hAnsi="仿宋" w:eastAsia="仿宋" w:cs="仿宋"/>
                <w:sz w:val="24"/>
                <w:szCs w:val="24"/>
              </w:rPr>
            </w:pPr>
            <w:r>
              <w:rPr>
                <w:rFonts w:hint="eastAsia" w:ascii="仿宋" w:hAnsi="仿宋" w:eastAsia="仿宋" w:cs="仿宋"/>
                <w:sz w:val="24"/>
                <w:szCs w:val="24"/>
              </w:rPr>
              <w:t>至少1套</w:t>
            </w:r>
          </w:p>
        </w:tc>
        <w:tc>
          <w:tcPr>
            <w:tcW w:w="3212" w:type="pct"/>
            <w:tcBorders>
              <w:top w:val="single" w:color="auto" w:sz="4" w:space="0"/>
              <w:left w:val="single" w:color="auto" w:sz="4" w:space="0"/>
              <w:bottom w:val="single" w:color="auto" w:sz="4" w:space="0"/>
              <w:right w:val="single" w:color="auto" w:sz="4" w:space="0"/>
            </w:tcBorders>
            <w:noWrap w:val="0"/>
            <w:vAlign w:val="center"/>
          </w:tcPr>
          <w:p w14:paraId="6F25655E">
            <w:pPr>
              <w:bidi w:val="0"/>
              <w:jc w:val="both"/>
              <w:rPr>
                <w:rFonts w:hint="eastAsia" w:ascii="仿宋" w:hAnsi="仿宋" w:eastAsia="仿宋" w:cs="仿宋"/>
                <w:sz w:val="24"/>
                <w:szCs w:val="24"/>
                <w:lang w:eastAsia="zh-CN"/>
              </w:rPr>
            </w:pPr>
            <w:r>
              <w:rPr>
                <w:rFonts w:hint="eastAsia" w:ascii="仿宋" w:hAnsi="仿宋" w:eastAsia="仿宋" w:cs="仿宋"/>
                <w:sz w:val="24"/>
                <w:szCs w:val="24"/>
              </w:rPr>
              <w:t>每套不少于35道，要求有数量、有难易度；试卷名称命名符合当期教学</w:t>
            </w:r>
            <w:r>
              <w:rPr>
                <w:rFonts w:hint="eastAsia" w:ascii="仿宋" w:hAnsi="仿宋" w:eastAsia="仿宋" w:cs="仿宋"/>
                <w:sz w:val="24"/>
                <w:szCs w:val="24"/>
                <w:lang w:eastAsia="zh-CN"/>
              </w:rPr>
              <w:t>。</w:t>
            </w:r>
          </w:p>
        </w:tc>
      </w:tr>
      <w:tr w14:paraId="3597F7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979" w:hRule="atLeast"/>
          <w:jc w:val="center"/>
        </w:trPr>
        <w:tc>
          <w:tcPr>
            <w:tcW w:w="1263" w:type="pct"/>
            <w:tcBorders>
              <w:top w:val="single" w:color="auto" w:sz="4" w:space="0"/>
              <w:left w:val="single" w:color="auto" w:sz="4" w:space="0"/>
              <w:bottom w:val="single" w:color="auto" w:sz="4" w:space="0"/>
              <w:right w:val="single" w:color="auto" w:sz="4" w:space="0"/>
            </w:tcBorders>
            <w:noWrap w:val="0"/>
            <w:vAlign w:val="center"/>
          </w:tcPr>
          <w:p w14:paraId="7CCA5E44">
            <w:pPr>
              <w:bidi w:val="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电子教案</w:t>
            </w:r>
          </w:p>
        </w:tc>
        <w:tc>
          <w:tcPr>
            <w:tcW w:w="524" w:type="pct"/>
            <w:tcBorders>
              <w:top w:val="single" w:color="auto" w:sz="4" w:space="0"/>
              <w:left w:val="single" w:color="auto" w:sz="4" w:space="0"/>
              <w:bottom w:val="single" w:color="auto" w:sz="4" w:space="0"/>
              <w:right w:val="single" w:color="auto" w:sz="4" w:space="0"/>
            </w:tcBorders>
            <w:noWrap w:val="0"/>
            <w:vAlign w:val="center"/>
          </w:tcPr>
          <w:p w14:paraId="1010BF83">
            <w:pPr>
              <w:bidi w:val="0"/>
              <w:jc w:val="center"/>
              <w:rPr>
                <w:rFonts w:hint="eastAsia" w:ascii="仿宋" w:hAnsi="仿宋" w:eastAsia="仿宋" w:cs="仿宋"/>
                <w:sz w:val="24"/>
                <w:szCs w:val="24"/>
              </w:rPr>
            </w:pPr>
            <w:r>
              <w:rPr>
                <w:rFonts w:hint="eastAsia" w:ascii="仿宋" w:hAnsi="仿宋" w:eastAsia="仿宋" w:cs="仿宋"/>
                <w:sz w:val="24"/>
                <w:szCs w:val="24"/>
              </w:rPr>
              <w:t>至少1套</w:t>
            </w:r>
          </w:p>
        </w:tc>
        <w:tc>
          <w:tcPr>
            <w:tcW w:w="3212" w:type="pct"/>
            <w:tcBorders>
              <w:top w:val="single" w:color="auto" w:sz="4" w:space="0"/>
              <w:left w:val="single" w:color="auto" w:sz="4" w:space="0"/>
              <w:bottom w:val="single" w:color="auto" w:sz="4" w:space="0"/>
              <w:right w:val="single" w:color="auto" w:sz="4" w:space="0"/>
            </w:tcBorders>
            <w:noWrap w:val="0"/>
            <w:vAlign w:val="center"/>
          </w:tcPr>
          <w:p w14:paraId="548461FF">
            <w:pPr>
              <w:jc w:val="both"/>
              <w:rPr>
                <w:rFonts w:hint="eastAsia" w:ascii="仿宋" w:hAnsi="仿宋" w:eastAsia="仿宋" w:cs="仿宋"/>
                <w:sz w:val="24"/>
                <w:szCs w:val="24"/>
              </w:rPr>
            </w:pPr>
            <w:r>
              <w:rPr>
                <w:rFonts w:hint="eastAsia" w:ascii="仿宋" w:hAnsi="仿宋" w:eastAsia="仿宋" w:cs="仿宋"/>
                <w:sz w:val="24"/>
                <w:szCs w:val="24"/>
              </w:rPr>
              <w:t>教学目标完整，重点、难点判断准确，知识与技能、过程与方法、情感态度与价值观阐述清晰、具体，具有可测性</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课程思政</w:t>
            </w:r>
            <w:r>
              <w:rPr>
                <w:rFonts w:hint="eastAsia" w:ascii="仿宋" w:hAnsi="仿宋" w:eastAsia="仿宋" w:cs="仿宋"/>
                <w:sz w:val="24"/>
                <w:szCs w:val="24"/>
              </w:rPr>
              <w:t>素材丰富，生动有趣</w:t>
            </w:r>
            <w:r>
              <w:rPr>
                <w:rFonts w:hint="eastAsia" w:ascii="仿宋" w:hAnsi="仿宋" w:eastAsia="仿宋" w:cs="仿宋"/>
                <w:sz w:val="24"/>
                <w:szCs w:val="24"/>
                <w:lang w:eastAsia="zh-CN"/>
              </w:rPr>
              <w:t>，</w:t>
            </w:r>
            <w:r>
              <w:rPr>
                <w:rFonts w:hint="eastAsia" w:ascii="仿宋" w:hAnsi="仿宋" w:eastAsia="仿宋" w:cs="仿宋"/>
                <w:sz w:val="24"/>
                <w:szCs w:val="24"/>
              </w:rPr>
              <w:t>多点融入，与教学内容融为一体</w:t>
            </w:r>
            <w:r>
              <w:rPr>
                <w:rFonts w:hint="eastAsia" w:ascii="仿宋" w:hAnsi="仿宋" w:eastAsia="仿宋" w:cs="仿宋"/>
                <w:sz w:val="24"/>
                <w:szCs w:val="24"/>
                <w:lang w:eastAsia="zh-CN"/>
              </w:rPr>
              <w:t>；</w:t>
            </w:r>
            <w:r>
              <w:rPr>
                <w:rFonts w:hint="eastAsia" w:ascii="仿宋" w:hAnsi="仿宋" w:eastAsia="仿宋" w:cs="仿宋"/>
                <w:sz w:val="24"/>
                <w:szCs w:val="24"/>
              </w:rPr>
              <w:t>教案内容完整，详略得当</w:t>
            </w:r>
            <w:r>
              <w:rPr>
                <w:rFonts w:hint="eastAsia" w:ascii="仿宋" w:hAnsi="仿宋" w:eastAsia="仿宋" w:cs="仿宋"/>
                <w:sz w:val="24"/>
                <w:szCs w:val="24"/>
                <w:lang w:eastAsia="zh-CN"/>
              </w:rPr>
              <w:t>，</w:t>
            </w:r>
            <w:r>
              <w:rPr>
                <w:rFonts w:hint="eastAsia" w:ascii="仿宋" w:hAnsi="仿宋" w:eastAsia="仿宋" w:cs="仿宋"/>
                <w:sz w:val="24"/>
                <w:szCs w:val="24"/>
              </w:rPr>
              <w:t>教学思路设计清晰，逻辑性强，对教学内容进行了结构化设计和学习化的处理，学生易于掌握</w:t>
            </w:r>
            <w:r>
              <w:rPr>
                <w:rFonts w:hint="eastAsia" w:ascii="仿宋" w:hAnsi="仿宋" w:eastAsia="仿宋" w:cs="仿宋"/>
                <w:sz w:val="24"/>
                <w:szCs w:val="24"/>
                <w:lang w:eastAsia="zh-CN"/>
              </w:rPr>
              <w:t>；</w:t>
            </w:r>
            <w:r>
              <w:rPr>
                <w:rFonts w:hint="eastAsia" w:ascii="仿宋" w:hAnsi="仿宋" w:eastAsia="仿宋" w:cs="仿宋"/>
                <w:sz w:val="24"/>
                <w:szCs w:val="24"/>
              </w:rPr>
              <w:t>教学步骤具体清晰，环节过渡</w:t>
            </w:r>
            <w:r>
              <w:rPr>
                <w:rFonts w:hint="eastAsia" w:ascii="仿宋" w:hAnsi="仿宋" w:eastAsia="仿宋" w:cs="仿宋"/>
                <w:sz w:val="24"/>
                <w:szCs w:val="24"/>
                <w:lang w:val="en-US" w:eastAsia="zh-CN"/>
              </w:rPr>
              <w:t>自然，专业课</w:t>
            </w:r>
            <w:r>
              <w:rPr>
                <w:rFonts w:hint="eastAsia" w:ascii="仿宋" w:hAnsi="仿宋" w:eastAsia="仿宋" w:cs="仿宋"/>
                <w:sz w:val="24"/>
                <w:szCs w:val="24"/>
              </w:rPr>
              <w:t>实践教学比例在50%以</w:t>
            </w:r>
            <w:r>
              <w:rPr>
                <w:rFonts w:hint="eastAsia" w:ascii="仿宋" w:hAnsi="仿宋" w:eastAsia="仿宋" w:cs="仿宋"/>
                <w:sz w:val="24"/>
                <w:szCs w:val="24"/>
                <w:lang w:val="en-US" w:eastAsia="zh-CN"/>
              </w:rPr>
              <w:t>上；</w:t>
            </w:r>
            <w:r>
              <w:rPr>
                <w:rFonts w:hint="eastAsia" w:ascii="仿宋" w:hAnsi="仿宋" w:eastAsia="仿宋" w:cs="仿宋"/>
                <w:sz w:val="24"/>
                <w:szCs w:val="24"/>
              </w:rPr>
              <w:t>教学方法多样，评价方案清晰，易于实施，且有较大程度的创新，能对学习结果进行更加深度、及时的评价</w:t>
            </w:r>
            <w:r>
              <w:rPr>
                <w:rFonts w:hint="eastAsia" w:ascii="仿宋" w:hAnsi="仿宋" w:eastAsia="仿宋" w:cs="仿宋"/>
                <w:sz w:val="24"/>
                <w:szCs w:val="24"/>
                <w:lang w:eastAsia="zh-CN"/>
              </w:rPr>
              <w:t>；</w:t>
            </w:r>
            <w:r>
              <w:rPr>
                <w:rFonts w:hint="eastAsia" w:ascii="仿宋" w:hAnsi="仿宋" w:eastAsia="仿宋" w:cs="仿宋"/>
                <w:sz w:val="24"/>
                <w:szCs w:val="24"/>
              </w:rPr>
              <w:t>排版美观、布局合理，图形、表格丰富，格调统一协调</w:t>
            </w:r>
            <w:r>
              <w:rPr>
                <w:rFonts w:hint="eastAsia" w:ascii="仿宋" w:hAnsi="仿宋" w:eastAsia="仿宋" w:cs="仿宋"/>
                <w:sz w:val="24"/>
                <w:szCs w:val="24"/>
                <w:lang w:eastAsia="zh-CN"/>
              </w:rPr>
              <w:t>。</w:t>
            </w:r>
          </w:p>
        </w:tc>
      </w:tr>
      <w:tr w14:paraId="5B515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0" w:hRule="atLeast"/>
          <w:jc w:val="center"/>
        </w:trPr>
        <w:tc>
          <w:tcPr>
            <w:tcW w:w="1263" w:type="pct"/>
            <w:tcBorders>
              <w:top w:val="single" w:color="auto" w:sz="4" w:space="0"/>
              <w:left w:val="single" w:color="auto" w:sz="4" w:space="0"/>
              <w:bottom w:val="single" w:color="auto" w:sz="4" w:space="0"/>
              <w:right w:val="single" w:color="auto" w:sz="4" w:space="0"/>
            </w:tcBorders>
            <w:noWrap w:val="0"/>
            <w:vAlign w:val="center"/>
          </w:tcPr>
          <w:p w14:paraId="1D010478">
            <w:pPr>
              <w:bidi w:val="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课程标准</w:t>
            </w:r>
          </w:p>
        </w:tc>
        <w:tc>
          <w:tcPr>
            <w:tcW w:w="524" w:type="pct"/>
            <w:tcBorders>
              <w:top w:val="single" w:color="auto" w:sz="4" w:space="0"/>
              <w:left w:val="single" w:color="auto" w:sz="4" w:space="0"/>
              <w:bottom w:val="single" w:color="auto" w:sz="4" w:space="0"/>
              <w:right w:val="single" w:color="auto" w:sz="4" w:space="0"/>
            </w:tcBorders>
            <w:noWrap w:val="0"/>
            <w:vAlign w:val="center"/>
          </w:tcPr>
          <w:p w14:paraId="6602C670">
            <w:pPr>
              <w:bidi w:val="0"/>
              <w:jc w:val="center"/>
              <w:rPr>
                <w:rFonts w:hint="eastAsia" w:ascii="仿宋" w:hAnsi="仿宋" w:eastAsia="仿宋" w:cs="仿宋"/>
                <w:sz w:val="24"/>
                <w:szCs w:val="24"/>
                <w:lang w:val="en-US" w:eastAsia="zh-CN"/>
              </w:rPr>
            </w:pPr>
            <w:r>
              <w:rPr>
                <w:rFonts w:hint="eastAsia" w:ascii="仿宋" w:hAnsi="仿宋" w:eastAsia="仿宋" w:cs="仿宋"/>
                <w:sz w:val="24"/>
                <w:szCs w:val="24"/>
              </w:rPr>
              <w:t>√</w:t>
            </w:r>
          </w:p>
        </w:tc>
        <w:tc>
          <w:tcPr>
            <w:tcW w:w="3212" w:type="pct"/>
            <w:tcBorders>
              <w:top w:val="single" w:color="auto" w:sz="4" w:space="0"/>
              <w:left w:val="single" w:color="auto" w:sz="4" w:space="0"/>
              <w:bottom w:val="single" w:color="auto" w:sz="4" w:space="0"/>
              <w:right w:val="single" w:color="auto" w:sz="4" w:space="0"/>
            </w:tcBorders>
            <w:noWrap w:val="0"/>
            <w:vAlign w:val="center"/>
          </w:tcPr>
          <w:p w14:paraId="5AC3F566">
            <w:pPr>
              <w:bidi w:val="0"/>
              <w:jc w:val="both"/>
              <w:rPr>
                <w:rFonts w:hint="eastAsia" w:ascii="仿宋" w:hAnsi="仿宋" w:eastAsia="仿宋" w:cs="仿宋"/>
                <w:sz w:val="24"/>
                <w:szCs w:val="24"/>
                <w:lang w:eastAsia="zh-CN"/>
              </w:rPr>
            </w:pPr>
            <w:r>
              <w:rPr>
                <w:rFonts w:hint="eastAsia" w:ascii="仿宋" w:hAnsi="仿宋" w:eastAsia="仿宋" w:cs="仿宋"/>
                <w:sz w:val="24"/>
                <w:szCs w:val="24"/>
              </w:rPr>
              <w:t>符合中等职业教育要求，能力本位，行动导向，</w:t>
            </w:r>
            <w:r>
              <w:rPr>
                <w:rFonts w:hint="eastAsia" w:ascii="仿宋" w:hAnsi="仿宋" w:eastAsia="仿宋" w:cs="仿宋"/>
                <w:sz w:val="24"/>
                <w:szCs w:val="24"/>
                <w:lang w:val="en-US" w:eastAsia="zh-CN"/>
              </w:rPr>
              <w:t>工学</w:t>
            </w:r>
            <w:r>
              <w:rPr>
                <w:rFonts w:hint="eastAsia" w:ascii="仿宋" w:hAnsi="仿宋" w:eastAsia="仿宋" w:cs="仿宋"/>
                <w:sz w:val="24"/>
                <w:szCs w:val="24"/>
              </w:rPr>
              <w:t>一体，以学生为主体，教学贴近生产</w:t>
            </w:r>
            <w:r>
              <w:rPr>
                <w:rFonts w:hint="eastAsia" w:ascii="仿宋" w:hAnsi="仿宋" w:eastAsia="仿宋" w:cs="仿宋"/>
                <w:sz w:val="24"/>
                <w:szCs w:val="24"/>
                <w:lang w:eastAsia="zh-CN"/>
              </w:rPr>
              <w:t>。</w:t>
            </w:r>
          </w:p>
        </w:tc>
      </w:tr>
      <w:tr w14:paraId="4EA656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0" w:hRule="atLeast"/>
          <w:jc w:val="center"/>
        </w:trPr>
        <w:tc>
          <w:tcPr>
            <w:tcW w:w="1263" w:type="pct"/>
            <w:tcBorders>
              <w:top w:val="single" w:color="auto" w:sz="4" w:space="0"/>
              <w:left w:val="single" w:color="auto" w:sz="4" w:space="0"/>
              <w:bottom w:val="single" w:color="auto" w:sz="4" w:space="0"/>
              <w:right w:val="single" w:color="auto" w:sz="4" w:space="0"/>
            </w:tcBorders>
            <w:noWrap w:val="0"/>
            <w:vAlign w:val="center"/>
          </w:tcPr>
          <w:p w14:paraId="7881091E">
            <w:pPr>
              <w:bidi w:val="0"/>
              <w:jc w:val="center"/>
              <w:rPr>
                <w:rFonts w:hint="eastAsia" w:ascii="仿宋" w:hAnsi="仿宋" w:eastAsia="仿宋" w:cs="仿宋"/>
                <w:sz w:val="24"/>
                <w:szCs w:val="24"/>
              </w:rPr>
            </w:pPr>
            <w:r>
              <w:rPr>
                <w:rFonts w:hint="eastAsia" w:ascii="仿宋" w:hAnsi="仿宋" w:eastAsia="仿宋" w:cs="仿宋"/>
                <w:i w:val="0"/>
                <w:iCs w:val="0"/>
                <w:snapToGrid w:val="0"/>
                <w:color w:val="000000"/>
                <w:spacing w:val="0"/>
                <w:kern w:val="0"/>
                <w:sz w:val="24"/>
                <w:szCs w:val="24"/>
                <w:u w:val="none"/>
                <w:lang w:val="en-US" w:eastAsia="zh-CN" w:bidi="ar"/>
              </w:rPr>
              <w:t>电子教材</w:t>
            </w:r>
          </w:p>
        </w:tc>
        <w:tc>
          <w:tcPr>
            <w:tcW w:w="524" w:type="pct"/>
            <w:tcBorders>
              <w:top w:val="single" w:color="auto" w:sz="4" w:space="0"/>
              <w:left w:val="single" w:color="auto" w:sz="4" w:space="0"/>
              <w:bottom w:val="single" w:color="auto" w:sz="4" w:space="0"/>
              <w:right w:val="single" w:color="auto" w:sz="4" w:space="0"/>
            </w:tcBorders>
            <w:noWrap w:val="0"/>
            <w:vAlign w:val="center"/>
          </w:tcPr>
          <w:p w14:paraId="4C4594E4">
            <w:pPr>
              <w:bidi w:val="0"/>
              <w:jc w:val="center"/>
              <w:rPr>
                <w:rFonts w:hint="eastAsia" w:ascii="仿宋" w:hAnsi="仿宋" w:eastAsia="仿宋" w:cs="仿宋"/>
                <w:sz w:val="24"/>
                <w:szCs w:val="24"/>
              </w:rPr>
            </w:pPr>
            <w:r>
              <w:rPr>
                <w:rFonts w:hint="eastAsia" w:ascii="仿宋" w:hAnsi="仿宋" w:eastAsia="仿宋" w:cs="仿宋"/>
                <w:sz w:val="24"/>
                <w:szCs w:val="24"/>
              </w:rPr>
              <w:t>至少1套</w:t>
            </w:r>
          </w:p>
        </w:tc>
        <w:tc>
          <w:tcPr>
            <w:tcW w:w="3212" w:type="pct"/>
            <w:tcBorders>
              <w:top w:val="single" w:color="auto" w:sz="4" w:space="0"/>
              <w:left w:val="single" w:color="auto" w:sz="4" w:space="0"/>
              <w:bottom w:val="single" w:color="auto" w:sz="4" w:space="0"/>
              <w:right w:val="single" w:color="auto" w:sz="4" w:space="0"/>
            </w:tcBorders>
            <w:noWrap w:val="0"/>
            <w:vAlign w:val="center"/>
          </w:tcPr>
          <w:p w14:paraId="4D971333">
            <w:pPr>
              <w:bidi w:val="0"/>
              <w:jc w:val="both"/>
              <w:rPr>
                <w:rFonts w:hint="eastAsia" w:ascii="仿宋" w:hAnsi="仿宋" w:eastAsia="仿宋" w:cs="仿宋"/>
                <w:spacing w:val="0"/>
                <w:sz w:val="24"/>
                <w:szCs w:val="24"/>
                <w:u w:val="none"/>
                <w:lang w:val="en-US" w:eastAsia="zh-CN" w:bidi="ar"/>
              </w:rPr>
            </w:pPr>
            <w:r>
              <w:rPr>
                <w:rFonts w:hint="eastAsia" w:ascii="仿宋" w:hAnsi="仿宋" w:eastAsia="仿宋" w:cs="仿宋"/>
                <w:i w:val="0"/>
                <w:iCs w:val="0"/>
                <w:snapToGrid w:val="0"/>
                <w:color w:val="000000"/>
                <w:spacing w:val="0"/>
                <w:kern w:val="0"/>
                <w:sz w:val="24"/>
                <w:szCs w:val="24"/>
                <w:u w:val="none"/>
                <w:lang w:val="en-US" w:eastAsia="zh-CN" w:bidi="ar"/>
              </w:rPr>
              <w:t>工作手册式融媒体电子教材，</w:t>
            </w:r>
            <w:r>
              <w:rPr>
                <w:rFonts w:hint="eastAsia" w:ascii="仿宋" w:hAnsi="仿宋" w:eastAsia="仿宋" w:cs="仿宋"/>
                <w:spacing w:val="0"/>
                <w:sz w:val="24"/>
                <w:szCs w:val="24"/>
                <w:u w:val="none"/>
                <w:lang w:val="en-US" w:eastAsia="zh-CN" w:bidi="ar"/>
              </w:rPr>
              <w:t>可听、可视、可练、可互动，经由出版社专业编辑进行一审一校。教材内容必须源于对行业企业职业岗位操作规程、标准等进行典型化学习化处理、教学处理和规范；注重以真实生产项目、典型工作任务、案例等为载体组织教学</w:t>
            </w:r>
          </w:p>
          <w:p w14:paraId="4C5326E7">
            <w:pPr>
              <w:bidi w:val="0"/>
              <w:jc w:val="both"/>
              <w:rPr>
                <w:rFonts w:hint="eastAsia" w:ascii="仿宋" w:hAnsi="仿宋" w:eastAsia="仿宋" w:cs="仿宋"/>
                <w:sz w:val="24"/>
                <w:szCs w:val="24"/>
                <w:u w:val="none"/>
                <w:lang w:eastAsia="zh-CN" w:bidi="ar"/>
              </w:rPr>
            </w:pPr>
            <w:r>
              <w:rPr>
                <w:rFonts w:hint="eastAsia" w:ascii="仿宋" w:hAnsi="仿宋" w:eastAsia="仿宋" w:cs="仿宋"/>
                <w:spacing w:val="0"/>
                <w:sz w:val="24"/>
                <w:szCs w:val="24"/>
                <w:u w:val="none"/>
                <w:lang w:val="en-US" w:eastAsia="zh-CN" w:bidi="ar"/>
              </w:rPr>
              <w:t>单元；学习训练载体、学习成果载体源于企业和社会需求，具有职业性、实用性、典型性、可操作性特征，符合行动逻辑、工作逻辑、产学研融合逻辑要求；结合职业能力培养和毕业要求设置不同水平和要求的内容，凸显项目教学、任务驱动、案例教学等特点；引入吸收企业的岗位手册、培训教材、工作规范、安全规范、典型案例及其他相关资料并改进，增强教材内容的实用性、职业性和先进性；与X证书、其他有效的职业资格证书进行有效衔接。</w:t>
            </w:r>
          </w:p>
        </w:tc>
      </w:tr>
      <w:tr w14:paraId="277ADE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54" w:hRule="atLeast"/>
          <w:jc w:val="center"/>
        </w:trPr>
        <w:tc>
          <w:tcPr>
            <w:tcW w:w="1263" w:type="pct"/>
            <w:tcBorders>
              <w:top w:val="single" w:color="auto" w:sz="4" w:space="0"/>
              <w:left w:val="single" w:color="auto" w:sz="4" w:space="0"/>
              <w:bottom w:val="single" w:color="auto" w:sz="4" w:space="0"/>
              <w:right w:val="single" w:color="auto" w:sz="4" w:space="0"/>
            </w:tcBorders>
            <w:noWrap w:val="0"/>
            <w:vAlign w:val="center"/>
          </w:tcPr>
          <w:p w14:paraId="3E428644">
            <w:pPr>
              <w:bidi w:val="0"/>
              <w:jc w:val="center"/>
              <w:rPr>
                <w:rFonts w:hint="eastAsia" w:ascii="仿宋" w:hAnsi="仿宋" w:eastAsia="仿宋" w:cs="仿宋"/>
                <w:sz w:val="24"/>
                <w:szCs w:val="24"/>
              </w:rPr>
            </w:pPr>
            <w:r>
              <w:rPr>
                <w:rFonts w:hint="eastAsia" w:ascii="仿宋" w:hAnsi="仿宋" w:eastAsia="仿宋" w:cs="仿宋"/>
                <w:sz w:val="24"/>
                <w:szCs w:val="24"/>
                <w:lang w:val="en-US" w:eastAsia="zh-CN"/>
              </w:rPr>
              <w:t>课件</w:t>
            </w:r>
          </w:p>
        </w:tc>
        <w:tc>
          <w:tcPr>
            <w:tcW w:w="524" w:type="pct"/>
            <w:tcBorders>
              <w:top w:val="single" w:color="auto" w:sz="4" w:space="0"/>
              <w:left w:val="single" w:color="auto" w:sz="4" w:space="0"/>
              <w:bottom w:val="single" w:color="auto" w:sz="4" w:space="0"/>
              <w:right w:val="single" w:color="auto" w:sz="4" w:space="0"/>
            </w:tcBorders>
            <w:noWrap w:val="0"/>
            <w:vAlign w:val="center"/>
          </w:tcPr>
          <w:p w14:paraId="15E41632">
            <w:pPr>
              <w:bidi w:val="0"/>
              <w:jc w:val="center"/>
              <w:rPr>
                <w:rFonts w:hint="eastAsia" w:ascii="仿宋" w:hAnsi="仿宋" w:eastAsia="仿宋" w:cs="仿宋"/>
                <w:sz w:val="24"/>
                <w:szCs w:val="24"/>
              </w:rPr>
            </w:pPr>
            <w:r>
              <w:rPr>
                <w:rFonts w:hint="eastAsia" w:ascii="仿宋" w:hAnsi="仿宋" w:eastAsia="仿宋" w:cs="仿宋"/>
                <w:sz w:val="24"/>
                <w:szCs w:val="24"/>
              </w:rPr>
              <w:t>至少1套</w:t>
            </w:r>
          </w:p>
        </w:tc>
        <w:tc>
          <w:tcPr>
            <w:tcW w:w="3212" w:type="pct"/>
            <w:tcBorders>
              <w:top w:val="single" w:color="auto" w:sz="4" w:space="0"/>
              <w:left w:val="single" w:color="auto" w:sz="4" w:space="0"/>
              <w:bottom w:val="single" w:color="auto" w:sz="4" w:space="0"/>
              <w:right w:val="single" w:color="auto" w:sz="4" w:space="0"/>
            </w:tcBorders>
            <w:noWrap w:val="0"/>
            <w:vAlign w:val="center"/>
          </w:tcPr>
          <w:p w14:paraId="2C4551ED">
            <w:pPr>
              <w:jc w:val="both"/>
              <w:rPr>
                <w:rFonts w:hint="eastAsia" w:ascii="仿宋" w:hAnsi="仿宋" w:eastAsia="仿宋" w:cs="仿宋"/>
                <w:snapToGrid w:val="0"/>
                <w:color w:val="000000"/>
                <w:kern w:val="0"/>
                <w:sz w:val="24"/>
                <w:szCs w:val="24"/>
                <w:u w:val="none"/>
                <w:lang w:val="en-US" w:eastAsia="zh-CN" w:bidi="ar"/>
              </w:rPr>
            </w:pPr>
            <w:r>
              <w:rPr>
                <w:rFonts w:hint="eastAsia" w:ascii="仿宋" w:hAnsi="仿宋" w:eastAsia="仿宋" w:cs="仿宋"/>
                <w:kern w:val="0"/>
                <w:sz w:val="24"/>
                <w:szCs w:val="24"/>
                <w:u w:val="none"/>
                <w:lang w:eastAsia="zh-CN" w:bidi="ar"/>
              </w:rPr>
              <w:t>ppt图文并茂，</w:t>
            </w:r>
            <w:r>
              <w:rPr>
                <w:rFonts w:hint="eastAsia" w:ascii="仿宋" w:hAnsi="仿宋" w:eastAsia="仿宋" w:cs="仿宋"/>
                <w:kern w:val="0"/>
                <w:sz w:val="24"/>
                <w:szCs w:val="24"/>
                <w:u w:val="none"/>
                <w:lang w:val="en-US" w:eastAsia="zh-CN" w:bidi="ar"/>
              </w:rPr>
              <w:t>排版字号等风格统一</w:t>
            </w:r>
            <w:r>
              <w:rPr>
                <w:rFonts w:hint="eastAsia" w:ascii="仿宋" w:hAnsi="仿宋" w:eastAsia="仿宋" w:cs="仿宋"/>
                <w:kern w:val="0"/>
                <w:sz w:val="24"/>
                <w:szCs w:val="24"/>
                <w:u w:val="none"/>
                <w:lang w:eastAsia="zh-CN" w:bidi="ar"/>
              </w:rPr>
              <w:t>，能较好反映教案内容帮助学生理解，制作</w:t>
            </w:r>
            <w:r>
              <w:rPr>
                <w:rFonts w:hint="eastAsia" w:ascii="仿宋" w:hAnsi="仿宋" w:eastAsia="仿宋" w:cs="仿宋"/>
                <w:kern w:val="0"/>
                <w:sz w:val="24"/>
                <w:szCs w:val="24"/>
                <w:u w:val="none"/>
                <w:lang w:val="en-US" w:eastAsia="zh-CN" w:bidi="ar"/>
              </w:rPr>
              <w:t>精美。</w:t>
            </w:r>
          </w:p>
        </w:tc>
      </w:tr>
      <w:tr w14:paraId="5C185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54" w:hRule="atLeast"/>
          <w:jc w:val="center"/>
        </w:trPr>
        <w:tc>
          <w:tcPr>
            <w:tcW w:w="1263" w:type="pct"/>
            <w:tcBorders>
              <w:top w:val="single" w:color="auto" w:sz="4" w:space="0"/>
              <w:left w:val="single" w:color="auto" w:sz="4" w:space="0"/>
              <w:bottom w:val="single" w:color="auto" w:sz="4" w:space="0"/>
              <w:right w:val="single" w:color="auto" w:sz="4" w:space="0"/>
            </w:tcBorders>
            <w:noWrap w:val="0"/>
            <w:vAlign w:val="center"/>
          </w:tcPr>
          <w:p w14:paraId="5EE5053E">
            <w:pPr>
              <w:pStyle w:val="2"/>
              <w:jc w:val="center"/>
              <w:rPr>
                <w:rFonts w:hint="eastAsia" w:ascii="仿宋" w:hAnsi="仿宋" w:eastAsia="仿宋" w:cs="仿宋"/>
                <w:sz w:val="24"/>
                <w:szCs w:val="24"/>
              </w:rPr>
            </w:pPr>
            <w:r>
              <w:rPr>
                <w:rFonts w:hint="eastAsia" w:ascii="仿宋" w:hAnsi="仿宋" w:eastAsia="仿宋" w:cs="仿宋"/>
                <w:sz w:val="24"/>
                <w:szCs w:val="24"/>
              </w:rPr>
              <w:t>版权问题</w:t>
            </w:r>
          </w:p>
        </w:tc>
        <w:tc>
          <w:tcPr>
            <w:tcW w:w="524" w:type="pct"/>
            <w:tcBorders>
              <w:top w:val="single" w:color="auto" w:sz="4" w:space="0"/>
              <w:left w:val="single" w:color="auto" w:sz="4" w:space="0"/>
              <w:bottom w:val="single" w:color="auto" w:sz="4" w:space="0"/>
              <w:right w:val="single" w:color="auto" w:sz="4" w:space="0"/>
            </w:tcBorders>
            <w:noWrap w:val="0"/>
            <w:vAlign w:val="center"/>
          </w:tcPr>
          <w:p w14:paraId="4A32CDD2">
            <w:pPr>
              <w:bidi w:val="0"/>
              <w:jc w:val="center"/>
              <w:rPr>
                <w:rFonts w:hint="eastAsia" w:ascii="仿宋" w:hAnsi="仿宋" w:eastAsia="仿宋" w:cs="仿宋"/>
                <w:sz w:val="24"/>
                <w:szCs w:val="24"/>
              </w:rPr>
            </w:pPr>
            <w:r>
              <w:rPr>
                <w:rFonts w:hint="eastAsia" w:ascii="仿宋" w:hAnsi="仿宋" w:eastAsia="仿宋" w:cs="仿宋"/>
                <w:sz w:val="24"/>
                <w:szCs w:val="24"/>
              </w:rPr>
              <w:t>无</w:t>
            </w:r>
          </w:p>
        </w:tc>
        <w:tc>
          <w:tcPr>
            <w:tcW w:w="3212" w:type="pct"/>
            <w:tcBorders>
              <w:top w:val="single" w:color="auto" w:sz="4" w:space="0"/>
              <w:left w:val="single" w:color="auto" w:sz="4" w:space="0"/>
              <w:bottom w:val="single" w:color="auto" w:sz="4" w:space="0"/>
              <w:right w:val="single" w:color="auto" w:sz="4" w:space="0"/>
            </w:tcBorders>
            <w:noWrap w:val="0"/>
            <w:vAlign w:val="center"/>
          </w:tcPr>
          <w:p w14:paraId="786C93B2">
            <w:pPr>
              <w:bidi w:val="0"/>
              <w:jc w:val="both"/>
              <w:rPr>
                <w:rFonts w:hint="eastAsia" w:ascii="仿宋" w:hAnsi="仿宋" w:eastAsia="仿宋" w:cs="仿宋"/>
                <w:sz w:val="24"/>
                <w:szCs w:val="24"/>
              </w:rPr>
            </w:pPr>
            <w:r>
              <w:rPr>
                <w:rFonts w:hint="eastAsia" w:ascii="仿宋" w:hAnsi="仿宋" w:eastAsia="仿宋" w:cs="仿宋"/>
                <w:sz w:val="24"/>
                <w:szCs w:val="24"/>
              </w:rPr>
              <w:t>1.已知出处资料，须获得授权后转载使用</w:t>
            </w:r>
          </w:p>
          <w:p w14:paraId="1A4B589B">
            <w:pPr>
              <w:bidi w:val="0"/>
              <w:jc w:val="both"/>
              <w:rPr>
                <w:rFonts w:hint="eastAsia" w:ascii="仿宋" w:hAnsi="仿宋" w:eastAsia="仿宋" w:cs="仿宋"/>
                <w:sz w:val="24"/>
                <w:szCs w:val="24"/>
              </w:rPr>
            </w:pPr>
            <w:r>
              <w:rPr>
                <w:rFonts w:hint="eastAsia" w:ascii="仿宋" w:hAnsi="仿宋" w:eastAsia="仿宋" w:cs="仿宋"/>
                <w:sz w:val="24"/>
                <w:szCs w:val="24"/>
              </w:rPr>
              <w:t>2.未知出处的须标注“仅供教学使用”字样；</w:t>
            </w:r>
          </w:p>
          <w:p w14:paraId="13DF3700">
            <w:pPr>
              <w:bidi w:val="0"/>
              <w:jc w:val="both"/>
              <w:rPr>
                <w:rFonts w:hint="eastAsia" w:ascii="仿宋" w:hAnsi="仿宋" w:eastAsia="仿宋" w:cs="仿宋"/>
                <w:sz w:val="24"/>
                <w:szCs w:val="24"/>
              </w:rPr>
            </w:pPr>
            <w:r>
              <w:rPr>
                <w:rFonts w:hint="eastAsia" w:ascii="仿宋" w:hAnsi="仿宋" w:eastAsia="仿宋" w:cs="仿宋"/>
                <w:sz w:val="24"/>
                <w:szCs w:val="24"/>
              </w:rPr>
              <w:t>注不能出现友商logo。</w:t>
            </w:r>
          </w:p>
        </w:tc>
      </w:tr>
    </w:tbl>
    <w:p w14:paraId="5A4181A7">
      <w:pPr>
        <w:pStyle w:val="2"/>
        <w:snapToGrid w:val="0"/>
        <w:spacing w:line="560" w:lineRule="exact"/>
        <w:ind w:firstLine="0" w:firstLineChars="0"/>
        <w:textAlignment w:val="baseline"/>
        <w:rPr>
          <w:rFonts w:hint="eastAsia" w:ascii="仿宋" w:hAnsi="仿宋" w:eastAsia="仿宋" w:cs="仿宋"/>
          <w:b/>
          <w:bCs/>
          <w:snapToGrid/>
          <w:spacing w:val="0"/>
          <w:kern w:val="2"/>
          <w:sz w:val="24"/>
          <w:szCs w:val="24"/>
          <w:lang w:val="en-US" w:eastAsia="zh-CN"/>
        </w:rPr>
      </w:pPr>
      <w:r>
        <w:rPr>
          <w:rFonts w:hint="eastAsia" w:ascii="仿宋" w:hAnsi="仿宋" w:eastAsia="仿宋" w:cs="仿宋"/>
          <w:b/>
          <w:bCs/>
          <w:snapToGrid/>
          <w:spacing w:val="0"/>
          <w:kern w:val="2"/>
          <w:sz w:val="24"/>
          <w:szCs w:val="24"/>
          <w:lang w:eastAsia="zh-CN"/>
        </w:rPr>
        <w:t xml:space="preserve">附件 </w:t>
      </w:r>
      <w:r>
        <w:rPr>
          <w:rFonts w:hint="eastAsia" w:ascii="仿宋" w:hAnsi="仿宋" w:eastAsia="仿宋" w:cs="仿宋"/>
          <w:b/>
          <w:bCs/>
          <w:snapToGrid/>
          <w:spacing w:val="0"/>
          <w:kern w:val="2"/>
          <w:sz w:val="24"/>
          <w:szCs w:val="24"/>
          <w:lang w:val="en-US" w:eastAsia="zh-CN"/>
        </w:rPr>
        <w:t>2</w:t>
      </w:r>
      <w:r>
        <w:rPr>
          <w:rFonts w:hint="eastAsia" w:ascii="仿宋" w:hAnsi="仿宋" w:eastAsia="仿宋" w:cs="仿宋"/>
          <w:b/>
          <w:bCs/>
          <w:snapToGrid/>
          <w:spacing w:val="0"/>
          <w:kern w:val="2"/>
          <w:sz w:val="24"/>
          <w:szCs w:val="24"/>
          <w:lang w:eastAsia="zh-CN"/>
        </w:rPr>
        <w:t>：</w:t>
      </w:r>
      <w:r>
        <w:rPr>
          <w:rFonts w:hint="eastAsia" w:ascii="仿宋" w:hAnsi="仿宋" w:eastAsia="仿宋" w:cs="仿宋"/>
          <w:b/>
          <w:bCs/>
          <w:i w:val="0"/>
          <w:iCs w:val="0"/>
          <w:snapToGrid w:val="0"/>
          <w:color w:val="000000"/>
          <w:kern w:val="0"/>
          <w:sz w:val="24"/>
          <w:szCs w:val="24"/>
          <w:u w:val="none"/>
          <w:lang w:val="en-US" w:eastAsia="zh-CN" w:bidi="ar"/>
        </w:rPr>
        <w:t>一流课程评审指标</w:t>
      </w:r>
    </w:p>
    <w:tbl>
      <w:tblPr>
        <w:tblStyle w:val="23"/>
        <w:tblW w:w="972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483"/>
        <w:gridCol w:w="1666"/>
        <w:gridCol w:w="6576"/>
      </w:tblGrid>
      <w:tr w14:paraId="5182C2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972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7D371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snapToGrid w:val="0"/>
                <w:color w:val="000000"/>
                <w:kern w:val="0"/>
                <w:sz w:val="24"/>
                <w:szCs w:val="24"/>
                <w:u w:val="none"/>
                <w:lang w:val="en-US" w:eastAsia="zh-CN" w:bidi="ar"/>
              </w:rPr>
              <w:t>一流课程评审指标</w:t>
            </w:r>
          </w:p>
        </w:tc>
      </w:tr>
      <w:tr w14:paraId="0B0D37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8" w:hRule="atLeast"/>
        </w:trPr>
        <w:tc>
          <w:tcPr>
            <w:tcW w:w="1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8E0F7A">
            <w:pPr>
              <w:keepNext w:val="0"/>
              <w:keepLines w:val="0"/>
              <w:widowControl/>
              <w:suppressLineNumbers w:val="0"/>
              <w:jc w:val="center"/>
              <w:textAlignment w:val="center"/>
              <w:rPr>
                <w:rFonts w:hint="eastAsia" w:ascii="仿宋" w:hAnsi="仿宋" w:eastAsia="仿宋" w:cs="仿宋"/>
                <w:b/>
                <w:bCs/>
                <w:i w:val="0"/>
                <w:iCs w:val="0"/>
                <w:color w:val="333333"/>
                <w:sz w:val="24"/>
                <w:szCs w:val="24"/>
                <w:u w:val="none"/>
              </w:rPr>
            </w:pPr>
            <w:r>
              <w:rPr>
                <w:rFonts w:hint="eastAsia" w:ascii="仿宋" w:hAnsi="仿宋" w:eastAsia="仿宋" w:cs="仿宋"/>
                <w:b/>
                <w:bCs/>
                <w:i w:val="0"/>
                <w:iCs w:val="0"/>
                <w:snapToGrid w:val="0"/>
                <w:color w:val="000000"/>
                <w:kern w:val="0"/>
                <w:sz w:val="24"/>
                <w:szCs w:val="24"/>
                <w:u w:val="none"/>
                <w:lang w:val="en-US" w:eastAsia="zh-CN" w:bidi="ar"/>
              </w:rPr>
              <w:t>一级指标</w:t>
            </w:r>
          </w:p>
        </w:tc>
        <w:tc>
          <w:tcPr>
            <w:tcW w:w="1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4333F8">
            <w:pPr>
              <w:keepNext w:val="0"/>
              <w:keepLines w:val="0"/>
              <w:widowControl/>
              <w:suppressLineNumbers w:val="0"/>
              <w:jc w:val="center"/>
              <w:textAlignment w:val="center"/>
              <w:rPr>
                <w:rFonts w:hint="eastAsia" w:ascii="仿宋" w:hAnsi="仿宋" w:eastAsia="仿宋" w:cs="仿宋"/>
                <w:b/>
                <w:bCs/>
                <w:i w:val="0"/>
                <w:iCs w:val="0"/>
                <w:color w:val="333333"/>
                <w:sz w:val="24"/>
                <w:szCs w:val="24"/>
                <w:u w:val="none"/>
              </w:rPr>
            </w:pPr>
            <w:r>
              <w:rPr>
                <w:rFonts w:hint="eastAsia" w:ascii="仿宋" w:hAnsi="仿宋" w:eastAsia="仿宋" w:cs="仿宋"/>
                <w:b/>
                <w:bCs/>
                <w:i w:val="0"/>
                <w:iCs w:val="0"/>
                <w:snapToGrid w:val="0"/>
                <w:color w:val="000000"/>
                <w:kern w:val="0"/>
                <w:sz w:val="24"/>
                <w:szCs w:val="24"/>
                <w:u w:val="none"/>
                <w:lang w:val="en-US" w:eastAsia="zh-CN" w:bidi="ar"/>
              </w:rPr>
              <w:t>二级指标</w:t>
            </w:r>
          </w:p>
        </w:tc>
        <w:tc>
          <w:tcPr>
            <w:tcW w:w="65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538748">
            <w:pPr>
              <w:keepNext w:val="0"/>
              <w:keepLines w:val="0"/>
              <w:widowControl/>
              <w:suppressLineNumbers w:val="0"/>
              <w:jc w:val="center"/>
              <w:textAlignment w:val="center"/>
              <w:rPr>
                <w:rFonts w:hint="eastAsia" w:ascii="仿宋" w:hAnsi="仿宋" w:eastAsia="仿宋" w:cs="仿宋"/>
                <w:b/>
                <w:bCs/>
                <w:i w:val="0"/>
                <w:iCs w:val="0"/>
                <w:color w:val="333333"/>
                <w:sz w:val="24"/>
                <w:szCs w:val="24"/>
                <w:u w:val="none"/>
              </w:rPr>
            </w:pPr>
            <w:r>
              <w:rPr>
                <w:rFonts w:hint="eastAsia" w:ascii="仿宋" w:hAnsi="仿宋" w:eastAsia="仿宋" w:cs="仿宋"/>
                <w:b/>
                <w:bCs/>
                <w:i w:val="0"/>
                <w:iCs w:val="0"/>
                <w:snapToGrid w:val="0"/>
                <w:color w:val="000000"/>
                <w:kern w:val="0"/>
                <w:sz w:val="24"/>
                <w:szCs w:val="24"/>
                <w:u w:val="none"/>
                <w:lang w:val="en-US" w:eastAsia="zh-CN" w:bidi="ar"/>
              </w:rPr>
              <w:t>观测点及描述</w:t>
            </w:r>
          </w:p>
        </w:tc>
      </w:tr>
      <w:tr w14:paraId="6CA995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5" w:hRule="atLeast"/>
        </w:trPr>
        <w:tc>
          <w:tcPr>
            <w:tcW w:w="148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9893379">
            <w:pPr>
              <w:keepNext w:val="0"/>
              <w:keepLines w:val="0"/>
              <w:widowControl/>
              <w:suppressLineNumbers w:val="0"/>
              <w:jc w:val="left"/>
              <w:textAlignment w:val="center"/>
              <w:rPr>
                <w:rFonts w:hint="eastAsia" w:ascii="仿宋" w:hAnsi="仿宋" w:eastAsia="仿宋" w:cs="仿宋"/>
                <w:i w:val="0"/>
                <w:iCs w:val="0"/>
                <w:color w:val="333333"/>
                <w:sz w:val="24"/>
                <w:szCs w:val="24"/>
                <w:u w:val="none"/>
              </w:rPr>
            </w:pPr>
            <w:r>
              <w:rPr>
                <w:rFonts w:hint="eastAsia" w:ascii="仿宋" w:hAnsi="仿宋" w:eastAsia="仿宋" w:cs="仿宋"/>
                <w:i w:val="0"/>
                <w:iCs w:val="0"/>
                <w:snapToGrid w:val="0"/>
                <w:color w:val="000000"/>
                <w:kern w:val="0"/>
                <w:sz w:val="24"/>
                <w:szCs w:val="24"/>
                <w:u w:val="none"/>
                <w:lang w:val="en-US" w:eastAsia="zh-CN" w:bidi="ar"/>
              </w:rPr>
              <w:t xml:space="preserve">一、课程内容 </w:t>
            </w:r>
          </w:p>
        </w:tc>
        <w:tc>
          <w:tcPr>
            <w:tcW w:w="1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656F7E">
            <w:pPr>
              <w:keepNext w:val="0"/>
              <w:keepLines w:val="0"/>
              <w:widowControl/>
              <w:suppressLineNumbers w:val="0"/>
              <w:jc w:val="left"/>
              <w:textAlignment w:val="center"/>
              <w:rPr>
                <w:rFonts w:hint="eastAsia" w:ascii="仿宋" w:hAnsi="仿宋" w:eastAsia="仿宋" w:cs="仿宋"/>
                <w:i w:val="0"/>
                <w:iCs w:val="0"/>
                <w:color w:val="333333"/>
                <w:sz w:val="24"/>
                <w:szCs w:val="24"/>
                <w:u w:val="none"/>
              </w:rPr>
            </w:pPr>
            <w:r>
              <w:rPr>
                <w:rFonts w:hint="eastAsia" w:ascii="仿宋" w:hAnsi="仿宋" w:eastAsia="仿宋" w:cs="仿宋"/>
                <w:i w:val="0"/>
                <w:iCs w:val="0"/>
                <w:snapToGrid w:val="0"/>
                <w:color w:val="000000"/>
                <w:kern w:val="0"/>
                <w:sz w:val="24"/>
                <w:szCs w:val="24"/>
                <w:u w:val="none"/>
                <w:lang w:val="en-US" w:eastAsia="zh-CN" w:bidi="ar"/>
              </w:rPr>
              <w:t>1-1规范性</w:t>
            </w:r>
          </w:p>
        </w:tc>
        <w:tc>
          <w:tcPr>
            <w:tcW w:w="65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C7DE20">
            <w:pPr>
              <w:keepNext w:val="0"/>
              <w:keepLines w:val="0"/>
              <w:widowControl/>
              <w:suppressLineNumbers w:val="0"/>
              <w:jc w:val="left"/>
              <w:textAlignment w:val="center"/>
              <w:rPr>
                <w:rFonts w:hint="eastAsia" w:ascii="仿宋" w:hAnsi="仿宋" w:eastAsia="仿宋" w:cs="仿宋"/>
                <w:i w:val="0"/>
                <w:iCs w:val="0"/>
                <w:color w:val="333333"/>
                <w:sz w:val="24"/>
                <w:szCs w:val="24"/>
                <w:u w:val="none"/>
              </w:rPr>
            </w:pPr>
            <w:r>
              <w:rPr>
                <w:rFonts w:hint="eastAsia" w:ascii="仿宋" w:hAnsi="仿宋" w:eastAsia="仿宋" w:cs="仿宋"/>
                <w:i w:val="0"/>
                <w:iCs w:val="0"/>
                <w:snapToGrid w:val="0"/>
                <w:color w:val="000000"/>
                <w:kern w:val="0"/>
                <w:sz w:val="24"/>
                <w:szCs w:val="24"/>
                <w:u w:val="none"/>
                <w:lang w:val="en-US" w:eastAsia="zh-CN" w:bidi="ar"/>
              </w:rPr>
              <w:t>课程内容为高校教学内容，符合《普通高等学校本科专业类教学质量国家标准》等要求，课程定位准确，教学内容质量高；课程知识体系科学完整。</w:t>
            </w:r>
          </w:p>
        </w:tc>
      </w:tr>
      <w:tr w14:paraId="7664A3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trPr>
        <w:tc>
          <w:tcPr>
            <w:tcW w:w="14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287E2C">
            <w:pPr>
              <w:rPr>
                <w:rFonts w:hint="eastAsia" w:ascii="仿宋" w:hAnsi="仿宋" w:eastAsia="仿宋" w:cs="仿宋"/>
                <w:i w:val="0"/>
                <w:iCs w:val="0"/>
                <w:color w:val="333333"/>
                <w:sz w:val="24"/>
                <w:szCs w:val="24"/>
                <w:u w:val="none"/>
              </w:rPr>
            </w:pPr>
          </w:p>
        </w:tc>
        <w:tc>
          <w:tcPr>
            <w:tcW w:w="1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DD522C">
            <w:pPr>
              <w:keepNext w:val="0"/>
              <w:keepLines w:val="0"/>
              <w:widowControl/>
              <w:suppressLineNumbers w:val="0"/>
              <w:jc w:val="left"/>
              <w:textAlignment w:val="center"/>
              <w:rPr>
                <w:rFonts w:hint="eastAsia" w:ascii="仿宋" w:hAnsi="仿宋" w:eastAsia="仿宋" w:cs="仿宋"/>
                <w:i w:val="0"/>
                <w:iCs w:val="0"/>
                <w:color w:val="333333"/>
                <w:sz w:val="24"/>
                <w:szCs w:val="24"/>
                <w:u w:val="none"/>
              </w:rPr>
            </w:pPr>
            <w:r>
              <w:rPr>
                <w:rFonts w:hint="eastAsia" w:ascii="仿宋" w:hAnsi="仿宋" w:eastAsia="仿宋" w:cs="仿宋"/>
                <w:i w:val="0"/>
                <w:iCs w:val="0"/>
                <w:snapToGrid w:val="0"/>
                <w:color w:val="000000"/>
                <w:kern w:val="0"/>
                <w:sz w:val="24"/>
                <w:szCs w:val="24"/>
                <w:u w:val="none"/>
                <w:lang w:val="en-US" w:eastAsia="zh-CN" w:bidi="ar"/>
              </w:rPr>
              <w:t>1-2思想性、科学性、先进性</w:t>
            </w:r>
          </w:p>
        </w:tc>
        <w:tc>
          <w:tcPr>
            <w:tcW w:w="65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F9AAD8">
            <w:pPr>
              <w:keepNext w:val="0"/>
              <w:keepLines w:val="0"/>
              <w:widowControl/>
              <w:suppressLineNumbers w:val="0"/>
              <w:jc w:val="left"/>
              <w:textAlignment w:val="center"/>
              <w:rPr>
                <w:rFonts w:hint="eastAsia" w:ascii="仿宋" w:hAnsi="仿宋" w:eastAsia="仿宋" w:cs="仿宋"/>
                <w:i w:val="0"/>
                <w:iCs w:val="0"/>
                <w:color w:val="333333"/>
                <w:sz w:val="24"/>
                <w:szCs w:val="24"/>
                <w:u w:val="none"/>
              </w:rPr>
            </w:pPr>
            <w:r>
              <w:rPr>
                <w:rFonts w:hint="eastAsia" w:ascii="仿宋" w:hAnsi="仿宋" w:eastAsia="仿宋" w:cs="仿宋"/>
                <w:i w:val="0"/>
                <w:iCs w:val="0"/>
                <w:snapToGrid w:val="0"/>
                <w:color w:val="000000"/>
                <w:kern w:val="0"/>
                <w:sz w:val="24"/>
                <w:szCs w:val="24"/>
                <w:u w:val="none"/>
                <w:lang w:val="en-US" w:eastAsia="zh-CN" w:bidi="ar"/>
              </w:rPr>
              <w:t>坚持立德树人，将思想政治教育内化为课程内容，弘扬社会主义核心价值观；课程内容先进、新颖，反映学科专业先进的核心理论和成果，体现教改教研成果，具有较高的科学性水平，注重运用知识解决实际问题。</w:t>
            </w:r>
          </w:p>
        </w:tc>
      </w:tr>
      <w:tr w14:paraId="0B1C1B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14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E0FFCD">
            <w:pPr>
              <w:rPr>
                <w:rFonts w:hint="eastAsia" w:ascii="仿宋" w:hAnsi="仿宋" w:eastAsia="仿宋" w:cs="仿宋"/>
                <w:i w:val="0"/>
                <w:iCs w:val="0"/>
                <w:color w:val="333333"/>
                <w:sz w:val="24"/>
                <w:szCs w:val="24"/>
                <w:u w:val="none"/>
              </w:rPr>
            </w:pPr>
          </w:p>
        </w:tc>
        <w:tc>
          <w:tcPr>
            <w:tcW w:w="1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AA9806">
            <w:pPr>
              <w:keepNext w:val="0"/>
              <w:keepLines w:val="0"/>
              <w:widowControl/>
              <w:suppressLineNumbers w:val="0"/>
              <w:jc w:val="left"/>
              <w:textAlignment w:val="center"/>
              <w:rPr>
                <w:rFonts w:hint="eastAsia" w:ascii="仿宋" w:hAnsi="仿宋" w:eastAsia="仿宋" w:cs="仿宋"/>
                <w:i w:val="0"/>
                <w:iCs w:val="0"/>
                <w:color w:val="333333"/>
                <w:sz w:val="24"/>
                <w:szCs w:val="24"/>
                <w:u w:val="none"/>
              </w:rPr>
            </w:pPr>
            <w:r>
              <w:rPr>
                <w:rFonts w:hint="eastAsia" w:ascii="仿宋" w:hAnsi="仿宋" w:eastAsia="仿宋" w:cs="仿宋"/>
                <w:i w:val="0"/>
                <w:iCs w:val="0"/>
                <w:snapToGrid w:val="0"/>
                <w:color w:val="000000"/>
                <w:kern w:val="0"/>
                <w:sz w:val="24"/>
                <w:szCs w:val="24"/>
                <w:u w:val="none"/>
                <w:lang w:val="en-US" w:eastAsia="zh-CN" w:bidi="ar"/>
              </w:rPr>
              <w:t>1-3 安全性</w:t>
            </w:r>
          </w:p>
        </w:tc>
        <w:tc>
          <w:tcPr>
            <w:tcW w:w="65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AFFFB">
            <w:pPr>
              <w:keepNext w:val="0"/>
              <w:keepLines w:val="0"/>
              <w:widowControl/>
              <w:suppressLineNumbers w:val="0"/>
              <w:jc w:val="left"/>
              <w:textAlignment w:val="center"/>
              <w:rPr>
                <w:rFonts w:hint="eastAsia" w:ascii="仿宋" w:hAnsi="仿宋" w:eastAsia="仿宋" w:cs="仿宋"/>
                <w:i w:val="0"/>
                <w:iCs w:val="0"/>
                <w:color w:val="333333"/>
                <w:sz w:val="24"/>
                <w:szCs w:val="24"/>
                <w:u w:val="none"/>
              </w:rPr>
            </w:pPr>
            <w:r>
              <w:rPr>
                <w:rFonts w:hint="eastAsia" w:ascii="仿宋" w:hAnsi="仿宋" w:eastAsia="仿宋" w:cs="仿宋"/>
                <w:i w:val="0"/>
                <w:iCs w:val="0"/>
                <w:snapToGrid w:val="0"/>
                <w:color w:val="000000"/>
                <w:kern w:val="0"/>
                <w:sz w:val="24"/>
                <w:szCs w:val="24"/>
                <w:u w:val="none"/>
                <w:lang w:val="en-US" w:eastAsia="zh-CN" w:bidi="ar"/>
              </w:rPr>
              <w:t>课程无危害国家安全、涉密及其他不适宜网络公开传播的内容，无侵犯他人知识产权内容。</w:t>
            </w:r>
          </w:p>
        </w:tc>
      </w:tr>
      <w:tr w14:paraId="3927EF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14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C56002">
            <w:pPr>
              <w:rPr>
                <w:rFonts w:hint="eastAsia" w:ascii="仿宋" w:hAnsi="仿宋" w:eastAsia="仿宋" w:cs="仿宋"/>
                <w:i w:val="0"/>
                <w:iCs w:val="0"/>
                <w:color w:val="333333"/>
                <w:sz w:val="24"/>
                <w:szCs w:val="24"/>
                <w:u w:val="none"/>
              </w:rPr>
            </w:pPr>
          </w:p>
        </w:tc>
        <w:tc>
          <w:tcPr>
            <w:tcW w:w="1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262B76">
            <w:pPr>
              <w:keepNext w:val="0"/>
              <w:keepLines w:val="0"/>
              <w:widowControl/>
              <w:suppressLineNumbers w:val="0"/>
              <w:jc w:val="left"/>
              <w:textAlignment w:val="center"/>
              <w:rPr>
                <w:rFonts w:hint="eastAsia" w:ascii="仿宋" w:hAnsi="仿宋" w:eastAsia="仿宋" w:cs="仿宋"/>
                <w:i w:val="0"/>
                <w:iCs w:val="0"/>
                <w:color w:val="333333"/>
                <w:sz w:val="24"/>
                <w:szCs w:val="24"/>
                <w:u w:val="none"/>
              </w:rPr>
            </w:pPr>
            <w:r>
              <w:rPr>
                <w:rFonts w:hint="eastAsia" w:ascii="仿宋" w:hAnsi="仿宋" w:eastAsia="仿宋" w:cs="仿宋"/>
                <w:i w:val="0"/>
                <w:iCs w:val="0"/>
                <w:snapToGrid w:val="0"/>
                <w:color w:val="000000"/>
                <w:kern w:val="0"/>
                <w:sz w:val="24"/>
                <w:szCs w:val="24"/>
                <w:u w:val="none"/>
                <w:lang w:val="en-US" w:eastAsia="zh-CN" w:bidi="ar"/>
              </w:rPr>
              <w:t>1-4 适当性、多样性</w:t>
            </w:r>
          </w:p>
        </w:tc>
        <w:tc>
          <w:tcPr>
            <w:tcW w:w="65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E09A80">
            <w:pPr>
              <w:keepNext w:val="0"/>
              <w:keepLines w:val="0"/>
              <w:widowControl/>
              <w:suppressLineNumbers w:val="0"/>
              <w:jc w:val="left"/>
              <w:textAlignment w:val="center"/>
              <w:rPr>
                <w:rFonts w:hint="eastAsia" w:ascii="仿宋" w:hAnsi="仿宋" w:eastAsia="仿宋" w:cs="仿宋"/>
                <w:i w:val="0"/>
                <w:iCs w:val="0"/>
                <w:color w:val="333333"/>
                <w:sz w:val="24"/>
                <w:szCs w:val="24"/>
                <w:u w:val="none"/>
              </w:rPr>
            </w:pPr>
            <w:r>
              <w:rPr>
                <w:rFonts w:hint="eastAsia" w:ascii="仿宋" w:hAnsi="仿宋" w:eastAsia="仿宋" w:cs="仿宋"/>
                <w:i w:val="0"/>
                <w:iCs w:val="0"/>
                <w:snapToGrid w:val="0"/>
                <w:color w:val="000000"/>
                <w:kern w:val="0"/>
                <w:sz w:val="24"/>
                <w:szCs w:val="24"/>
                <w:u w:val="none"/>
                <w:lang w:val="en-US" w:eastAsia="zh-CN" w:bidi="ar"/>
              </w:rPr>
              <w:t>课程内容及教学环节配置丰富、多样，深浅度合理，内容更新和完善及时。在线考试难易度适当，有区分度。</w:t>
            </w:r>
          </w:p>
        </w:tc>
      </w:tr>
      <w:tr w14:paraId="3F91E6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148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01B6565">
            <w:pPr>
              <w:keepNext w:val="0"/>
              <w:keepLines w:val="0"/>
              <w:widowControl/>
              <w:suppressLineNumbers w:val="0"/>
              <w:jc w:val="center"/>
              <w:textAlignment w:val="center"/>
              <w:rPr>
                <w:rFonts w:hint="eastAsia" w:ascii="仿宋" w:hAnsi="仿宋" w:eastAsia="仿宋" w:cs="仿宋"/>
                <w:i w:val="0"/>
                <w:iCs w:val="0"/>
                <w:color w:val="333333"/>
                <w:sz w:val="24"/>
                <w:szCs w:val="24"/>
                <w:u w:val="none"/>
              </w:rPr>
            </w:pPr>
            <w:r>
              <w:rPr>
                <w:rFonts w:hint="eastAsia" w:ascii="仿宋" w:hAnsi="仿宋" w:eastAsia="仿宋" w:cs="仿宋"/>
                <w:i w:val="0"/>
                <w:iCs w:val="0"/>
                <w:snapToGrid w:val="0"/>
                <w:color w:val="000000"/>
                <w:kern w:val="0"/>
                <w:sz w:val="24"/>
                <w:szCs w:val="24"/>
                <w:u w:val="none"/>
                <w:lang w:val="en-US" w:eastAsia="zh-CN" w:bidi="ar"/>
              </w:rPr>
              <w:t xml:space="preserve">二、课程教学设计  </w:t>
            </w:r>
          </w:p>
        </w:tc>
        <w:tc>
          <w:tcPr>
            <w:tcW w:w="1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CF91A2">
            <w:pPr>
              <w:keepNext w:val="0"/>
              <w:keepLines w:val="0"/>
              <w:widowControl/>
              <w:suppressLineNumbers w:val="0"/>
              <w:jc w:val="left"/>
              <w:textAlignment w:val="center"/>
              <w:rPr>
                <w:rFonts w:hint="eastAsia" w:ascii="仿宋" w:hAnsi="仿宋" w:eastAsia="仿宋" w:cs="仿宋"/>
                <w:i w:val="0"/>
                <w:iCs w:val="0"/>
                <w:color w:val="333333"/>
                <w:sz w:val="24"/>
                <w:szCs w:val="24"/>
                <w:u w:val="none"/>
              </w:rPr>
            </w:pPr>
            <w:r>
              <w:rPr>
                <w:rFonts w:hint="eastAsia" w:ascii="仿宋" w:hAnsi="仿宋" w:eastAsia="仿宋" w:cs="仿宋"/>
                <w:i w:val="0"/>
                <w:iCs w:val="0"/>
                <w:snapToGrid w:val="0"/>
                <w:color w:val="000000"/>
                <w:kern w:val="0"/>
                <w:sz w:val="24"/>
                <w:szCs w:val="24"/>
                <w:u w:val="none"/>
                <w:lang w:val="en-US" w:eastAsia="zh-CN" w:bidi="ar"/>
              </w:rPr>
              <w:t xml:space="preserve">2-1合理性 </w:t>
            </w:r>
          </w:p>
        </w:tc>
        <w:tc>
          <w:tcPr>
            <w:tcW w:w="65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AB84AF">
            <w:pPr>
              <w:keepNext w:val="0"/>
              <w:keepLines w:val="0"/>
              <w:widowControl/>
              <w:suppressLineNumbers w:val="0"/>
              <w:jc w:val="left"/>
              <w:textAlignment w:val="center"/>
              <w:rPr>
                <w:rFonts w:hint="eastAsia" w:ascii="仿宋" w:hAnsi="仿宋" w:eastAsia="仿宋" w:cs="仿宋"/>
                <w:i w:val="0"/>
                <w:iCs w:val="0"/>
                <w:color w:val="333333"/>
                <w:sz w:val="24"/>
                <w:szCs w:val="24"/>
                <w:u w:val="none"/>
              </w:rPr>
            </w:pPr>
            <w:r>
              <w:rPr>
                <w:rFonts w:hint="eastAsia" w:ascii="仿宋" w:hAnsi="仿宋" w:eastAsia="仿宋" w:cs="仿宋"/>
                <w:i w:val="0"/>
                <w:iCs w:val="0"/>
                <w:snapToGrid w:val="0"/>
                <w:color w:val="000000"/>
                <w:kern w:val="0"/>
                <w:sz w:val="24"/>
                <w:szCs w:val="24"/>
                <w:u w:val="none"/>
                <w:lang w:val="en-US" w:eastAsia="zh-CN" w:bidi="ar"/>
              </w:rPr>
              <w:t>教学目标明确，教学方法与教学活动组织科学合理，符合教育教学规律。</w:t>
            </w:r>
          </w:p>
        </w:tc>
      </w:tr>
      <w:tr w14:paraId="608AAC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25" w:hRule="atLeast"/>
        </w:trPr>
        <w:tc>
          <w:tcPr>
            <w:tcW w:w="14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6D2723">
            <w:pPr>
              <w:jc w:val="center"/>
              <w:rPr>
                <w:rFonts w:hint="eastAsia" w:ascii="仿宋" w:hAnsi="仿宋" w:eastAsia="仿宋" w:cs="仿宋"/>
                <w:i w:val="0"/>
                <w:iCs w:val="0"/>
                <w:color w:val="333333"/>
                <w:sz w:val="24"/>
                <w:szCs w:val="24"/>
                <w:u w:val="none"/>
              </w:rPr>
            </w:pPr>
          </w:p>
        </w:tc>
        <w:tc>
          <w:tcPr>
            <w:tcW w:w="1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7E2B6B">
            <w:pPr>
              <w:keepNext w:val="0"/>
              <w:keepLines w:val="0"/>
              <w:widowControl/>
              <w:suppressLineNumbers w:val="0"/>
              <w:jc w:val="left"/>
              <w:textAlignment w:val="center"/>
              <w:rPr>
                <w:rFonts w:hint="eastAsia" w:ascii="仿宋" w:hAnsi="仿宋" w:eastAsia="仿宋" w:cs="仿宋"/>
                <w:i w:val="0"/>
                <w:iCs w:val="0"/>
                <w:color w:val="333333"/>
                <w:sz w:val="24"/>
                <w:szCs w:val="24"/>
                <w:u w:val="none"/>
              </w:rPr>
            </w:pPr>
            <w:r>
              <w:rPr>
                <w:rFonts w:hint="eastAsia" w:ascii="仿宋" w:hAnsi="仿宋" w:eastAsia="仿宋" w:cs="仿宋"/>
                <w:i w:val="0"/>
                <w:iCs w:val="0"/>
                <w:snapToGrid w:val="0"/>
                <w:color w:val="000000"/>
                <w:kern w:val="0"/>
                <w:sz w:val="24"/>
                <w:szCs w:val="24"/>
                <w:u w:val="none"/>
                <w:lang w:val="en-US" w:eastAsia="zh-CN" w:bidi="ar"/>
              </w:rPr>
              <w:t>2-2方向性</w:t>
            </w:r>
          </w:p>
        </w:tc>
        <w:tc>
          <w:tcPr>
            <w:tcW w:w="65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E78C0D">
            <w:pPr>
              <w:keepNext w:val="0"/>
              <w:keepLines w:val="0"/>
              <w:widowControl/>
              <w:suppressLineNumbers w:val="0"/>
              <w:jc w:val="left"/>
              <w:textAlignment w:val="center"/>
              <w:rPr>
                <w:rFonts w:hint="eastAsia" w:ascii="仿宋" w:hAnsi="仿宋" w:eastAsia="仿宋" w:cs="仿宋"/>
                <w:i w:val="0"/>
                <w:iCs w:val="0"/>
                <w:color w:val="333333"/>
                <w:sz w:val="24"/>
                <w:szCs w:val="24"/>
                <w:u w:val="none"/>
              </w:rPr>
            </w:pPr>
            <w:r>
              <w:rPr>
                <w:rFonts w:hint="eastAsia" w:ascii="仿宋" w:hAnsi="仿宋" w:eastAsia="仿宋" w:cs="仿宋"/>
                <w:i w:val="0"/>
                <w:iCs w:val="0"/>
                <w:snapToGrid w:val="0"/>
                <w:color w:val="000000"/>
                <w:kern w:val="0"/>
                <w:sz w:val="24"/>
                <w:szCs w:val="24"/>
                <w:u w:val="none"/>
                <w:lang w:val="en-US" w:eastAsia="zh-CN" w:bidi="ar"/>
              </w:rPr>
              <w:t xml:space="preserve">符合以学生为中心的课程教学改革方向，注重激发学生学习志趣和潜能，增强学生的社会责任感、创新精神和实践能力；信息技术与教育教学融合，课程应用与课程服务相融通，  适合在线学习、翻转课堂以及线上线下混合式拓展性学习。 </w:t>
            </w:r>
          </w:p>
        </w:tc>
      </w:tr>
      <w:tr w14:paraId="370FD1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5" w:hRule="atLeast"/>
        </w:trPr>
        <w:tc>
          <w:tcPr>
            <w:tcW w:w="14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9CB7B0">
            <w:pPr>
              <w:jc w:val="center"/>
              <w:rPr>
                <w:rFonts w:hint="eastAsia" w:ascii="仿宋" w:hAnsi="仿宋" w:eastAsia="仿宋" w:cs="仿宋"/>
                <w:i w:val="0"/>
                <w:iCs w:val="0"/>
                <w:color w:val="333333"/>
                <w:sz w:val="24"/>
                <w:szCs w:val="24"/>
                <w:u w:val="none"/>
              </w:rPr>
            </w:pPr>
          </w:p>
        </w:tc>
        <w:tc>
          <w:tcPr>
            <w:tcW w:w="1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26211E">
            <w:pPr>
              <w:keepNext w:val="0"/>
              <w:keepLines w:val="0"/>
              <w:widowControl/>
              <w:suppressLineNumbers w:val="0"/>
              <w:jc w:val="left"/>
              <w:textAlignment w:val="center"/>
              <w:rPr>
                <w:rFonts w:hint="eastAsia" w:ascii="仿宋" w:hAnsi="仿宋" w:eastAsia="仿宋" w:cs="仿宋"/>
                <w:i w:val="0"/>
                <w:iCs w:val="0"/>
                <w:color w:val="333333"/>
                <w:sz w:val="24"/>
                <w:szCs w:val="24"/>
                <w:u w:val="none"/>
              </w:rPr>
            </w:pPr>
            <w:r>
              <w:rPr>
                <w:rFonts w:hint="eastAsia" w:ascii="仿宋" w:hAnsi="仿宋" w:eastAsia="仿宋" w:cs="仿宋"/>
                <w:i w:val="0"/>
                <w:iCs w:val="0"/>
                <w:snapToGrid w:val="0"/>
                <w:color w:val="000000"/>
                <w:kern w:val="0"/>
                <w:sz w:val="24"/>
                <w:szCs w:val="24"/>
                <w:u w:val="none"/>
                <w:lang w:val="en-US" w:eastAsia="zh-CN" w:bidi="ar"/>
              </w:rPr>
              <w:t>2-3创新性</w:t>
            </w:r>
          </w:p>
        </w:tc>
        <w:tc>
          <w:tcPr>
            <w:tcW w:w="65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5DA1E9">
            <w:pPr>
              <w:keepNext w:val="0"/>
              <w:keepLines w:val="0"/>
              <w:widowControl/>
              <w:suppressLineNumbers w:val="0"/>
              <w:jc w:val="left"/>
              <w:textAlignment w:val="center"/>
              <w:rPr>
                <w:rFonts w:hint="eastAsia" w:ascii="仿宋" w:hAnsi="仿宋" w:eastAsia="仿宋" w:cs="仿宋"/>
                <w:i w:val="0"/>
                <w:iCs w:val="0"/>
                <w:color w:val="333333"/>
                <w:sz w:val="24"/>
                <w:szCs w:val="24"/>
                <w:u w:val="none"/>
              </w:rPr>
            </w:pPr>
            <w:r>
              <w:rPr>
                <w:rFonts w:hint="eastAsia" w:ascii="仿宋" w:hAnsi="仿宋" w:eastAsia="仿宋" w:cs="仿宋"/>
                <w:i w:val="0"/>
                <w:iCs w:val="0"/>
                <w:snapToGrid w:val="0"/>
                <w:color w:val="000000"/>
                <w:kern w:val="0"/>
                <w:sz w:val="24"/>
                <w:szCs w:val="24"/>
                <w:u w:val="none"/>
                <w:lang w:val="en-US" w:eastAsia="zh-CN" w:bidi="ar"/>
              </w:rPr>
              <w:t>有针对性地解决当前教育教学中存在的问题，充分利用和发挥网络教学优势，各教学环节充分、有效，满足学生的在线学习的诉求，不是传统课堂的简单翻版。</w:t>
            </w:r>
          </w:p>
        </w:tc>
      </w:tr>
      <w:tr w14:paraId="3EA7D4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5" w:hRule="atLeast"/>
        </w:trPr>
        <w:tc>
          <w:tcPr>
            <w:tcW w:w="148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3B3A4DD">
            <w:pPr>
              <w:keepNext w:val="0"/>
              <w:keepLines w:val="0"/>
              <w:widowControl/>
              <w:suppressLineNumbers w:val="0"/>
              <w:jc w:val="left"/>
              <w:textAlignment w:val="center"/>
              <w:rPr>
                <w:rFonts w:hint="eastAsia" w:ascii="仿宋" w:hAnsi="仿宋" w:eastAsia="仿宋" w:cs="仿宋"/>
                <w:i w:val="0"/>
                <w:iCs w:val="0"/>
                <w:color w:val="333333"/>
                <w:sz w:val="24"/>
                <w:szCs w:val="24"/>
                <w:u w:val="none"/>
              </w:rPr>
            </w:pPr>
            <w:r>
              <w:rPr>
                <w:rFonts w:hint="eastAsia" w:ascii="仿宋" w:hAnsi="仿宋" w:eastAsia="仿宋" w:cs="仿宋"/>
                <w:i w:val="0"/>
                <w:iCs w:val="0"/>
                <w:snapToGrid w:val="0"/>
                <w:color w:val="000000"/>
                <w:kern w:val="0"/>
                <w:sz w:val="24"/>
                <w:szCs w:val="24"/>
                <w:u w:val="none"/>
                <w:lang w:val="en-US" w:eastAsia="zh-CN" w:bidi="ar"/>
              </w:rPr>
              <w:t xml:space="preserve">三、课程团队 </w:t>
            </w:r>
          </w:p>
        </w:tc>
        <w:tc>
          <w:tcPr>
            <w:tcW w:w="1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B27634">
            <w:pPr>
              <w:keepNext w:val="0"/>
              <w:keepLines w:val="0"/>
              <w:widowControl/>
              <w:suppressLineNumbers w:val="0"/>
              <w:jc w:val="left"/>
              <w:textAlignment w:val="center"/>
              <w:rPr>
                <w:rFonts w:hint="eastAsia" w:ascii="仿宋" w:hAnsi="仿宋" w:eastAsia="仿宋" w:cs="仿宋"/>
                <w:i w:val="0"/>
                <w:iCs w:val="0"/>
                <w:color w:val="333333"/>
                <w:sz w:val="24"/>
                <w:szCs w:val="24"/>
                <w:u w:val="none"/>
              </w:rPr>
            </w:pPr>
            <w:r>
              <w:rPr>
                <w:rFonts w:hint="eastAsia" w:ascii="仿宋" w:hAnsi="仿宋" w:eastAsia="仿宋" w:cs="仿宋"/>
                <w:i w:val="0"/>
                <w:iCs w:val="0"/>
                <w:snapToGrid w:val="0"/>
                <w:color w:val="000000"/>
                <w:kern w:val="0"/>
                <w:sz w:val="24"/>
                <w:szCs w:val="24"/>
                <w:u w:val="none"/>
                <w:lang w:val="en-US" w:eastAsia="zh-CN" w:bidi="ar"/>
              </w:rPr>
              <w:t>3-1 负责人</w:t>
            </w:r>
          </w:p>
        </w:tc>
        <w:tc>
          <w:tcPr>
            <w:tcW w:w="65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D14FE">
            <w:pPr>
              <w:keepNext w:val="0"/>
              <w:keepLines w:val="0"/>
              <w:widowControl/>
              <w:suppressLineNumbers w:val="0"/>
              <w:jc w:val="left"/>
              <w:textAlignment w:val="center"/>
              <w:rPr>
                <w:rFonts w:hint="eastAsia" w:ascii="仿宋" w:hAnsi="仿宋" w:eastAsia="仿宋" w:cs="仿宋"/>
                <w:i w:val="0"/>
                <w:iCs w:val="0"/>
                <w:color w:val="333333"/>
                <w:sz w:val="24"/>
                <w:szCs w:val="24"/>
                <w:u w:val="none"/>
              </w:rPr>
            </w:pPr>
            <w:r>
              <w:rPr>
                <w:rFonts w:hint="eastAsia" w:ascii="仿宋" w:hAnsi="仿宋" w:eastAsia="仿宋" w:cs="仿宋"/>
                <w:i w:val="0"/>
                <w:iCs w:val="0"/>
                <w:snapToGrid w:val="0"/>
                <w:color w:val="000000"/>
                <w:kern w:val="0"/>
                <w:sz w:val="24"/>
                <w:szCs w:val="24"/>
                <w:u w:val="none"/>
                <w:lang w:val="en-US" w:eastAsia="zh-CN" w:bidi="ar"/>
              </w:rPr>
              <w:t>在本课程专业领域有较高学术造诣，教学经验丰富，教学水平高，在推进基于慕课的信息技术与教育教学深度融合的课程改革中投入精力大，有一定影响度。</w:t>
            </w:r>
          </w:p>
        </w:tc>
      </w:tr>
      <w:tr w14:paraId="6CD25D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14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FE0AB9">
            <w:pPr>
              <w:rPr>
                <w:rFonts w:hint="eastAsia" w:ascii="仿宋" w:hAnsi="仿宋" w:eastAsia="仿宋" w:cs="仿宋"/>
                <w:i w:val="0"/>
                <w:iCs w:val="0"/>
                <w:color w:val="333333"/>
                <w:sz w:val="24"/>
                <w:szCs w:val="24"/>
                <w:u w:val="none"/>
              </w:rPr>
            </w:pPr>
          </w:p>
        </w:tc>
        <w:tc>
          <w:tcPr>
            <w:tcW w:w="1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9D03B7">
            <w:pPr>
              <w:keepNext w:val="0"/>
              <w:keepLines w:val="0"/>
              <w:widowControl/>
              <w:suppressLineNumbers w:val="0"/>
              <w:jc w:val="left"/>
              <w:textAlignment w:val="center"/>
              <w:rPr>
                <w:rFonts w:hint="eastAsia" w:ascii="仿宋" w:hAnsi="仿宋" w:eastAsia="仿宋" w:cs="仿宋"/>
                <w:i w:val="0"/>
                <w:iCs w:val="0"/>
                <w:color w:val="333333"/>
                <w:sz w:val="24"/>
                <w:szCs w:val="24"/>
                <w:u w:val="none"/>
              </w:rPr>
            </w:pPr>
            <w:r>
              <w:rPr>
                <w:rFonts w:hint="eastAsia" w:ascii="仿宋" w:hAnsi="仿宋" w:eastAsia="仿宋" w:cs="仿宋"/>
                <w:i w:val="0"/>
                <w:iCs w:val="0"/>
                <w:snapToGrid w:val="0"/>
                <w:color w:val="000000"/>
                <w:kern w:val="0"/>
                <w:sz w:val="24"/>
                <w:szCs w:val="24"/>
                <w:u w:val="none"/>
                <w:lang w:val="en-US" w:eastAsia="zh-CN" w:bidi="ar"/>
              </w:rPr>
              <w:t xml:space="preserve">3-2 团队 </w:t>
            </w:r>
          </w:p>
        </w:tc>
        <w:tc>
          <w:tcPr>
            <w:tcW w:w="65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AFCCC">
            <w:pPr>
              <w:keepNext w:val="0"/>
              <w:keepLines w:val="0"/>
              <w:widowControl/>
              <w:suppressLineNumbers w:val="0"/>
              <w:jc w:val="left"/>
              <w:textAlignment w:val="center"/>
              <w:rPr>
                <w:rFonts w:hint="eastAsia" w:ascii="仿宋" w:hAnsi="仿宋" w:eastAsia="仿宋" w:cs="仿宋"/>
                <w:i w:val="0"/>
                <w:iCs w:val="0"/>
                <w:color w:val="333333"/>
                <w:sz w:val="24"/>
                <w:szCs w:val="24"/>
                <w:u w:val="none"/>
              </w:rPr>
            </w:pPr>
            <w:r>
              <w:rPr>
                <w:rFonts w:hint="eastAsia" w:ascii="仿宋" w:hAnsi="仿宋" w:eastAsia="仿宋" w:cs="仿宋"/>
                <w:i w:val="0"/>
                <w:iCs w:val="0"/>
                <w:snapToGrid w:val="0"/>
                <w:color w:val="000000"/>
                <w:kern w:val="0"/>
                <w:sz w:val="24"/>
                <w:szCs w:val="24"/>
                <w:u w:val="none"/>
                <w:lang w:val="en-US" w:eastAsia="zh-CN" w:bidi="ar"/>
              </w:rPr>
              <w:t xml:space="preserve">主讲教师师德好、教学能力强，教学表现力强，课程团 队结构合理。 </w:t>
            </w:r>
          </w:p>
        </w:tc>
      </w:tr>
      <w:tr w14:paraId="17AD27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5" w:hRule="atLeast"/>
        </w:trPr>
        <w:tc>
          <w:tcPr>
            <w:tcW w:w="148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05918A5">
            <w:pPr>
              <w:keepNext w:val="0"/>
              <w:keepLines w:val="0"/>
              <w:widowControl/>
              <w:suppressLineNumbers w:val="0"/>
              <w:jc w:val="center"/>
              <w:textAlignment w:val="center"/>
              <w:rPr>
                <w:rFonts w:hint="eastAsia" w:ascii="仿宋" w:hAnsi="仿宋" w:eastAsia="仿宋" w:cs="仿宋"/>
                <w:i w:val="0"/>
                <w:iCs w:val="0"/>
                <w:color w:val="333333"/>
                <w:sz w:val="24"/>
                <w:szCs w:val="24"/>
                <w:u w:val="none"/>
              </w:rPr>
            </w:pPr>
            <w:r>
              <w:rPr>
                <w:rFonts w:hint="eastAsia" w:ascii="仿宋" w:hAnsi="仿宋" w:eastAsia="仿宋" w:cs="仿宋"/>
                <w:i w:val="0"/>
                <w:iCs w:val="0"/>
                <w:snapToGrid w:val="0"/>
                <w:color w:val="000000"/>
                <w:kern w:val="0"/>
                <w:sz w:val="24"/>
                <w:szCs w:val="24"/>
                <w:u w:val="none"/>
                <w:lang w:val="en-US" w:eastAsia="zh-CN" w:bidi="ar"/>
              </w:rPr>
              <w:t>四、教学支持</w:t>
            </w:r>
          </w:p>
        </w:tc>
        <w:tc>
          <w:tcPr>
            <w:tcW w:w="1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B1928D">
            <w:pPr>
              <w:keepNext w:val="0"/>
              <w:keepLines w:val="0"/>
              <w:widowControl/>
              <w:suppressLineNumbers w:val="0"/>
              <w:jc w:val="left"/>
              <w:textAlignment w:val="center"/>
              <w:rPr>
                <w:rFonts w:hint="eastAsia" w:ascii="仿宋" w:hAnsi="仿宋" w:eastAsia="仿宋" w:cs="仿宋"/>
                <w:i w:val="0"/>
                <w:iCs w:val="0"/>
                <w:color w:val="333333"/>
                <w:sz w:val="24"/>
                <w:szCs w:val="24"/>
                <w:u w:val="none"/>
              </w:rPr>
            </w:pPr>
            <w:r>
              <w:rPr>
                <w:rFonts w:hint="eastAsia" w:ascii="仿宋" w:hAnsi="仿宋" w:eastAsia="仿宋" w:cs="仿宋"/>
                <w:i w:val="0"/>
                <w:iCs w:val="0"/>
                <w:snapToGrid w:val="0"/>
                <w:color w:val="000000"/>
                <w:kern w:val="0"/>
                <w:sz w:val="24"/>
                <w:szCs w:val="24"/>
                <w:u w:val="none"/>
                <w:lang w:val="en-US" w:eastAsia="zh-CN" w:bidi="ar"/>
              </w:rPr>
              <w:t>4-1 团队服务</w:t>
            </w:r>
          </w:p>
        </w:tc>
        <w:tc>
          <w:tcPr>
            <w:tcW w:w="65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92374B">
            <w:pPr>
              <w:keepNext w:val="0"/>
              <w:keepLines w:val="0"/>
              <w:widowControl/>
              <w:suppressLineNumbers w:val="0"/>
              <w:jc w:val="left"/>
              <w:textAlignment w:val="center"/>
              <w:rPr>
                <w:rFonts w:hint="eastAsia" w:ascii="仿宋" w:hAnsi="仿宋" w:eastAsia="仿宋" w:cs="仿宋"/>
                <w:i w:val="0"/>
                <w:iCs w:val="0"/>
                <w:color w:val="333333"/>
                <w:sz w:val="24"/>
                <w:szCs w:val="24"/>
                <w:u w:val="none"/>
              </w:rPr>
            </w:pPr>
            <w:r>
              <w:rPr>
                <w:rFonts w:hint="eastAsia" w:ascii="仿宋" w:hAnsi="仿宋" w:eastAsia="仿宋" w:cs="仿宋"/>
                <w:i w:val="0"/>
                <w:iCs w:val="0"/>
                <w:snapToGrid w:val="0"/>
                <w:color w:val="000000"/>
                <w:kern w:val="0"/>
                <w:sz w:val="24"/>
                <w:szCs w:val="24"/>
                <w:u w:val="none"/>
                <w:lang w:val="en-US" w:eastAsia="zh-CN" w:bidi="ar"/>
              </w:rPr>
              <w:t>通过课程平台，教师按照教学计划和要求为学习者提供测验、作业、考试、答疑、讨论等教学活动，及时开展 有效的在线指导与测评。</w:t>
            </w:r>
          </w:p>
        </w:tc>
      </w:tr>
      <w:tr w14:paraId="20229E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14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388157">
            <w:pPr>
              <w:jc w:val="center"/>
              <w:rPr>
                <w:rFonts w:hint="eastAsia" w:ascii="仿宋" w:hAnsi="仿宋" w:eastAsia="仿宋" w:cs="仿宋"/>
                <w:i w:val="0"/>
                <w:iCs w:val="0"/>
                <w:color w:val="333333"/>
                <w:sz w:val="24"/>
                <w:szCs w:val="24"/>
                <w:u w:val="none"/>
              </w:rPr>
            </w:pPr>
          </w:p>
        </w:tc>
        <w:tc>
          <w:tcPr>
            <w:tcW w:w="1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376674">
            <w:pPr>
              <w:keepNext w:val="0"/>
              <w:keepLines w:val="0"/>
              <w:widowControl/>
              <w:suppressLineNumbers w:val="0"/>
              <w:jc w:val="left"/>
              <w:textAlignment w:val="center"/>
              <w:rPr>
                <w:rFonts w:hint="eastAsia" w:ascii="仿宋" w:hAnsi="仿宋" w:eastAsia="仿宋" w:cs="仿宋"/>
                <w:i w:val="0"/>
                <w:iCs w:val="0"/>
                <w:color w:val="333333"/>
                <w:sz w:val="24"/>
                <w:szCs w:val="24"/>
                <w:u w:val="none"/>
              </w:rPr>
            </w:pPr>
            <w:r>
              <w:rPr>
                <w:rFonts w:hint="eastAsia" w:ascii="仿宋" w:hAnsi="仿宋" w:eastAsia="仿宋" w:cs="仿宋"/>
                <w:i w:val="0"/>
                <w:iCs w:val="0"/>
                <w:snapToGrid w:val="0"/>
                <w:color w:val="000000"/>
                <w:kern w:val="0"/>
                <w:sz w:val="24"/>
                <w:szCs w:val="24"/>
                <w:u w:val="none"/>
                <w:lang w:val="en-US" w:eastAsia="zh-CN" w:bidi="ar"/>
              </w:rPr>
              <w:t>4-2 学习者活动</w:t>
            </w:r>
          </w:p>
        </w:tc>
        <w:tc>
          <w:tcPr>
            <w:tcW w:w="65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F3E07A">
            <w:pPr>
              <w:keepNext w:val="0"/>
              <w:keepLines w:val="0"/>
              <w:widowControl/>
              <w:suppressLineNumbers w:val="0"/>
              <w:jc w:val="left"/>
              <w:textAlignment w:val="center"/>
              <w:rPr>
                <w:rFonts w:hint="eastAsia" w:ascii="仿宋" w:hAnsi="仿宋" w:eastAsia="仿宋" w:cs="仿宋"/>
                <w:i w:val="0"/>
                <w:iCs w:val="0"/>
                <w:color w:val="333333"/>
                <w:sz w:val="24"/>
                <w:szCs w:val="24"/>
                <w:u w:val="none"/>
              </w:rPr>
            </w:pPr>
            <w:r>
              <w:rPr>
                <w:rFonts w:hint="eastAsia" w:ascii="仿宋" w:hAnsi="仿宋" w:eastAsia="仿宋" w:cs="仿宋"/>
                <w:i w:val="0"/>
                <w:iCs w:val="0"/>
                <w:snapToGrid w:val="0"/>
                <w:color w:val="000000"/>
                <w:kern w:val="0"/>
                <w:sz w:val="24"/>
                <w:szCs w:val="24"/>
                <w:u w:val="none"/>
                <w:lang w:val="en-US" w:eastAsia="zh-CN" w:bidi="ar"/>
              </w:rPr>
              <w:t>学习者在线学习响应度高，师生互动活跃。</w:t>
            </w:r>
          </w:p>
        </w:tc>
      </w:tr>
      <w:tr w14:paraId="0D04D9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148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781E6E3">
            <w:pPr>
              <w:keepNext w:val="0"/>
              <w:keepLines w:val="0"/>
              <w:widowControl/>
              <w:suppressLineNumbers w:val="0"/>
              <w:jc w:val="center"/>
              <w:textAlignment w:val="center"/>
              <w:rPr>
                <w:rFonts w:hint="eastAsia" w:ascii="仿宋" w:hAnsi="仿宋" w:eastAsia="仿宋" w:cs="仿宋"/>
                <w:i w:val="0"/>
                <w:iCs w:val="0"/>
                <w:color w:val="333333"/>
                <w:sz w:val="24"/>
                <w:szCs w:val="24"/>
                <w:u w:val="none"/>
              </w:rPr>
            </w:pPr>
            <w:r>
              <w:rPr>
                <w:rFonts w:hint="eastAsia" w:ascii="仿宋" w:hAnsi="仿宋" w:eastAsia="仿宋" w:cs="仿宋"/>
                <w:i w:val="0"/>
                <w:iCs w:val="0"/>
                <w:snapToGrid w:val="0"/>
                <w:color w:val="000000"/>
                <w:kern w:val="0"/>
                <w:sz w:val="24"/>
                <w:szCs w:val="24"/>
                <w:u w:val="none"/>
                <w:lang w:val="en-US" w:eastAsia="zh-CN" w:bidi="ar"/>
              </w:rPr>
              <w:t xml:space="preserve">五、应用效果与影响 </w:t>
            </w:r>
          </w:p>
        </w:tc>
        <w:tc>
          <w:tcPr>
            <w:tcW w:w="1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D130EA">
            <w:pPr>
              <w:keepNext w:val="0"/>
              <w:keepLines w:val="0"/>
              <w:widowControl/>
              <w:suppressLineNumbers w:val="0"/>
              <w:jc w:val="left"/>
              <w:textAlignment w:val="center"/>
              <w:rPr>
                <w:rFonts w:hint="eastAsia" w:ascii="仿宋" w:hAnsi="仿宋" w:eastAsia="仿宋" w:cs="仿宋"/>
                <w:i w:val="0"/>
                <w:iCs w:val="0"/>
                <w:color w:val="333333"/>
                <w:sz w:val="24"/>
                <w:szCs w:val="24"/>
                <w:u w:val="none"/>
              </w:rPr>
            </w:pPr>
            <w:r>
              <w:rPr>
                <w:rFonts w:hint="eastAsia" w:ascii="仿宋" w:hAnsi="仿宋" w:eastAsia="仿宋" w:cs="仿宋"/>
                <w:i w:val="0"/>
                <w:iCs w:val="0"/>
                <w:snapToGrid w:val="0"/>
                <w:color w:val="000000"/>
                <w:kern w:val="0"/>
                <w:sz w:val="24"/>
                <w:szCs w:val="24"/>
                <w:u w:val="none"/>
                <w:lang w:val="en-US" w:eastAsia="zh-CN" w:bidi="ar"/>
              </w:rPr>
              <w:t xml:space="preserve">5-1开放性 </w:t>
            </w:r>
          </w:p>
        </w:tc>
        <w:tc>
          <w:tcPr>
            <w:tcW w:w="65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90BBA7">
            <w:pPr>
              <w:keepNext w:val="0"/>
              <w:keepLines w:val="0"/>
              <w:widowControl/>
              <w:suppressLineNumbers w:val="0"/>
              <w:jc w:val="left"/>
              <w:textAlignment w:val="center"/>
              <w:rPr>
                <w:rFonts w:hint="eastAsia" w:ascii="仿宋" w:hAnsi="仿宋" w:eastAsia="仿宋" w:cs="仿宋"/>
                <w:i w:val="0"/>
                <w:iCs w:val="0"/>
                <w:color w:val="333333"/>
                <w:sz w:val="24"/>
                <w:szCs w:val="24"/>
                <w:u w:val="none"/>
              </w:rPr>
            </w:pPr>
            <w:r>
              <w:rPr>
                <w:rFonts w:hint="eastAsia" w:ascii="仿宋" w:hAnsi="仿宋" w:eastAsia="仿宋" w:cs="仿宋"/>
                <w:i w:val="0"/>
                <w:iCs w:val="0"/>
                <w:snapToGrid w:val="0"/>
                <w:color w:val="000000"/>
                <w:kern w:val="0"/>
                <w:sz w:val="24"/>
                <w:szCs w:val="24"/>
                <w:u w:val="none"/>
                <w:lang w:val="en-US" w:eastAsia="zh-CN" w:bidi="ar"/>
              </w:rPr>
              <w:t xml:space="preserve">面向其他高校和社会学习者开放学习程度高。 </w:t>
            </w:r>
          </w:p>
        </w:tc>
      </w:tr>
      <w:tr w14:paraId="0C64FE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5" w:hRule="atLeast"/>
        </w:trPr>
        <w:tc>
          <w:tcPr>
            <w:tcW w:w="14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C17D57">
            <w:pPr>
              <w:jc w:val="center"/>
              <w:rPr>
                <w:rFonts w:hint="eastAsia" w:ascii="仿宋" w:hAnsi="仿宋" w:eastAsia="仿宋" w:cs="仿宋"/>
                <w:i w:val="0"/>
                <w:iCs w:val="0"/>
                <w:color w:val="333333"/>
                <w:sz w:val="24"/>
                <w:szCs w:val="24"/>
                <w:u w:val="none"/>
              </w:rPr>
            </w:pPr>
          </w:p>
        </w:tc>
        <w:tc>
          <w:tcPr>
            <w:tcW w:w="166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ADBEB7D">
            <w:pPr>
              <w:keepNext w:val="0"/>
              <w:keepLines w:val="0"/>
              <w:widowControl/>
              <w:suppressLineNumbers w:val="0"/>
              <w:jc w:val="left"/>
              <w:textAlignment w:val="center"/>
              <w:rPr>
                <w:rFonts w:hint="eastAsia" w:ascii="仿宋" w:hAnsi="仿宋" w:eastAsia="仿宋" w:cs="仿宋"/>
                <w:i w:val="0"/>
                <w:iCs w:val="0"/>
                <w:color w:val="333333"/>
                <w:sz w:val="24"/>
                <w:szCs w:val="24"/>
                <w:u w:val="none"/>
              </w:rPr>
            </w:pPr>
            <w:r>
              <w:rPr>
                <w:rFonts w:hint="eastAsia" w:ascii="仿宋" w:hAnsi="仿宋" w:eastAsia="仿宋" w:cs="仿宋"/>
                <w:i w:val="0"/>
                <w:iCs w:val="0"/>
                <w:snapToGrid w:val="0"/>
                <w:color w:val="000000"/>
                <w:kern w:val="0"/>
                <w:sz w:val="24"/>
                <w:szCs w:val="24"/>
                <w:u w:val="none"/>
                <w:lang w:val="en-US" w:eastAsia="zh-CN" w:bidi="ar"/>
              </w:rPr>
              <w:t>5-2课程本校应用情况</w:t>
            </w:r>
          </w:p>
        </w:tc>
        <w:tc>
          <w:tcPr>
            <w:tcW w:w="65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995550">
            <w:pPr>
              <w:keepNext w:val="0"/>
              <w:keepLines w:val="0"/>
              <w:widowControl/>
              <w:suppressLineNumbers w:val="0"/>
              <w:jc w:val="left"/>
              <w:textAlignment w:val="center"/>
              <w:rPr>
                <w:rFonts w:hint="eastAsia" w:ascii="仿宋" w:hAnsi="仿宋" w:eastAsia="仿宋" w:cs="仿宋"/>
                <w:i w:val="0"/>
                <w:iCs w:val="0"/>
                <w:color w:val="333333"/>
                <w:sz w:val="24"/>
                <w:szCs w:val="24"/>
                <w:u w:val="none"/>
              </w:rPr>
            </w:pPr>
            <w:r>
              <w:rPr>
                <w:rFonts w:hint="eastAsia" w:ascii="仿宋" w:hAnsi="仿宋" w:eastAsia="仿宋" w:cs="仿宋"/>
                <w:i w:val="0"/>
                <w:iCs w:val="0"/>
                <w:snapToGrid w:val="0"/>
                <w:color w:val="000000"/>
                <w:kern w:val="0"/>
                <w:sz w:val="24"/>
                <w:szCs w:val="24"/>
                <w:u w:val="none"/>
                <w:lang w:val="en-US" w:eastAsia="zh-CN" w:bidi="ar"/>
              </w:rPr>
              <w:t>在本校将在线课程与课堂教学结合，推动教</w:t>
            </w:r>
          </w:p>
        </w:tc>
      </w:tr>
      <w:tr w14:paraId="067784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14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52DCE1">
            <w:pPr>
              <w:jc w:val="center"/>
              <w:rPr>
                <w:rFonts w:hint="eastAsia" w:ascii="仿宋" w:hAnsi="仿宋" w:eastAsia="仿宋" w:cs="仿宋"/>
                <w:i w:val="0"/>
                <w:iCs w:val="0"/>
                <w:color w:val="333333"/>
                <w:sz w:val="24"/>
                <w:szCs w:val="24"/>
                <w:u w:val="none"/>
              </w:rPr>
            </w:pPr>
          </w:p>
        </w:tc>
        <w:tc>
          <w:tcPr>
            <w:tcW w:w="166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A72D25">
            <w:pPr>
              <w:rPr>
                <w:rFonts w:hint="eastAsia" w:ascii="仿宋" w:hAnsi="仿宋" w:eastAsia="仿宋" w:cs="仿宋"/>
                <w:i w:val="0"/>
                <w:iCs w:val="0"/>
                <w:color w:val="333333"/>
                <w:sz w:val="24"/>
                <w:szCs w:val="24"/>
                <w:u w:val="none"/>
              </w:rPr>
            </w:pPr>
          </w:p>
        </w:tc>
        <w:tc>
          <w:tcPr>
            <w:tcW w:w="65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399902">
            <w:pPr>
              <w:keepNext w:val="0"/>
              <w:keepLines w:val="0"/>
              <w:widowControl/>
              <w:suppressLineNumbers w:val="0"/>
              <w:jc w:val="left"/>
              <w:textAlignment w:val="center"/>
              <w:rPr>
                <w:rFonts w:hint="eastAsia" w:ascii="仿宋" w:hAnsi="仿宋" w:eastAsia="仿宋" w:cs="仿宋"/>
                <w:i w:val="0"/>
                <w:iCs w:val="0"/>
                <w:color w:val="333333"/>
                <w:sz w:val="24"/>
                <w:szCs w:val="24"/>
                <w:u w:val="none"/>
              </w:rPr>
            </w:pPr>
            <w:r>
              <w:rPr>
                <w:rFonts w:hint="eastAsia" w:ascii="仿宋" w:hAnsi="仿宋" w:eastAsia="仿宋" w:cs="仿宋"/>
                <w:i w:val="0"/>
                <w:iCs w:val="0"/>
                <w:snapToGrid w:val="0"/>
                <w:color w:val="000000"/>
                <w:kern w:val="0"/>
                <w:sz w:val="24"/>
                <w:szCs w:val="24"/>
                <w:u w:val="none"/>
                <w:lang w:val="en-US" w:eastAsia="zh-CN" w:bidi="ar"/>
              </w:rPr>
              <w:t>学方法改革，有效提高教学质量。</w:t>
            </w:r>
          </w:p>
        </w:tc>
      </w:tr>
      <w:tr w14:paraId="292184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14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BCD42C">
            <w:pPr>
              <w:jc w:val="center"/>
              <w:rPr>
                <w:rFonts w:hint="eastAsia" w:ascii="仿宋" w:hAnsi="仿宋" w:eastAsia="仿宋" w:cs="仿宋"/>
                <w:i w:val="0"/>
                <w:iCs w:val="0"/>
                <w:color w:val="333333"/>
                <w:sz w:val="24"/>
                <w:szCs w:val="24"/>
                <w:u w:val="none"/>
              </w:rPr>
            </w:pPr>
          </w:p>
        </w:tc>
        <w:tc>
          <w:tcPr>
            <w:tcW w:w="166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60B9D9B">
            <w:pPr>
              <w:keepNext w:val="0"/>
              <w:keepLines w:val="0"/>
              <w:widowControl/>
              <w:suppressLineNumbers w:val="0"/>
              <w:jc w:val="left"/>
              <w:textAlignment w:val="center"/>
              <w:rPr>
                <w:rFonts w:hint="eastAsia" w:ascii="仿宋" w:hAnsi="仿宋" w:eastAsia="仿宋" w:cs="仿宋"/>
                <w:i w:val="0"/>
                <w:iCs w:val="0"/>
                <w:color w:val="333333"/>
                <w:sz w:val="24"/>
                <w:szCs w:val="24"/>
                <w:u w:val="none"/>
              </w:rPr>
            </w:pPr>
            <w:r>
              <w:rPr>
                <w:rFonts w:hint="eastAsia" w:ascii="仿宋" w:hAnsi="仿宋" w:eastAsia="仿宋" w:cs="仿宋"/>
                <w:i w:val="0"/>
                <w:iCs w:val="0"/>
                <w:snapToGrid w:val="0"/>
                <w:color w:val="000000"/>
                <w:kern w:val="0"/>
                <w:sz w:val="24"/>
                <w:szCs w:val="24"/>
                <w:u w:val="none"/>
                <w:lang w:val="en-US" w:eastAsia="zh-CN" w:bidi="ar"/>
              </w:rPr>
              <w:t>5-3 在其他高校和社会学习者中应 用共享情况</w:t>
            </w:r>
          </w:p>
        </w:tc>
        <w:tc>
          <w:tcPr>
            <w:tcW w:w="65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93F073">
            <w:pPr>
              <w:keepNext w:val="0"/>
              <w:keepLines w:val="0"/>
              <w:widowControl/>
              <w:suppressLineNumbers w:val="0"/>
              <w:jc w:val="left"/>
              <w:textAlignment w:val="center"/>
              <w:rPr>
                <w:rFonts w:hint="eastAsia" w:ascii="仿宋" w:hAnsi="仿宋" w:eastAsia="仿宋" w:cs="仿宋"/>
                <w:i w:val="0"/>
                <w:iCs w:val="0"/>
                <w:color w:val="333333"/>
                <w:sz w:val="24"/>
                <w:szCs w:val="24"/>
                <w:u w:val="none"/>
              </w:rPr>
            </w:pPr>
            <w:r>
              <w:rPr>
                <w:rFonts w:hint="eastAsia" w:ascii="仿宋" w:hAnsi="仿宋" w:eastAsia="仿宋" w:cs="仿宋"/>
                <w:i w:val="0"/>
                <w:iCs w:val="0"/>
                <w:snapToGrid w:val="0"/>
                <w:color w:val="000000"/>
                <w:kern w:val="0"/>
                <w:sz w:val="24"/>
                <w:szCs w:val="24"/>
                <w:u w:val="none"/>
                <w:lang w:val="en-US" w:eastAsia="zh-CN" w:bidi="ar"/>
              </w:rPr>
              <w:t>共享范围广，应用模式多样，应用效果好，社</w:t>
            </w:r>
          </w:p>
        </w:tc>
      </w:tr>
      <w:tr w14:paraId="08DF65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14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511F42">
            <w:pPr>
              <w:jc w:val="center"/>
              <w:rPr>
                <w:rFonts w:hint="eastAsia" w:ascii="仿宋" w:hAnsi="仿宋" w:eastAsia="仿宋" w:cs="仿宋"/>
                <w:i w:val="0"/>
                <w:iCs w:val="0"/>
                <w:color w:val="333333"/>
                <w:sz w:val="24"/>
                <w:szCs w:val="24"/>
                <w:u w:val="none"/>
              </w:rPr>
            </w:pPr>
          </w:p>
        </w:tc>
        <w:tc>
          <w:tcPr>
            <w:tcW w:w="166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56F287">
            <w:pPr>
              <w:rPr>
                <w:rFonts w:hint="eastAsia" w:ascii="仿宋" w:hAnsi="仿宋" w:eastAsia="仿宋" w:cs="仿宋"/>
                <w:i w:val="0"/>
                <w:iCs w:val="0"/>
                <w:color w:val="333333"/>
                <w:sz w:val="24"/>
                <w:szCs w:val="24"/>
                <w:u w:val="none"/>
              </w:rPr>
            </w:pPr>
          </w:p>
        </w:tc>
        <w:tc>
          <w:tcPr>
            <w:tcW w:w="65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232066">
            <w:pPr>
              <w:keepNext w:val="0"/>
              <w:keepLines w:val="0"/>
              <w:widowControl/>
              <w:suppressLineNumbers w:val="0"/>
              <w:jc w:val="left"/>
              <w:textAlignment w:val="center"/>
              <w:rPr>
                <w:rFonts w:hint="eastAsia" w:ascii="仿宋" w:hAnsi="仿宋" w:eastAsia="仿宋" w:cs="仿宋"/>
                <w:i w:val="0"/>
                <w:iCs w:val="0"/>
                <w:color w:val="333333"/>
                <w:sz w:val="24"/>
                <w:szCs w:val="24"/>
                <w:u w:val="none"/>
              </w:rPr>
            </w:pPr>
            <w:r>
              <w:rPr>
                <w:rFonts w:hint="eastAsia" w:ascii="仿宋" w:hAnsi="仿宋" w:eastAsia="仿宋" w:cs="仿宋"/>
                <w:i w:val="0"/>
                <w:iCs w:val="0"/>
                <w:snapToGrid w:val="0"/>
                <w:color w:val="000000"/>
                <w:kern w:val="0"/>
                <w:sz w:val="24"/>
                <w:szCs w:val="24"/>
                <w:u w:val="none"/>
                <w:lang w:val="en-US" w:eastAsia="zh-CN" w:bidi="ar"/>
              </w:rPr>
              <w:t>会影响力大，受益教师和学习者反馈、评价高。</w:t>
            </w:r>
          </w:p>
        </w:tc>
      </w:tr>
    </w:tbl>
    <w:p w14:paraId="6F5D2C1E">
      <w:pPr>
        <w:keepNext w:val="0"/>
        <w:keepLines w:val="0"/>
        <w:pageBreakBefore w:val="0"/>
        <w:widowControl w:val="0"/>
        <w:kinsoku/>
        <w:wordWrap/>
        <w:overflowPunct/>
        <w:topLinePunct w:val="0"/>
        <w:autoSpaceDE/>
        <w:autoSpaceDN/>
        <w:bidi w:val="0"/>
        <w:adjustRightInd/>
        <w:snapToGrid/>
        <w:spacing w:line="580" w:lineRule="exact"/>
        <w:ind w:firstLine="480" w:firstLineChars="200"/>
        <w:jc w:val="left"/>
        <w:textAlignment w:val="auto"/>
        <w:rPr>
          <w:rFonts w:ascii="宋体" w:hAnsi="宋体" w:eastAsia="宋体" w:cs="宋体"/>
          <w:sz w:val="24"/>
          <w:szCs w:val="24"/>
        </w:rPr>
      </w:pPr>
    </w:p>
    <w:p w14:paraId="3858ED2C">
      <w:pPr>
        <w:keepNext w:val="0"/>
        <w:keepLines w:val="0"/>
        <w:widowControl/>
        <w:suppressLineNumbers w:val="0"/>
        <w:jc w:val="center"/>
        <w:textAlignment w:val="center"/>
        <w:rPr>
          <w:rFonts w:hint="eastAsia" w:ascii="仿宋" w:hAnsi="仿宋" w:eastAsia="仿宋" w:cs="仿宋"/>
          <w:b/>
          <w:bCs/>
          <w:i w:val="0"/>
          <w:iCs w:val="0"/>
          <w:snapToGrid w:val="0"/>
          <w:color w:val="000000"/>
          <w:kern w:val="0"/>
          <w:sz w:val="32"/>
          <w:szCs w:val="32"/>
          <w:u w:val="none"/>
          <w:lang w:val="en-US" w:eastAsia="zh-CN" w:bidi="ar"/>
        </w:rPr>
      </w:pPr>
    </w:p>
    <w:p w14:paraId="297B3338">
      <w:pPr>
        <w:keepNext w:val="0"/>
        <w:keepLines w:val="0"/>
        <w:widowControl/>
        <w:suppressLineNumbers w:val="0"/>
        <w:jc w:val="center"/>
        <w:textAlignment w:val="center"/>
        <w:rPr>
          <w:rFonts w:hint="eastAsia" w:ascii="仿宋" w:hAnsi="仿宋" w:eastAsia="仿宋" w:cs="仿宋"/>
          <w:i w:val="0"/>
          <w:iCs w:val="0"/>
          <w:snapToGrid w:val="0"/>
          <w:color w:val="000000"/>
          <w:kern w:val="0"/>
          <w:sz w:val="24"/>
          <w:szCs w:val="24"/>
          <w:u w:val="none"/>
          <w:lang w:val="en-US" w:eastAsia="zh-CN" w:bidi="ar"/>
        </w:rPr>
      </w:pPr>
      <w:r>
        <w:rPr>
          <w:rFonts w:hint="eastAsia" w:ascii="仿宋" w:hAnsi="仿宋" w:eastAsia="仿宋" w:cs="仿宋"/>
          <w:b/>
          <w:bCs/>
          <w:i w:val="0"/>
          <w:iCs w:val="0"/>
          <w:snapToGrid w:val="0"/>
          <w:color w:val="000000"/>
          <w:kern w:val="0"/>
          <w:sz w:val="32"/>
          <w:szCs w:val="32"/>
          <w:u w:val="none"/>
          <w:lang w:val="en-US" w:eastAsia="zh-CN" w:bidi="ar"/>
        </w:rPr>
        <w:t>商务要求：</w:t>
      </w:r>
    </w:p>
    <w:p w14:paraId="4C108710">
      <w:pPr>
        <w:keepNext w:val="0"/>
        <w:keepLines w:val="0"/>
        <w:widowControl/>
        <w:numPr>
          <w:ilvl w:val="0"/>
          <w:numId w:val="0"/>
        </w:numPr>
        <w:suppressLineNumbers w:val="0"/>
        <w:spacing w:line="360" w:lineRule="auto"/>
        <w:jc w:val="left"/>
        <w:textAlignment w:val="center"/>
        <w:rPr>
          <w:rFonts w:hint="eastAsia" w:ascii="仿宋" w:hAnsi="仿宋" w:eastAsia="仿宋" w:cs="仿宋"/>
          <w:i w:val="0"/>
          <w:iCs w:val="0"/>
          <w:snapToGrid w:val="0"/>
          <w:color w:val="000000"/>
          <w:kern w:val="0"/>
          <w:sz w:val="24"/>
          <w:szCs w:val="24"/>
          <w:u w:val="none"/>
          <w:lang w:val="en-US" w:eastAsia="zh-CN" w:bidi="ar"/>
        </w:rPr>
      </w:pPr>
      <w:r>
        <w:rPr>
          <w:rFonts w:hint="eastAsia" w:eastAsia="仿宋" w:cs="Times New Roman"/>
          <w:sz w:val="28"/>
          <w:szCs w:val="36"/>
          <w:lang w:val="en-US" w:eastAsia="zh-CN"/>
        </w:rPr>
        <w:t>（一）</w:t>
      </w:r>
      <w:r>
        <w:rPr>
          <w:rFonts w:hint="eastAsia" w:ascii="仿宋" w:hAnsi="仿宋" w:eastAsia="仿宋" w:cs="仿宋"/>
          <w:i w:val="0"/>
          <w:iCs w:val="0"/>
          <w:snapToGrid w:val="0"/>
          <w:color w:val="000000"/>
          <w:kern w:val="0"/>
          <w:sz w:val="28"/>
          <w:szCs w:val="28"/>
          <w:u w:val="none"/>
          <w:lang w:val="en-US" w:eastAsia="zh-CN" w:bidi="ar"/>
        </w:rPr>
        <w:t>所招产品的质量要求提供主要所投产品的技术支持文件，必须为所投产品制造商官方公开发行的技术资料，内容应完整明确（包括详细的技术参数描述、配置情况说明等）。</w:t>
      </w:r>
    </w:p>
    <w:p w14:paraId="1312248F">
      <w:pPr>
        <w:pStyle w:val="2"/>
        <w:numPr>
          <w:ilvl w:val="0"/>
          <w:numId w:val="0"/>
        </w:numPr>
        <w:spacing w:line="360" w:lineRule="auto"/>
        <w:rPr>
          <w:rFonts w:hint="eastAsia" w:ascii="仿宋" w:hAnsi="仿宋" w:eastAsia="仿宋" w:cs="仿宋"/>
          <w:sz w:val="28"/>
          <w:szCs w:val="36"/>
          <w:lang w:val="en-US" w:eastAsia="zh-CN"/>
        </w:rPr>
      </w:pPr>
      <w:r>
        <w:rPr>
          <w:rFonts w:hint="eastAsia" w:ascii="仿宋" w:hAnsi="仿宋" w:eastAsia="仿宋" w:cs="仿宋"/>
          <w:sz w:val="28"/>
          <w:szCs w:val="36"/>
          <w:lang w:val="en-US" w:eastAsia="zh-CN"/>
        </w:rPr>
        <w:t>（二）本项目技术参数均为公共参数， 无指向性。</w:t>
      </w:r>
    </w:p>
    <w:p w14:paraId="3C56480A">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eastAsia="仿宋" w:cs="Times New Roman"/>
          <w:sz w:val="28"/>
          <w:szCs w:val="36"/>
          <w:lang w:val="en-US" w:eastAsia="zh-CN"/>
        </w:rPr>
      </w:pPr>
      <w:r>
        <w:rPr>
          <w:rFonts w:hint="eastAsia" w:eastAsia="仿宋" w:cs="Times New Roman"/>
          <w:sz w:val="28"/>
          <w:szCs w:val="36"/>
          <w:lang w:val="en-US" w:eastAsia="zh-CN"/>
        </w:rPr>
        <w:t>（三） ①质保期：36个月</w:t>
      </w:r>
      <w:r>
        <w:rPr>
          <w:rFonts w:hint="eastAsia" w:eastAsia="仿宋" w:cs="Times New Roman"/>
          <w:b/>
          <w:bCs/>
          <w:sz w:val="28"/>
          <w:szCs w:val="36"/>
          <w:lang w:val="en-US" w:eastAsia="zh-CN"/>
        </w:rPr>
        <w:t xml:space="preserve"> 本条为</w:t>
      </w:r>
      <w:r>
        <w:rPr>
          <w:rFonts w:hint="eastAsia" w:ascii="Times New Roman" w:hAnsi="Times New Roman" w:eastAsia="仿宋" w:cs="Times New Roman"/>
          <w:b/>
          <w:bCs/>
          <w:sz w:val="28"/>
          <w:szCs w:val="36"/>
          <w:lang w:val="en-US" w:eastAsia="zh-CN"/>
        </w:rPr>
        <w:t>实质性响应条款，如未响应，视为投标无效。</w:t>
      </w:r>
    </w:p>
    <w:p w14:paraId="7B681F53">
      <w:pPr>
        <w:keepNext w:val="0"/>
        <w:keepLines w:val="0"/>
        <w:pageBreakBefore w:val="0"/>
        <w:widowControl w:val="0"/>
        <w:kinsoku/>
        <w:wordWrap/>
        <w:overflowPunct/>
        <w:topLinePunct w:val="0"/>
        <w:autoSpaceDE/>
        <w:autoSpaceDN/>
        <w:bidi w:val="0"/>
        <w:adjustRightInd/>
        <w:snapToGrid/>
        <w:spacing w:line="360" w:lineRule="auto"/>
        <w:ind w:firstLine="840" w:firstLineChars="300"/>
        <w:jc w:val="left"/>
        <w:textAlignment w:val="auto"/>
        <w:rPr>
          <w:rFonts w:hint="default"/>
          <w:lang w:val="en-US" w:eastAsia="zh-CN"/>
        </w:rPr>
      </w:pPr>
      <w:r>
        <w:rPr>
          <w:rFonts w:hint="eastAsia" w:eastAsia="仿宋" w:cs="Times New Roman"/>
          <w:sz w:val="28"/>
          <w:szCs w:val="36"/>
          <w:lang w:val="en-US" w:eastAsia="zh-CN"/>
        </w:rPr>
        <w:t xml:space="preserve"> ②在质保期内，投标人应当为本项目提供以下售后服务，包括但不限于：现场维护、线上技术服务、定期巡查服务等，并能 7x24 小时通过远程、上门服务等方式为招标人提供质保期内完善的售后及技术咨询服务。</w:t>
      </w:r>
      <w:r>
        <w:rPr>
          <w:rFonts w:hint="eastAsia" w:eastAsia="仿宋" w:cs="Times New Roman"/>
          <w:b/>
          <w:bCs/>
          <w:sz w:val="28"/>
          <w:szCs w:val="36"/>
          <w:lang w:val="en-US" w:eastAsia="zh-CN"/>
        </w:rPr>
        <w:t>本条为</w:t>
      </w:r>
      <w:r>
        <w:rPr>
          <w:rFonts w:hint="eastAsia" w:ascii="Times New Roman" w:hAnsi="Times New Roman" w:eastAsia="仿宋" w:cs="Times New Roman"/>
          <w:b/>
          <w:bCs/>
          <w:sz w:val="28"/>
          <w:szCs w:val="36"/>
          <w:lang w:val="en-US" w:eastAsia="zh-CN"/>
        </w:rPr>
        <w:t>实质性响应条款，如未响应，视为投标无效。</w:t>
      </w:r>
    </w:p>
    <w:p w14:paraId="08E8B3AB">
      <w:pPr>
        <w:keepNext w:val="0"/>
        <w:keepLines w:val="0"/>
        <w:pageBreakBefore w:val="0"/>
        <w:widowControl w:val="0"/>
        <w:kinsoku/>
        <w:wordWrap/>
        <w:overflowPunct/>
        <w:topLinePunct w:val="0"/>
        <w:autoSpaceDE/>
        <w:autoSpaceDN/>
        <w:bidi w:val="0"/>
        <w:adjustRightInd/>
        <w:snapToGrid/>
        <w:spacing w:line="580" w:lineRule="exact"/>
        <w:ind w:firstLine="562" w:firstLineChars="200"/>
        <w:jc w:val="left"/>
        <w:textAlignment w:val="auto"/>
        <w:rPr>
          <w:rFonts w:hint="default" w:ascii="Times New Roman" w:hAnsi="Times New Roman" w:eastAsia="仿宋" w:cs="Times New Roman"/>
          <w:b/>
          <w:bCs/>
          <w:sz w:val="28"/>
          <w:szCs w:val="36"/>
          <w:lang w:val="en-US" w:eastAsia="zh-CN"/>
        </w:rPr>
      </w:pPr>
      <w:r>
        <w:rPr>
          <w:rFonts w:hint="eastAsia" w:eastAsia="仿宋" w:cs="Times New Roman"/>
          <w:b/>
          <w:bCs/>
          <w:kern w:val="2"/>
          <w:sz w:val="28"/>
          <w:szCs w:val="36"/>
          <w:lang w:val="en-US" w:eastAsia="zh-CN" w:bidi="ar-SA"/>
        </w:rPr>
        <w:t>1</w:t>
      </w:r>
      <w:r>
        <w:rPr>
          <w:rFonts w:hint="eastAsia" w:ascii="Times New Roman" w:hAnsi="Times New Roman" w:eastAsia="仿宋" w:cs="Times New Roman"/>
          <w:b/>
          <w:bCs/>
          <w:kern w:val="2"/>
          <w:sz w:val="28"/>
          <w:szCs w:val="36"/>
          <w:lang w:val="en-US" w:eastAsia="zh-CN" w:bidi="ar-SA"/>
        </w:rPr>
        <w:t>、培训服务</w:t>
      </w:r>
    </w:p>
    <w:p w14:paraId="5BEB9326">
      <w:pPr>
        <w:pStyle w:val="2"/>
        <w:numPr>
          <w:ilvl w:val="0"/>
          <w:numId w:val="0"/>
        </w:numPr>
        <w:spacing w:before="0" w:line="360" w:lineRule="auto"/>
        <w:ind w:firstLine="840" w:firstLineChars="300"/>
        <w:rPr>
          <w:rFonts w:hint="default" w:ascii="Times New Roman" w:hAnsi="Times New Roman" w:eastAsia="仿宋" w:cs="Times New Roman"/>
          <w:sz w:val="28"/>
          <w:szCs w:val="36"/>
          <w:lang w:val="en-US" w:eastAsia="zh-CN"/>
        </w:rPr>
      </w:pPr>
      <w:r>
        <w:rPr>
          <w:rFonts w:hint="default" w:ascii="Times New Roman" w:hAnsi="Times New Roman" w:eastAsia="仿宋" w:cs="Times New Roman"/>
          <w:sz w:val="28"/>
          <w:szCs w:val="36"/>
          <w:lang w:val="en-US" w:eastAsia="zh-CN"/>
        </w:rPr>
        <w:t>(1)免费提供对管理人员和技术人员的技术培训，使技术人员掌握基本知识 与应用技术，包括软件安装与调试方法、系统的初始化和主要参数的设定、一般 性的系统故障诊断、定位和排除等日常维护技术，以满足日常应用与维护的需要。</w:t>
      </w:r>
    </w:p>
    <w:p w14:paraId="50034045">
      <w:pPr>
        <w:pStyle w:val="3"/>
        <w:spacing w:line="360" w:lineRule="auto"/>
        <w:ind w:firstLine="840" w:firstLineChars="300"/>
        <w:rPr>
          <w:rFonts w:hint="default"/>
          <w:lang w:val="en-US" w:eastAsia="zh-CN"/>
        </w:rPr>
      </w:pPr>
      <w:r>
        <w:rPr>
          <w:rFonts w:hint="default" w:ascii="Times New Roman" w:hAnsi="Times New Roman" w:eastAsia="仿宋" w:cs="Times New Roman"/>
          <w:kern w:val="2"/>
          <w:sz w:val="28"/>
          <w:szCs w:val="36"/>
          <w:lang w:val="en-US" w:eastAsia="zh-CN" w:bidi="ar-SA"/>
        </w:rPr>
        <w:t>(2)对最终用户进行使用培训，培训应包括系统的使用方法、技巧、常见问题的处理等。</w:t>
      </w:r>
    </w:p>
    <w:p w14:paraId="438C9EAB">
      <w:pPr>
        <w:pStyle w:val="2"/>
        <w:numPr>
          <w:ilvl w:val="0"/>
          <w:numId w:val="0"/>
        </w:numPr>
        <w:spacing w:before="0" w:line="360" w:lineRule="auto"/>
        <w:ind w:firstLine="562" w:firstLineChars="200"/>
        <w:rPr>
          <w:rFonts w:hint="default" w:ascii="Times New Roman" w:hAnsi="Times New Roman" w:eastAsia="仿宋" w:cs="Times New Roman"/>
          <w:b/>
          <w:bCs/>
          <w:kern w:val="2"/>
          <w:sz w:val="28"/>
          <w:szCs w:val="36"/>
          <w:lang w:val="en-US" w:eastAsia="zh-CN" w:bidi="ar-SA"/>
        </w:rPr>
      </w:pPr>
      <w:r>
        <w:rPr>
          <w:rFonts w:hint="eastAsia" w:ascii="Times New Roman" w:hAnsi="Times New Roman" w:eastAsia="仿宋" w:cs="Times New Roman"/>
          <w:b/>
          <w:bCs/>
          <w:kern w:val="2"/>
          <w:sz w:val="28"/>
          <w:szCs w:val="36"/>
          <w:lang w:val="en-US" w:eastAsia="zh-CN" w:bidi="ar-SA"/>
        </w:rPr>
        <w:t>2、</w:t>
      </w:r>
      <w:r>
        <w:rPr>
          <w:rFonts w:hint="default" w:ascii="Times New Roman" w:hAnsi="Times New Roman" w:eastAsia="仿宋" w:cs="Times New Roman"/>
          <w:b/>
          <w:bCs/>
          <w:kern w:val="2"/>
          <w:sz w:val="28"/>
          <w:szCs w:val="36"/>
          <w:lang w:val="en-US" w:eastAsia="zh-CN" w:bidi="ar-SA"/>
        </w:rPr>
        <w:t>安装要求</w:t>
      </w:r>
    </w:p>
    <w:p w14:paraId="5C272978">
      <w:pPr>
        <w:pStyle w:val="2"/>
        <w:numPr>
          <w:ilvl w:val="0"/>
          <w:numId w:val="0"/>
        </w:numPr>
        <w:spacing w:before="0" w:line="360" w:lineRule="auto"/>
        <w:ind w:firstLine="560" w:firstLineChars="200"/>
        <w:rPr>
          <w:rFonts w:hint="default" w:ascii="Times New Roman" w:hAnsi="Times New Roman" w:eastAsia="仿宋" w:cs="Times New Roman"/>
          <w:kern w:val="2"/>
          <w:sz w:val="28"/>
          <w:szCs w:val="36"/>
          <w:lang w:val="en-US" w:eastAsia="zh-CN" w:bidi="ar-SA"/>
        </w:rPr>
      </w:pPr>
      <w:r>
        <w:rPr>
          <w:rFonts w:hint="default" w:ascii="Times New Roman" w:hAnsi="Times New Roman" w:eastAsia="仿宋" w:cs="Times New Roman"/>
          <w:kern w:val="2"/>
          <w:sz w:val="28"/>
          <w:szCs w:val="36"/>
          <w:lang w:val="en-US" w:eastAsia="zh-CN" w:bidi="ar-SA"/>
        </w:rPr>
        <w:t xml:space="preserve"> ①本次招标要求供应商完成所有招标清单内货物的供货及安装工作，所提供的货物须符合国家标准。</w:t>
      </w:r>
      <w:r>
        <w:rPr>
          <w:rFonts w:hint="eastAsia" w:eastAsia="仿宋" w:cs="Times New Roman"/>
          <w:b/>
          <w:bCs/>
          <w:sz w:val="28"/>
          <w:szCs w:val="36"/>
          <w:lang w:val="en-US" w:eastAsia="zh-CN"/>
        </w:rPr>
        <w:t>本条为</w:t>
      </w:r>
      <w:r>
        <w:rPr>
          <w:rFonts w:hint="eastAsia" w:ascii="Times New Roman" w:hAnsi="Times New Roman" w:eastAsia="仿宋" w:cs="Times New Roman"/>
          <w:b/>
          <w:bCs/>
          <w:sz w:val="28"/>
          <w:szCs w:val="36"/>
          <w:lang w:val="en-US" w:eastAsia="zh-CN"/>
        </w:rPr>
        <w:t>实质性响应条款，如未响应，视为投标无效。</w:t>
      </w:r>
    </w:p>
    <w:p w14:paraId="45AA6D84">
      <w:pPr>
        <w:pStyle w:val="2"/>
        <w:numPr>
          <w:ilvl w:val="0"/>
          <w:numId w:val="0"/>
        </w:numPr>
        <w:spacing w:before="0" w:line="360" w:lineRule="auto"/>
        <w:ind w:firstLine="560" w:firstLineChars="200"/>
        <w:rPr>
          <w:rFonts w:hint="default" w:ascii="Times New Roman" w:hAnsi="Times New Roman" w:eastAsia="仿宋" w:cs="Times New Roman"/>
          <w:kern w:val="2"/>
          <w:sz w:val="28"/>
          <w:szCs w:val="36"/>
          <w:lang w:val="en-US" w:eastAsia="zh-CN" w:bidi="ar-SA"/>
        </w:rPr>
      </w:pPr>
      <w:r>
        <w:rPr>
          <w:rFonts w:hint="default" w:ascii="Times New Roman" w:hAnsi="Times New Roman" w:eastAsia="仿宋" w:cs="Times New Roman"/>
          <w:kern w:val="2"/>
          <w:sz w:val="28"/>
          <w:szCs w:val="36"/>
          <w:lang w:val="en-US" w:eastAsia="zh-CN" w:bidi="ar-SA"/>
        </w:rPr>
        <w:t>②安装工艺须成熟无偏差，符合国家标准、行业标准，如因安装不规范导致的松 动、损坏，均由供应商重新更换、安装；造成的电路损坏、人员伤亡及其他财产 损失均由供应商自行承担。</w:t>
      </w:r>
      <w:r>
        <w:rPr>
          <w:rFonts w:hint="eastAsia" w:eastAsia="仿宋" w:cs="Times New Roman"/>
          <w:b/>
          <w:bCs/>
          <w:sz w:val="28"/>
          <w:szCs w:val="36"/>
          <w:lang w:val="en-US" w:eastAsia="zh-CN"/>
        </w:rPr>
        <w:t>本条为</w:t>
      </w:r>
      <w:r>
        <w:rPr>
          <w:rFonts w:hint="eastAsia" w:ascii="Times New Roman" w:hAnsi="Times New Roman" w:eastAsia="仿宋" w:cs="Times New Roman"/>
          <w:b/>
          <w:bCs/>
          <w:sz w:val="28"/>
          <w:szCs w:val="36"/>
          <w:lang w:val="en-US" w:eastAsia="zh-CN"/>
        </w:rPr>
        <w:t>实质性响应条款，如未响应，视为投标无效。</w:t>
      </w:r>
      <w:r>
        <w:rPr>
          <w:rFonts w:hint="default" w:ascii="Times New Roman" w:hAnsi="Times New Roman" w:eastAsia="仿宋" w:cs="Times New Roman"/>
          <w:kern w:val="2"/>
          <w:sz w:val="28"/>
          <w:szCs w:val="36"/>
          <w:lang w:val="en-US" w:eastAsia="zh-CN" w:bidi="ar-SA"/>
        </w:rPr>
        <w:t xml:space="preserve"> </w:t>
      </w:r>
    </w:p>
    <w:p w14:paraId="30978EFC">
      <w:pPr>
        <w:pStyle w:val="2"/>
        <w:numPr>
          <w:ilvl w:val="0"/>
          <w:numId w:val="0"/>
        </w:numPr>
        <w:spacing w:before="0" w:line="360" w:lineRule="auto"/>
        <w:ind w:firstLine="560" w:firstLineChars="200"/>
        <w:rPr>
          <w:rFonts w:hint="default" w:ascii="Times New Roman" w:hAnsi="Times New Roman" w:eastAsia="仿宋" w:cs="Times New Roman"/>
          <w:kern w:val="2"/>
          <w:sz w:val="28"/>
          <w:szCs w:val="36"/>
          <w:lang w:val="en-US" w:eastAsia="zh-CN" w:bidi="ar-SA"/>
        </w:rPr>
      </w:pPr>
      <w:r>
        <w:rPr>
          <w:rFonts w:hint="default" w:ascii="Times New Roman" w:hAnsi="Times New Roman" w:eastAsia="仿宋" w:cs="Times New Roman"/>
          <w:kern w:val="2"/>
          <w:sz w:val="28"/>
          <w:szCs w:val="36"/>
          <w:lang w:val="en-US" w:eastAsia="zh-CN" w:bidi="ar-SA"/>
        </w:rPr>
        <w:t>③培训及安装调试：本项目涉及到设备安装以及现场技术培训，培训合格为止， 期间产生的费用由中标单位负责。</w:t>
      </w:r>
      <w:r>
        <w:rPr>
          <w:rFonts w:hint="eastAsia" w:eastAsia="仿宋" w:cs="Times New Roman"/>
          <w:b/>
          <w:bCs/>
          <w:sz w:val="28"/>
          <w:szCs w:val="36"/>
          <w:lang w:val="en-US" w:eastAsia="zh-CN"/>
        </w:rPr>
        <w:t>本条为</w:t>
      </w:r>
      <w:r>
        <w:rPr>
          <w:rFonts w:hint="eastAsia" w:ascii="Times New Roman" w:hAnsi="Times New Roman" w:eastAsia="仿宋" w:cs="Times New Roman"/>
          <w:b/>
          <w:bCs/>
          <w:sz w:val="28"/>
          <w:szCs w:val="36"/>
          <w:lang w:val="en-US" w:eastAsia="zh-CN"/>
        </w:rPr>
        <w:t>实质性响应条款，如未响应，视为投标无效。</w:t>
      </w:r>
    </w:p>
    <w:p w14:paraId="667ED53A">
      <w:pPr>
        <w:pStyle w:val="2"/>
        <w:numPr>
          <w:ilvl w:val="0"/>
          <w:numId w:val="0"/>
        </w:numPr>
        <w:spacing w:before="0" w:line="360" w:lineRule="auto"/>
        <w:ind w:firstLine="562" w:firstLineChars="200"/>
        <w:rPr>
          <w:rFonts w:hint="eastAsia" w:ascii="Times New Roman" w:hAnsi="Times New Roman" w:eastAsia="仿宋" w:cs="Times New Roman"/>
          <w:sz w:val="28"/>
          <w:szCs w:val="36"/>
          <w:lang w:val="en-US" w:eastAsia="zh-CN"/>
        </w:rPr>
      </w:pPr>
      <w:r>
        <w:rPr>
          <w:rFonts w:hint="eastAsia" w:ascii="Times New Roman" w:hAnsi="Times New Roman" w:eastAsia="仿宋" w:cs="Times New Roman"/>
          <w:b/>
          <w:bCs/>
          <w:sz w:val="28"/>
          <w:szCs w:val="36"/>
          <w:lang w:val="en-US" w:eastAsia="zh-CN"/>
        </w:rPr>
        <w:t>3、本次招标的报价</w:t>
      </w:r>
      <w:r>
        <w:rPr>
          <w:rFonts w:hint="eastAsia" w:ascii="Times New Roman" w:hAnsi="Times New Roman" w:eastAsia="仿宋" w:cs="Times New Roman"/>
          <w:sz w:val="28"/>
          <w:szCs w:val="36"/>
          <w:lang w:val="en-US" w:eastAsia="zh-CN"/>
        </w:rPr>
        <w:t>:含从采购、运输、卸货、安装至指定地点、验收合格、交付使用及后期服务等的人民币报价。综合单价包括了货物采购、运输、检验试验，因质量问题引起的维修和更换，投标人的利润、税金、政策性文件的规定以及包括原材料涨价等所有一切风险、责任和义务的费用，本次报价必须考虑最终报价包含本次项目所有费用。</w:t>
      </w:r>
    </w:p>
    <w:p w14:paraId="0AF82571">
      <w:pPr>
        <w:keepNext w:val="0"/>
        <w:keepLines w:val="0"/>
        <w:pageBreakBefore w:val="0"/>
        <w:widowControl w:val="0"/>
        <w:kinsoku/>
        <w:wordWrap/>
        <w:overflowPunct/>
        <w:topLinePunct w:val="0"/>
        <w:autoSpaceDE/>
        <w:autoSpaceDN/>
        <w:bidi w:val="0"/>
        <w:adjustRightInd/>
        <w:snapToGrid/>
        <w:spacing w:line="580" w:lineRule="exact"/>
        <w:ind w:firstLine="562" w:firstLineChars="200"/>
        <w:jc w:val="left"/>
        <w:textAlignment w:val="auto"/>
        <w:rPr>
          <w:rFonts w:hint="eastAsia" w:ascii="Times New Roman" w:hAnsi="Times New Roman" w:eastAsia="仿宋" w:cs="Times New Roman"/>
          <w:b/>
          <w:bCs/>
          <w:sz w:val="28"/>
          <w:szCs w:val="36"/>
          <w:lang w:val="en-US" w:eastAsia="zh-CN"/>
        </w:rPr>
      </w:pPr>
      <w:r>
        <w:rPr>
          <w:rFonts w:hint="eastAsia" w:eastAsia="仿宋" w:cs="Times New Roman"/>
          <w:b/>
          <w:bCs/>
          <w:sz w:val="28"/>
          <w:szCs w:val="36"/>
          <w:lang w:val="en-US" w:eastAsia="zh-CN"/>
        </w:rPr>
        <w:t>4</w:t>
      </w:r>
      <w:r>
        <w:rPr>
          <w:rFonts w:hint="eastAsia" w:ascii="Times New Roman" w:hAnsi="Times New Roman" w:eastAsia="仿宋" w:cs="Times New Roman"/>
          <w:b/>
          <w:bCs/>
          <w:sz w:val="28"/>
          <w:szCs w:val="36"/>
          <w:lang w:val="en-US" w:eastAsia="zh-CN"/>
        </w:rPr>
        <w:t>、验收标准和方法</w:t>
      </w:r>
    </w:p>
    <w:p w14:paraId="73A81360">
      <w:pPr>
        <w:keepNext w:val="0"/>
        <w:keepLines w:val="0"/>
        <w:pageBreakBefore w:val="0"/>
        <w:widowControl w:val="0"/>
        <w:kinsoku/>
        <w:wordWrap/>
        <w:overflowPunct/>
        <w:topLinePunct w:val="0"/>
        <w:autoSpaceDE/>
        <w:autoSpaceDN/>
        <w:bidi w:val="0"/>
        <w:adjustRightInd/>
        <w:snapToGrid/>
        <w:spacing w:line="580" w:lineRule="exact"/>
        <w:ind w:firstLine="560" w:firstLineChars="200"/>
        <w:jc w:val="left"/>
        <w:textAlignment w:val="auto"/>
        <w:rPr>
          <w:rFonts w:hint="eastAsia" w:ascii="Times New Roman" w:hAnsi="Times New Roman" w:eastAsia="仿宋" w:cs="Times New Roman"/>
          <w:sz w:val="28"/>
          <w:szCs w:val="36"/>
          <w:lang w:val="en-US" w:eastAsia="zh-CN"/>
        </w:rPr>
      </w:pPr>
      <w:r>
        <w:rPr>
          <w:rFonts w:hint="eastAsia" w:eastAsia="仿宋" w:cs="Times New Roman"/>
          <w:sz w:val="28"/>
          <w:szCs w:val="36"/>
          <w:lang w:val="en-US" w:eastAsia="zh-CN"/>
        </w:rPr>
        <w:t>4</w:t>
      </w:r>
      <w:r>
        <w:rPr>
          <w:rFonts w:hint="eastAsia" w:ascii="Times New Roman" w:hAnsi="Times New Roman" w:eastAsia="仿宋" w:cs="Times New Roman"/>
          <w:sz w:val="28"/>
          <w:szCs w:val="36"/>
          <w:lang w:val="en-US" w:eastAsia="zh-CN"/>
        </w:rPr>
        <w:t>.1验收主体:采购单位、中标单位、使用单位。</w:t>
      </w:r>
    </w:p>
    <w:p w14:paraId="669BF5AB">
      <w:pPr>
        <w:keepNext w:val="0"/>
        <w:keepLines w:val="0"/>
        <w:pageBreakBefore w:val="0"/>
        <w:widowControl w:val="0"/>
        <w:kinsoku/>
        <w:wordWrap/>
        <w:overflowPunct/>
        <w:topLinePunct w:val="0"/>
        <w:autoSpaceDE/>
        <w:autoSpaceDN/>
        <w:bidi w:val="0"/>
        <w:adjustRightInd/>
        <w:snapToGrid/>
        <w:spacing w:line="580" w:lineRule="exact"/>
        <w:ind w:firstLine="560" w:firstLineChars="200"/>
        <w:jc w:val="left"/>
        <w:textAlignment w:val="auto"/>
        <w:rPr>
          <w:rFonts w:hint="eastAsia" w:ascii="Times New Roman" w:hAnsi="Times New Roman" w:eastAsia="仿宋" w:cs="Times New Roman"/>
          <w:sz w:val="28"/>
          <w:szCs w:val="36"/>
          <w:lang w:val="en-US" w:eastAsia="zh-CN"/>
        </w:rPr>
      </w:pPr>
      <w:r>
        <w:rPr>
          <w:rFonts w:hint="eastAsia" w:eastAsia="仿宋" w:cs="Times New Roman"/>
          <w:sz w:val="28"/>
          <w:szCs w:val="36"/>
          <w:lang w:val="en-US" w:eastAsia="zh-CN"/>
        </w:rPr>
        <w:t>4</w:t>
      </w:r>
      <w:r>
        <w:rPr>
          <w:rFonts w:hint="eastAsia" w:ascii="Times New Roman" w:hAnsi="Times New Roman" w:eastAsia="仿宋" w:cs="Times New Roman"/>
          <w:sz w:val="28"/>
          <w:szCs w:val="36"/>
          <w:lang w:val="en-US" w:eastAsia="zh-CN"/>
        </w:rPr>
        <w:t>.2验收时间:完成合同内容后由中标单位向采购人提出验收申请(具体以签订合同为准)。</w:t>
      </w:r>
    </w:p>
    <w:p w14:paraId="70AEB5DD">
      <w:pPr>
        <w:keepNext w:val="0"/>
        <w:keepLines w:val="0"/>
        <w:pageBreakBefore w:val="0"/>
        <w:widowControl w:val="0"/>
        <w:kinsoku/>
        <w:wordWrap/>
        <w:overflowPunct/>
        <w:topLinePunct w:val="0"/>
        <w:autoSpaceDE/>
        <w:autoSpaceDN/>
        <w:bidi w:val="0"/>
        <w:adjustRightInd/>
        <w:snapToGrid/>
        <w:spacing w:line="580" w:lineRule="exact"/>
        <w:ind w:firstLine="560" w:firstLineChars="200"/>
        <w:jc w:val="left"/>
        <w:textAlignment w:val="auto"/>
        <w:rPr>
          <w:rFonts w:hint="eastAsia" w:ascii="Times New Roman" w:hAnsi="Times New Roman" w:eastAsia="仿宋" w:cs="Times New Roman"/>
          <w:sz w:val="28"/>
          <w:szCs w:val="36"/>
          <w:lang w:val="en-US" w:eastAsia="zh-CN"/>
        </w:rPr>
      </w:pPr>
      <w:r>
        <w:rPr>
          <w:rFonts w:hint="eastAsia" w:eastAsia="仿宋" w:cs="Times New Roman"/>
          <w:sz w:val="28"/>
          <w:szCs w:val="36"/>
          <w:lang w:val="en-US" w:eastAsia="zh-CN"/>
        </w:rPr>
        <w:t>4</w:t>
      </w:r>
      <w:r>
        <w:rPr>
          <w:rFonts w:hint="eastAsia" w:ascii="Times New Roman" w:hAnsi="Times New Roman" w:eastAsia="仿宋" w:cs="Times New Roman"/>
          <w:sz w:val="28"/>
          <w:szCs w:val="36"/>
          <w:lang w:val="en-US" w:eastAsia="zh-CN"/>
        </w:rPr>
        <w:t>.3验收方式:项目结束后，甲乙双方均须在场确认项目顺利完成，共同签字确认，验收合格；如验收不合格，一切损失由乙方自行承担。验收程序：按合同约定的服务、组织对每一项服务、货物的履约情况进行验收，并出具政府采购验收报告。</w:t>
      </w:r>
    </w:p>
    <w:p w14:paraId="108586AF">
      <w:pPr>
        <w:keepNext w:val="0"/>
        <w:keepLines w:val="0"/>
        <w:pageBreakBefore w:val="0"/>
        <w:widowControl w:val="0"/>
        <w:kinsoku/>
        <w:wordWrap/>
        <w:overflowPunct/>
        <w:topLinePunct w:val="0"/>
        <w:autoSpaceDE/>
        <w:autoSpaceDN/>
        <w:bidi w:val="0"/>
        <w:adjustRightInd/>
        <w:snapToGrid/>
        <w:spacing w:line="580" w:lineRule="exact"/>
        <w:ind w:firstLine="560" w:firstLineChars="200"/>
        <w:jc w:val="left"/>
        <w:textAlignment w:val="auto"/>
        <w:rPr>
          <w:rFonts w:hint="eastAsia" w:ascii="Times New Roman" w:hAnsi="Times New Roman" w:eastAsia="仿宋" w:cs="Times New Roman"/>
          <w:sz w:val="28"/>
          <w:szCs w:val="36"/>
          <w:lang w:val="en-US" w:eastAsia="zh-CN"/>
        </w:rPr>
      </w:pPr>
      <w:r>
        <w:rPr>
          <w:rFonts w:hint="eastAsia" w:eastAsia="仿宋" w:cs="Times New Roman"/>
          <w:sz w:val="28"/>
          <w:szCs w:val="36"/>
          <w:lang w:val="en-US" w:eastAsia="zh-CN"/>
        </w:rPr>
        <w:t>4.</w:t>
      </w:r>
      <w:r>
        <w:rPr>
          <w:rFonts w:hint="eastAsia" w:ascii="Times New Roman" w:hAnsi="Times New Roman" w:eastAsia="仿宋" w:cs="Times New Roman"/>
          <w:sz w:val="28"/>
          <w:szCs w:val="36"/>
          <w:lang w:val="en-US" w:eastAsia="zh-CN"/>
        </w:rPr>
        <w:t>4验收内容：采购人应当成立验收小组，按照采购合同的约定对供应商履约情况进行验收。验收时，应当按照采购合同的约定对每一项服务、货物、安全标准的履约情况进行确认。</w:t>
      </w:r>
    </w:p>
    <w:p w14:paraId="5A2EE409">
      <w:pPr>
        <w:keepNext w:val="0"/>
        <w:keepLines w:val="0"/>
        <w:pageBreakBefore w:val="0"/>
        <w:widowControl w:val="0"/>
        <w:kinsoku/>
        <w:wordWrap/>
        <w:overflowPunct/>
        <w:topLinePunct w:val="0"/>
        <w:autoSpaceDE/>
        <w:autoSpaceDN/>
        <w:bidi w:val="0"/>
        <w:adjustRightInd/>
        <w:snapToGrid/>
        <w:spacing w:line="580" w:lineRule="exact"/>
        <w:ind w:firstLine="560" w:firstLineChars="200"/>
        <w:jc w:val="left"/>
        <w:textAlignment w:val="auto"/>
        <w:rPr>
          <w:rFonts w:hint="eastAsia" w:ascii="Times New Roman" w:hAnsi="Times New Roman" w:eastAsia="仿宋" w:cs="Times New Roman"/>
          <w:sz w:val="28"/>
          <w:szCs w:val="36"/>
          <w:lang w:val="en-US" w:eastAsia="zh-CN"/>
        </w:rPr>
      </w:pPr>
      <w:r>
        <w:rPr>
          <w:rFonts w:hint="eastAsia" w:eastAsia="仿宋" w:cs="Times New Roman"/>
          <w:sz w:val="28"/>
          <w:szCs w:val="36"/>
          <w:lang w:val="en-US" w:eastAsia="zh-CN"/>
        </w:rPr>
        <w:t>4</w:t>
      </w:r>
      <w:r>
        <w:rPr>
          <w:rFonts w:hint="eastAsia" w:ascii="Times New Roman" w:hAnsi="Times New Roman" w:eastAsia="仿宋" w:cs="Times New Roman"/>
          <w:sz w:val="28"/>
          <w:szCs w:val="36"/>
          <w:lang w:val="en-US" w:eastAsia="zh-CN"/>
        </w:rPr>
        <w:t>.5验收标准:所投产品需执行财库[2016]205号《财政部关于进一步加强政府采购需求和履约验收管理的指导意见》，甲方应当依法组织履约验收工作，完整细化验收方案，明确验收方式、时间、程序等内容。应当邀请实际使用人参与验收，甲方也可邀请第三方专业机构进行验收，并出具验收人员名单及意见，验收时严格按照采购合同对每项技术、服务、安全标准的情况进行验收，并出具验收报告，验收结果报告由参与验收所有人员共同签署并存档。验收合格后，甲方根据采购合同支付采购资金，并报送本级财政部门。</w:t>
      </w:r>
    </w:p>
    <w:p w14:paraId="09CA6E81">
      <w:pPr>
        <w:keepNext w:val="0"/>
        <w:keepLines w:val="0"/>
        <w:pageBreakBefore w:val="0"/>
        <w:widowControl w:val="0"/>
        <w:kinsoku/>
        <w:wordWrap/>
        <w:overflowPunct/>
        <w:topLinePunct w:val="0"/>
        <w:autoSpaceDE/>
        <w:autoSpaceDN/>
        <w:bidi w:val="0"/>
        <w:adjustRightInd/>
        <w:snapToGrid/>
        <w:spacing w:line="580" w:lineRule="exact"/>
        <w:ind w:firstLine="560" w:firstLineChars="200"/>
        <w:jc w:val="left"/>
        <w:textAlignment w:val="auto"/>
        <w:rPr>
          <w:rFonts w:hint="eastAsia" w:ascii="Times New Roman" w:hAnsi="Times New Roman" w:eastAsia="仿宋" w:cs="Times New Roman"/>
          <w:sz w:val="28"/>
          <w:szCs w:val="36"/>
          <w:lang w:val="en-US" w:eastAsia="zh-CN"/>
        </w:rPr>
      </w:pPr>
      <w:r>
        <w:rPr>
          <w:rFonts w:hint="eastAsia" w:eastAsia="仿宋" w:cs="Times New Roman"/>
          <w:sz w:val="28"/>
          <w:szCs w:val="36"/>
          <w:lang w:val="en-US" w:eastAsia="zh-CN"/>
        </w:rPr>
        <w:t>5</w:t>
      </w:r>
      <w:r>
        <w:rPr>
          <w:rFonts w:hint="eastAsia" w:ascii="Times New Roman" w:hAnsi="Times New Roman" w:eastAsia="仿宋" w:cs="Times New Roman"/>
          <w:sz w:val="28"/>
          <w:szCs w:val="36"/>
          <w:lang w:val="en-US" w:eastAsia="zh-CN"/>
        </w:rPr>
        <w:t>、售后服务要求及维保期限</w:t>
      </w:r>
    </w:p>
    <w:p w14:paraId="307E1CD6">
      <w:pPr>
        <w:keepNext w:val="0"/>
        <w:keepLines w:val="0"/>
        <w:pageBreakBefore w:val="0"/>
        <w:widowControl w:val="0"/>
        <w:kinsoku/>
        <w:wordWrap/>
        <w:overflowPunct/>
        <w:topLinePunct w:val="0"/>
        <w:autoSpaceDE/>
        <w:autoSpaceDN/>
        <w:bidi w:val="0"/>
        <w:adjustRightInd/>
        <w:snapToGrid/>
        <w:spacing w:line="580" w:lineRule="exact"/>
        <w:ind w:firstLine="560" w:firstLineChars="200"/>
        <w:jc w:val="left"/>
        <w:textAlignment w:val="auto"/>
        <w:rPr>
          <w:rFonts w:hint="eastAsia" w:ascii="Times New Roman" w:hAnsi="Times New Roman" w:eastAsia="仿宋" w:cs="Times New Roman"/>
          <w:sz w:val="28"/>
          <w:szCs w:val="36"/>
          <w:lang w:val="en-US" w:eastAsia="zh-CN"/>
        </w:rPr>
      </w:pPr>
      <w:r>
        <w:rPr>
          <w:rFonts w:hint="eastAsia" w:eastAsia="仿宋" w:cs="Times New Roman"/>
          <w:sz w:val="28"/>
          <w:szCs w:val="36"/>
          <w:lang w:val="en-US" w:eastAsia="zh-CN"/>
        </w:rPr>
        <w:t>5</w:t>
      </w:r>
      <w:r>
        <w:rPr>
          <w:rFonts w:hint="eastAsia" w:ascii="Times New Roman" w:hAnsi="Times New Roman" w:eastAsia="仿宋" w:cs="Times New Roman"/>
          <w:sz w:val="28"/>
          <w:szCs w:val="36"/>
          <w:lang w:val="en-US" w:eastAsia="zh-CN"/>
        </w:rPr>
        <w:t>.1售后服务期：</w:t>
      </w:r>
      <w:r>
        <w:rPr>
          <w:rFonts w:hint="eastAsia" w:eastAsia="仿宋" w:cs="Times New Roman"/>
          <w:sz w:val="28"/>
          <w:szCs w:val="36"/>
          <w:highlight w:val="none"/>
          <w:lang w:val="en-US" w:eastAsia="zh-CN"/>
        </w:rPr>
        <w:t>36个月</w:t>
      </w:r>
      <w:r>
        <w:rPr>
          <w:rFonts w:hint="eastAsia" w:ascii="Times New Roman" w:hAnsi="Times New Roman" w:eastAsia="仿宋" w:cs="Times New Roman"/>
          <w:sz w:val="28"/>
          <w:szCs w:val="36"/>
          <w:lang w:val="en-US" w:eastAsia="zh-CN"/>
        </w:rPr>
        <w:t>。</w:t>
      </w:r>
    </w:p>
    <w:p w14:paraId="38619FB7">
      <w:pPr>
        <w:keepNext w:val="0"/>
        <w:keepLines w:val="0"/>
        <w:pageBreakBefore w:val="0"/>
        <w:widowControl w:val="0"/>
        <w:kinsoku/>
        <w:wordWrap/>
        <w:overflowPunct/>
        <w:topLinePunct w:val="0"/>
        <w:autoSpaceDE/>
        <w:autoSpaceDN/>
        <w:bidi w:val="0"/>
        <w:adjustRightInd/>
        <w:snapToGrid/>
        <w:spacing w:line="580" w:lineRule="exact"/>
        <w:ind w:firstLine="560" w:firstLineChars="200"/>
        <w:jc w:val="left"/>
        <w:textAlignment w:val="auto"/>
        <w:rPr>
          <w:rFonts w:hint="eastAsia" w:ascii="Times New Roman" w:hAnsi="Times New Roman" w:eastAsia="仿宋" w:cs="Times New Roman"/>
          <w:sz w:val="28"/>
          <w:szCs w:val="36"/>
          <w:lang w:val="en-US" w:eastAsia="zh-CN"/>
        </w:rPr>
      </w:pPr>
      <w:r>
        <w:rPr>
          <w:rFonts w:hint="eastAsia" w:eastAsia="仿宋" w:cs="Times New Roman"/>
          <w:sz w:val="28"/>
          <w:szCs w:val="36"/>
          <w:lang w:val="en-US" w:eastAsia="zh-CN"/>
        </w:rPr>
        <w:t>5</w:t>
      </w:r>
      <w:r>
        <w:rPr>
          <w:rFonts w:hint="eastAsia" w:ascii="Times New Roman" w:hAnsi="Times New Roman" w:eastAsia="仿宋" w:cs="Times New Roman"/>
          <w:sz w:val="28"/>
          <w:szCs w:val="36"/>
          <w:lang w:val="en-US" w:eastAsia="zh-CN"/>
        </w:rPr>
        <w:t>.</w:t>
      </w:r>
      <w:r>
        <w:rPr>
          <w:rFonts w:hint="eastAsia" w:eastAsia="仿宋" w:cs="Times New Roman"/>
          <w:sz w:val="28"/>
          <w:szCs w:val="36"/>
          <w:lang w:val="en-US" w:eastAsia="zh-CN"/>
        </w:rPr>
        <w:t>2</w:t>
      </w:r>
      <w:r>
        <w:rPr>
          <w:rFonts w:hint="eastAsia" w:ascii="Times New Roman" w:hAnsi="Times New Roman" w:eastAsia="仿宋" w:cs="Times New Roman"/>
          <w:sz w:val="28"/>
          <w:szCs w:val="36"/>
          <w:lang w:val="en-US" w:eastAsia="zh-CN"/>
        </w:rPr>
        <w:t>售后服务及应急措施实施方案并在12小时内到达现场并予以解决，如出现突发状况，中标单位需及时处理达到业主方采购需求（所产生的一切</w:t>
      </w:r>
      <w:r>
        <w:rPr>
          <w:rFonts w:hint="eastAsia" w:eastAsia="仿宋" w:cs="Times New Roman"/>
          <w:sz w:val="28"/>
          <w:szCs w:val="36"/>
          <w:lang w:val="en-US" w:eastAsia="zh-CN"/>
        </w:rPr>
        <w:t>费用</w:t>
      </w:r>
      <w:r>
        <w:rPr>
          <w:rFonts w:hint="eastAsia" w:ascii="Times New Roman" w:hAnsi="Times New Roman" w:eastAsia="仿宋" w:cs="Times New Roman"/>
          <w:sz w:val="28"/>
          <w:szCs w:val="36"/>
          <w:lang w:val="en-US" w:eastAsia="zh-CN"/>
        </w:rPr>
        <w:t>由中标单位承担）。</w:t>
      </w:r>
      <w:r>
        <w:rPr>
          <w:rFonts w:hint="eastAsia" w:eastAsia="仿宋" w:cs="Times New Roman"/>
          <w:b/>
          <w:bCs/>
          <w:sz w:val="28"/>
          <w:szCs w:val="36"/>
          <w:lang w:val="en-US" w:eastAsia="zh-CN"/>
        </w:rPr>
        <w:t>本条为</w:t>
      </w:r>
      <w:r>
        <w:rPr>
          <w:rFonts w:hint="eastAsia" w:ascii="Times New Roman" w:hAnsi="Times New Roman" w:eastAsia="仿宋" w:cs="Times New Roman"/>
          <w:b/>
          <w:bCs/>
          <w:sz w:val="28"/>
          <w:szCs w:val="36"/>
          <w:lang w:val="en-US" w:eastAsia="zh-CN"/>
        </w:rPr>
        <w:t>实质性响应条款，如未响应，视为投标无效。</w:t>
      </w:r>
    </w:p>
    <w:p w14:paraId="525911E7">
      <w:pPr>
        <w:keepNext w:val="0"/>
        <w:keepLines w:val="0"/>
        <w:pageBreakBefore w:val="0"/>
        <w:widowControl w:val="0"/>
        <w:kinsoku/>
        <w:wordWrap/>
        <w:overflowPunct/>
        <w:topLinePunct w:val="0"/>
        <w:autoSpaceDE/>
        <w:autoSpaceDN/>
        <w:bidi w:val="0"/>
        <w:adjustRightInd/>
        <w:snapToGrid/>
        <w:spacing w:line="580" w:lineRule="exact"/>
        <w:ind w:firstLine="560" w:firstLineChars="200"/>
        <w:jc w:val="left"/>
        <w:textAlignment w:val="auto"/>
        <w:rPr>
          <w:rFonts w:hint="eastAsia" w:ascii="Times New Roman" w:hAnsi="Times New Roman" w:eastAsia="仿宋" w:cs="Times New Roman"/>
          <w:sz w:val="28"/>
          <w:szCs w:val="36"/>
          <w:lang w:val="en-US" w:eastAsia="zh-CN"/>
        </w:rPr>
      </w:pPr>
      <w:r>
        <w:rPr>
          <w:rFonts w:hint="eastAsia" w:eastAsia="仿宋" w:cs="Times New Roman"/>
          <w:sz w:val="28"/>
          <w:szCs w:val="36"/>
          <w:lang w:val="en-US" w:eastAsia="zh-CN"/>
        </w:rPr>
        <w:t>6</w:t>
      </w:r>
      <w:r>
        <w:rPr>
          <w:rFonts w:hint="eastAsia" w:ascii="Times New Roman" w:hAnsi="Times New Roman" w:eastAsia="仿宋" w:cs="Times New Roman"/>
          <w:sz w:val="28"/>
          <w:szCs w:val="36"/>
          <w:lang w:val="en-US" w:eastAsia="zh-CN"/>
        </w:rPr>
        <w:t>、采购标的的其他技术、服务等要求：</w:t>
      </w:r>
    </w:p>
    <w:p w14:paraId="59AEDE74">
      <w:pPr>
        <w:keepNext w:val="0"/>
        <w:keepLines w:val="0"/>
        <w:pageBreakBefore w:val="0"/>
        <w:widowControl w:val="0"/>
        <w:kinsoku/>
        <w:wordWrap/>
        <w:overflowPunct/>
        <w:topLinePunct w:val="0"/>
        <w:autoSpaceDE/>
        <w:autoSpaceDN/>
        <w:bidi w:val="0"/>
        <w:adjustRightInd/>
        <w:snapToGrid/>
        <w:spacing w:line="580" w:lineRule="exact"/>
        <w:ind w:firstLine="560" w:firstLineChars="200"/>
        <w:jc w:val="left"/>
        <w:textAlignment w:val="auto"/>
        <w:rPr>
          <w:rFonts w:hint="eastAsia" w:ascii="黑体" w:hAnsi="黑体" w:eastAsia="黑体" w:cstheme="minorBidi"/>
          <w:kern w:val="2"/>
          <w:sz w:val="28"/>
          <w:szCs w:val="28"/>
          <w:lang w:val="en-US" w:eastAsia="zh-CN" w:bidi="ar-SA"/>
        </w:rPr>
      </w:pPr>
      <w:r>
        <w:rPr>
          <w:rFonts w:hint="eastAsia" w:ascii="Times New Roman" w:hAnsi="Times New Roman" w:eastAsia="仿宋" w:cs="Times New Roman"/>
          <w:sz w:val="28"/>
          <w:szCs w:val="36"/>
          <w:lang w:val="en-US" w:eastAsia="zh-CN"/>
        </w:rPr>
        <w:t>如在采购活动、履约过程中发生人身伤害或其他突发事件的，由乙方负责承担，</w:t>
      </w:r>
      <w:r>
        <w:rPr>
          <w:rFonts w:hint="eastAsia" w:ascii="Times New Roman" w:hAnsi="Times New Roman" w:eastAsia="仿宋" w:cs="Times New Roman"/>
          <w:b/>
          <w:bCs/>
          <w:sz w:val="28"/>
          <w:szCs w:val="36"/>
          <w:lang w:val="en-US" w:eastAsia="zh-CN"/>
        </w:rPr>
        <w:t>需投标供应商提供承诺书，若未提供此项承诺书，视为投标无效。</w:t>
      </w:r>
    </w:p>
    <w:p w14:paraId="3BA6AC49">
      <w:pPr>
        <w:pStyle w:val="5"/>
        <w:tabs>
          <w:tab w:val="left" w:pos="0"/>
        </w:tabs>
        <w:spacing w:before="0" w:after="0" w:line="240" w:lineRule="auto"/>
        <w:ind w:firstLine="0" w:firstLineChars="0"/>
        <w:jc w:val="center"/>
        <w:rPr>
          <w:rFonts w:hint="eastAsia" w:ascii="仿宋" w:hAnsi="仿宋" w:eastAsia="仿宋" w:cs="仿宋"/>
          <w:lang w:val="en-US" w:eastAsia="zh-CN"/>
        </w:rPr>
        <w:sectPr>
          <w:pgSz w:w="11907" w:h="16840"/>
          <w:pgMar w:top="1440" w:right="1080" w:bottom="1440" w:left="1080" w:header="851" w:footer="851" w:gutter="0"/>
          <w:pgBorders>
            <w:top w:val="none" w:sz="0" w:space="0"/>
            <w:left w:val="none" w:sz="0" w:space="0"/>
            <w:bottom w:val="none" w:sz="0" w:space="0"/>
            <w:right w:val="none" w:sz="0" w:space="0"/>
          </w:pgBorders>
          <w:pgNumType w:fmt="decimal"/>
          <w:cols w:space="720" w:num="1"/>
          <w:docGrid w:linePitch="462" w:charSpace="0"/>
        </w:sectPr>
      </w:pPr>
    </w:p>
    <w:p w14:paraId="25BC8C78">
      <w:pPr>
        <w:pStyle w:val="5"/>
        <w:tabs>
          <w:tab w:val="left" w:pos="0"/>
        </w:tabs>
        <w:spacing w:before="0" w:after="0" w:line="240" w:lineRule="auto"/>
        <w:ind w:firstLine="0" w:firstLineChars="0"/>
        <w:jc w:val="center"/>
        <w:rPr>
          <w:rFonts w:ascii="仿宋" w:hAnsi="仿宋" w:eastAsia="仿宋" w:cs="仿宋"/>
        </w:rPr>
      </w:pPr>
      <w:r>
        <w:rPr>
          <w:rFonts w:hint="eastAsia" w:ascii="仿宋" w:hAnsi="仿宋" w:eastAsia="仿宋" w:cs="仿宋"/>
          <w:lang w:val="en-US" w:eastAsia="zh-CN"/>
        </w:rPr>
        <w:t>第</w:t>
      </w:r>
      <w:r>
        <w:rPr>
          <w:rFonts w:hint="eastAsia" w:ascii="仿宋" w:hAnsi="仿宋" w:eastAsia="仿宋" w:cs="仿宋"/>
        </w:rPr>
        <w:t>6章 评审方法和标准</w:t>
      </w:r>
    </w:p>
    <w:p w14:paraId="627378AC">
      <w:pPr>
        <w:pStyle w:val="2"/>
        <w:tabs>
          <w:tab w:val="clear" w:pos="567"/>
        </w:tabs>
        <w:spacing w:before="0" w:line="240" w:lineRule="auto"/>
        <w:rPr>
          <w:rFonts w:ascii="仿宋" w:hAnsi="仿宋" w:eastAsia="仿宋" w:cs="仿宋"/>
        </w:rPr>
      </w:pPr>
    </w:p>
    <w:p w14:paraId="46EA1C87">
      <w:pPr>
        <w:pStyle w:val="2"/>
        <w:tabs>
          <w:tab w:val="clear" w:pos="567"/>
        </w:tabs>
        <w:spacing w:before="0" w:line="240" w:lineRule="auto"/>
        <w:ind w:firstLine="240" w:firstLineChars="100"/>
        <w:rPr>
          <w:rFonts w:hint="eastAsia" w:ascii="仿宋" w:hAnsi="仿宋" w:eastAsia="仿宋" w:cs="仿宋"/>
        </w:rPr>
      </w:pPr>
      <w:r>
        <w:rPr>
          <w:rFonts w:hint="eastAsia" w:ascii="仿宋" w:hAnsi="仿宋" w:eastAsia="仿宋" w:cs="仿宋"/>
        </w:rPr>
        <w:t>本项目将按照磋商文件第一章供应商须知中“五 磋商开启及评审”、“六 确定成交”及本章的规定评标。</w:t>
      </w:r>
    </w:p>
    <w:p w14:paraId="74E2899D">
      <w:pPr>
        <w:pStyle w:val="41"/>
        <w:numPr>
          <w:ilvl w:val="1"/>
          <w:numId w:val="0"/>
        </w:numPr>
        <w:tabs>
          <w:tab w:val="left" w:pos="420"/>
        </w:tabs>
        <w:spacing w:before="66" w:line="240" w:lineRule="auto"/>
        <w:ind w:left="1296" w:leftChars="0" w:hanging="1296" w:firstLineChars="0"/>
        <w:outlineLvl w:val="1"/>
        <w:rPr>
          <w:rFonts w:hint="eastAsia" w:ascii="仿宋" w:hAnsi="仿宋" w:eastAsia="仿宋" w:cs="仿宋"/>
          <w:color w:val="auto"/>
          <w:sz w:val="24"/>
          <w:szCs w:val="24"/>
          <w:highlight w:val="none"/>
        </w:rPr>
      </w:pPr>
      <w:bookmarkStart w:id="512" w:name="_Toc20019"/>
      <w:r>
        <w:rPr>
          <w:rFonts w:hint="default" w:ascii="宋体" w:hAnsi="宋体" w:eastAsia="宋体" w:cs="宋体"/>
          <w:b/>
          <w:bCs/>
          <w:color w:val="auto"/>
          <w:spacing w:val="0"/>
          <w:w w:val="99"/>
          <w:kern w:val="2"/>
          <w:sz w:val="22"/>
          <w:szCs w:val="22"/>
          <w:lang w:val="en-US" w:eastAsia="zh-CN" w:bidi="ar-SA"/>
        </w:rPr>
        <w:t>1.</w:t>
      </w:r>
      <w:r>
        <w:rPr>
          <w:rFonts w:hint="eastAsia" w:ascii="仿宋" w:hAnsi="仿宋" w:eastAsia="仿宋" w:cs="仿宋"/>
          <w:color w:val="auto"/>
          <w:sz w:val="24"/>
          <w:szCs w:val="24"/>
          <w:highlight w:val="none"/>
        </w:rPr>
        <w:t>总则</w:t>
      </w:r>
      <w:bookmarkEnd w:id="512"/>
    </w:p>
    <w:p w14:paraId="16ECFAD2">
      <w:pPr>
        <w:pStyle w:val="2"/>
        <w:spacing w:before="11" w:line="240" w:lineRule="auto"/>
        <w:rPr>
          <w:rFonts w:hint="eastAsia" w:ascii="仿宋" w:hAnsi="仿宋" w:eastAsia="仿宋" w:cs="仿宋"/>
          <w:b/>
          <w:color w:val="auto"/>
          <w:sz w:val="24"/>
          <w:szCs w:val="24"/>
          <w:highlight w:val="none"/>
        </w:rPr>
      </w:pPr>
    </w:p>
    <w:p w14:paraId="50FA526B">
      <w:pPr>
        <w:pStyle w:val="42"/>
        <w:numPr>
          <w:ilvl w:val="2"/>
          <w:numId w:val="0"/>
        </w:numPr>
        <w:spacing w:line="240" w:lineRule="auto"/>
        <w:ind w:left="433" w:leftChars="0" w:hanging="15" w:firstLineChars="0"/>
        <w:rPr>
          <w:rFonts w:hint="eastAsia" w:ascii="仿宋" w:hAnsi="仿宋" w:eastAsia="仿宋" w:cs="仿宋"/>
          <w:color w:val="auto"/>
          <w:sz w:val="24"/>
          <w:szCs w:val="24"/>
          <w:highlight w:val="none"/>
        </w:rPr>
      </w:pPr>
      <w:r>
        <w:rPr>
          <w:rFonts w:hint="default" w:ascii="宋体" w:hAnsi="宋体" w:eastAsia="宋体" w:cs="宋体"/>
          <w:color w:val="auto"/>
          <w:w w:val="100"/>
          <w:kern w:val="2"/>
          <w:sz w:val="24"/>
          <w:szCs w:val="24"/>
          <w:lang w:val="en-US" w:eastAsia="zh-CN" w:bidi="ar-SA"/>
        </w:rPr>
        <w:t>1.1</w:t>
      </w:r>
      <w:r>
        <w:rPr>
          <w:rFonts w:hint="eastAsia" w:ascii="仿宋" w:hAnsi="仿宋" w:eastAsia="仿宋" w:cs="仿宋"/>
          <w:color w:val="auto"/>
          <w:sz w:val="24"/>
          <w:szCs w:val="24"/>
          <w:highlight w:val="none"/>
        </w:rPr>
        <w:t xml:space="preserve">根据《中华人民共和国政府采购法》和《政府采购货物和服务招标投标管理办法》（财政部第 </w:t>
      </w:r>
      <w:r>
        <w:rPr>
          <w:rFonts w:hint="eastAsia" w:ascii="仿宋" w:hAnsi="仿宋" w:eastAsia="仿宋" w:cs="仿宋"/>
          <w:color w:val="auto"/>
          <w:sz w:val="24"/>
          <w:szCs w:val="24"/>
          <w:highlight w:val="none"/>
          <w:lang w:val="en-US" w:eastAsia="zh-CN"/>
        </w:rPr>
        <w:t>87</w:t>
      </w:r>
      <w:r>
        <w:rPr>
          <w:rFonts w:hint="eastAsia" w:ascii="仿宋" w:hAnsi="仿宋" w:eastAsia="仿宋" w:cs="仿宋"/>
          <w:color w:val="auto"/>
          <w:sz w:val="24"/>
          <w:szCs w:val="24"/>
          <w:highlight w:val="none"/>
        </w:rPr>
        <w:t xml:space="preserve"> 号令）等法律规章，结合采购项目特点制定本评标办法。</w:t>
      </w:r>
    </w:p>
    <w:p w14:paraId="46B757BA">
      <w:pPr>
        <w:pStyle w:val="42"/>
        <w:numPr>
          <w:ilvl w:val="2"/>
          <w:numId w:val="0"/>
        </w:numPr>
        <w:spacing w:line="240" w:lineRule="auto"/>
        <w:ind w:left="433" w:leftChars="0" w:hanging="15" w:firstLineChars="0"/>
        <w:rPr>
          <w:rFonts w:hint="eastAsia" w:ascii="仿宋" w:hAnsi="仿宋" w:eastAsia="仿宋" w:cs="仿宋"/>
          <w:color w:val="auto"/>
          <w:sz w:val="24"/>
          <w:szCs w:val="24"/>
          <w:highlight w:val="none"/>
        </w:rPr>
      </w:pPr>
      <w:r>
        <w:rPr>
          <w:rFonts w:hint="default" w:ascii="宋体" w:hAnsi="宋体" w:eastAsia="宋体" w:cs="宋体"/>
          <w:color w:val="auto"/>
          <w:w w:val="100"/>
          <w:kern w:val="2"/>
          <w:sz w:val="24"/>
          <w:szCs w:val="24"/>
          <w:lang w:val="en-US" w:eastAsia="zh-CN" w:bidi="ar-SA"/>
        </w:rPr>
        <w:t>1.2</w:t>
      </w:r>
      <w:r>
        <w:rPr>
          <w:rFonts w:hint="eastAsia" w:ascii="仿宋" w:hAnsi="仿宋" w:eastAsia="仿宋" w:cs="仿宋"/>
          <w:color w:val="auto"/>
          <w:sz w:val="24"/>
          <w:szCs w:val="24"/>
          <w:highlight w:val="none"/>
        </w:rPr>
        <w:t>评标工作由招标代理机构负责组织，具体评标事务由招标代理机构依法组建的评标委员会负责。评标委员会由采购人代表和有关技术、经济等方面的专家组成；</w:t>
      </w:r>
    </w:p>
    <w:p w14:paraId="27587910">
      <w:pPr>
        <w:pStyle w:val="42"/>
        <w:numPr>
          <w:ilvl w:val="2"/>
          <w:numId w:val="0"/>
        </w:numPr>
        <w:spacing w:line="240" w:lineRule="auto"/>
        <w:ind w:left="433" w:leftChars="0" w:hanging="15" w:firstLineChars="0"/>
        <w:rPr>
          <w:rFonts w:hint="eastAsia" w:ascii="仿宋" w:hAnsi="仿宋" w:eastAsia="仿宋" w:cs="仿宋"/>
          <w:color w:val="auto"/>
          <w:sz w:val="24"/>
          <w:szCs w:val="24"/>
          <w:highlight w:val="none"/>
        </w:rPr>
      </w:pPr>
      <w:r>
        <w:rPr>
          <w:rFonts w:hint="default" w:ascii="宋体" w:hAnsi="宋体" w:eastAsia="宋体" w:cs="宋体"/>
          <w:color w:val="auto"/>
          <w:w w:val="100"/>
          <w:kern w:val="2"/>
          <w:sz w:val="24"/>
          <w:szCs w:val="24"/>
          <w:lang w:val="en-US" w:eastAsia="zh-CN" w:bidi="ar-SA"/>
        </w:rPr>
        <w:t>1.3</w:t>
      </w:r>
      <w:r>
        <w:rPr>
          <w:rFonts w:hint="eastAsia" w:ascii="仿宋" w:hAnsi="仿宋" w:eastAsia="仿宋" w:cs="仿宋"/>
          <w:color w:val="auto"/>
          <w:sz w:val="24"/>
          <w:szCs w:val="24"/>
          <w:highlight w:val="none"/>
        </w:rPr>
        <w:t>评标工作应遵循公平、公正、科学及择优的原则，并以相同的评标程序和标准对待所有的投标人；</w:t>
      </w:r>
    </w:p>
    <w:p w14:paraId="47D7028E">
      <w:pPr>
        <w:pStyle w:val="42"/>
        <w:numPr>
          <w:ilvl w:val="2"/>
          <w:numId w:val="0"/>
        </w:numPr>
        <w:spacing w:line="240" w:lineRule="auto"/>
        <w:ind w:left="433" w:leftChars="0" w:hanging="15" w:firstLineChars="0"/>
        <w:rPr>
          <w:rFonts w:hint="eastAsia" w:ascii="仿宋" w:hAnsi="仿宋" w:eastAsia="仿宋" w:cs="仿宋"/>
          <w:color w:val="auto"/>
          <w:sz w:val="24"/>
          <w:szCs w:val="24"/>
          <w:highlight w:val="none"/>
        </w:rPr>
      </w:pPr>
      <w:r>
        <w:rPr>
          <w:rFonts w:hint="default" w:ascii="宋体" w:hAnsi="宋体" w:eastAsia="宋体" w:cs="宋体"/>
          <w:color w:val="auto"/>
          <w:w w:val="100"/>
          <w:kern w:val="2"/>
          <w:sz w:val="24"/>
          <w:szCs w:val="24"/>
          <w:lang w:val="en-US" w:eastAsia="zh-CN" w:bidi="ar-SA"/>
        </w:rPr>
        <w:t>1.4</w:t>
      </w:r>
      <w:r>
        <w:rPr>
          <w:rFonts w:hint="eastAsia" w:ascii="仿宋" w:hAnsi="仿宋" w:eastAsia="仿宋" w:cs="仿宋"/>
          <w:color w:val="auto"/>
          <w:sz w:val="24"/>
          <w:szCs w:val="24"/>
          <w:highlight w:val="none"/>
        </w:rPr>
        <w:t>评标委员会按照招标文件规定的评标方法和标准进行评标，并独立履行下列职责：</w:t>
      </w:r>
    </w:p>
    <w:p w14:paraId="3FFFE18F">
      <w:pPr>
        <w:pStyle w:val="42"/>
        <w:numPr>
          <w:ilvl w:val="0"/>
          <w:numId w:val="0"/>
        </w:numPr>
        <w:spacing w:line="240" w:lineRule="auto"/>
        <w:ind w:left="420"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1.4.1</w:t>
      </w:r>
      <w:r>
        <w:rPr>
          <w:rFonts w:hint="eastAsia" w:ascii="仿宋" w:hAnsi="仿宋" w:eastAsia="仿宋" w:cs="仿宋"/>
          <w:color w:val="auto"/>
          <w:sz w:val="24"/>
          <w:szCs w:val="24"/>
          <w:highlight w:val="none"/>
        </w:rPr>
        <w:t>审查投标文件是否符合招标文件要求，并做出评价；</w:t>
      </w:r>
    </w:p>
    <w:p w14:paraId="428366C7">
      <w:pPr>
        <w:pStyle w:val="42"/>
        <w:numPr>
          <w:ilvl w:val="0"/>
          <w:numId w:val="0"/>
        </w:numPr>
        <w:spacing w:line="240" w:lineRule="auto"/>
        <w:ind w:left="420"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1.4.2</w:t>
      </w:r>
      <w:r>
        <w:rPr>
          <w:rFonts w:hint="eastAsia" w:ascii="仿宋" w:hAnsi="仿宋" w:eastAsia="仿宋" w:cs="仿宋"/>
          <w:color w:val="auto"/>
          <w:sz w:val="24"/>
          <w:szCs w:val="24"/>
          <w:highlight w:val="none"/>
        </w:rPr>
        <w:t>要求投标供应商对投标文件有关事项做出解释或者澄清；</w:t>
      </w:r>
    </w:p>
    <w:p w14:paraId="1729801C">
      <w:pPr>
        <w:pStyle w:val="42"/>
        <w:numPr>
          <w:ilvl w:val="0"/>
          <w:numId w:val="0"/>
        </w:numPr>
        <w:spacing w:line="240" w:lineRule="auto"/>
        <w:ind w:left="420"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1.4.3</w:t>
      </w:r>
      <w:r>
        <w:rPr>
          <w:rFonts w:hint="eastAsia" w:ascii="仿宋" w:hAnsi="仿宋" w:eastAsia="仿宋" w:cs="仿宋"/>
          <w:color w:val="auto"/>
          <w:sz w:val="24"/>
          <w:szCs w:val="24"/>
          <w:highlight w:val="none"/>
        </w:rPr>
        <w:t>推荐中标候选供应商名单，或者受采购人委托按照事先确定的办法直接确定中标供应商；</w:t>
      </w:r>
    </w:p>
    <w:p w14:paraId="606A63D1">
      <w:pPr>
        <w:pStyle w:val="42"/>
        <w:numPr>
          <w:ilvl w:val="2"/>
          <w:numId w:val="0"/>
        </w:numPr>
        <w:spacing w:line="240" w:lineRule="auto"/>
        <w:ind w:left="433" w:leftChars="0" w:hanging="15" w:firstLineChars="0"/>
      </w:pPr>
      <w:r>
        <w:rPr>
          <w:rFonts w:hint="default" w:ascii="宋体" w:hAnsi="宋体" w:eastAsia="宋体" w:cs="宋体"/>
          <w:w w:val="100"/>
          <w:kern w:val="2"/>
          <w:sz w:val="24"/>
          <w:szCs w:val="24"/>
          <w:lang w:val="en-US" w:eastAsia="zh-CN" w:bidi="ar-SA"/>
        </w:rPr>
        <w:t>1.5</w:t>
      </w:r>
      <w:r>
        <w:rPr>
          <w:rFonts w:hint="eastAsia" w:ascii="仿宋" w:hAnsi="仿宋" w:eastAsia="仿宋" w:cs="仿宋"/>
          <w:color w:val="auto"/>
          <w:sz w:val="24"/>
          <w:szCs w:val="24"/>
          <w:highlight w:val="none"/>
        </w:rPr>
        <w:t>向招标采购单位或者有关部门报告非法干预评标工作的行为。</w:t>
      </w:r>
    </w:p>
    <w:p w14:paraId="0D51037B">
      <w:pPr>
        <w:pStyle w:val="41"/>
        <w:numPr>
          <w:ilvl w:val="1"/>
          <w:numId w:val="0"/>
        </w:numPr>
        <w:tabs>
          <w:tab w:val="left" w:pos="420"/>
        </w:tabs>
        <w:spacing w:before="66" w:line="240" w:lineRule="auto"/>
        <w:ind w:left="1296" w:leftChars="0" w:hanging="1296" w:firstLineChars="0"/>
        <w:outlineLvl w:val="1"/>
        <w:rPr>
          <w:rFonts w:hint="eastAsia" w:ascii="仿宋" w:hAnsi="仿宋" w:eastAsia="仿宋" w:cs="仿宋"/>
          <w:color w:val="auto"/>
          <w:sz w:val="24"/>
          <w:szCs w:val="24"/>
          <w:highlight w:val="none"/>
          <w:lang w:val="en-US" w:eastAsia="zh-CN"/>
        </w:rPr>
      </w:pPr>
      <w:bookmarkStart w:id="513" w:name="_Toc9543"/>
      <w:r>
        <w:rPr>
          <w:rFonts w:hint="default" w:ascii="宋体" w:hAnsi="宋体" w:eastAsia="宋体" w:cs="宋体"/>
          <w:b/>
          <w:bCs/>
          <w:color w:val="auto"/>
          <w:spacing w:val="0"/>
          <w:w w:val="99"/>
          <w:kern w:val="2"/>
          <w:sz w:val="22"/>
          <w:szCs w:val="22"/>
          <w:lang w:val="en-US" w:eastAsia="zh-CN" w:bidi="ar-SA"/>
        </w:rPr>
        <w:t>2.</w:t>
      </w:r>
      <w:r>
        <w:rPr>
          <w:rFonts w:hint="eastAsia" w:ascii="仿宋" w:hAnsi="仿宋" w:eastAsia="仿宋" w:cs="仿宋"/>
          <w:color w:val="auto"/>
          <w:sz w:val="24"/>
          <w:szCs w:val="24"/>
          <w:highlight w:val="none"/>
          <w:lang w:val="en-US" w:eastAsia="zh-CN"/>
        </w:rPr>
        <w:t>开标程序</w:t>
      </w:r>
      <w:bookmarkEnd w:id="513"/>
    </w:p>
    <w:p w14:paraId="0E78761C">
      <w:pPr>
        <w:pStyle w:val="42"/>
        <w:numPr>
          <w:ilvl w:val="-1"/>
          <w:numId w:val="0"/>
        </w:numPr>
        <w:spacing w:line="240" w:lineRule="auto"/>
        <w:ind w:left="418" w:firstLine="0" w:firstLineChars="0"/>
      </w:pPr>
    </w:p>
    <w:p w14:paraId="17BE337E">
      <w:pPr>
        <w:pStyle w:val="42"/>
        <w:numPr>
          <w:ilvl w:val="-1"/>
          <w:numId w:val="0"/>
        </w:numPr>
        <w:spacing w:line="240" w:lineRule="auto"/>
        <w:ind w:left="0" w:leftChars="0" w:firstLine="0"/>
        <w:rPr>
          <w:rFonts w:hint="eastAsia" w:ascii="仿宋" w:hAnsi="仿宋" w:eastAsia="仿宋" w:cs="仿宋"/>
          <w:color w:val="auto"/>
          <w:sz w:val="24"/>
          <w:szCs w:val="24"/>
          <w:highlight w:val="none"/>
        </w:rPr>
      </w:pPr>
      <w:bookmarkStart w:id="514" w:name="_Toc8908"/>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采购人和采购代理机构将按</w:t>
      </w:r>
      <w:r>
        <w:rPr>
          <w:rFonts w:hint="eastAsia" w:ascii="仿宋" w:hAnsi="仿宋" w:eastAsia="仿宋" w:cs="仿宋"/>
          <w:color w:val="auto"/>
          <w:sz w:val="24"/>
          <w:szCs w:val="24"/>
          <w:highlight w:val="none"/>
          <w:u w:val="single"/>
        </w:rPr>
        <w:t>投标人须知资料表</w:t>
      </w:r>
      <w:r>
        <w:rPr>
          <w:rFonts w:hint="eastAsia" w:ascii="仿宋" w:hAnsi="仿宋" w:eastAsia="仿宋" w:cs="仿宋"/>
          <w:color w:val="auto"/>
          <w:sz w:val="24"/>
          <w:szCs w:val="24"/>
          <w:highlight w:val="none"/>
        </w:rPr>
        <w:t>中规定的开标时间和地点组织</w:t>
      </w:r>
      <w:r>
        <w:rPr>
          <w:rFonts w:hint="eastAsia" w:ascii="仿宋" w:hAnsi="仿宋" w:eastAsia="仿宋" w:cs="仿宋"/>
          <w:color w:val="auto"/>
          <w:sz w:val="24"/>
          <w:szCs w:val="24"/>
          <w:highlight w:val="none"/>
          <w:lang w:val="en-US" w:eastAsia="zh-CN"/>
        </w:rPr>
        <w:t>竞争性磋商开标大会</w:t>
      </w:r>
      <w:r>
        <w:rPr>
          <w:rFonts w:hint="eastAsia" w:ascii="仿宋" w:hAnsi="仿宋" w:eastAsia="仿宋" w:cs="仿宋"/>
          <w:color w:val="auto"/>
          <w:sz w:val="24"/>
          <w:szCs w:val="24"/>
          <w:highlight w:val="none"/>
        </w:rPr>
        <w:t>。</w:t>
      </w:r>
    </w:p>
    <w:p w14:paraId="513BED2B">
      <w:pPr>
        <w:pStyle w:val="42"/>
        <w:numPr>
          <w:ilvl w:val="0"/>
          <w:numId w:val="0"/>
        </w:numPr>
        <w:spacing w:line="240" w:lineRule="auto"/>
        <w:ind w:left="0" w:leftChars="0" w:firstLine="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在开标前，工作人员收取所有参会人员的手机，主持人宣读开标纪律。</w:t>
      </w:r>
    </w:p>
    <w:p w14:paraId="6C6B812B">
      <w:pPr>
        <w:pStyle w:val="42"/>
        <w:numPr>
          <w:ilvl w:val="0"/>
          <w:numId w:val="0"/>
        </w:numPr>
        <w:spacing w:line="240" w:lineRule="auto"/>
        <w:ind w:left="0" w:leftChars="0" w:firstLine="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在线签收投标文件，投标人不足3家的，不得开标。</w:t>
      </w:r>
    </w:p>
    <w:p w14:paraId="3D0B2963">
      <w:pPr>
        <w:pStyle w:val="42"/>
        <w:numPr>
          <w:ilvl w:val="0"/>
          <w:numId w:val="0"/>
        </w:numPr>
        <w:spacing w:line="240" w:lineRule="auto"/>
        <w:ind w:left="0" w:leftChars="0" w:firstLine="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投标人解密投标文件，解密时长为30分钟，供应商应使用与加密时使用的同一把CA锁进行解密操作，如出现非供应商自身原因造成的无法解密，有采购代理机构使用备用投标文件进行解密操作。</w:t>
      </w:r>
    </w:p>
    <w:p w14:paraId="4387A29B">
      <w:pPr>
        <w:pStyle w:val="42"/>
        <w:numPr>
          <w:ilvl w:val="0"/>
          <w:numId w:val="0"/>
        </w:numPr>
        <w:spacing w:line="240" w:lineRule="auto"/>
        <w:ind w:left="0"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组织评审委员会以不记名投票的形式选定评审委员会主任，并宣读评标会纪律，对评标委员会进行通讯工具管制及宣读相关法律法规。</w:t>
      </w:r>
    </w:p>
    <w:p w14:paraId="4AF98F10">
      <w:pPr>
        <w:pStyle w:val="42"/>
        <w:numPr>
          <w:ilvl w:val="0"/>
          <w:numId w:val="0"/>
        </w:numPr>
        <w:spacing w:line="240" w:lineRule="auto"/>
        <w:ind w:left="0" w:leftChars="0" w:firstLine="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）由代理公司工作人员开启报价文件并由供应商代表在线CA签字确认，报价确认时段限制为10分钟，由评审委员会进行报价评审及政策价格认定。</w:t>
      </w:r>
    </w:p>
    <w:p w14:paraId="0FFFBCF2">
      <w:pPr>
        <w:pStyle w:val="42"/>
        <w:numPr>
          <w:ilvl w:val="0"/>
          <w:numId w:val="0"/>
        </w:numPr>
        <w:spacing w:line="240" w:lineRule="auto"/>
        <w:ind w:left="0" w:leftChars="0"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）采购人或采购代理机构将对开标过程进行记录，由参加开标的各</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代表和相关工作人员签字确认，并存档备查。</w:t>
      </w:r>
    </w:p>
    <w:p w14:paraId="68C1CE09">
      <w:pPr>
        <w:pStyle w:val="42"/>
        <w:numPr>
          <w:ilvl w:val="0"/>
          <w:numId w:val="0"/>
        </w:numPr>
        <w:spacing w:before="0" w:line="240" w:lineRule="auto"/>
        <w:ind w:left="0" w:firstLine="0" w:firstLineChars="0"/>
        <w:rPr>
          <w:rFonts w:hint="eastAsia" w:ascii="仿宋" w:hAnsi="仿宋" w:eastAsia="仿宋" w:cs="仿宋"/>
          <w:b w:val="0"/>
          <w:bCs w:val="0"/>
          <w:color w:val="auto"/>
          <w:sz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由代理公司工作人员开启</w:t>
      </w:r>
      <w:r>
        <w:rPr>
          <w:rFonts w:hint="eastAsia" w:ascii="仿宋" w:hAnsi="仿宋" w:eastAsia="仿宋" w:cs="仿宋"/>
          <w:color w:val="auto"/>
          <w:sz w:val="24"/>
          <w:szCs w:val="24"/>
          <w:highlight w:val="none"/>
          <w:lang w:val="en-US" w:eastAsia="zh-CN"/>
        </w:rPr>
        <w:t>二次</w:t>
      </w:r>
      <w:r>
        <w:rPr>
          <w:rFonts w:hint="eastAsia" w:ascii="仿宋" w:hAnsi="仿宋" w:eastAsia="仿宋" w:cs="仿宋"/>
          <w:color w:val="auto"/>
          <w:sz w:val="24"/>
          <w:szCs w:val="24"/>
          <w:highlight w:val="none"/>
        </w:rPr>
        <w:t>报价文件并由供应商代表在线CA签字确认，报价确认时段限制为10分钟，</w:t>
      </w:r>
      <w:r>
        <w:rPr>
          <w:rFonts w:hint="eastAsia" w:ascii="仿宋" w:hAnsi="仿宋" w:eastAsia="仿宋" w:cs="仿宋"/>
          <w:color w:val="auto"/>
          <w:sz w:val="24"/>
          <w:szCs w:val="24"/>
          <w:highlight w:val="none"/>
          <w:lang w:val="en-US" w:eastAsia="zh-CN"/>
        </w:rPr>
        <w:t>此次报价为最终报价。</w:t>
      </w:r>
      <w:r>
        <w:rPr>
          <w:rFonts w:hint="eastAsia" w:ascii="仿宋" w:hAnsi="仿宋" w:eastAsia="仿宋" w:cs="仿宋"/>
          <w:b w:val="0"/>
          <w:bCs w:val="0"/>
          <w:color w:val="auto"/>
          <w:sz w:val="24"/>
          <w:highlight w:val="none"/>
        </w:rPr>
        <w:t>评标小组应当根据综合评分情况，按照评审得分由高到低顺序推荐不少于3名成交候选投标人，并编写评审报告。评审得分且最后报价相同的，按照技术指标优劣顺序推荐</w:t>
      </w:r>
      <w:r>
        <w:rPr>
          <w:rFonts w:hint="eastAsia" w:ascii="仿宋" w:hAnsi="仿宋" w:eastAsia="仿宋" w:cs="仿宋"/>
          <w:b w:val="0"/>
          <w:bCs w:val="0"/>
          <w:color w:val="auto"/>
          <w:sz w:val="24"/>
          <w:highlight w:val="none"/>
          <w:lang w:val="en-US" w:eastAsia="zh-CN"/>
        </w:rPr>
        <w:t>并</w:t>
      </w:r>
      <w:r>
        <w:rPr>
          <w:rFonts w:hint="eastAsia" w:ascii="仿宋" w:hAnsi="仿宋" w:eastAsia="仿宋" w:cs="仿宋"/>
          <w:b w:val="0"/>
          <w:bCs w:val="0"/>
          <w:color w:val="auto"/>
          <w:sz w:val="24"/>
          <w:highlight w:val="none"/>
          <w:u w:val="none"/>
        </w:rPr>
        <w:t>将结果通知所有参加磋商的未成交的供应商。</w:t>
      </w:r>
    </w:p>
    <w:p w14:paraId="1AC662B9">
      <w:pPr>
        <w:pStyle w:val="42"/>
        <w:numPr>
          <w:ilvl w:val="0"/>
          <w:numId w:val="0"/>
        </w:numPr>
        <w:spacing w:line="240" w:lineRule="auto"/>
        <w:ind w:left="0" w:leftChars="0" w:firstLine="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代表对开标过程和开标记录有疑义，以及认为采购人、采购代理机构相关工作人员有需要回避的情形的，应当场提出询问或者回避申请。投标人未参加开标的，视同认可开标结果。</w:t>
      </w:r>
    </w:p>
    <w:bookmarkEnd w:id="514"/>
    <w:p w14:paraId="5294EA57">
      <w:pPr>
        <w:pStyle w:val="41"/>
        <w:numPr>
          <w:ilvl w:val="1"/>
          <w:numId w:val="0"/>
        </w:numPr>
        <w:tabs>
          <w:tab w:val="left" w:pos="420"/>
        </w:tabs>
        <w:spacing w:before="66" w:line="240" w:lineRule="auto"/>
        <w:ind w:left="1296" w:leftChars="0" w:hanging="1296" w:firstLineChars="0"/>
        <w:outlineLvl w:val="1"/>
        <w:rPr>
          <w:rFonts w:hint="eastAsia" w:ascii="仿宋" w:hAnsi="仿宋" w:eastAsia="仿宋" w:cs="仿宋"/>
          <w:color w:val="auto"/>
          <w:highlight w:val="none"/>
        </w:rPr>
      </w:pPr>
      <w:bookmarkStart w:id="515" w:name="_Toc1213265"/>
      <w:r>
        <w:rPr>
          <w:rFonts w:hint="default" w:ascii="宋体" w:hAnsi="宋体" w:eastAsia="宋体" w:cs="宋体"/>
          <w:b/>
          <w:bCs/>
          <w:color w:val="auto"/>
          <w:spacing w:val="0"/>
          <w:w w:val="99"/>
          <w:kern w:val="2"/>
          <w:sz w:val="22"/>
          <w:szCs w:val="22"/>
          <w:lang w:val="en-US" w:eastAsia="zh-CN" w:bidi="ar-SA"/>
        </w:rPr>
        <w:t>3.</w:t>
      </w:r>
      <w:r>
        <w:rPr>
          <w:rFonts w:hint="eastAsia" w:ascii="仿宋" w:hAnsi="仿宋" w:eastAsia="仿宋" w:cs="仿宋"/>
          <w:color w:val="auto"/>
          <w:highlight w:val="none"/>
          <w:lang w:val="en-US" w:eastAsia="zh-CN"/>
        </w:rPr>
        <w:t>磋商</w:t>
      </w:r>
      <w:r>
        <w:rPr>
          <w:rFonts w:hint="eastAsia" w:ascii="仿宋" w:hAnsi="仿宋" w:eastAsia="仿宋" w:cs="仿宋"/>
          <w:color w:val="auto"/>
          <w:highlight w:val="none"/>
        </w:rPr>
        <w:t>小组</w:t>
      </w:r>
      <w:bookmarkEnd w:id="515"/>
    </w:p>
    <w:p w14:paraId="579C2D83">
      <w:pPr>
        <w:pStyle w:val="2"/>
        <w:tabs>
          <w:tab w:val="clear" w:pos="567"/>
        </w:tabs>
        <w:spacing w:before="0" w:line="400" w:lineRule="exact"/>
        <w:ind w:firstLine="240" w:firstLineChars="100"/>
        <w:rPr>
          <w:rFonts w:hint="eastAsia" w:ascii="仿宋" w:hAnsi="仿宋" w:eastAsia="仿宋" w:cs="仿宋"/>
        </w:rPr>
      </w:pPr>
      <w:r>
        <w:rPr>
          <w:rFonts w:hint="eastAsia" w:ascii="仿宋" w:hAnsi="仿宋" w:eastAsia="仿宋" w:cs="仿宋"/>
          <w:lang w:eastAsia="zh-CN"/>
        </w:rPr>
        <w:t>（</w:t>
      </w:r>
      <w:r>
        <w:rPr>
          <w:rFonts w:hint="eastAsia" w:ascii="仿宋" w:hAnsi="仿宋" w:eastAsia="仿宋" w:cs="仿宋"/>
        </w:rPr>
        <w:t>1</w:t>
      </w:r>
      <w:r>
        <w:rPr>
          <w:rFonts w:hint="eastAsia" w:ascii="仿宋" w:hAnsi="仿宋" w:eastAsia="仿宋" w:cs="仿宋"/>
          <w:lang w:eastAsia="zh-CN"/>
        </w:rPr>
        <w:t>）</w:t>
      </w:r>
      <w:r>
        <w:rPr>
          <w:rFonts w:hint="eastAsia" w:ascii="仿宋" w:hAnsi="仿宋" w:eastAsia="仿宋" w:cs="仿宋"/>
        </w:rPr>
        <w:t>评标小组人数为3人以上单数组成，其中评审专家人数不得少于评标小组成员总数的2/3。采用竞争性磋商的政府采购项目，评审专家应当从政府采购评审专家库内相关专业的专家名单中随机抽取。符合【财政部关于印发《政府采购竞争性磋商采购方式管理暂行办法》的通知财库{2014}214号】（以下简称“本办法”）第三条第四项规定情形的项目，以及特殊、通过随机方式难以确定合适的评审专家的项目，经主管预算单位同意，可以自行选定评审专家。</w:t>
      </w:r>
    </w:p>
    <w:p w14:paraId="17AF44B6">
      <w:pPr>
        <w:pStyle w:val="2"/>
        <w:numPr>
          <w:ilvl w:val="0"/>
          <w:numId w:val="0"/>
        </w:numPr>
        <w:tabs>
          <w:tab w:val="clear" w:pos="567"/>
        </w:tabs>
        <w:spacing w:before="0" w:line="400" w:lineRule="exact"/>
        <w:ind w:firstLine="240" w:firstLineChars="100"/>
        <w:rPr>
          <w:rFonts w:hint="eastAsia" w:ascii="仿宋" w:hAnsi="仿宋" w:eastAsia="仿宋" w:cs="仿宋"/>
          <w:color w:val="auto"/>
          <w:sz w:val="24"/>
          <w:szCs w:val="24"/>
          <w:highlight w:val="none"/>
          <w:lang w:eastAsia="zh-CN"/>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2</w:t>
      </w:r>
      <w:r>
        <w:rPr>
          <w:rFonts w:hint="eastAsia" w:ascii="仿宋" w:hAnsi="仿宋" w:eastAsia="仿宋" w:cs="仿宋"/>
          <w:sz w:val="24"/>
          <w:szCs w:val="24"/>
          <w:lang w:eastAsia="zh-CN"/>
        </w:rPr>
        <w:t>）</w:t>
      </w:r>
      <w:r>
        <w:rPr>
          <w:rFonts w:hint="eastAsia" w:ascii="仿宋" w:hAnsi="仿宋" w:eastAsia="仿宋" w:cs="仿宋"/>
          <w:color w:val="auto"/>
          <w:sz w:val="24"/>
          <w:szCs w:val="24"/>
          <w:highlight w:val="none"/>
          <w:lang w:eastAsia="zh-CN"/>
        </w:rPr>
        <w:t>评标前，</w:t>
      </w:r>
      <w:r>
        <w:rPr>
          <w:rFonts w:hint="eastAsia" w:ascii="仿宋" w:hAnsi="仿宋" w:eastAsia="仿宋" w:cs="仿宋"/>
          <w:color w:val="auto"/>
          <w:sz w:val="24"/>
          <w:szCs w:val="24"/>
          <w:highlight w:val="none"/>
          <w:lang w:val="en-US" w:eastAsia="zh-CN"/>
        </w:rPr>
        <w:t>核对评审专家身份和采购人代表授权函，采购人和采购代理机构将对评审专家在政府采购活动中职责履行情况予以记录，并及时将有关违法违规行为向财政部门报告。</w:t>
      </w:r>
    </w:p>
    <w:p w14:paraId="5E2ACE3D">
      <w:pPr>
        <w:pStyle w:val="2"/>
        <w:numPr>
          <w:ilvl w:val="0"/>
          <w:numId w:val="0"/>
        </w:numPr>
        <w:tabs>
          <w:tab w:val="clear" w:pos="567"/>
        </w:tabs>
        <w:spacing w:line="40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（3）通讯工具管理：专家老师将通讯工具调制成静音状态，交予代理机构统一保管。</w:t>
      </w:r>
    </w:p>
    <w:p w14:paraId="2F23284F">
      <w:pPr>
        <w:pStyle w:val="2"/>
        <w:numPr>
          <w:ilvl w:val="0"/>
          <w:numId w:val="0"/>
        </w:numPr>
        <w:tabs>
          <w:tab w:val="clear" w:pos="567"/>
        </w:tabs>
        <w:spacing w:line="40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（4）组织评标委员会推选评标组长，宣布评标委员会成员姓名、工作单位、职称，以举手表决的方式选取。</w:t>
      </w:r>
    </w:p>
    <w:p w14:paraId="6070F3AE">
      <w:pPr>
        <w:pStyle w:val="2"/>
        <w:numPr>
          <w:ilvl w:val="0"/>
          <w:numId w:val="0"/>
        </w:numPr>
        <w:tabs>
          <w:tab w:val="clear" w:pos="567"/>
        </w:tabs>
        <w:spacing w:line="40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（5）采购人和采购代理机构，评标委员会成员要严格遵守政府采购相关法律制度，依法履行各自职责，公正、客观、审慎地组织和参与评审工作；</w:t>
      </w:r>
    </w:p>
    <w:p w14:paraId="0290DC16">
      <w:pPr>
        <w:pStyle w:val="2"/>
        <w:numPr>
          <w:ilvl w:val="0"/>
          <w:numId w:val="0"/>
        </w:numPr>
        <w:tabs>
          <w:tab w:val="clear" w:pos="567"/>
        </w:tabs>
        <w:spacing w:line="40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（6）评审委员会成员要依法独立评审，并对评审意见承担个人责任；</w:t>
      </w:r>
    </w:p>
    <w:p w14:paraId="5209855D">
      <w:pPr>
        <w:pStyle w:val="2"/>
        <w:numPr>
          <w:ilvl w:val="0"/>
          <w:numId w:val="0"/>
        </w:numPr>
        <w:tabs>
          <w:tab w:val="clear" w:pos="567"/>
        </w:tabs>
        <w:spacing w:line="40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采购人、采购代理机构要确保评审活动在严格保密的情况下进行。评审委员会成员、采购人和采购代理机构工作人员、相关监督人员等与评审有关的人员，对评审情况以及在评审过程中获悉的国家秘密、商业秘密负有保密责任；</w:t>
      </w:r>
    </w:p>
    <w:p w14:paraId="3D1F6CE0">
      <w:pPr>
        <w:pStyle w:val="2"/>
        <w:numPr>
          <w:ilvl w:val="0"/>
          <w:numId w:val="0"/>
        </w:numPr>
        <w:tabs>
          <w:tab w:val="clear" w:pos="567"/>
        </w:tabs>
        <w:spacing w:before="0" w:line="40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（8）采购人、采购代理机构和评审委员会在评审工作中，要依法相互监督和制约，并自觉接受各级财政部门的监督；</w:t>
      </w:r>
    </w:p>
    <w:p w14:paraId="0D9266D9">
      <w:pPr>
        <w:pStyle w:val="2"/>
        <w:numPr>
          <w:ilvl w:val="0"/>
          <w:numId w:val="0"/>
        </w:numPr>
        <w:tabs>
          <w:tab w:val="clear" w:pos="567"/>
        </w:tabs>
        <w:spacing w:line="40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（9）评审委员会要根据政府采购法律法规和采购文件所载明的评审方法、标准进行评审。</w:t>
      </w:r>
    </w:p>
    <w:p w14:paraId="4307F680">
      <w:pPr>
        <w:pStyle w:val="2"/>
        <w:numPr>
          <w:ilvl w:val="0"/>
          <w:numId w:val="0"/>
        </w:numPr>
        <w:tabs>
          <w:tab w:val="clear" w:pos="567"/>
        </w:tabs>
        <w:spacing w:line="40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（10）评审专家如有以下情形，应当回避：</w:t>
      </w:r>
    </w:p>
    <w:p w14:paraId="112D98A6">
      <w:pPr>
        <w:pStyle w:val="2"/>
        <w:numPr>
          <w:ilvl w:val="0"/>
          <w:numId w:val="0"/>
        </w:numPr>
        <w:tabs>
          <w:tab w:val="clear" w:pos="567"/>
        </w:tabs>
        <w:spacing w:line="40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1、参加采购活动前三年内，与供应商存在劳动关系，或者担任过供应商的董事、监事，或者是供应商的控股股东或者实际控制人；</w:t>
      </w:r>
    </w:p>
    <w:p w14:paraId="0A557165">
      <w:pPr>
        <w:pStyle w:val="2"/>
        <w:numPr>
          <w:ilvl w:val="0"/>
          <w:numId w:val="0"/>
        </w:numPr>
        <w:tabs>
          <w:tab w:val="clear" w:pos="567"/>
        </w:tabs>
        <w:spacing w:line="40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2、与供应商的法定代表人或者负责人有夫妻、直系血亲、三代以内旁系血亲或者近姻亲关系；</w:t>
      </w:r>
    </w:p>
    <w:p w14:paraId="44BD4B11">
      <w:pPr>
        <w:pStyle w:val="2"/>
        <w:numPr>
          <w:ilvl w:val="0"/>
          <w:numId w:val="0"/>
        </w:numPr>
        <w:tabs>
          <w:tab w:val="clear" w:pos="567"/>
        </w:tabs>
        <w:spacing w:line="40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3、与供应商有其他可能影响政府采购活动公平、公正进行的关系。</w:t>
      </w:r>
    </w:p>
    <w:p w14:paraId="2DCE7969">
      <w:pPr>
        <w:pStyle w:val="2"/>
        <w:numPr>
          <w:ilvl w:val="0"/>
          <w:numId w:val="0"/>
        </w:numPr>
        <w:tabs>
          <w:tab w:val="clear" w:pos="567"/>
        </w:tabs>
        <w:spacing w:before="0" w:line="400" w:lineRule="exact"/>
        <w:rPr>
          <w:rFonts w:hint="eastAsia" w:ascii="仿宋" w:hAnsi="仿宋" w:eastAsia="仿宋" w:cs="仿宋"/>
          <w:b/>
          <w:bCs/>
        </w:rPr>
      </w:pPr>
      <w:r>
        <w:rPr>
          <w:rFonts w:hint="eastAsia" w:ascii="仿宋" w:hAnsi="仿宋" w:eastAsia="仿宋" w:cs="仿宋"/>
          <w:b/>
          <w:bCs/>
        </w:rPr>
        <w:t>评标小组根据招标文件规定的评审程序、评审方法和评审标准负责对具备实质性响应的响应文件的有效性、完整性和响应程度进行审查；</w:t>
      </w:r>
      <w:r>
        <w:rPr>
          <w:rFonts w:hint="eastAsia" w:ascii="仿宋" w:hAnsi="仿宋" w:eastAsia="仿宋" w:cs="仿宋"/>
          <w:b/>
          <w:bCs/>
          <w:lang w:val="en-US" w:eastAsia="zh-CN"/>
        </w:rPr>
        <w:t>本项目</w:t>
      </w:r>
      <w:r>
        <w:rPr>
          <w:rFonts w:hint="eastAsia" w:ascii="仿宋" w:hAnsi="仿宋" w:eastAsia="仿宋" w:cs="仿宋"/>
          <w:b/>
          <w:bCs/>
          <w:color w:val="auto"/>
          <w:sz w:val="24"/>
          <w:highlight w:val="none"/>
          <w:u w:val="none"/>
        </w:rPr>
        <w:t>共有两次报价，二次报价为最终报价</w:t>
      </w:r>
      <w:r>
        <w:rPr>
          <w:rFonts w:hint="eastAsia" w:ascii="仿宋" w:hAnsi="仿宋" w:eastAsia="仿宋" w:cs="仿宋"/>
          <w:b/>
          <w:bCs/>
          <w:color w:val="auto"/>
          <w:sz w:val="24"/>
          <w:highlight w:val="none"/>
          <w:u w:val="none"/>
          <w:lang w:eastAsia="zh-CN"/>
        </w:rPr>
        <w:t>，</w:t>
      </w:r>
      <w:r>
        <w:rPr>
          <w:rFonts w:hint="eastAsia" w:ascii="仿宋" w:hAnsi="仿宋" w:eastAsia="仿宋" w:cs="仿宋"/>
          <w:b/>
          <w:bCs/>
        </w:rPr>
        <w:t>评标小组所有成员应当集中与单一供应商分别进行磋商，并给予所有参加磋商的供应商平等的磋商机会；评标小组应当根据综合评分情况，按照评审得分由高到低顺序推荐不少于3名成交候选投标人，并编写评审报告。评审得分且最后报价相同的，按照技术指标优劣顺序推荐</w:t>
      </w:r>
      <w:r>
        <w:rPr>
          <w:rFonts w:hint="eastAsia" w:ascii="仿宋" w:hAnsi="仿宋" w:eastAsia="仿宋" w:cs="仿宋"/>
          <w:b/>
          <w:bCs/>
          <w:lang w:val="en-US" w:eastAsia="zh-CN"/>
        </w:rPr>
        <w:t>并</w:t>
      </w:r>
      <w:r>
        <w:rPr>
          <w:rFonts w:hint="eastAsia" w:ascii="仿宋" w:hAnsi="仿宋" w:eastAsia="仿宋" w:cs="仿宋"/>
          <w:b/>
          <w:bCs/>
          <w:color w:val="auto"/>
          <w:sz w:val="24"/>
          <w:highlight w:val="none"/>
          <w:u w:val="none"/>
        </w:rPr>
        <w:t>将结果通知所有参加磋商的未成交的供应商。</w:t>
      </w:r>
    </w:p>
    <w:p w14:paraId="4C1C2A64">
      <w:pPr>
        <w:pStyle w:val="2"/>
        <w:tabs>
          <w:tab w:val="clear" w:pos="567"/>
        </w:tabs>
        <w:bidi w:val="0"/>
        <w:spacing w:line="400" w:lineRule="exact"/>
        <w:ind w:left="0" w:leftChars="0" w:firstLine="540" w:firstLineChars="225"/>
        <w:rPr>
          <w:rFonts w:hint="eastAsia" w:ascii="仿宋" w:hAnsi="仿宋" w:eastAsia="仿宋" w:cs="仿宋"/>
          <w:b w:val="0"/>
          <w:bCs w:val="0"/>
          <w:color w:val="auto"/>
          <w:highlight w:val="none"/>
          <w:lang w:val="en-US" w:eastAsia="zh-CN"/>
        </w:rPr>
      </w:pPr>
      <w:r>
        <w:rPr>
          <w:rFonts w:hint="eastAsia" w:ascii="仿宋" w:hAnsi="仿宋" w:eastAsia="仿宋" w:cs="仿宋"/>
          <w:b w:val="0"/>
          <w:bCs w:val="0"/>
          <w:color w:val="auto"/>
          <w:highlight w:val="none"/>
          <w:lang w:val="en-US" w:eastAsia="zh-CN"/>
        </w:rPr>
        <w:t>评标专家在政府采购活动中承担以下义务：</w:t>
      </w:r>
    </w:p>
    <w:p w14:paraId="023F0EE4">
      <w:pPr>
        <w:pStyle w:val="2"/>
        <w:numPr>
          <w:ilvl w:val="0"/>
          <w:numId w:val="0"/>
        </w:numPr>
        <w:tabs>
          <w:tab w:val="clear" w:pos="567"/>
        </w:tabs>
        <w:spacing w:line="400" w:lineRule="exact"/>
        <w:ind w:left="420" w:leftChars="0" w:firstLine="540" w:firstLineChars="225"/>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①遵纪守法，客观、公正、廉洁地履行职责；</w:t>
      </w:r>
    </w:p>
    <w:p w14:paraId="18048D31">
      <w:pPr>
        <w:pStyle w:val="2"/>
        <w:numPr>
          <w:ilvl w:val="0"/>
          <w:numId w:val="0"/>
        </w:numPr>
        <w:tabs>
          <w:tab w:val="clear" w:pos="567"/>
        </w:tabs>
        <w:spacing w:line="400" w:lineRule="exact"/>
        <w:ind w:left="420" w:leftChars="0" w:firstLine="540" w:firstLineChars="225"/>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②按照政府采购法律法规和采购文件的规定要求对供应商的资格条件和供应商提供的产品价格、技术、服务等方面严格进行评判，提供科学合理、公平公正的评审意见，参与起草评审报告，并予签字确认；</w:t>
      </w:r>
    </w:p>
    <w:p w14:paraId="48DE4623">
      <w:pPr>
        <w:pStyle w:val="2"/>
        <w:numPr>
          <w:ilvl w:val="0"/>
          <w:numId w:val="0"/>
        </w:numPr>
        <w:tabs>
          <w:tab w:val="clear" w:pos="567"/>
        </w:tabs>
        <w:spacing w:line="400" w:lineRule="exact"/>
        <w:ind w:left="420" w:leftChars="0" w:firstLine="540" w:firstLineChars="225"/>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③保守秘密。不得透露采购文件咨询情况，不得泄漏供应商的投标文件及知悉的商业秘密，不得向供应商透露评审情况；</w:t>
      </w:r>
    </w:p>
    <w:p w14:paraId="18E13448">
      <w:pPr>
        <w:pStyle w:val="2"/>
        <w:numPr>
          <w:ilvl w:val="0"/>
          <w:numId w:val="0"/>
        </w:numPr>
        <w:tabs>
          <w:tab w:val="clear" w:pos="567"/>
        </w:tabs>
        <w:spacing w:line="400" w:lineRule="exact"/>
        <w:ind w:left="420" w:leftChars="0" w:firstLine="540" w:firstLineChars="225"/>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④发现供应商在政府采购活动中有不正当竞争或恶意串通等违规行为，及时向政府采购评审工作的组织者或行政监管部门报告并加以制止；</w:t>
      </w:r>
    </w:p>
    <w:p w14:paraId="5E7FAADD">
      <w:pPr>
        <w:pStyle w:val="2"/>
        <w:numPr>
          <w:ilvl w:val="0"/>
          <w:numId w:val="0"/>
        </w:numPr>
        <w:tabs>
          <w:tab w:val="clear" w:pos="567"/>
        </w:tabs>
        <w:spacing w:line="400" w:lineRule="exact"/>
        <w:ind w:left="420" w:leftChars="0" w:firstLine="540" w:firstLineChars="225"/>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⑤发现采购人、招标代理机构及其工作人员在政府采购活动中有干预评审、发表倾向性和歧视性言论、受贿或者接受供应商的其他好处及其他违法违规行为，及时向行政监管部门报告；</w:t>
      </w:r>
    </w:p>
    <w:p w14:paraId="4C590216">
      <w:pPr>
        <w:pStyle w:val="2"/>
        <w:numPr>
          <w:ilvl w:val="0"/>
          <w:numId w:val="0"/>
        </w:numPr>
        <w:tabs>
          <w:tab w:val="clear" w:pos="567"/>
        </w:tabs>
        <w:spacing w:line="400" w:lineRule="exact"/>
        <w:ind w:left="420" w:leftChars="0" w:firstLine="540" w:firstLineChars="225"/>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⑥解答有关方面对政府采购评审工作中有关问题的询问，配合采购人或者招标代理机构答复供应商质疑，配合行政监管部门的投诉处理工作等事宜；</w:t>
      </w:r>
    </w:p>
    <w:p w14:paraId="47E564A4">
      <w:pPr>
        <w:pStyle w:val="2"/>
        <w:numPr>
          <w:ilvl w:val="0"/>
          <w:numId w:val="0"/>
        </w:numPr>
        <w:tabs>
          <w:tab w:val="clear" w:pos="567"/>
        </w:tabs>
        <w:spacing w:line="400" w:lineRule="exact"/>
        <w:ind w:left="420" w:leftChars="0" w:firstLine="540" w:firstLineChars="225"/>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⑦法律、法规和规章规定的其他义务。</w:t>
      </w:r>
    </w:p>
    <w:p w14:paraId="46E543EA">
      <w:pPr>
        <w:pStyle w:val="2"/>
        <w:tabs>
          <w:tab w:val="clear" w:pos="567"/>
        </w:tabs>
        <w:bidi w:val="0"/>
        <w:spacing w:line="400" w:lineRule="exact"/>
        <w:ind w:firstLine="540" w:firstLineChars="225"/>
        <w:rPr>
          <w:rFonts w:hint="eastAsia" w:ascii="仿宋" w:hAnsi="仿宋" w:eastAsia="仿宋" w:cs="仿宋"/>
          <w:b w:val="0"/>
          <w:bCs w:val="0"/>
          <w:color w:val="auto"/>
          <w:highlight w:val="none"/>
        </w:rPr>
      </w:pPr>
      <w:r>
        <w:rPr>
          <w:rFonts w:hint="eastAsia" w:ascii="仿宋" w:hAnsi="仿宋" w:eastAsia="仿宋" w:cs="仿宋"/>
          <w:b w:val="0"/>
          <w:bCs w:val="0"/>
          <w:color w:val="auto"/>
          <w:highlight w:val="none"/>
        </w:rPr>
        <w:t>评审专家在政府采购活动中应当遵守以下工作纪律：</w:t>
      </w:r>
    </w:p>
    <w:p w14:paraId="0168D85F">
      <w:pPr>
        <w:pStyle w:val="2"/>
        <w:numPr>
          <w:ilvl w:val="0"/>
          <w:numId w:val="0"/>
        </w:numPr>
        <w:tabs>
          <w:tab w:val="clear" w:pos="567"/>
        </w:tabs>
        <w:spacing w:line="400" w:lineRule="exact"/>
        <w:ind w:left="420" w:leftChars="0" w:firstLine="540" w:firstLineChars="225"/>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①应邀按时参加评审和咨询活动。遇特殊情况不能出席或途中遇阻不能按时参加评审或咨询的，应及时告知采购人或者招标代理机构，不得私自转托他人；</w:t>
      </w:r>
    </w:p>
    <w:p w14:paraId="18A801AC">
      <w:pPr>
        <w:pStyle w:val="2"/>
        <w:numPr>
          <w:ilvl w:val="0"/>
          <w:numId w:val="0"/>
        </w:numPr>
        <w:tabs>
          <w:tab w:val="clear" w:pos="567"/>
        </w:tabs>
        <w:spacing w:line="400" w:lineRule="exact"/>
        <w:ind w:left="420" w:leftChars="0" w:firstLine="540" w:firstLineChars="225"/>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不得参加与自己有利害关系的政府采购项目的评审活动。对与自己有利害关系的评审项目，如受到邀请，应主动提出回避。行政监管部门、采购人或招标代理机构也可要求该评审专家回避；有利害关系主要是指三年内曾在参加该采购项目供应商中任职(包括一般工作) 或担任顾问，配偶或直系亲属在参加该采购项目的供应商中任职或担任顾问，与参加该采购项目供应商发生过法律纠纷，以及其他可能影响公正评审的情况；</w:t>
      </w:r>
    </w:p>
    <w:p w14:paraId="23EBC6AE">
      <w:pPr>
        <w:pStyle w:val="2"/>
        <w:numPr>
          <w:ilvl w:val="0"/>
          <w:numId w:val="0"/>
        </w:numPr>
        <w:tabs>
          <w:tab w:val="clear" w:pos="567"/>
        </w:tabs>
        <w:spacing w:line="400" w:lineRule="exact"/>
        <w:ind w:left="420" w:leftChars="0" w:firstLine="540" w:firstLineChars="225"/>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③评审或咨询过程中关闭通讯设备，不得与外界联系。因发生不可预见情况，确实需要与外界联系的，应当有在场工作人员陪同；</w:t>
      </w:r>
    </w:p>
    <w:p w14:paraId="2FD9B467">
      <w:pPr>
        <w:pStyle w:val="2"/>
        <w:numPr>
          <w:ilvl w:val="0"/>
          <w:numId w:val="0"/>
        </w:numPr>
        <w:tabs>
          <w:tab w:val="clear" w:pos="567"/>
        </w:tabs>
        <w:spacing w:line="400" w:lineRule="exact"/>
        <w:ind w:left="420" w:leftChars="0" w:firstLine="540" w:firstLineChars="225"/>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④评审过程中，不得发表影响评审公正的倾向性、歧视性言论；不得征询或者接受采购人的倾向性意见；不得以任何明示或暗示的方式要求参加该采购项目的供应商以澄清、说明或补正为借口，表达与其原投标文件原意不同的新意见；不得以采购文件没有规定的方法和标准作为评审的依据；不得违反规定的评审格式评分和撰写评审意见；不得拒绝对自己的评审意见签字确认；</w:t>
      </w:r>
    </w:p>
    <w:p w14:paraId="0CB04851">
      <w:pPr>
        <w:pStyle w:val="2"/>
        <w:numPr>
          <w:ilvl w:val="0"/>
          <w:numId w:val="0"/>
        </w:numPr>
        <w:tabs>
          <w:tab w:val="clear" w:pos="567"/>
        </w:tabs>
        <w:spacing w:line="400" w:lineRule="exact"/>
        <w:ind w:left="420" w:leftChars="0" w:firstLine="540" w:firstLineChars="225"/>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⑤在咨询工作中，严格执行国家产业政策和产品标准，认真听取咨询方的合理要求， 提出科学合理的、无倾向性和歧视性的咨询方案，并对所提出的意见和建议承担个人责任；</w:t>
      </w:r>
    </w:p>
    <w:p w14:paraId="6065251C">
      <w:pPr>
        <w:pStyle w:val="2"/>
        <w:numPr>
          <w:ilvl w:val="0"/>
          <w:numId w:val="0"/>
        </w:numPr>
        <w:tabs>
          <w:tab w:val="clear" w:pos="567"/>
        </w:tabs>
        <w:spacing w:line="400" w:lineRule="exact"/>
        <w:ind w:left="420" w:leftChars="0" w:firstLine="540" w:firstLineChars="225"/>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⑥法律、法规和规章规定的其他评审工作纪律。</w:t>
      </w:r>
    </w:p>
    <w:p w14:paraId="6055D3A5">
      <w:pPr>
        <w:pStyle w:val="41"/>
        <w:numPr>
          <w:ilvl w:val="-1"/>
          <w:numId w:val="0"/>
        </w:numPr>
        <w:tabs>
          <w:tab w:val="left" w:pos="420"/>
        </w:tabs>
        <w:spacing w:before="66" w:line="240" w:lineRule="auto"/>
        <w:ind w:left="0" w:leftChars="0" w:firstLine="0" w:firstLineChars="0"/>
        <w:jc w:val="left"/>
        <w:outlineLvl w:val="1"/>
        <w:rPr>
          <w:rFonts w:hint="eastAsia" w:ascii="仿宋" w:hAnsi="仿宋" w:eastAsia="仿宋" w:cs="仿宋"/>
          <w:color w:val="auto"/>
          <w:sz w:val="24"/>
          <w:szCs w:val="24"/>
          <w:highlight w:val="none"/>
        </w:rPr>
      </w:pPr>
      <w:bookmarkStart w:id="516" w:name="_Toc28647"/>
      <w:r>
        <w:rPr>
          <w:rFonts w:hint="eastAsia" w:ascii="仿宋" w:hAnsi="仿宋" w:eastAsia="仿宋" w:cs="仿宋"/>
          <w:b/>
          <w:bCs/>
          <w:color w:val="auto"/>
          <w:sz w:val="24"/>
          <w:szCs w:val="24"/>
          <w:highlight w:val="none"/>
          <w:lang w:val="en-US" w:eastAsia="zh-CN"/>
        </w:rPr>
        <w:t>4.</w:t>
      </w:r>
      <w:r>
        <w:rPr>
          <w:rFonts w:hint="eastAsia" w:ascii="仿宋" w:hAnsi="仿宋" w:eastAsia="仿宋" w:cs="仿宋"/>
          <w:color w:val="auto"/>
          <w:sz w:val="24"/>
          <w:szCs w:val="24"/>
          <w:highlight w:val="none"/>
        </w:rPr>
        <w:t>定标程序</w:t>
      </w:r>
      <w:bookmarkEnd w:id="516"/>
    </w:p>
    <w:p w14:paraId="4166BAA8">
      <w:pPr>
        <w:pStyle w:val="2"/>
        <w:keepNext w:val="0"/>
        <w:keepLines w:val="0"/>
        <w:pageBreakBefore w:val="0"/>
        <w:widowControl w:val="0"/>
        <w:numPr>
          <w:ilvl w:val="0"/>
          <w:numId w:val="0"/>
        </w:numPr>
        <w:tabs>
          <w:tab w:val="clear" w:pos="567"/>
        </w:tabs>
        <w:kinsoku/>
        <w:wordWrap/>
        <w:overflowPunct/>
        <w:topLinePunct w:val="0"/>
        <w:autoSpaceDE/>
        <w:autoSpaceDN/>
        <w:bidi w:val="0"/>
        <w:adjustRightInd/>
        <w:snapToGrid/>
        <w:spacing w:line="400" w:lineRule="exact"/>
        <w:ind w:firstLine="540" w:firstLineChars="225"/>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（1）采购代理机构应当在评标结束后2个工作日内将评标报告送采购人。</w:t>
      </w:r>
    </w:p>
    <w:p w14:paraId="197D2177">
      <w:pPr>
        <w:pStyle w:val="2"/>
        <w:keepNext w:val="0"/>
        <w:keepLines w:val="0"/>
        <w:pageBreakBefore w:val="0"/>
        <w:widowControl w:val="0"/>
        <w:numPr>
          <w:ilvl w:val="0"/>
          <w:numId w:val="0"/>
        </w:numPr>
        <w:tabs>
          <w:tab w:val="clear" w:pos="567"/>
        </w:tabs>
        <w:kinsoku/>
        <w:wordWrap/>
        <w:overflowPunct/>
        <w:topLinePunct w:val="0"/>
        <w:autoSpaceDE/>
        <w:autoSpaceDN/>
        <w:bidi w:val="0"/>
        <w:adjustRightInd/>
        <w:snapToGrid/>
        <w:spacing w:line="400" w:lineRule="exact"/>
        <w:ind w:firstLine="540" w:firstLineChars="225"/>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（2）采购人应当自收到评标报告之日起５个工作日内，在评标报告确定的中标候选人名单中按顺序确定中标人。中标候选人并列的，由采购人按照</w:t>
      </w:r>
      <w:r>
        <w:rPr>
          <w:rFonts w:hint="eastAsia" w:ascii="仿宋" w:hAnsi="仿宋" w:eastAsia="仿宋" w:cs="仿宋"/>
          <w:sz w:val="24"/>
          <w:szCs w:val="24"/>
          <w:lang w:val="en-US" w:eastAsia="zh-CN"/>
        </w:rPr>
        <w:t>磋商</w:t>
      </w:r>
      <w:r>
        <w:rPr>
          <w:rFonts w:hint="eastAsia" w:ascii="仿宋" w:hAnsi="仿宋" w:eastAsia="仿宋" w:cs="仿宋"/>
          <w:color w:val="auto"/>
          <w:sz w:val="24"/>
          <w:szCs w:val="24"/>
          <w:highlight w:val="none"/>
          <w:lang w:val="en-US" w:eastAsia="zh-CN"/>
        </w:rPr>
        <w:t>文件规定的方式确定中标人。</w:t>
      </w:r>
    </w:p>
    <w:p w14:paraId="6B4EADDC">
      <w:pPr>
        <w:pStyle w:val="2"/>
        <w:keepNext w:val="0"/>
        <w:keepLines w:val="0"/>
        <w:pageBreakBefore w:val="0"/>
        <w:widowControl w:val="0"/>
        <w:numPr>
          <w:ilvl w:val="0"/>
          <w:numId w:val="0"/>
        </w:numPr>
        <w:tabs>
          <w:tab w:val="clear" w:pos="567"/>
        </w:tabs>
        <w:kinsoku/>
        <w:wordWrap/>
        <w:overflowPunct/>
        <w:topLinePunct w:val="0"/>
        <w:autoSpaceDE/>
        <w:autoSpaceDN/>
        <w:bidi w:val="0"/>
        <w:adjustRightInd/>
        <w:snapToGrid/>
        <w:spacing w:line="400" w:lineRule="exact"/>
        <w:ind w:firstLine="540" w:firstLineChars="225"/>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（3）采购人在收到评标报告5个工作日内未按评标报告推荐的中标候选人顺序确定中标人，又不能说明合法理由的，视同按评标报告推荐的顺序确定排名第一的中标候选人为中标人。</w:t>
      </w:r>
    </w:p>
    <w:p w14:paraId="06B148DB">
      <w:pPr>
        <w:pStyle w:val="2"/>
        <w:numPr>
          <w:ilvl w:val="0"/>
          <w:numId w:val="0"/>
        </w:numPr>
        <w:tabs>
          <w:tab w:val="clear" w:pos="567"/>
        </w:tabs>
        <w:spacing w:line="400" w:lineRule="exact"/>
        <w:ind w:left="0" w:leftChars="0"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中标候选人并列式时的处理方式：如采用综合评标法，则：评标结果按评审后得分由高到低顺序排列。得分相同的，按投标报价由低到高顺序排列。得分且投标报价相同的并列。投标文件满足投标文件全部实质性要求，且按照评审因素的量化指标评审得分最高的供应商为排名第一的中标候选人。</w:t>
      </w:r>
    </w:p>
    <w:p w14:paraId="23A77822">
      <w:pPr>
        <w:pStyle w:val="41"/>
        <w:numPr>
          <w:ilvl w:val="-1"/>
          <w:numId w:val="0"/>
        </w:numPr>
        <w:tabs>
          <w:tab w:val="left" w:pos="420"/>
        </w:tabs>
        <w:spacing w:before="66" w:line="240" w:lineRule="auto"/>
        <w:ind w:left="0" w:leftChars="0" w:firstLine="0" w:firstLineChars="0"/>
        <w:jc w:val="left"/>
        <w:outlineLvl w:val="1"/>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5.澄清和答疑</w:t>
      </w:r>
    </w:p>
    <w:p w14:paraId="76CB697F">
      <w:pPr>
        <w:pStyle w:val="2"/>
        <w:numPr>
          <w:ilvl w:val="0"/>
          <w:numId w:val="0"/>
        </w:numPr>
        <w:tabs>
          <w:tab w:val="clear" w:pos="567"/>
        </w:tabs>
        <w:spacing w:line="400" w:lineRule="exact"/>
        <w:ind w:left="0" w:leftChars="0"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①</w:t>
      </w:r>
      <w:r>
        <w:rPr>
          <w:rFonts w:hint="eastAsia" w:ascii="仿宋" w:hAnsi="仿宋" w:eastAsia="仿宋" w:cs="仿宋"/>
          <w:color w:val="auto"/>
          <w:sz w:val="24"/>
          <w:szCs w:val="24"/>
          <w:highlight w:val="none"/>
          <w:lang w:eastAsia="zh-CN"/>
        </w:rPr>
        <w:t>为有助于对投标文件进行审查、评估和比较，评标委员会将对认为需要（不是所有）的投标人进行询标，请投标人澄清其投标内容，投标人有责任按照招标方通知的时间、方式指派专人进行答疑和澄清。投标人代表应在评标会结束前保持政采云及腾讯群在线，以便能及时的接受在线询标，询标时投标人代表应作书面记录，并对询问答疑的内容做出在线书面答复。</w:t>
      </w:r>
    </w:p>
    <w:p w14:paraId="3C56426B">
      <w:pPr>
        <w:pStyle w:val="2"/>
        <w:numPr>
          <w:ilvl w:val="0"/>
          <w:numId w:val="0"/>
        </w:numPr>
        <w:tabs>
          <w:tab w:val="clear" w:pos="567"/>
        </w:tabs>
        <w:spacing w:line="400" w:lineRule="exact"/>
        <w:ind w:left="0" w:leftChars="0" w:firstLine="0" w:firstLineChars="0"/>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②</w:t>
      </w:r>
      <w:r>
        <w:rPr>
          <w:rFonts w:hint="eastAsia" w:ascii="仿宋" w:hAnsi="仿宋" w:eastAsia="仿宋" w:cs="仿宋"/>
          <w:color w:val="auto"/>
          <w:sz w:val="24"/>
          <w:szCs w:val="24"/>
          <w:highlight w:val="none"/>
          <w:lang w:eastAsia="zh-CN"/>
        </w:rPr>
        <w:t>重要澄清的答复应是书面的，澄清答复不得对投标的价格、技术指标和参数等内容进行实质性修改。澄清文件须由投标人法定代表人或法人授权代表签字或加盖投标人公章后上传或者在线电子签章签字并作为投标文件的组成部分。</w:t>
      </w:r>
    </w:p>
    <w:p w14:paraId="44C64305">
      <w:pPr>
        <w:pStyle w:val="2"/>
        <w:numPr>
          <w:ilvl w:val="0"/>
          <w:numId w:val="0"/>
        </w:numPr>
        <w:tabs>
          <w:tab w:val="clear" w:pos="567"/>
        </w:tabs>
        <w:spacing w:line="400" w:lineRule="exact"/>
        <w:ind w:left="0" w:leftChars="0"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③</w:t>
      </w:r>
      <w:r>
        <w:rPr>
          <w:rFonts w:hint="eastAsia" w:ascii="仿宋" w:hAnsi="仿宋" w:eastAsia="仿宋" w:cs="仿宋"/>
          <w:color w:val="auto"/>
          <w:sz w:val="24"/>
          <w:szCs w:val="24"/>
          <w:highlight w:val="none"/>
          <w:lang w:eastAsia="zh-CN"/>
        </w:rPr>
        <w:t>供应商代表对开标过程和开标记录有疑义，以及认为采购人、采购代理机构相关工作人员有需要回避的情形的，应当场提出询问或者回避申请。采购人、采购代理机构对供应商代表提出的询问或者回避申请应当及时处理。</w:t>
      </w:r>
    </w:p>
    <w:p w14:paraId="1B5D752D">
      <w:pPr>
        <w:pStyle w:val="2"/>
        <w:numPr>
          <w:ilvl w:val="0"/>
          <w:numId w:val="0"/>
        </w:numPr>
        <w:tabs>
          <w:tab w:val="clear" w:pos="567"/>
        </w:tabs>
        <w:spacing w:line="400" w:lineRule="exact"/>
        <w:ind w:left="0" w:leftChars="0"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④供应商提出的询问或者质疑超出采购人对采购代理机构委托授权范围的，采购代理机构应当告知供应商向采购人提出。</w:t>
      </w:r>
    </w:p>
    <w:p w14:paraId="76103BCB">
      <w:pPr>
        <w:pStyle w:val="2"/>
        <w:numPr>
          <w:ilvl w:val="0"/>
          <w:numId w:val="0"/>
        </w:numPr>
        <w:tabs>
          <w:tab w:val="clear" w:pos="567"/>
        </w:tabs>
        <w:spacing w:line="400" w:lineRule="exact"/>
        <w:ind w:left="0" w:leftChars="0" w:firstLine="0" w:firstLineChars="0"/>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w:t>
      </w:r>
      <w:r>
        <w:rPr>
          <w:rFonts w:hint="eastAsia" w:ascii="仿宋" w:hAnsi="仿宋" w:eastAsia="仿宋" w:cs="仿宋"/>
          <w:b w:val="0"/>
          <w:bCs w:val="0"/>
          <w:color w:val="auto"/>
          <w:kern w:val="2"/>
          <w:sz w:val="24"/>
          <w:szCs w:val="24"/>
          <w:highlight w:val="none"/>
          <w:lang w:val="en-US" w:eastAsia="zh-CN" w:bidi="ar-SA"/>
        </w:rPr>
        <w:t>计算错误的修改</w:t>
      </w:r>
    </w:p>
    <w:p w14:paraId="73EFB006">
      <w:pPr>
        <w:pStyle w:val="2"/>
        <w:numPr>
          <w:ilvl w:val="0"/>
          <w:numId w:val="0"/>
        </w:numPr>
        <w:tabs>
          <w:tab w:val="clear" w:pos="567"/>
        </w:tabs>
        <w:spacing w:line="400" w:lineRule="exact"/>
        <w:ind w:firstLine="540" w:firstLineChars="22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投标文件中如果出现计算上或累加上的算术错误，可按以下原则进行修改：</w:t>
      </w:r>
    </w:p>
    <w:p w14:paraId="64E82FAD">
      <w:pPr>
        <w:pStyle w:val="2"/>
        <w:numPr>
          <w:ilvl w:val="-1"/>
          <w:numId w:val="0"/>
        </w:numPr>
        <w:tabs>
          <w:tab w:val="clear" w:pos="567"/>
        </w:tabs>
        <w:spacing w:before="1" w:line="400" w:lineRule="exact"/>
        <w:ind w:left="0" w:leftChars="0"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用数字表示的金额和用文字表示的金额不一致，应以文字表示的金额为准；</w:t>
      </w:r>
    </w:p>
    <w:p w14:paraId="553EE6DA">
      <w:pPr>
        <w:pStyle w:val="2"/>
        <w:numPr>
          <w:ilvl w:val="-1"/>
          <w:numId w:val="0"/>
        </w:numPr>
        <w:tabs>
          <w:tab w:val="clear" w:pos="567"/>
        </w:tabs>
        <w:spacing w:line="400" w:lineRule="exact"/>
        <w:ind w:left="0" w:leftChars="0"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单价和数量的乘积与总价不一致时，以单价为准，并修正总价；</w:t>
      </w:r>
    </w:p>
    <w:p w14:paraId="5B6C2C70">
      <w:pPr>
        <w:pStyle w:val="2"/>
        <w:numPr>
          <w:ilvl w:val="0"/>
          <w:numId w:val="11"/>
        </w:numPr>
        <w:tabs>
          <w:tab w:val="clear" w:pos="567"/>
        </w:tabs>
        <w:spacing w:before="1" w:line="400" w:lineRule="exact"/>
        <w:ind w:right="514" w:rightChars="0"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单价金额小数点有明显错误的，以总价为准，修正单价。</w:t>
      </w:r>
    </w:p>
    <w:p w14:paraId="2017ED5C">
      <w:pPr>
        <w:pStyle w:val="2"/>
        <w:numPr>
          <w:ilvl w:val="0"/>
          <w:numId w:val="11"/>
        </w:numPr>
        <w:tabs>
          <w:tab w:val="clear" w:pos="567"/>
        </w:tabs>
        <w:spacing w:before="1" w:line="400" w:lineRule="exact"/>
        <w:ind w:right="514" w:rightChars="0"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按上述修正错误的方法调整的投标报价应对投标人具有约束力。如果投标人不接受修正后的价格，其投标将被拒绝。</w:t>
      </w:r>
    </w:p>
    <w:p w14:paraId="4EEE41FA">
      <w:pPr>
        <w:pStyle w:val="2"/>
        <w:numPr>
          <w:ilvl w:val="0"/>
          <w:numId w:val="0"/>
        </w:numPr>
        <w:tabs>
          <w:tab w:val="clear" w:pos="567"/>
        </w:tabs>
        <w:spacing w:line="400" w:lineRule="exact"/>
        <w:ind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对资格审查合格的投标人，由评标委员会按以下程序进行。</w:t>
      </w:r>
    </w:p>
    <w:p w14:paraId="04FA9A52">
      <w:pPr>
        <w:pStyle w:val="2"/>
        <w:numPr>
          <w:ilvl w:val="0"/>
          <w:numId w:val="0"/>
        </w:numPr>
        <w:tabs>
          <w:tab w:val="clear" w:pos="567"/>
        </w:tabs>
        <w:spacing w:line="400" w:lineRule="exact"/>
        <w:ind w:left="0" w:leftChars="0"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（1）初步评审-符合性审查，符合性检查的内容及标准；</w:t>
      </w:r>
    </w:p>
    <w:p w14:paraId="2B75995D">
      <w:pPr>
        <w:pStyle w:val="2"/>
        <w:numPr>
          <w:ilvl w:val="0"/>
          <w:numId w:val="0"/>
        </w:numPr>
        <w:tabs>
          <w:tab w:val="clear" w:pos="567"/>
        </w:tabs>
        <w:spacing w:line="400" w:lineRule="exact"/>
        <w:ind w:left="0" w:leftChars="0"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商务符合性审查，符合性检查的内容及标准；</w:t>
      </w:r>
    </w:p>
    <w:p w14:paraId="06A42E29">
      <w:pPr>
        <w:pStyle w:val="2"/>
        <w:numPr>
          <w:ilvl w:val="0"/>
          <w:numId w:val="0"/>
        </w:numPr>
        <w:tabs>
          <w:tab w:val="clear" w:pos="567"/>
        </w:tabs>
        <w:spacing w:line="400" w:lineRule="exact"/>
        <w:ind w:left="0" w:leftChars="0"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（2）澄清有关问题；</w:t>
      </w:r>
    </w:p>
    <w:p w14:paraId="142B72CF">
      <w:pPr>
        <w:pStyle w:val="2"/>
        <w:numPr>
          <w:ilvl w:val="0"/>
          <w:numId w:val="0"/>
        </w:numPr>
        <w:tabs>
          <w:tab w:val="clear" w:pos="567"/>
        </w:tabs>
        <w:spacing w:line="400" w:lineRule="exact"/>
        <w:ind w:left="0" w:leftChars="0"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（3）比较与评价；</w:t>
      </w:r>
    </w:p>
    <w:p w14:paraId="3BD80C44">
      <w:pPr>
        <w:pStyle w:val="2"/>
        <w:numPr>
          <w:ilvl w:val="0"/>
          <w:numId w:val="0"/>
        </w:numPr>
        <w:tabs>
          <w:tab w:val="clear" w:pos="567"/>
        </w:tabs>
        <w:spacing w:line="400" w:lineRule="exact"/>
        <w:ind w:left="0" w:leftChars="0"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（4）推荐中标供应商名单；</w:t>
      </w:r>
    </w:p>
    <w:p w14:paraId="013EBDD2">
      <w:pPr>
        <w:pStyle w:val="2"/>
        <w:tabs>
          <w:tab w:val="clear" w:pos="567"/>
        </w:tabs>
        <w:spacing w:line="400" w:lineRule="exact"/>
        <w:ind w:firstLine="0" w:firstLineChars="0"/>
      </w:pPr>
      <w:r>
        <w:rPr>
          <w:rFonts w:hint="eastAsia" w:ascii="仿宋" w:hAnsi="仿宋" w:eastAsia="仿宋" w:cs="仿宋"/>
          <w:color w:val="auto"/>
          <w:sz w:val="24"/>
          <w:szCs w:val="24"/>
          <w:highlight w:val="none"/>
          <w:lang w:val="en-US" w:eastAsia="zh-CN"/>
        </w:rPr>
        <w:t>（5）编写评标报告。</w:t>
      </w:r>
    </w:p>
    <w:p w14:paraId="35E1FAD9">
      <w:pPr>
        <w:pStyle w:val="41"/>
        <w:numPr>
          <w:ilvl w:val="-1"/>
          <w:numId w:val="0"/>
        </w:numPr>
        <w:tabs>
          <w:tab w:val="left" w:pos="420"/>
        </w:tabs>
        <w:spacing w:before="66" w:line="240" w:lineRule="auto"/>
        <w:ind w:left="0" w:leftChars="0" w:firstLine="0" w:firstLineChars="0"/>
        <w:jc w:val="left"/>
        <w:outlineLvl w:val="1"/>
        <w:rPr>
          <w:rFonts w:hint="eastAsia" w:ascii="仿宋" w:hAnsi="仿宋" w:eastAsia="仿宋" w:cs="仿宋"/>
          <w:b/>
          <w:bCs/>
          <w:color w:val="auto"/>
          <w:sz w:val="24"/>
          <w:szCs w:val="24"/>
          <w:highlight w:val="none"/>
          <w:lang w:val="en-US" w:eastAsia="zh-CN"/>
        </w:rPr>
      </w:pPr>
      <w:bookmarkStart w:id="517" w:name="_Toc184891547"/>
      <w:bookmarkStart w:id="518" w:name="_Toc184891774"/>
      <w:bookmarkStart w:id="519" w:name="_Toc287112610"/>
      <w:bookmarkStart w:id="520" w:name="_Toc1213266"/>
      <w:bookmarkStart w:id="521" w:name="_Toc143596262"/>
      <w:bookmarkStart w:id="522" w:name="_Toc143596673"/>
      <w:bookmarkStart w:id="523" w:name="_Toc157182374"/>
      <w:bookmarkStart w:id="524" w:name="_Toc387416366"/>
      <w:bookmarkStart w:id="525" w:name="_Toc217102234"/>
      <w:r>
        <w:rPr>
          <w:rFonts w:hint="eastAsia" w:ascii="仿宋" w:hAnsi="仿宋" w:eastAsia="仿宋" w:cs="仿宋"/>
          <w:b/>
          <w:bCs/>
          <w:color w:val="auto"/>
          <w:sz w:val="24"/>
          <w:szCs w:val="24"/>
          <w:highlight w:val="none"/>
          <w:lang w:val="en-US" w:eastAsia="zh-CN"/>
        </w:rPr>
        <w:t>6.评标办法和程序</w:t>
      </w:r>
      <w:bookmarkEnd w:id="517"/>
      <w:bookmarkEnd w:id="518"/>
      <w:bookmarkEnd w:id="519"/>
      <w:bookmarkEnd w:id="520"/>
      <w:bookmarkEnd w:id="521"/>
      <w:bookmarkEnd w:id="522"/>
      <w:bookmarkEnd w:id="523"/>
      <w:bookmarkEnd w:id="524"/>
      <w:bookmarkEnd w:id="525"/>
    </w:p>
    <w:p w14:paraId="5822B737">
      <w:pPr>
        <w:pStyle w:val="2"/>
        <w:tabs>
          <w:tab w:val="clear" w:pos="567"/>
        </w:tabs>
        <w:spacing w:before="0" w:line="400" w:lineRule="exact"/>
        <w:ind w:firstLine="540" w:firstLineChars="225"/>
        <w:rPr>
          <w:rFonts w:ascii="仿宋" w:hAnsi="仿宋" w:eastAsia="仿宋" w:cs="仿宋"/>
        </w:rPr>
      </w:pPr>
      <w:r>
        <w:rPr>
          <w:rFonts w:hint="eastAsia" w:ascii="仿宋" w:hAnsi="仿宋" w:eastAsia="仿宋" w:cs="仿宋"/>
          <w:lang w:val="en-US" w:eastAsia="zh-CN"/>
        </w:rPr>
        <w:t>6</w:t>
      </w:r>
      <w:r>
        <w:rPr>
          <w:rFonts w:hint="eastAsia" w:ascii="仿宋" w:hAnsi="仿宋" w:eastAsia="仿宋" w:cs="仿宋"/>
        </w:rPr>
        <w:t>.1采购人将邀请有关行政监督部门对本次</w:t>
      </w:r>
      <w:r>
        <w:rPr>
          <w:rFonts w:hint="eastAsia" w:ascii="仿宋" w:hAnsi="仿宋" w:eastAsia="仿宋" w:cs="仿宋"/>
          <w:lang w:val="en-US" w:eastAsia="zh-CN"/>
        </w:rPr>
        <w:t>竞争性磋商</w:t>
      </w:r>
      <w:r>
        <w:rPr>
          <w:rFonts w:hint="eastAsia" w:ascii="仿宋" w:hAnsi="仿宋" w:eastAsia="仿宋" w:cs="仿宋"/>
        </w:rPr>
        <w:t>进行监督。</w:t>
      </w:r>
    </w:p>
    <w:p w14:paraId="1A449E03">
      <w:pPr>
        <w:pStyle w:val="2"/>
        <w:tabs>
          <w:tab w:val="clear" w:pos="567"/>
        </w:tabs>
        <w:spacing w:before="0" w:line="400" w:lineRule="exact"/>
        <w:ind w:firstLine="540" w:firstLineChars="225"/>
        <w:rPr>
          <w:rFonts w:ascii="仿宋" w:hAnsi="仿宋" w:eastAsia="仿宋" w:cs="仿宋"/>
        </w:rPr>
      </w:pPr>
      <w:r>
        <w:rPr>
          <w:rFonts w:hint="eastAsia" w:ascii="仿宋" w:hAnsi="仿宋" w:eastAsia="仿宋" w:cs="仿宋"/>
          <w:lang w:val="en-US" w:eastAsia="zh-CN"/>
        </w:rPr>
        <w:t>6</w:t>
      </w:r>
      <w:r>
        <w:rPr>
          <w:rFonts w:hint="eastAsia" w:ascii="仿宋" w:hAnsi="仿宋" w:eastAsia="仿宋" w:cs="仿宋"/>
        </w:rPr>
        <w:t>.2本次招标采用综合评估法。</w:t>
      </w:r>
    </w:p>
    <w:p w14:paraId="27DE768C">
      <w:pPr>
        <w:pStyle w:val="2"/>
        <w:tabs>
          <w:tab w:val="clear" w:pos="567"/>
        </w:tabs>
        <w:spacing w:before="0" w:line="400" w:lineRule="exact"/>
        <w:ind w:firstLine="540" w:firstLineChars="225"/>
        <w:rPr>
          <w:rFonts w:ascii="仿宋" w:hAnsi="仿宋" w:eastAsia="仿宋" w:cs="仿宋"/>
        </w:rPr>
      </w:pPr>
      <w:r>
        <w:rPr>
          <w:rFonts w:hint="eastAsia" w:ascii="仿宋" w:hAnsi="仿宋" w:eastAsia="仿宋" w:cs="仿宋"/>
          <w:lang w:val="en-US" w:eastAsia="zh-CN"/>
        </w:rPr>
        <w:t>6</w:t>
      </w:r>
      <w:r>
        <w:rPr>
          <w:rFonts w:hint="eastAsia" w:ascii="仿宋" w:hAnsi="仿宋" w:eastAsia="仿宋" w:cs="仿宋"/>
        </w:rPr>
        <w:t>.3本评标办法的解释权在采购人。</w:t>
      </w:r>
    </w:p>
    <w:p w14:paraId="332DD0EC">
      <w:pPr>
        <w:pStyle w:val="2"/>
        <w:tabs>
          <w:tab w:val="clear" w:pos="567"/>
        </w:tabs>
        <w:spacing w:before="0" w:line="400" w:lineRule="exact"/>
        <w:ind w:firstLine="540" w:firstLineChars="225"/>
        <w:rPr>
          <w:rFonts w:ascii="仿宋" w:hAnsi="仿宋" w:eastAsia="仿宋" w:cs="仿宋"/>
        </w:rPr>
      </w:pPr>
      <w:r>
        <w:rPr>
          <w:rFonts w:hint="eastAsia" w:ascii="仿宋" w:hAnsi="仿宋" w:eastAsia="仿宋" w:cs="仿宋"/>
          <w:lang w:val="en-US" w:eastAsia="zh-CN"/>
        </w:rPr>
        <w:t>6</w:t>
      </w:r>
      <w:r>
        <w:rPr>
          <w:rFonts w:hint="eastAsia" w:ascii="仿宋" w:hAnsi="仿宋" w:eastAsia="仿宋" w:cs="仿宋"/>
        </w:rPr>
        <w:t>.4 评标小组对各投标人的响应文件进行资格审查，响应文件满足招标文件资格要求的投标人，方视为合格的投标人。响应文件资格审查的的主要条件：</w:t>
      </w:r>
    </w:p>
    <w:p w14:paraId="19558406">
      <w:pPr>
        <w:pStyle w:val="2"/>
        <w:tabs>
          <w:tab w:val="clear" w:pos="567"/>
        </w:tabs>
        <w:spacing w:before="0" w:line="400" w:lineRule="exact"/>
        <w:ind w:firstLine="540" w:firstLineChars="225"/>
        <w:rPr>
          <w:rFonts w:ascii="仿宋" w:hAnsi="仿宋" w:eastAsia="仿宋" w:cs="仿宋"/>
        </w:rPr>
      </w:pPr>
      <w:r>
        <w:rPr>
          <w:rFonts w:hint="eastAsia" w:ascii="仿宋" w:hAnsi="仿宋" w:eastAsia="仿宋" w:cs="仿宋"/>
        </w:rPr>
        <w:t>（1）响应文件按招标文件要求签字或盖章；</w:t>
      </w:r>
    </w:p>
    <w:p w14:paraId="096A0E1A">
      <w:pPr>
        <w:pStyle w:val="2"/>
        <w:tabs>
          <w:tab w:val="clear" w:pos="567"/>
        </w:tabs>
        <w:spacing w:before="0" w:line="400" w:lineRule="exact"/>
        <w:ind w:firstLine="540" w:firstLineChars="225"/>
        <w:rPr>
          <w:rFonts w:ascii="仿宋" w:hAnsi="仿宋" w:eastAsia="仿宋" w:cs="仿宋"/>
        </w:rPr>
      </w:pPr>
      <w:r>
        <w:rPr>
          <w:rFonts w:hint="eastAsia" w:ascii="仿宋" w:hAnsi="仿宋" w:eastAsia="仿宋" w:cs="仿宋"/>
        </w:rPr>
        <w:t>（2）内容齐全、关键内容字迹清晰可辨；</w:t>
      </w:r>
    </w:p>
    <w:p w14:paraId="00D8F018">
      <w:pPr>
        <w:pStyle w:val="2"/>
        <w:tabs>
          <w:tab w:val="clear" w:pos="567"/>
        </w:tabs>
        <w:spacing w:before="0" w:line="400" w:lineRule="exact"/>
        <w:ind w:firstLine="540" w:firstLineChars="225"/>
        <w:rPr>
          <w:rFonts w:ascii="仿宋" w:hAnsi="仿宋" w:eastAsia="仿宋" w:cs="仿宋"/>
        </w:rPr>
      </w:pPr>
      <w:r>
        <w:rPr>
          <w:rFonts w:hint="eastAsia" w:ascii="仿宋" w:hAnsi="仿宋" w:eastAsia="仿宋" w:cs="仿宋"/>
        </w:rPr>
        <w:t>（3）符合第四章“响应文件格式”要求；</w:t>
      </w:r>
    </w:p>
    <w:p w14:paraId="5103786B">
      <w:pPr>
        <w:pStyle w:val="2"/>
        <w:tabs>
          <w:tab w:val="clear" w:pos="567"/>
        </w:tabs>
        <w:spacing w:before="0" w:line="400" w:lineRule="exact"/>
        <w:ind w:firstLine="540" w:firstLineChars="225"/>
        <w:rPr>
          <w:rFonts w:ascii="仿宋" w:hAnsi="仿宋" w:eastAsia="仿宋" w:cs="仿宋"/>
        </w:rPr>
      </w:pPr>
      <w:r>
        <w:rPr>
          <w:rFonts w:hint="eastAsia" w:ascii="仿宋" w:hAnsi="仿宋" w:eastAsia="仿宋" w:cs="仿宋"/>
        </w:rPr>
        <w:t>（4）投标人名称与报名时一致；</w:t>
      </w:r>
    </w:p>
    <w:p w14:paraId="3836B8B4">
      <w:pPr>
        <w:pStyle w:val="2"/>
        <w:tabs>
          <w:tab w:val="clear" w:pos="567"/>
        </w:tabs>
        <w:spacing w:before="0" w:line="400" w:lineRule="exact"/>
        <w:ind w:firstLine="540" w:firstLineChars="225"/>
        <w:rPr>
          <w:rFonts w:ascii="仿宋" w:hAnsi="仿宋" w:eastAsia="仿宋" w:cs="仿宋"/>
        </w:rPr>
      </w:pPr>
      <w:r>
        <w:rPr>
          <w:rFonts w:hint="eastAsia" w:ascii="仿宋" w:hAnsi="仿宋" w:eastAsia="仿宋" w:cs="仿宋"/>
        </w:rPr>
        <w:t>（5）没有递交两份或多份内容不同的响应文件；</w:t>
      </w:r>
    </w:p>
    <w:p w14:paraId="2A00AB99">
      <w:pPr>
        <w:pStyle w:val="2"/>
        <w:tabs>
          <w:tab w:val="clear" w:pos="567"/>
        </w:tabs>
        <w:spacing w:before="0" w:line="400" w:lineRule="exact"/>
        <w:ind w:firstLine="540" w:firstLineChars="225"/>
        <w:rPr>
          <w:rFonts w:ascii="仿宋" w:hAnsi="仿宋" w:eastAsia="仿宋" w:cs="仿宋"/>
        </w:rPr>
      </w:pPr>
      <w:r>
        <w:rPr>
          <w:rFonts w:hint="eastAsia" w:ascii="仿宋" w:hAnsi="仿宋" w:eastAsia="仿宋" w:cs="仿宋"/>
        </w:rPr>
        <w:t>（6）投标人符合招标文件规定的资格条件；</w:t>
      </w:r>
    </w:p>
    <w:p w14:paraId="5E94B9B5">
      <w:pPr>
        <w:pStyle w:val="2"/>
        <w:tabs>
          <w:tab w:val="clear" w:pos="567"/>
        </w:tabs>
        <w:spacing w:before="0" w:line="400" w:lineRule="exact"/>
        <w:ind w:firstLine="540" w:firstLineChars="225"/>
        <w:rPr>
          <w:rFonts w:ascii="仿宋" w:hAnsi="仿宋" w:eastAsia="仿宋" w:cs="仿宋"/>
        </w:rPr>
      </w:pPr>
      <w:r>
        <w:rPr>
          <w:rFonts w:hint="eastAsia" w:ascii="仿宋" w:hAnsi="仿宋" w:eastAsia="仿宋" w:cs="仿宋"/>
        </w:rPr>
        <w:t>（7）响应文件未通过审查的，评标小组可以宣布其响应无效。</w:t>
      </w:r>
    </w:p>
    <w:p w14:paraId="350F1F11">
      <w:pPr>
        <w:pStyle w:val="2"/>
        <w:tabs>
          <w:tab w:val="clear" w:pos="567"/>
        </w:tabs>
        <w:spacing w:before="0" w:line="400" w:lineRule="exact"/>
        <w:ind w:firstLine="540" w:firstLineChars="225"/>
        <w:rPr>
          <w:rFonts w:ascii="仿宋" w:hAnsi="仿宋" w:eastAsia="仿宋" w:cs="仿宋"/>
        </w:rPr>
      </w:pPr>
      <w:r>
        <w:rPr>
          <w:rFonts w:hint="eastAsia" w:ascii="仿宋" w:hAnsi="仿宋" w:eastAsia="仿宋" w:cs="仿宋"/>
          <w:lang w:val="en-US" w:eastAsia="zh-CN"/>
        </w:rPr>
        <w:t>6</w:t>
      </w:r>
      <w:r>
        <w:rPr>
          <w:rFonts w:hint="eastAsia" w:ascii="仿宋" w:hAnsi="仿宋" w:eastAsia="仿宋" w:cs="仿宋"/>
        </w:rPr>
        <w:t>.5评标小组按照《商务、技术经济评审表》的要求，各位评标小组成员单独就每个合格投标人的响应方案（包括合同、协议条款响应性）进行评审和比较，评出其技术评分、商务评分。步骤如下：</w:t>
      </w:r>
    </w:p>
    <w:p w14:paraId="18382908">
      <w:pPr>
        <w:pStyle w:val="2"/>
        <w:tabs>
          <w:tab w:val="clear" w:pos="567"/>
        </w:tabs>
        <w:spacing w:before="0" w:line="400" w:lineRule="exact"/>
        <w:ind w:firstLine="540" w:firstLineChars="225"/>
        <w:rPr>
          <w:rFonts w:ascii="仿宋" w:hAnsi="仿宋" w:eastAsia="仿宋" w:cs="仿宋"/>
        </w:rPr>
      </w:pPr>
      <w:r>
        <w:rPr>
          <w:rFonts w:hint="eastAsia" w:ascii="仿宋" w:hAnsi="仿宋" w:eastAsia="仿宋" w:cs="仿宋"/>
        </w:rPr>
        <w:t>（1）各评标小组成员对每一个方案分别评审，对每一评审项目，按评审标准在“评分”栏中填写分数，</w:t>
      </w:r>
    </w:p>
    <w:p w14:paraId="73339071">
      <w:pPr>
        <w:pStyle w:val="2"/>
        <w:tabs>
          <w:tab w:val="clear" w:pos="567"/>
        </w:tabs>
        <w:spacing w:before="0" w:line="400" w:lineRule="exact"/>
        <w:ind w:firstLine="540" w:firstLineChars="225"/>
        <w:rPr>
          <w:rFonts w:ascii="仿宋" w:hAnsi="仿宋" w:eastAsia="仿宋" w:cs="仿宋"/>
        </w:rPr>
      </w:pPr>
      <w:r>
        <w:rPr>
          <w:rFonts w:hint="eastAsia" w:ascii="仿宋" w:hAnsi="仿宋" w:eastAsia="仿宋" w:cs="仿宋"/>
        </w:rPr>
        <w:t>（2）最后小计得到方案评审分。</w:t>
      </w:r>
    </w:p>
    <w:p w14:paraId="52272297">
      <w:pPr>
        <w:pStyle w:val="2"/>
        <w:tabs>
          <w:tab w:val="clear" w:pos="567"/>
        </w:tabs>
        <w:spacing w:before="0" w:line="400" w:lineRule="exact"/>
        <w:ind w:firstLine="540" w:firstLineChars="225"/>
        <w:rPr>
          <w:rFonts w:ascii="仿宋" w:hAnsi="仿宋" w:eastAsia="仿宋" w:cs="仿宋"/>
        </w:rPr>
      </w:pPr>
      <w:r>
        <w:rPr>
          <w:rFonts w:hint="eastAsia" w:ascii="仿宋" w:hAnsi="仿宋" w:eastAsia="仿宋" w:cs="仿宋"/>
          <w:lang w:val="en-US" w:eastAsia="zh-CN"/>
        </w:rPr>
        <w:t>6</w:t>
      </w:r>
      <w:r>
        <w:rPr>
          <w:rFonts w:hint="eastAsia" w:ascii="仿宋" w:hAnsi="仿宋" w:eastAsia="仿宋" w:cs="仿宋"/>
        </w:rPr>
        <w:t>.6 价格分统一采用低价优先法计算，即满足招标文件要求且最后报价最低的投标人的价格为评标基准价，其价格分为满分。</w:t>
      </w:r>
    </w:p>
    <w:p w14:paraId="13310AF1">
      <w:pPr>
        <w:pStyle w:val="2"/>
        <w:tabs>
          <w:tab w:val="clear" w:pos="567"/>
        </w:tabs>
        <w:spacing w:before="0" w:line="400" w:lineRule="exact"/>
        <w:ind w:firstLine="540" w:firstLineChars="225"/>
        <w:rPr>
          <w:rFonts w:ascii="仿宋" w:hAnsi="仿宋" w:eastAsia="仿宋" w:cs="仿宋"/>
        </w:rPr>
      </w:pPr>
      <w:r>
        <w:rPr>
          <w:rFonts w:hint="eastAsia" w:ascii="仿宋" w:hAnsi="仿宋" w:eastAsia="仿宋" w:cs="仿宋"/>
        </w:rPr>
        <w:t>投标人的价格分统一按照下列公式计算：</w:t>
      </w:r>
    </w:p>
    <w:p w14:paraId="7284CD68">
      <w:pPr>
        <w:pStyle w:val="2"/>
        <w:tabs>
          <w:tab w:val="clear" w:pos="567"/>
        </w:tabs>
        <w:spacing w:before="0" w:line="400" w:lineRule="exact"/>
        <w:ind w:firstLine="540" w:firstLineChars="225"/>
        <w:rPr>
          <w:rFonts w:ascii="仿宋" w:hAnsi="仿宋" w:eastAsia="仿宋" w:cs="仿宋"/>
        </w:rPr>
      </w:pPr>
      <w:r>
        <w:rPr>
          <w:rFonts w:hint="eastAsia" w:ascii="仿宋" w:hAnsi="仿宋" w:eastAsia="仿宋" w:cs="仿宋"/>
        </w:rPr>
        <w:t>投标报价得分=（评标基准价/最后投标报价）X价格权值X100</w:t>
      </w:r>
    </w:p>
    <w:p w14:paraId="1CF08022">
      <w:pPr>
        <w:pStyle w:val="2"/>
        <w:tabs>
          <w:tab w:val="clear" w:pos="567"/>
        </w:tabs>
        <w:spacing w:before="0" w:line="400" w:lineRule="exact"/>
        <w:ind w:firstLine="540" w:firstLineChars="225"/>
        <w:rPr>
          <w:rFonts w:ascii="仿宋" w:hAnsi="仿宋" w:eastAsia="仿宋" w:cs="仿宋"/>
        </w:rPr>
      </w:pPr>
      <w:r>
        <w:rPr>
          <w:rFonts w:hint="eastAsia" w:ascii="仿宋" w:hAnsi="仿宋" w:eastAsia="仿宋" w:cs="仿宋"/>
        </w:rPr>
        <w:t>供应商的价格分统一按照下列公式计算：</w:t>
      </w:r>
    </w:p>
    <w:p w14:paraId="2997F4D6">
      <w:pPr>
        <w:pStyle w:val="2"/>
        <w:tabs>
          <w:tab w:val="clear" w:pos="567"/>
        </w:tabs>
        <w:spacing w:before="0" w:line="400" w:lineRule="exact"/>
        <w:ind w:firstLine="540" w:firstLineChars="225"/>
        <w:rPr>
          <w:rFonts w:ascii="仿宋" w:hAnsi="仿宋" w:eastAsia="仿宋" w:cs="仿宋"/>
        </w:rPr>
      </w:pPr>
      <w:r>
        <w:rPr>
          <w:rFonts w:hint="eastAsia" w:ascii="仿宋" w:hAnsi="仿宋" w:eastAsia="仿宋" w:cs="仿宋"/>
        </w:rPr>
        <w:t>项目评审过程中，不得去掉最后报价中的最高报价和最低报价。</w:t>
      </w:r>
    </w:p>
    <w:p w14:paraId="43DDAEFC">
      <w:pPr>
        <w:pStyle w:val="2"/>
        <w:tabs>
          <w:tab w:val="clear" w:pos="567"/>
        </w:tabs>
        <w:spacing w:before="0" w:line="400" w:lineRule="exact"/>
        <w:ind w:firstLine="540" w:firstLineChars="225"/>
        <w:rPr>
          <w:rFonts w:ascii="仿宋" w:hAnsi="仿宋" w:eastAsia="仿宋" w:cs="仿宋"/>
        </w:rPr>
      </w:pPr>
      <w:r>
        <w:rPr>
          <w:rFonts w:hint="eastAsia" w:ascii="仿宋" w:hAnsi="仿宋" w:eastAsia="仿宋" w:cs="仿宋"/>
        </w:rPr>
        <w:t>价格评审得分保留小数点后两位，第三位四舍五入。综合得分最高者优先推荐。</w:t>
      </w:r>
    </w:p>
    <w:p w14:paraId="4879DA91">
      <w:pPr>
        <w:pStyle w:val="2"/>
        <w:tabs>
          <w:tab w:val="clear" w:pos="567"/>
        </w:tabs>
        <w:spacing w:before="0" w:line="400" w:lineRule="exact"/>
        <w:ind w:firstLine="540" w:firstLineChars="225"/>
        <w:rPr>
          <w:rFonts w:ascii="仿宋" w:hAnsi="仿宋" w:eastAsia="仿宋" w:cs="仿宋"/>
        </w:rPr>
      </w:pPr>
      <w:r>
        <w:rPr>
          <w:rFonts w:hint="eastAsia" w:ascii="仿宋" w:hAnsi="仿宋" w:eastAsia="仿宋" w:cs="仿宋"/>
          <w:lang w:val="en-US" w:eastAsia="zh-CN"/>
        </w:rPr>
        <w:t>6</w:t>
      </w:r>
      <w:r>
        <w:rPr>
          <w:rFonts w:hint="eastAsia" w:ascii="仿宋" w:hAnsi="仿宋" w:eastAsia="仿宋" w:cs="仿宋"/>
        </w:rPr>
        <w:t>.7对各评标小组成员响应方案评分的算术平均值即为该投标人的技术得分和商务得分，再分别计算各投标人的报价得分后，即可得出投标人最终综合得分。</w:t>
      </w:r>
    </w:p>
    <w:p w14:paraId="535833A8">
      <w:pPr>
        <w:widowControl/>
        <w:spacing w:line="400" w:lineRule="exact"/>
        <w:rPr>
          <w:rFonts w:ascii="仿宋" w:hAnsi="仿宋" w:eastAsia="仿宋" w:cs="仿宋"/>
          <w:b/>
          <w:bCs/>
          <w:sz w:val="24"/>
        </w:rPr>
      </w:pPr>
      <w:r>
        <w:rPr>
          <w:rFonts w:hint="eastAsia" w:ascii="仿宋" w:hAnsi="仿宋" w:eastAsia="仿宋" w:cs="仿宋"/>
          <w:b/>
          <w:bCs/>
          <w:sz w:val="24"/>
        </w:rPr>
        <w:t>注：1.磋商无效的情形：</w:t>
      </w:r>
    </w:p>
    <w:p w14:paraId="2C2EEB45">
      <w:pPr>
        <w:widowControl/>
        <w:spacing w:line="400" w:lineRule="exact"/>
        <w:rPr>
          <w:rFonts w:ascii="仿宋" w:hAnsi="仿宋" w:eastAsia="仿宋" w:cs="仿宋"/>
          <w:sz w:val="24"/>
        </w:rPr>
      </w:pPr>
      <w:r>
        <w:rPr>
          <w:rFonts w:hint="eastAsia" w:ascii="仿宋" w:hAnsi="仿宋" w:eastAsia="仿宋" w:cs="仿宋"/>
          <w:sz w:val="24"/>
        </w:rPr>
        <w:t>（1）单位负责人为同一人或者存在直接控股、管理关系的不同供应商，其相关磋商将被认定为磋商无效。</w:t>
      </w:r>
    </w:p>
    <w:p w14:paraId="6A4DC03D">
      <w:pPr>
        <w:widowControl/>
        <w:spacing w:line="400" w:lineRule="exact"/>
        <w:rPr>
          <w:rFonts w:ascii="仿宋" w:hAnsi="仿宋" w:eastAsia="仿宋" w:cs="仿宋"/>
          <w:sz w:val="24"/>
        </w:rPr>
      </w:pPr>
      <w:r>
        <w:rPr>
          <w:rFonts w:hint="eastAsia" w:ascii="仿宋" w:hAnsi="仿宋" w:eastAsia="仿宋" w:cs="仿宋"/>
          <w:sz w:val="24"/>
        </w:rPr>
        <w:t>（2）若供应商须知资料表中未写明允许采购进口产品，如供应商所投产品为进口产品，其磋商将被认定为磋商无效。</w:t>
      </w:r>
    </w:p>
    <w:p w14:paraId="53F0C988">
      <w:pPr>
        <w:widowControl/>
        <w:spacing w:line="400" w:lineRule="exact"/>
        <w:rPr>
          <w:rFonts w:ascii="仿宋" w:hAnsi="仿宋" w:eastAsia="仿宋" w:cs="仿宋"/>
          <w:sz w:val="24"/>
        </w:rPr>
      </w:pPr>
      <w:r>
        <w:rPr>
          <w:rFonts w:hint="eastAsia" w:ascii="仿宋" w:hAnsi="仿宋" w:eastAsia="仿宋" w:cs="仿宋"/>
          <w:sz w:val="24"/>
        </w:rPr>
        <w:t xml:space="preserve"> （3）为本项目提供过整体设计、规范编制或者项目管理、监理、检测等服务的供应商，不得再参加本项目上述服务以外的其他采购活动。否则其磋商将被认定为磋商无效。</w:t>
      </w:r>
    </w:p>
    <w:p w14:paraId="3ADEAE41">
      <w:pPr>
        <w:widowControl/>
        <w:spacing w:line="400" w:lineRule="exact"/>
        <w:rPr>
          <w:rFonts w:ascii="仿宋" w:hAnsi="仿宋" w:eastAsia="仿宋" w:cs="仿宋"/>
          <w:sz w:val="24"/>
        </w:rPr>
      </w:pPr>
      <w:r>
        <w:rPr>
          <w:rFonts w:hint="eastAsia" w:ascii="仿宋" w:hAnsi="仿宋" w:eastAsia="仿宋" w:cs="仿宋"/>
          <w:sz w:val="24"/>
        </w:rPr>
        <w:t>供应商在磋商过程中不得向采购人提供、给予任何有价值的物品，影响其正常决策行为。一经发现，其将被认定为磋商无效。</w:t>
      </w:r>
    </w:p>
    <w:p w14:paraId="1429D047">
      <w:pPr>
        <w:widowControl/>
        <w:spacing w:line="400" w:lineRule="exact"/>
        <w:rPr>
          <w:rFonts w:ascii="仿宋" w:hAnsi="仿宋" w:eastAsia="仿宋" w:cs="仿宋"/>
          <w:sz w:val="24"/>
        </w:rPr>
      </w:pPr>
      <w:r>
        <w:rPr>
          <w:rFonts w:hint="eastAsia" w:ascii="仿宋" w:hAnsi="仿宋" w:eastAsia="仿宋" w:cs="仿宋"/>
          <w:sz w:val="24"/>
        </w:rPr>
        <w:t>（4）供应商报价超过磋商文件规定的预算金额或者分项、分包最高限价的，其磋商将被认定为磋商无效。</w:t>
      </w:r>
    </w:p>
    <w:p w14:paraId="2EA96AA1">
      <w:pPr>
        <w:widowControl/>
        <w:spacing w:line="400" w:lineRule="exact"/>
        <w:rPr>
          <w:rFonts w:ascii="仿宋" w:hAnsi="仿宋" w:eastAsia="仿宋" w:cs="仿宋"/>
          <w:sz w:val="24"/>
        </w:rPr>
      </w:pPr>
      <w:r>
        <w:rPr>
          <w:rFonts w:hint="eastAsia" w:ascii="仿宋" w:hAnsi="仿宋" w:eastAsia="仿宋" w:cs="仿宋"/>
          <w:sz w:val="24"/>
        </w:rPr>
        <w:t>（5）供应商应认真阅读磋商文件所有的事项、格式、条款和技术规范等。如供应商没有按照磋商文件要求提交全部资料，或者响应文件没有对磋商文件在各方面都做出实质性响应，可能导致其磋商将被认定为磋商无效。</w:t>
      </w:r>
    </w:p>
    <w:p w14:paraId="16EF20BF">
      <w:pPr>
        <w:widowControl/>
        <w:spacing w:line="400" w:lineRule="exact"/>
        <w:rPr>
          <w:rFonts w:ascii="仿宋" w:hAnsi="仿宋" w:eastAsia="仿宋" w:cs="仿宋"/>
          <w:sz w:val="24"/>
        </w:rPr>
      </w:pPr>
      <w:r>
        <w:rPr>
          <w:rFonts w:hint="eastAsia" w:ascii="仿宋" w:hAnsi="仿宋" w:eastAsia="仿宋" w:cs="仿宋"/>
          <w:sz w:val="24"/>
        </w:rPr>
        <w:t xml:space="preserve"> （6）供应商应当对所投分包磋商文件中“服务需求”所列的所有内容进行磋商，如仅响应某一包中的部分内容，其该包磋商将被认定为磋商无效。</w:t>
      </w:r>
    </w:p>
    <w:p w14:paraId="691A3C15">
      <w:pPr>
        <w:widowControl/>
        <w:spacing w:line="400" w:lineRule="exact"/>
        <w:rPr>
          <w:rFonts w:ascii="仿宋" w:hAnsi="仿宋" w:eastAsia="仿宋" w:cs="仿宋"/>
          <w:sz w:val="24"/>
        </w:rPr>
      </w:pPr>
      <w:r>
        <w:rPr>
          <w:rFonts w:hint="eastAsia" w:ascii="仿宋" w:hAnsi="仿宋" w:eastAsia="仿宋" w:cs="仿宋"/>
          <w:sz w:val="24"/>
        </w:rPr>
        <w:t>（7）供应商未按本须知第12.1和12.3条规定提交磋商保证金的，其磋商资格将被认定为无效。</w:t>
      </w:r>
    </w:p>
    <w:p w14:paraId="5978F661">
      <w:pPr>
        <w:widowControl/>
        <w:spacing w:line="400" w:lineRule="exact"/>
        <w:rPr>
          <w:rFonts w:ascii="仿宋" w:hAnsi="仿宋" w:eastAsia="仿宋" w:cs="仿宋"/>
          <w:sz w:val="24"/>
        </w:rPr>
      </w:pPr>
      <w:r>
        <w:rPr>
          <w:rFonts w:hint="eastAsia" w:ascii="仿宋" w:hAnsi="仿宋" w:eastAsia="仿宋" w:cs="仿宋"/>
          <w:sz w:val="24"/>
        </w:rPr>
        <w:t>（8）所有磋商均以人民币报价。供应商的磋商报价应遵守《中华人民共和国价格法》。同时，根据《中华人民共和国政府采购法》第二条的规定，为保证公平竞争，如有服务主体部分的赠与行为，其磋商将被认定为磋商无效。</w:t>
      </w:r>
    </w:p>
    <w:p w14:paraId="2F7CFD8B">
      <w:pPr>
        <w:widowControl/>
        <w:spacing w:line="400" w:lineRule="exact"/>
        <w:rPr>
          <w:rFonts w:ascii="仿宋" w:hAnsi="仿宋" w:eastAsia="仿宋" w:cs="仿宋"/>
          <w:sz w:val="24"/>
        </w:rPr>
      </w:pPr>
      <w:r>
        <w:rPr>
          <w:rFonts w:hint="eastAsia" w:ascii="仿宋" w:hAnsi="仿宋" w:eastAsia="仿宋" w:cs="仿宋"/>
          <w:sz w:val="24"/>
        </w:rPr>
        <w:t>（9）供应商所报的各分项磋商单价在合同履行过程中是固定不变的，不得以任何理由予以变更。任何包含价格调整要求的磋商，其磋商将被认定为磋商无效。</w:t>
      </w:r>
    </w:p>
    <w:p w14:paraId="5BCB8388">
      <w:pPr>
        <w:widowControl/>
        <w:spacing w:line="400" w:lineRule="exact"/>
        <w:rPr>
          <w:rFonts w:ascii="仿宋" w:hAnsi="仿宋" w:eastAsia="仿宋" w:cs="仿宋"/>
          <w:sz w:val="24"/>
        </w:rPr>
      </w:pPr>
      <w:r>
        <w:rPr>
          <w:rFonts w:hint="eastAsia" w:ascii="仿宋" w:hAnsi="仿宋" w:eastAsia="仿宋" w:cs="仿宋"/>
          <w:sz w:val="24"/>
        </w:rPr>
        <w:t>（10）磋商应在供应商须知资料表中规定时间内保持有效。磋商有效期不满足要求的磋商，其磋商将被认定为磋商无效。</w:t>
      </w:r>
    </w:p>
    <w:p w14:paraId="303652AF">
      <w:pPr>
        <w:widowControl/>
        <w:spacing w:line="400" w:lineRule="exact"/>
        <w:rPr>
          <w:rFonts w:ascii="仿宋" w:hAnsi="仿宋" w:eastAsia="仿宋" w:cs="仿宋"/>
          <w:sz w:val="24"/>
        </w:rPr>
      </w:pPr>
      <w:r>
        <w:rPr>
          <w:rFonts w:hint="eastAsia" w:ascii="仿宋" w:hAnsi="仿宋" w:eastAsia="仿宋" w:cs="仿宋"/>
          <w:sz w:val="24"/>
        </w:rPr>
        <w:t>（11）所有响应文件采用不可拆装的胶订方式装订，否则其磋商将被认定为磋商无效。</w:t>
      </w:r>
    </w:p>
    <w:p w14:paraId="0BCF89FA">
      <w:pPr>
        <w:widowControl/>
        <w:spacing w:line="400" w:lineRule="exact"/>
        <w:rPr>
          <w:rFonts w:ascii="仿宋" w:hAnsi="仿宋" w:eastAsia="仿宋" w:cs="仿宋"/>
          <w:sz w:val="24"/>
        </w:rPr>
      </w:pPr>
      <w:r>
        <w:rPr>
          <w:rFonts w:hint="eastAsia" w:ascii="仿宋" w:hAnsi="仿宋" w:eastAsia="仿宋" w:cs="仿宋"/>
          <w:sz w:val="24"/>
        </w:rPr>
        <w:t>（12）采购人或采购代理机构将在开标前1个工作日至磋商截止后1小时的期间内查询供应商的信用记录。供应商存在不良信用记录的，其磋商将被认定为磋商无效。</w:t>
      </w:r>
    </w:p>
    <w:p w14:paraId="658358C5">
      <w:pPr>
        <w:widowControl/>
        <w:spacing w:line="400" w:lineRule="exact"/>
        <w:rPr>
          <w:rFonts w:ascii="仿宋" w:hAnsi="仿宋" w:eastAsia="仿宋" w:cs="仿宋"/>
          <w:sz w:val="24"/>
        </w:rPr>
      </w:pPr>
      <w:r>
        <w:rPr>
          <w:rFonts w:hint="eastAsia" w:ascii="仿宋" w:hAnsi="仿宋" w:eastAsia="仿宋" w:cs="仿宋"/>
          <w:sz w:val="24"/>
        </w:rPr>
        <w:t>（13）总价金额与按单价汇总金额不一致的，以单价金额计算结果为准。同时出现两种以上不一致的，按照前款规定的顺序修正。修正后的报价按照第20.2条的规定经供应商确认后产生约束力，供应商不确认的，其磋商将被认定为磋商无效。</w:t>
      </w:r>
    </w:p>
    <w:p w14:paraId="1050C766">
      <w:pPr>
        <w:widowControl/>
        <w:spacing w:line="400" w:lineRule="exact"/>
        <w:rPr>
          <w:rFonts w:ascii="仿宋" w:hAnsi="仿宋" w:eastAsia="仿宋" w:cs="仿宋"/>
          <w:sz w:val="24"/>
        </w:rPr>
      </w:pPr>
      <w:r>
        <w:rPr>
          <w:rFonts w:hint="eastAsia" w:ascii="仿宋" w:hAnsi="仿宋" w:eastAsia="仿宋" w:cs="仿宋"/>
          <w:sz w:val="24"/>
        </w:rPr>
        <w:t>（14）在比较与评价之前，根据本须知的规定，磋商小组要审查每份响应文件是否实质上响应了磋商文件的要求。实质上响应的磋商应该是与磋商文件要求的全部条款、条件和规格相符，没有重大偏离的磋商。对关键条款的偏离，将被认定为磋商无效。</w:t>
      </w:r>
    </w:p>
    <w:p w14:paraId="59207BBF">
      <w:pPr>
        <w:widowControl/>
        <w:spacing w:line="400" w:lineRule="exact"/>
        <w:rPr>
          <w:rFonts w:ascii="仿宋" w:hAnsi="仿宋" w:eastAsia="仿宋" w:cs="仿宋"/>
          <w:sz w:val="24"/>
        </w:rPr>
      </w:pPr>
      <w:r>
        <w:rPr>
          <w:rFonts w:hint="eastAsia" w:ascii="仿宋" w:hAnsi="仿宋" w:eastAsia="仿宋" w:cs="仿宋"/>
          <w:sz w:val="24"/>
        </w:rPr>
        <w:t>（15）如发现下列情况之一的，其磋商将被认定为磋商无效：</w:t>
      </w:r>
    </w:p>
    <w:p w14:paraId="35B6803C">
      <w:pPr>
        <w:widowControl/>
        <w:spacing w:line="400" w:lineRule="exact"/>
        <w:rPr>
          <w:rFonts w:ascii="仿宋" w:hAnsi="仿宋" w:eastAsia="仿宋" w:cs="仿宋"/>
          <w:sz w:val="24"/>
        </w:rPr>
      </w:pPr>
      <w:r>
        <w:rPr>
          <w:rFonts w:hint="eastAsia" w:ascii="仿宋" w:hAnsi="仿宋" w:eastAsia="仿宋" w:cs="仿宋"/>
          <w:sz w:val="24"/>
        </w:rPr>
        <w:t>未按磋商文件规定的形式和金额提交磋商保证金的；未按照磋商文件规定要求签署、盖章的；未满足磋商文件中技术条款的实质性要求；与其他供应商串通磋商，或者与招标人串通磋商；属于磋商文件规定的其他磋商无效情形；磋商小组认为供应商的报价明显低于其他通过符合性检查供应商的报价，有可能影响履约的，且供应商未按照规定证明其报价合理性的；响应文件含有采购人不能接受的附加条件的；不符合法规和磋商文件中规定的其他实质性要求的。</w:t>
      </w:r>
    </w:p>
    <w:p w14:paraId="512D5764">
      <w:pPr>
        <w:widowControl/>
        <w:spacing w:line="360" w:lineRule="auto"/>
        <w:rPr>
          <w:rFonts w:ascii="仿宋" w:hAnsi="仿宋" w:eastAsia="仿宋" w:cs="仿宋"/>
          <w:sz w:val="24"/>
        </w:rPr>
      </w:pPr>
      <w:r>
        <w:rPr>
          <w:rFonts w:hint="eastAsia" w:ascii="仿宋" w:hAnsi="仿宋" w:eastAsia="仿宋" w:cs="仿宋"/>
          <w:b/>
          <w:bCs/>
          <w:sz w:val="24"/>
        </w:rPr>
        <w:t>注</w:t>
      </w:r>
      <w:r>
        <w:rPr>
          <w:rFonts w:hint="eastAsia" w:ascii="仿宋" w:hAnsi="仿宋" w:eastAsia="仿宋" w:cs="仿宋"/>
          <w:sz w:val="24"/>
        </w:rPr>
        <w:t>：</w:t>
      </w:r>
    </w:p>
    <w:p w14:paraId="0ACD2263">
      <w:pPr>
        <w:widowControl/>
        <w:spacing w:line="360" w:lineRule="auto"/>
        <w:rPr>
          <w:rFonts w:hint="eastAsia" w:ascii="仿宋" w:hAnsi="仿宋" w:eastAsia="仿宋" w:cs="仿宋"/>
          <w:b/>
          <w:bCs/>
          <w:sz w:val="24"/>
          <w:lang w:val="en-US" w:eastAsia="zh-CN"/>
        </w:rPr>
      </w:pPr>
      <w:r>
        <w:rPr>
          <w:rFonts w:hint="eastAsia" w:ascii="仿宋" w:hAnsi="仿宋" w:eastAsia="仿宋" w:cs="仿宋"/>
          <w:b/>
          <w:bCs/>
          <w:color w:val="auto"/>
          <w:kern w:val="2"/>
          <w:sz w:val="24"/>
          <w:szCs w:val="24"/>
          <w:highlight w:val="none"/>
          <w:lang w:val="en-US" w:eastAsia="zh-CN" w:bidi="ar-SA"/>
        </w:rPr>
        <w:t>（本项目不适用）</w:t>
      </w:r>
      <w:r>
        <w:rPr>
          <w:rFonts w:hint="eastAsia" w:ascii="仿宋" w:hAnsi="仿宋" w:eastAsia="仿宋" w:cs="仿宋"/>
          <w:b/>
          <w:bCs/>
          <w:sz w:val="24"/>
          <w:lang w:val="en-US" w:eastAsia="zh-CN"/>
        </w:rPr>
        <w:t>根据《政府采购促进中小企业发展暂行办法》（财库[2020]46号）、政府采购需求管理办法 财库 [ 2021] 22号、关于进一步加大政府采购支持中小企业力度的通知》（财库[2022]19号）、《财政部 司法部关于政府采购支持监狱企业发展有关问题的通知》（财库〔2014〕68号）和《三部门联合发布关于促进残疾人就业政府采购政策的通知》（财库〔2017〕141号）的规定，对满足价格扣除条件且在投标文件中提交了《投标人企业类型声明函》、《残疾人福利性单位声明函》或省级以上监狱管理局、戒毒管理局（含新疆生产建设兵团）出具的属于监狱企业的证明文件的投标人，其报价扣除</w:t>
      </w:r>
      <w:r>
        <w:rPr>
          <w:rFonts w:hint="eastAsia" w:ascii="仿宋" w:hAnsi="仿宋" w:eastAsia="仿宋" w:cs="仿宋"/>
          <w:b/>
          <w:bCs/>
          <w:sz w:val="24"/>
          <w:u w:val="single"/>
          <w:lang w:val="en-US" w:eastAsia="zh-CN"/>
        </w:rPr>
        <w:t xml:space="preserve">  10  </w:t>
      </w:r>
      <w:r>
        <w:rPr>
          <w:rFonts w:hint="eastAsia" w:ascii="仿宋" w:hAnsi="仿宋" w:eastAsia="仿宋" w:cs="仿宋"/>
          <w:b/>
          <w:bCs/>
          <w:sz w:val="24"/>
          <w:lang w:val="en-US" w:eastAsia="zh-CN"/>
        </w:rPr>
        <w:t xml:space="preserve"> %后参与评审。对于同时属于小微企业、监狱企业或残疾人福利性单位的，不重复进行报价扣除。</w:t>
      </w:r>
    </w:p>
    <w:p w14:paraId="11CCF931">
      <w:pPr>
        <w:widowControl/>
        <w:spacing w:line="360" w:lineRule="auto"/>
        <w:rPr>
          <w:rFonts w:ascii="仿宋" w:hAnsi="仿宋" w:eastAsia="仿宋" w:cs="仿宋"/>
          <w:sz w:val="24"/>
        </w:rPr>
      </w:pPr>
      <w:r>
        <w:rPr>
          <w:rFonts w:hint="eastAsia" w:ascii="仿宋" w:hAnsi="仿宋" w:eastAsia="仿宋" w:cs="仿宋"/>
          <w:sz w:val="24"/>
        </w:rPr>
        <w:t>2.</w:t>
      </w:r>
      <w:r>
        <w:rPr>
          <w:rFonts w:hint="eastAsia" w:ascii="仿宋" w:hAnsi="仿宋" w:eastAsia="仿宋" w:cs="仿宋"/>
          <w:b/>
          <w:bCs/>
          <w:color w:val="auto"/>
          <w:kern w:val="2"/>
          <w:sz w:val="24"/>
          <w:szCs w:val="24"/>
          <w:highlight w:val="none"/>
          <w:lang w:val="en-US" w:eastAsia="zh-CN" w:bidi="ar-SA"/>
        </w:rPr>
        <w:t>（本项目适用）</w:t>
      </w:r>
      <w:r>
        <w:rPr>
          <w:rFonts w:hint="eastAsia" w:ascii="仿宋" w:hAnsi="仿宋" w:eastAsia="仿宋" w:cs="仿宋"/>
          <w:b/>
          <w:bCs/>
          <w:sz w:val="24"/>
        </w:rPr>
        <w:t>（本项目专门面向中小企业预留采购份额）</w:t>
      </w:r>
      <w:r>
        <w:rPr>
          <w:rFonts w:hint="eastAsia" w:ascii="仿宋" w:hAnsi="仿宋" w:eastAsia="仿宋" w:cs="仿宋"/>
          <w:sz w:val="24"/>
        </w:rPr>
        <w:t>接受大中型企业与小微企业组成联合体或者允许大中型企业向一家或者多家小微企业分包的采购项目，对于联合协议或者分包意向协议约定小微企业的合同份额占到合同总金额40%以上的，采购人、采购代理机构应当对联合体或者大中型企业的报价给予4%~6%（工程项目为2%~4%）的扣除，用扣除后的价格参加评审。适用招标投标法的政府采购工程建设项目，采用综合评估法但未采用低价优先法计算价格分的，评标时应当在采用原报价进行评分的基础上增加其价格得分的2%~4%作为其价格分。</w:t>
      </w:r>
    </w:p>
    <w:p w14:paraId="0DF2735C">
      <w:pPr>
        <w:widowControl/>
        <w:spacing w:line="360" w:lineRule="auto"/>
        <w:rPr>
          <w:rFonts w:ascii="仿宋" w:hAnsi="仿宋" w:eastAsia="仿宋" w:cs="仿宋"/>
          <w:sz w:val="24"/>
        </w:rPr>
      </w:pPr>
      <w:r>
        <w:rPr>
          <w:rFonts w:hint="eastAsia" w:ascii="仿宋" w:hAnsi="仿宋" w:eastAsia="仿宋" w:cs="仿宋"/>
          <w:sz w:val="24"/>
        </w:rPr>
        <w:t>3.</w:t>
      </w:r>
      <w:r>
        <w:rPr>
          <w:rFonts w:hint="eastAsia" w:ascii="仿宋" w:hAnsi="仿宋" w:eastAsia="仿宋" w:cs="仿宋"/>
          <w:b/>
          <w:bCs/>
          <w:sz w:val="24"/>
        </w:rPr>
        <w:t>（本项目不接受联合体投标）</w:t>
      </w:r>
      <w:r>
        <w:rPr>
          <w:rFonts w:hint="eastAsia" w:ascii="仿宋" w:hAnsi="仿宋" w:eastAsia="仿宋" w:cs="仿宋"/>
          <w:sz w:val="24"/>
        </w:rPr>
        <w:t>联合协议中约定，小型、微型企业和监狱企业的协议合同金额占到联合体协议合同总金额30%以上的，可给予联合体</w:t>
      </w:r>
      <w:r>
        <w:rPr>
          <w:rFonts w:hint="eastAsia" w:ascii="仿宋" w:hAnsi="仿宋" w:eastAsia="仿宋" w:cs="仿宋"/>
          <w:sz w:val="24"/>
          <w:u w:val="single"/>
        </w:rPr>
        <w:t xml:space="preserve">  /   </w:t>
      </w:r>
      <w:r>
        <w:rPr>
          <w:rFonts w:hint="eastAsia" w:ascii="仿宋" w:hAnsi="仿宋" w:eastAsia="仿宋" w:cs="仿宋"/>
          <w:sz w:val="24"/>
        </w:rPr>
        <w:t>%的价格扣除。联合体各方均为小型、微型企业和监狱企业的，联合体视同为小型、微型企业和监狱企业。</w:t>
      </w:r>
    </w:p>
    <w:p w14:paraId="24E34FE7">
      <w:pPr>
        <w:pStyle w:val="2"/>
        <w:tabs>
          <w:tab w:val="clear" w:pos="567"/>
        </w:tabs>
        <w:spacing w:before="0" w:line="360" w:lineRule="auto"/>
        <w:rPr>
          <w:rFonts w:ascii="仿宋" w:hAnsi="仿宋" w:eastAsia="仿宋" w:cs="仿宋"/>
          <w:u w:val="single"/>
        </w:rPr>
      </w:pPr>
      <w:r>
        <w:rPr>
          <w:rFonts w:hint="eastAsia" w:ascii="仿宋" w:hAnsi="仿宋" w:eastAsia="仿宋" w:cs="仿宋"/>
        </w:rPr>
        <w:t>4.投标人所投产品如被列入财政部与国家主管部门颁发的节能产品目录或环境标志产品目录或无线局域网产品目录，应提供相关证明，在评标时予以优先采购，具体优惠措施为</w:t>
      </w:r>
      <w:r>
        <w:rPr>
          <w:rFonts w:hint="eastAsia" w:ascii="仿宋" w:hAnsi="仿宋" w:eastAsia="仿宋" w:cs="仿宋"/>
          <w:u w:val="none"/>
        </w:rPr>
        <w:t>：</w:t>
      </w:r>
      <w:r>
        <w:rPr>
          <w:rFonts w:hint="eastAsia" w:ascii="仿宋" w:hAnsi="仿宋" w:eastAsia="仿宋" w:cs="仿宋"/>
          <w:u w:val="single"/>
        </w:rPr>
        <w:t xml:space="preserve"> 详见评标办法     </w:t>
      </w:r>
    </w:p>
    <w:p w14:paraId="7A0BE96E">
      <w:pPr>
        <w:pStyle w:val="2"/>
        <w:tabs>
          <w:tab w:val="clear" w:pos="567"/>
        </w:tabs>
        <w:spacing w:before="0" w:line="360" w:lineRule="auto"/>
        <w:rPr>
          <w:rFonts w:ascii="仿宋" w:hAnsi="仿宋" w:eastAsia="仿宋" w:cs="仿宋"/>
        </w:rPr>
      </w:pPr>
      <w:r>
        <w:rPr>
          <w:rFonts w:hint="eastAsia" w:ascii="仿宋" w:hAnsi="仿宋" w:eastAsia="仿宋" w:cs="仿宋"/>
        </w:rPr>
        <w:t>5.如采购人所采购产品为政府强制采购的节能产品，投标人所投产品的品牌及型号必须为清单中有效期内产品并提供证明文件，否则其投标将被认定为</w:t>
      </w:r>
      <w:r>
        <w:rPr>
          <w:rFonts w:hint="eastAsia" w:ascii="仿宋" w:hAnsi="仿宋" w:eastAsia="仿宋" w:cs="仿宋"/>
          <w:b/>
          <w:bCs/>
        </w:rPr>
        <w:t>投标无效</w:t>
      </w:r>
      <w:r>
        <w:rPr>
          <w:rFonts w:hint="eastAsia" w:ascii="仿宋" w:hAnsi="仿宋" w:eastAsia="仿宋" w:cs="仿宋"/>
        </w:rPr>
        <w:t>。</w:t>
      </w:r>
    </w:p>
    <w:p w14:paraId="50EF0D13">
      <w:pPr>
        <w:pStyle w:val="9"/>
        <w:spacing w:line="500" w:lineRule="exact"/>
        <w:ind w:firstLine="0"/>
        <w:rPr>
          <w:rFonts w:ascii="仿宋" w:hAnsi="仿宋" w:eastAsia="仿宋" w:cs="仿宋"/>
        </w:rPr>
      </w:pPr>
      <w:r>
        <w:rPr>
          <w:rFonts w:hint="eastAsia" w:ascii="仿宋" w:hAnsi="仿宋" w:eastAsia="仿宋" w:cs="仿宋"/>
        </w:rPr>
        <w:t>6.同品牌处理办法：</w:t>
      </w:r>
    </w:p>
    <w:p w14:paraId="184EA8FF">
      <w:pPr>
        <w:pStyle w:val="9"/>
        <w:spacing w:line="500" w:lineRule="exact"/>
        <w:ind w:firstLine="0"/>
        <w:rPr>
          <w:rFonts w:ascii="仿宋" w:hAnsi="仿宋" w:eastAsia="仿宋" w:cs="仿宋"/>
          <w:u w:val="single"/>
        </w:rPr>
      </w:pPr>
      <w:r>
        <w:rPr>
          <w:rFonts w:hint="eastAsia" w:ascii="仿宋" w:hAnsi="仿宋" w:eastAsia="仿宋" w:cs="仿宋"/>
        </w:rPr>
        <w:t>如采用综合评标法，则：</w:t>
      </w:r>
      <w:r>
        <w:rPr>
          <w:rFonts w:hint="eastAsia" w:ascii="仿宋" w:hAnsi="仿宋" w:eastAsia="仿宋" w:cs="仿宋"/>
          <w:u w:val="single"/>
        </w:rPr>
        <w:t>提供相同品牌产品且通过资格审查、符合性审查的不同供应商参加同一合同项下投标的，按一家供应商计算，评审后得分最高的同品牌供应商获得成交人推荐资格;评审得分相同的，由采购人或者采购人委托磋商小组按照磋商文件规定的方式确定一个供应商获得成交人推荐资格，磋商文件未规定的采取随机抽取方式确定，其他同品牌供应商不作为成交候选人。</w:t>
      </w:r>
    </w:p>
    <w:p w14:paraId="36E70C94">
      <w:pPr>
        <w:pStyle w:val="2"/>
        <w:tabs>
          <w:tab w:val="clear" w:pos="567"/>
        </w:tabs>
        <w:spacing w:before="0" w:line="400" w:lineRule="exact"/>
        <w:rPr>
          <w:rFonts w:ascii="仿宋" w:hAnsi="仿宋" w:eastAsia="仿宋" w:cs="仿宋"/>
        </w:rPr>
      </w:pPr>
      <w:r>
        <w:rPr>
          <w:rFonts w:hint="eastAsia" w:ascii="仿宋" w:hAnsi="仿宋" w:eastAsia="仿宋" w:cs="仿宋"/>
        </w:rPr>
        <w:t xml:space="preserve">5.成交候选人并列式时的处理方式：   </w:t>
      </w:r>
    </w:p>
    <w:p w14:paraId="474C267C">
      <w:pPr>
        <w:pStyle w:val="9"/>
        <w:spacing w:line="400" w:lineRule="exact"/>
        <w:ind w:firstLine="0"/>
        <w:rPr>
          <w:rFonts w:ascii="仿宋" w:hAnsi="仿宋" w:eastAsia="仿宋" w:cs="仿宋"/>
          <w:b/>
          <w:bCs/>
        </w:rPr>
      </w:pPr>
      <w:r>
        <w:rPr>
          <w:rFonts w:hint="eastAsia" w:ascii="仿宋" w:hAnsi="仿宋" w:eastAsia="仿宋" w:cs="仿宋"/>
          <w:kern w:val="2"/>
          <w:szCs w:val="24"/>
        </w:rPr>
        <w:t>如采用综合评标法，则：</w:t>
      </w:r>
      <w:r>
        <w:rPr>
          <w:rFonts w:hint="eastAsia" w:ascii="仿宋" w:hAnsi="仿宋" w:eastAsia="仿宋" w:cs="仿宋"/>
          <w:kern w:val="2"/>
          <w:szCs w:val="24"/>
          <w:u w:val="single"/>
        </w:rPr>
        <w:t xml:space="preserve">评标结果按评审后得分由高到低顺序排列。得分相同的，按磋商报价由低到高顺序排列。得分且磋商报价相同的并列。响应文件满足磋商文件全部实质性要求，且按照评审因素的量化指标评审得分最高的供应商为排名第一的成交候选人。  </w:t>
      </w:r>
      <w:bookmarkStart w:id="526" w:name="_Toc18284"/>
    </w:p>
    <w:bookmarkEnd w:id="526"/>
    <w:p w14:paraId="1DEB5C49">
      <w:pPr>
        <w:rPr>
          <w:rFonts w:ascii="仿宋" w:hAnsi="仿宋" w:eastAsia="仿宋" w:cs="宋体"/>
          <w:b/>
          <w:bCs/>
          <w:kern w:val="0"/>
          <w:sz w:val="32"/>
          <w:szCs w:val="32"/>
        </w:rPr>
      </w:pPr>
      <w:r>
        <w:rPr>
          <w:rFonts w:hint="eastAsia" w:ascii="仿宋" w:hAnsi="仿宋" w:eastAsia="仿宋" w:cs="宋体"/>
          <w:b/>
          <w:bCs/>
          <w:kern w:val="0"/>
          <w:sz w:val="32"/>
          <w:szCs w:val="32"/>
        </w:rPr>
        <w:br w:type="page"/>
      </w:r>
    </w:p>
    <w:p w14:paraId="49071266">
      <w:pPr>
        <w:spacing w:line="300" w:lineRule="auto"/>
        <w:jc w:val="center"/>
        <w:outlineLvl w:val="1"/>
        <w:rPr>
          <w:rFonts w:hint="eastAsia" w:ascii="仿宋" w:hAnsi="仿宋" w:eastAsia="仿宋" w:cs="仿宋"/>
          <w:b/>
          <w:bCs/>
          <w:color w:val="auto"/>
          <w:sz w:val="24"/>
          <w:highlight w:val="none"/>
        </w:rPr>
      </w:pPr>
      <w:r>
        <w:rPr>
          <w:rFonts w:hint="eastAsia" w:ascii="仿宋" w:hAnsi="仿宋" w:eastAsia="仿宋" w:cs="宋体"/>
          <w:b/>
          <w:bCs/>
          <w:kern w:val="0"/>
          <w:sz w:val="32"/>
          <w:szCs w:val="32"/>
          <w:highlight w:val="none"/>
          <w:lang w:val="en-US" w:eastAsia="zh-CN"/>
        </w:rPr>
        <w:t>初步符合性审查</w:t>
      </w:r>
    </w:p>
    <w:tbl>
      <w:tblPr>
        <w:tblStyle w:val="23"/>
        <w:tblpPr w:leftFromText="180" w:rightFromText="180" w:vertAnchor="text" w:horzAnchor="page" w:tblpX="1480" w:tblpY="21"/>
        <w:tblOverlap w:val="never"/>
        <w:tblW w:w="937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6"/>
        <w:gridCol w:w="6263"/>
        <w:gridCol w:w="782"/>
        <w:gridCol w:w="829"/>
        <w:gridCol w:w="934"/>
      </w:tblGrid>
      <w:tr w14:paraId="440ECD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jc w:val="center"/>
        </w:trPr>
        <w:tc>
          <w:tcPr>
            <w:tcW w:w="566" w:type="dxa"/>
            <w:vMerge w:val="restart"/>
            <w:vAlign w:val="center"/>
          </w:tcPr>
          <w:p w14:paraId="3CD6CCF1">
            <w:pPr>
              <w:keepNext w:val="0"/>
              <w:keepLines w:val="0"/>
              <w:suppressLineNumbers w:val="0"/>
              <w:spacing w:before="0" w:beforeAutospacing="0" w:after="0" w:afterAutospacing="0" w:line="400" w:lineRule="exact"/>
              <w:ind w:left="0" w:right="0"/>
              <w:jc w:val="center"/>
              <w:rPr>
                <w:rFonts w:hint="eastAsia" w:ascii="仿宋" w:hAnsi="仿宋" w:eastAsia="仿宋" w:cs="仿宋"/>
                <w:bCs/>
                <w:color w:val="auto"/>
                <w:sz w:val="24"/>
              </w:rPr>
            </w:pPr>
            <w:r>
              <w:rPr>
                <w:rFonts w:hint="eastAsia" w:ascii="仿宋" w:hAnsi="仿宋" w:eastAsia="仿宋" w:cs="仿宋"/>
                <w:bCs/>
                <w:color w:val="auto"/>
                <w:sz w:val="24"/>
              </w:rPr>
              <w:t>序号</w:t>
            </w:r>
          </w:p>
        </w:tc>
        <w:tc>
          <w:tcPr>
            <w:tcW w:w="6263" w:type="dxa"/>
            <w:vMerge w:val="restart"/>
            <w:vAlign w:val="center"/>
          </w:tcPr>
          <w:p w14:paraId="63F95630">
            <w:pPr>
              <w:keepNext w:val="0"/>
              <w:keepLines w:val="0"/>
              <w:suppressLineNumbers w:val="0"/>
              <w:spacing w:before="0" w:beforeAutospacing="0" w:after="0" w:afterAutospacing="0" w:line="400" w:lineRule="exact"/>
              <w:ind w:left="0" w:right="0"/>
              <w:jc w:val="center"/>
              <w:rPr>
                <w:rFonts w:hint="eastAsia" w:ascii="仿宋" w:hAnsi="仿宋" w:eastAsia="仿宋" w:cs="仿宋"/>
                <w:bCs/>
                <w:color w:val="auto"/>
                <w:sz w:val="24"/>
              </w:rPr>
            </w:pPr>
            <w:r>
              <w:rPr>
                <w:rFonts w:hint="eastAsia" w:ascii="仿宋" w:hAnsi="仿宋" w:eastAsia="仿宋" w:cs="仿宋"/>
                <w:bCs/>
                <w:color w:val="auto"/>
                <w:sz w:val="24"/>
              </w:rPr>
              <w:t>评审内容</w:t>
            </w:r>
          </w:p>
        </w:tc>
        <w:tc>
          <w:tcPr>
            <w:tcW w:w="2545" w:type="dxa"/>
            <w:gridSpan w:val="3"/>
            <w:vAlign w:val="center"/>
          </w:tcPr>
          <w:p w14:paraId="210B6B03">
            <w:pPr>
              <w:keepNext w:val="0"/>
              <w:keepLines w:val="0"/>
              <w:suppressLineNumbers w:val="0"/>
              <w:spacing w:before="0" w:beforeAutospacing="0" w:after="0" w:afterAutospacing="0" w:line="400" w:lineRule="exact"/>
              <w:ind w:left="0" w:right="0"/>
              <w:jc w:val="center"/>
              <w:rPr>
                <w:rFonts w:hint="eastAsia" w:ascii="仿宋" w:hAnsi="仿宋" w:eastAsia="仿宋" w:cs="仿宋"/>
                <w:b/>
                <w:color w:val="auto"/>
                <w:sz w:val="24"/>
              </w:rPr>
            </w:pPr>
            <w:r>
              <w:rPr>
                <w:rFonts w:hint="eastAsia" w:ascii="仿宋" w:hAnsi="仿宋" w:eastAsia="仿宋" w:cs="仿宋"/>
                <w:b/>
                <w:color w:val="auto"/>
                <w:sz w:val="24"/>
              </w:rPr>
              <w:t>供应商</w:t>
            </w:r>
          </w:p>
        </w:tc>
      </w:tr>
      <w:tr w14:paraId="7D304D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566" w:type="dxa"/>
            <w:vMerge w:val="continue"/>
            <w:vAlign w:val="center"/>
          </w:tcPr>
          <w:p w14:paraId="56E5075A">
            <w:pPr>
              <w:keepNext w:val="0"/>
              <w:keepLines w:val="0"/>
              <w:suppressLineNumbers w:val="0"/>
              <w:spacing w:before="0" w:beforeAutospacing="0" w:after="0" w:afterAutospacing="0" w:line="400" w:lineRule="exact"/>
              <w:ind w:left="0" w:right="0"/>
              <w:jc w:val="center"/>
              <w:rPr>
                <w:rFonts w:hint="eastAsia" w:ascii="仿宋" w:hAnsi="仿宋" w:eastAsia="仿宋" w:cs="仿宋"/>
                <w:bCs/>
                <w:color w:val="auto"/>
                <w:sz w:val="24"/>
              </w:rPr>
            </w:pPr>
          </w:p>
        </w:tc>
        <w:tc>
          <w:tcPr>
            <w:tcW w:w="6263" w:type="dxa"/>
            <w:vMerge w:val="continue"/>
            <w:vAlign w:val="center"/>
          </w:tcPr>
          <w:p w14:paraId="01F246E9">
            <w:pPr>
              <w:keepNext w:val="0"/>
              <w:keepLines w:val="0"/>
              <w:suppressLineNumbers w:val="0"/>
              <w:spacing w:before="0" w:beforeAutospacing="0" w:after="0" w:afterAutospacing="0" w:line="400" w:lineRule="exact"/>
              <w:ind w:left="0" w:right="0"/>
              <w:jc w:val="center"/>
              <w:rPr>
                <w:rFonts w:hint="eastAsia" w:ascii="仿宋" w:hAnsi="仿宋" w:eastAsia="仿宋" w:cs="仿宋"/>
                <w:bCs/>
                <w:color w:val="auto"/>
                <w:sz w:val="24"/>
              </w:rPr>
            </w:pPr>
          </w:p>
        </w:tc>
        <w:tc>
          <w:tcPr>
            <w:tcW w:w="782" w:type="dxa"/>
            <w:vAlign w:val="center"/>
          </w:tcPr>
          <w:p w14:paraId="2028537B">
            <w:pPr>
              <w:keepNext w:val="0"/>
              <w:keepLines w:val="0"/>
              <w:suppressLineNumbers w:val="0"/>
              <w:spacing w:before="0" w:beforeAutospacing="0" w:after="0" w:afterAutospacing="0" w:line="400" w:lineRule="exact"/>
              <w:ind w:left="0" w:right="0"/>
              <w:jc w:val="center"/>
              <w:rPr>
                <w:rFonts w:hint="eastAsia" w:ascii="仿宋" w:hAnsi="仿宋" w:eastAsia="仿宋" w:cs="仿宋"/>
                <w:color w:val="auto"/>
                <w:sz w:val="24"/>
              </w:rPr>
            </w:pPr>
            <w:r>
              <w:rPr>
                <w:rFonts w:hint="eastAsia" w:ascii="仿宋" w:hAnsi="仿宋" w:eastAsia="仿宋" w:cs="仿宋"/>
                <w:color w:val="auto"/>
                <w:sz w:val="24"/>
              </w:rPr>
              <w:t>是否合格</w:t>
            </w:r>
          </w:p>
        </w:tc>
        <w:tc>
          <w:tcPr>
            <w:tcW w:w="829" w:type="dxa"/>
            <w:vAlign w:val="center"/>
          </w:tcPr>
          <w:p w14:paraId="49F8C3C8">
            <w:pPr>
              <w:keepNext w:val="0"/>
              <w:keepLines w:val="0"/>
              <w:suppressLineNumbers w:val="0"/>
              <w:spacing w:before="0" w:beforeAutospacing="0" w:after="0" w:afterAutospacing="0" w:line="400" w:lineRule="exact"/>
              <w:ind w:left="0" w:right="0"/>
              <w:jc w:val="center"/>
              <w:rPr>
                <w:rFonts w:hint="eastAsia" w:ascii="仿宋" w:hAnsi="仿宋" w:eastAsia="仿宋" w:cs="仿宋"/>
                <w:color w:val="auto"/>
                <w:sz w:val="24"/>
              </w:rPr>
            </w:pPr>
            <w:r>
              <w:rPr>
                <w:rFonts w:hint="eastAsia" w:ascii="仿宋" w:hAnsi="仿宋" w:eastAsia="仿宋" w:cs="仿宋"/>
                <w:color w:val="auto"/>
                <w:sz w:val="24"/>
              </w:rPr>
              <w:t>是否合格</w:t>
            </w:r>
          </w:p>
        </w:tc>
        <w:tc>
          <w:tcPr>
            <w:tcW w:w="934" w:type="dxa"/>
            <w:vAlign w:val="center"/>
          </w:tcPr>
          <w:p w14:paraId="27E7DEFD">
            <w:pPr>
              <w:keepNext w:val="0"/>
              <w:keepLines w:val="0"/>
              <w:suppressLineNumbers w:val="0"/>
              <w:spacing w:before="0" w:beforeAutospacing="0" w:after="0" w:afterAutospacing="0" w:line="400" w:lineRule="exact"/>
              <w:ind w:left="0" w:right="0"/>
              <w:jc w:val="center"/>
              <w:rPr>
                <w:rFonts w:hint="eastAsia" w:ascii="仿宋" w:hAnsi="仿宋" w:eastAsia="仿宋" w:cs="仿宋"/>
                <w:color w:val="auto"/>
                <w:sz w:val="24"/>
              </w:rPr>
            </w:pPr>
            <w:r>
              <w:rPr>
                <w:rFonts w:hint="eastAsia" w:ascii="仿宋" w:hAnsi="仿宋" w:eastAsia="仿宋" w:cs="仿宋"/>
                <w:color w:val="auto"/>
                <w:sz w:val="24"/>
              </w:rPr>
              <w:t>是否合格</w:t>
            </w:r>
          </w:p>
        </w:tc>
      </w:tr>
      <w:tr w14:paraId="337D70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566" w:type="dxa"/>
            <w:vAlign w:val="center"/>
          </w:tcPr>
          <w:p w14:paraId="2E57CFDD">
            <w:pPr>
              <w:keepNext w:val="0"/>
              <w:keepLines w:val="0"/>
              <w:suppressLineNumbers w:val="0"/>
              <w:spacing w:before="0" w:beforeAutospacing="0" w:after="0" w:afterAutospacing="0" w:line="400" w:lineRule="exact"/>
              <w:ind w:left="0" w:right="0"/>
              <w:jc w:val="center"/>
              <w:rPr>
                <w:rFonts w:hint="eastAsia" w:ascii="仿宋" w:hAnsi="仿宋" w:eastAsia="仿宋" w:cs="仿宋"/>
                <w:bCs/>
                <w:color w:val="auto"/>
                <w:sz w:val="24"/>
              </w:rPr>
            </w:pPr>
            <w:r>
              <w:rPr>
                <w:rFonts w:hint="eastAsia" w:ascii="仿宋" w:hAnsi="仿宋" w:eastAsia="仿宋" w:cs="仿宋"/>
                <w:bCs/>
                <w:color w:val="auto"/>
                <w:sz w:val="24"/>
              </w:rPr>
              <w:t>1</w:t>
            </w:r>
          </w:p>
        </w:tc>
        <w:tc>
          <w:tcPr>
            <w:tcW w:w="6263" w:type="dxa"/>
            <w:vAlign w:val="bottom"/>
          </w:tcPr>
          <w:p w14:paraId="128B44F5">
            <w:pPr>
              <w:spacing w:line="360" w:lineRule="auto"/>
              <w:rPr>
                <w:rFonts w:hint="eastAsia" w:ascii="仿宋" w:hAnsi="仿宋" w:eastAsia="仿宋" w:cs="仿宋"/>
                <w:color w:val="auto"/>
                <w:sz w:val="24"/>
              </w:rPr>
            </w:pPr>
            <w:r>
              <w:rPr>
                <w:rFonts w:hint="eastAsia" w:ascii="仿宋" w:hAnsi="仿宋" w:eastAsia="仿宋" w:cs="仿宋"/>
                <w:color w:val="auto"/>
                <w:kern w:val="0"/>
                <w:sz w:val="21"/>
                <w:szCs w:val="21"/>
                <w:highlight w:val="none"/>
              </w:rPr>
              <w:t>供应商名称或组织机构与</w:t>
            </w:r>
            <w:r>
              <w:rPr>
                <w:rFonts w:hint="eastAsia" w:ascii="仿宋" w:hAnsi="仿宋" w:eastAsia="仿宋" w:cs="仿宋"/>
                <w:color w:val="auto"/>
                <w:kern w:val="0"/>
                <w:sz w:val="21"/>
                <w:szCs w:val="21"/>
                <w:highlight w:val="none"/>
                <w:lang w:eastAsia="zh-CN"/>
              </w:rPr>
              <w:t>获取</w:t>
            </w:r>
            <w:r>
              <w:rPr>
                <w:rFonts w:hint="eastAsia" w:ascii="仿宋" w:hAnsi="仿宋" w:eastAsia="仿宋" w:cs="仿宋"/>
                <w:color w:val="auto"/>
                <w:kern w:val="0"/>
                <w:sz w:val="21"/>
                <w:szCs w:val="21"/>
                <w:highlight w:val="none"/>
              </w:rPr>
              <w:t>招标文件时不一致，未提供有效证明文件；</w:t>
            </w:r>
          </w:p>
        </w:tc>
        <w:tc>
          <w:tcPr>
            <w:tcW w:w="782" w:type="dxa"/>
          </w:tcPr>
          <w:p w14:paraId="6751A4BD">
            <w:pPr>
              <w:keepNext w:val="0"/>
              <w:keepLines w:val="0"/>
              <w:suppressLineNumbers w:val="0"/>
              <w:spacing w:before="0" w:beforeAutospacing="0" w:after="0" w:afterAutospacing="0" w:line="400" w:lineRule="exact"/>
              <w:ind w:left="0" w:right="0"/>
              <w:rPr>
                <w:rFonts w:hint="eastAsia" w:ascii="仿宋" w:hAnsi="仿宋" w:eastAsia="仿宋" w:cs="仿宋"/>
                <w:color w:val="auto"/>
                <w:sz w:val="24"/>
              </w:rPr>
            </w:pPr>
          </w:p>
        </w:tc>
        <w:tc>
          <w:tcPr>
            <w:tcW w:w="829" w:type="dxa"/>
          </w:tcPr>
          <w:p w14:paraId="48B92D0E">
            <w:pPr>
              <w:keepNext w:val="0"/>
              <w:keepLines w:val="0"/>
              <w:suppressLineNumbers w:val="0"/>
              <w:spacing w:before="0" w:beforeAutospacing="0" w:after="0" w:afterAutospacing="0" w:line="400" w:lineRule="exact"/>
              <w:ind w:left="0" w:right="0"/>
              <w:rPr>
                <w:rFonts w:hint="eastAsia" w:ascii="仿宋" w:hAnsi="仿宋" w:eastAsia="仿宋" w:cs="仿宋"/>
                <w:color w:val="auto"/>
                <w:sz w:val="24"/>
              </w:rPr>
            </w:pPr>
          </w:p>
        </w:tc>
        <w:tc>
          <w:tcPr>
            <w:tcW w:w="934" w:type="dxa"/>
          </w:tcPr>
          <w:p w14:paraId="0E9D7588">
            <w:pPr>
              <w:keepNext w:val="0"/>
              <w:keepLines w:val="0"/>
              <w:suppressLineNumbers w:val="0"/>
              <w:spacing w:before="0" w:beforeAutospacing="0" w:after="0" w:afterAutospacing="0" w:line="400" w:lineRule="exact"/>
              <w:ind w:left="0" w:right="0"/>
              <w:rPr>
                <w:rFonts w:hint="eastAsia" w:ascii="仿宋" w:hAnsi="仿宋" w:eastAsia="仿宋" w:cs="仿宋"/>
                <w:color w:val="auto"/>
                <w:sz w:val="24"/>
              </w:rPr>
            </w:pPr>
          </w:p>
        </w:tc>
      </w:tr>
      <w:tr w14:paraId="6BB4E4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566" w:type="dxa"/>
            <w:vAlign w:val="center"/>
          </w:tcPr>
          <w:p w14:paraId="1A8B0698">
            <w:pPr>
              <w:keepNext w:val="0"/>
              <w:keepLines w:val="0"/>
              <w:suppressLineNumbers w:val="0"/>
              <w:spacing w:before="0" w:beforeAutospacing="0" w:after="0" w:afterAutospacing="0" w:line="400" w:lineRule="exact"/>
              <w:ind w:left="0" w:right="0"/>
              <w:jc w:val="center"/>
              <w:rPr>
                <w:rFonts w:hint="eastAsia" w:ascii="仿宋" w:hAnsi="仿宋" w:eastAsia="仿宋" w:cs="仿宋"/>
                <w:bCs/>
                <w:color w:val="auto"/>
                <w:sz w:val="24"/>
              </w:rPr>
            </w:pPr>
            <w:r>
              <w:rPr>
                <w:rFonts w:hint="eastAsia" w:ascii="仿宋" w:hAnsi="仿宋" w:eastAsia="仿宋" w:cs="仿宋"/>
                <w:bCs/>
                <w:color w:val="auto"/>
                <w:sz w:val="24"/>
              </w:rPr>
              <w:t>2</w:t>
            </w:r>
          </w:p>
        </w:tc>
        <w:tc>
          <w:tcPr>
            <w:tcW w:w="6263" w:type="dxa"/>
            <w:vAlign w:val="bottom"/>
          </w:tcPr>
          <w:p w14:paraId="0A2B7130">
            <w:pPr>
              <w:spacing w:line="360" w:lineRule="auto"/>
              <w:rPr>
                <w:rFonts w:hint="eastAsia" w:ascii="仿宋" w:hAnsi="仿宋" w:eastAsia="仿宋" w:cs="仿宋"/>
                <w:color w:val="auto"/>
                <w:sz w:val="24"/>
              </w:rPr>
            </w:pPr>
            <w:r>
              <w:rPr>
                <w:rFonts w:hint="eastAsia" w:ascii="仿宋" w:hAnsi="仿宋" w:eastAsia="仿宋" w:cs="仿宋"/>
                <w:color w:val="auto"/>
                <w:kern w:val="0"/>
                <w:sz w:val="21"/>
                <w:szCs w:val="21"/>
                <w:highlight w:val="none"/>
              </w:rPr>
              <w:t>由政府立项核准、审批的采购项目，投标报价高于设定的采购预算价的；</w:t>
            </w:r>
          </w:p>
        </w:tc>
        <w:tc>
          <w:tcPr>
            <w:tcW w:w="782" w:type="dxa"/>
          </w:tcPr>
          <w:p w14:paraId="466E1983">
            <w:pPr>
              <w:keepNext w:val="0"/>
              <w:keepLines w:val="0"/>
              <w:suppressLineNumbers w:val="0"/>
              <w:spacing w:before="0" w:beforeAutospacing="0" w:after="0" w:afterAutospacing="0" w:line="400" w:lineRule="exact"/>
              <w:ind w:left="0" w:right="0"/>
              <w:rPr>
                <w:rFonts w:hint="eastAsia" w:ascii="仿宋" w:hAnsi="仿宋" w:eastAsia="仿宋" w:cs="仿宋"/>
                <w:color w:val="auto"/>
                <w:sz w:val="24"/>
              </w:rPr>
            </w:pPr>
          </w:p>
        </w:tc>
        <w:tc>
          <w:tcPr>
            <w:tcW w:w="829" w:type="dxa"/>
          </w:tcPr>
          <w:p w14:paraId="43DF4D61">
            <w:pPr>
              <w:keepNext w:val="0"/>
              <w:keepLines w:val="0"/>
              <w:suppressLineNumbers w:val="0"/>
              <w:spacing w:before="0" w:beforeAutospacing="0" w:after="0" w:afterAutospacing="0" w:line="400" w:lineRule="exact"/>
              <w:ind w:left="0" w:right="0"/>
              <w:rPr>
                <w:rFonts w:hint="eastAsia" w:ascii="仿宋" w:hAnsi="仿宋" w:eastAsia="仿宋" w:cs="仿宋"/>
                <w:color w:val="auto"/>
                <w:sz w:val="24"/>
              </w:rPr>
            </w:pPr>
          </w:p>
        </w:tc>
        <w:tc>
          <w:tcPr>
            <w:tcW w:w="934" w:type="dxa"/>
          </w:tcPr>
          <w:p w14:paraId="4EEF30AB">
            <w:pPr>
              <w:keepNext w:val="0"/>
              <w:keepLines w:val="0"/>
              <w:suppressLineNumbers w:val="0"/>
              <w:spacing w:before="0" w:beforeAutospacing="0" w:after="0" w:afterAutospacing="0" w:line="400" w:lineRule="exact"/>
              <w:ind w:left="0" w:right="0"/>
              <w:rPr>
                <w:rFonts w:hint="eastAsia" w:ascii="仿宋" w:hAnsi="仿宋" w:eastAsia="仿宋" w:cs="仿宋"/>
                <w:color w:val="auto"/>
                <w:sz w:val="24"/>
              </w:rPr>
            </w:pPr>
          </w:p>
        </w:tc>
      </w:tr>
      <w:tr w14:paraId="042C2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566" w:type="dxa"/>
            <w:vAlign w:val="center"/>
          </w:tcPr>
          <w:p w14:paraId="4817DD41">
            <w:pPr>
              <w:keepNext w:val="0"/>
              <w:keepLines w:val="0"/>
              <w:suppressLineNumbers w:val="0"/>
              <w:spacing w:before="0" w:beforeAutospacing="0" w:after="0" w:afterAutospacing="0" w:line="400" w:lineRule="exact"/>
              <w:ind w:left="0" w:right="0"/>
              <w:jc w:val="center"/>
              <w:rPr>
                <w:rFonts w:hint="eastAsia" w:ascii="仿宋" w:hAnsi="仿宋" w:eastAsia="仿宋" w:cs="仿宋"/>
                <w:bCs/>
                <w:color w:val="auto"/>
                <w:sz w:val="24"/>
              </w:rPr>
            </w:pPr>
            <w:r>
              <w:rPr>
                <w:rFonts w:hint="eastAsia" w:ascii="仿宋" w:hAnsi="仿宋" w:eastAsia="仿宋" w:cs="仿宋"/>
                <w:bCs/>
                <w:color w:val="auto"/>
                <w:sz w:val="24"/>
              </w:rPr>
              <w:t>3</w:t>
            </w:r>
          </w:p>
        </w:tc>
        <w:tc>
          <w:tcPr>
            <w:tcW w:w="6263" w:type="dxa"/>
            <w:vAlign w:val="bottom"/>
          </w:tcPr>
          <w:p w14:paraId="21FFE5EA">
            <w:pPr>
              <w:spacing w:line="360" w:lineRule="auto"/>
              <w:rPr>
                <w:rFonts w:hint="eastAsia" w:ascii="仿宋" w:hAnsi="仿宋" w:eastAsia="仿宋" w:cs="仿宋"/>
                <w:color w:val="auto"/>
                <w:sz w:val="24"/>
                <w:lang w:eastAsia="zh-CN"/>
              </w:rPr>
            </w:pPr>
            <w:r>
              <w:rPr>
                <w:rFonts w:hint="eastAsia" w:ascii="仿宋" w:hAnsi="仿宋" w:eastAsia="仿宋" w:cs="仿宋"/>
                <w:color w:val="auto"/>
                <w:kern w:val="0"/>
                <w:sz w:val="21"/>
                <w:szCs w:val="21"/>
                <w:highlight w:val="none"/>
              </w:rPr>
              <w:t>对招标文件主要条款和承诺存在重大出入或保留；</w:t>
            </w:r>
          </w:p>
        </w:tc>
        <w:tc>
          <w:tcPr>
            <w:tcW w:w="782" w:type="dxa"/>
          </w:tcPr>
          <w:p w14:paraId="25F72539">
            <w:pPr>
              <w:keepNext w:val="0"/>
              <w:keepLines w:val="0"/>
              <w:suppressLineNumbers w:val="0"/>
              <w:spacing w:before="0" w:beforeAutospacing="0" w:after="0" w:afterAutospacing="0" w:line="400" w:lineRule="exact"/>
              <w:ind w:left="0" w:right="0"/>
              <w:rPr>
                <w:rFonts w:hint="eastAsia" w:ascii="仿宋" w:hAnsi="仿宋" w:eastAsia="仿宋" w:cs="仿宋"/>
                <w:color w:val="auto"/>
                <w:sz w:val="24"/>
              </w:rPr>
            </w:pPr>
          </w:p>
        </w:tc>
        <w:tc>
          <w:tcPr>
            <w:tcW w:w="829" w:type="dxa"/>
          </w:tcPr>
          <w:p w14:paraId="418FFD7B">
            <w:pPr>
              <w:keepNext w:val="0"/>
              <w:keepLines w:val="0"/>
              <w:suppressLineNumbers w:val="0"/>
              <w:spacing w:before="0" w:beforeAutospacing="0" w:after="0" w:afterAutospacing="0" w:line="400" w:lineRule="exact"/>
              <w:ind w:left="0" w:right="0"/>
              <w:rPr>
                <w:rFonts w:hint="eastAsia" w:ascii="仿宋" w:hAnsi="仿宋" w:eastAsia="仿宋" w:cs="仿宋"/>
                <w:color w:val="auto"/>
                <w:sz w:val="24"/>
              </w:rPr>
            </w:pPr>
          </w:p>
        </w:tc>
        <w:tc>
          <w:tcPr>
            <w:tcW w:w="934" w:type="dxa"/>
          </w:tcPr>
          <w:p w14:paraId="301CA2D1">
            <w:pPr>
              <w:keepNext w:val="0"/>
              <w:keepLines w:val="0"/>
              <w:suppressLineNumbers w:val="0"/>
              <w:spacing w:before="0" w:beforeAutospacing="0" w:after="0" w:afterAutospacing="0" w:line="400" w:lineRule="exact"/>
              <w:ind w:left="0" w:right="0"/>
              <w:rPr>
                <w:rFonts w:hint="eastAsia" w:ascii="仿宋" w:hAnsi="仿宋" w:eastAsia="仿宋" w:cs="仿宋"/>
                <w:color w:val="auto"/>
                <w:sz w:val="24"/>
              </w:rPr>
            </w:pPr>
          </w:p>
        </w:tc>
      </w:tr>
      <w:tr w14:paraId="30167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jc w:val="center"/>
        </w:trPr>
        <w:tc>
          <w:tcPr>
            <w:tcW w:w="566" w:type="dxa"/>
            <w:vAlign w:val="center"/>
          </w:tcPr>
          <w:p w14:paraId="39838206">
            <w:pPr>
              <w:keepNext w:val="0"/>
              <w:keepLines w:val="0"/>
              <w:suppressLineNumbers w:val="0"/>
              <w:spacing w:before="0" w:beforeAutospacing="0" w:after="0" w:afterAutospacing="0" w:line="400" w:lineRule="exact"/>
              <w:ind w:left="0" w:right="0"/>
              <w:jc w:val="center"/>
              <w:rPr>
                <w:rFonts w:hint="eastAsia" w:ascii="仿宋" w:hAnsi="仿宋" w:eastAsia="仿宋" w:cs="仿宋"/>
                <w:bCs/>
                <w:color w:val="auto"/>
                <w:sz w:val="24"/>
              </w:rPr>
            </w:pPr>
            <w:r>
              <w:rPr>
                <w:rFonts w:hint="eastAsia" w:ascii="仿宋" w:hAnsi="仿宋" w:eastAsia="仿宋" w:cs="仿宋"/>
                <w:bCs/>
                <w:color w:val="auto"/>
                <w:sz w:val="24"/>
              </w:rPr>
              <w:t>4</w:t>
            </w:r>
          </w:p>
        </w:tc>
        <w:tc>
          <w:tcPr>
            <w:tcW w:w="6263" w:type="dxa"/>
            <w:vAlign w:val="bottom"/>
          </w:tcPr>
          <w:p w14:paraId="6C9432EE">
            <w:pPr>
              <w:spacing w:line="360" w:lineRule="auto"/>
              <w:rPr>
                <w:rFonts w:hint="eastAsia" w:ascii="仿宋" w:hAnsi="仿宋" w:eastAsia="仿宋" w:cs="仿宋"/>
                <w:color w:val="auto"/>
                <w:sz w:val="24"/>
              </w:rPr>
            </w:pPr>
            <w:r>
              <w:rPr>
                <w:rFonts w:hint="eastAsia" w:ascii="仿宋" w:hAnsi="仿宋" w:eastAsia="仿宋" w:cs="仿宋"/>
                <w:color w:val="auto"/>
                <w:kern w:val="0"/>
                <w:sz w:val="21"/>
                <w:szCs w:val="21"/>
                <w:highlight w:val="none"/>
              </w:rPr>
              <w:t>投标文件未按照招标文件要求编写、印鉴及签字；</w:t>
            </w:r>
          </w:p>
        </w:tc>
        <w:tc>
          <w:tcPr>
            <w:tcW w:w="782" w:type="dxa"/>
          </w:tcPr>
          <w:p w14:paraId="610109E3">
            <w:pPr>
              <w:keepNext w:val="0"/>
              <w:keepLines w:val="0"/>
              <w:suppressLineNumbers w:val="0"/>
              <w:spacing w:before="0" w:beforeAutospacing="0" w:after="0" w:afterAutospacing="0" w:line="400" w:lineRule="exact"/>
              <w:ind w:left="0" w:right="0"/>
              <w:rPr>
                <w:rFonts w:hint="eastAsia" w:ascii="仿宋" w:hAnsi="仿宋" w:eastAsia="仿宋" w:cs="仿宋"/>
                <w:color w:val="auto"/>
                <w:sz w:val="24"/>
              </w:rPr>
            </w:pPr>
          </w:p>
        </w:tc>
        <w:tc>
          <w:tcPr>
            <w:tcW w:w="829" w:type="dxa"/>
          </w:tcPr>
          <w:p w14:paraId="5C8F823F">
            <w:pPr>
              <w:keepNext w:val="0"/>
              <w:keepLines w:val="0"/>
              <w:suppressLineNumbers w:val="0"/>
              <w:spacing w:before="0" w:beforeAutospacing="0" w:after="0" w:afterAutospacing="0" w:line="400" w:lineRule="exact"/>
              <w:ind w:left="0" w:right="0"/>
              <w:rPr>
                <w:rFonts w:hint="eastAsia" w:ascii="仿宋" w:hAnsi="仿宋" w:eastAsia="仿宋" w:cs="仿宋"/>
                <w:color w:val="auto"/>
                <w:sz w:val="24"/>
              </w:rPr>
            </w:pPr>
          </w:p>
        </w:tc>
        <w:tc>
          <w:tcPr>
            <w:tcW w:w="934" w:type="dxa"/>
          </w:tcPr>
          <w:p w14:paraId="0F46564F">
            <w:pPr>
              <w:keepNext w:val="0"/>
              <w:keepLines w:val="0"/>
              <w:suppressLineNumbers w:val="0"/>
              <w:spacing w:before="0" w:beforeAutospacing="0" w:after="0" w:afterAutospacing="0" w:line="400" w:lineRule="exact"/>
              <w:ind w:left="0" w:right="0"/>
              <w:rPr>
                <w:rFonts w:hint="eastAsia" w:ascii="仿宋" w:hAnsi="仿宋" w:eastAsia="仿宋" w:cs="仿宋"/>
                <w:color w:val="auto"/>
                <w:sz w:val="24"/>
              </w:rPr>
            </w:pPr>
          </w:p>
        </w:tc>
      </w:tr>
      <w:tr w14:paraId="0DA45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566" w:type="dxa"/>
            <w:vAlign w:val="center"/>
          </w:tcPr>
          <w:p w14:paraId="2C0EBA78">
            <w:pPr>
              <w:keepNext w:val="0"/>
              <w:keepLines w:val="0"/>
              <w:suppressLineNumbers w:val="0"/>
              <w:spacing w:before="0" w:beforeAutospacing="0" w:after="0" w:afterAutospacing="0" w:line="460" w:lineRule="exact"/>
              <w:ind w:left="0" w:right="0"/>
              <w:jc w:val="center"/>
              <w:rPr>
                <w:rFonts w:hint="default"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5</w:t>
            </w:r>
          </w:p>
        </w:tc>
        <w:tc>
          <w:tcPr>
            <w:tcW w:w="6263" w:type="dxa"/>
            <w:vAlign w:val="bottom"/>
          </w:tcPr>
          <w:p w14:paraId="648475B8">
            <w:pPr>
              <w:spacing w:line="360" w:lineRule="auto"/>
              <w:rPr>
                <w:rFonts w:hint="eastAsia" w:ascii="仿宋" w:hAnsi="仿宋" w:eastAsia="仿宋" w:cs="仿宋"/>
                <w:color w:val="auto"/>
                <w:sz w:val="24"/>
                <w:lang w:val="en-US" w:eastAsia="zh-CN"/>
              </w:rPr>
            </w:pPr>
            <w:r>
              <w:rPr>
                <w:rFonts w:hint="eastAsia" w:ascii="仿宋" w:hAnsi="仿宋" w:eastAsia="仿宋" w:cs="仿宋"/>
                <w:color w:val="auto"/>
                <w:kern w:val="0"/>
                <w:sz w:val="21"/>
                <w:szCs w:val="21"/>
                <w:highlight w:val="none"/>
              </w:rPr>
              <w:t>供应商未按招标文件要求的格式填写，内容不全或关键字迹模糊、无法辨认的情况；</w:t>
            </w:r>
          </w:p>
        </w:tc>
        <w:tc>
          <w:tcPr>
            <w:tcW w:w="782" w:type="dxa"/>
          </w:tcPr>
          <w:p w14:paraId="2F895DAA">
            <w:pPr>
              <w:keepNext w:val="0"/>
              <w:keepLines w:val="0"/>
              <w:suppressLineNumbers w:val="0"/>
              <w:spacing w:before="0" w:beforeAutospacing="0" w:after="0" w:afterAutospacing="0" w:line="400" w:lineRule="exact"/>
              <w:ind w:left="0" w:right="0"/>
              <w:rPr>
                <w:rFonts w:hint="eastAsia" w:ascii="仿宋" w:hAnsi="仿宋" w:eastAsia="仿宋" w:cs="仿宋"/>
                <w:color w:val="auto"/>
                <w:sz w:val="24"/>
              </w:rPr>
            </w:pPr>
          </w:p>
        </w:tc>
        <w:tc>
          <w:tcPr>
            <w:tcW w:w="829" w:type="dxa"/>
          </w:tcPr>
          <w:p w14:paraId="3EE8C89E">
            <w:pPr>
              <w:keepNext w:val="0"/>
              <w:keepLines w:val="0"/>
              <w:suppressLineNumbers w:val="0"/>
              <w:spacing w:before="0" w:beforeAutospacing="0" w:after="0" w:afterAutospacing="0" w:line="400" w:lineRule="exact"/>
              <w:ind w:left="0" w:right="0"/>
              <w:rPr>
                <w:rFonts w:hint="eastAsia" w:ascii="仿宋" w:hAnsi="仿宋" w:eastAsia="仿宋" w:cs="仿宋"/>
                <w:color w:val="auto"/>
                <w:sz w:val="24"/>
              </w:rPr>
            </w:pPr>
          </w:p>
        </w:tc>
        <w:tc>
          <w:tcPr>
            <w:tcW w:w="934" w:type="dxa"/>
          </w:tcPr>
          <w:p w14:paraId="79D7C55D">
            <w:pPr>
              <w:keepNext w:val="0"/>
              <w:keepLines w:val="0"/>
              <w:suppressLineNumbers w:val="0"/>
              <w:spacing w:before="0" w:beforeAutospacing="0" w:after="0" w:afterAutospacing="0" w:line="400" w:lineRule="exact"/>
              <w:ind w:left="0" w:right="0"/>
              <w:rPr>
                <w:rFonts w:hint="eastAsia" w:ascii="仿宋" w:hAnsi="仿宋" w:eastAsia="仿宋" w:cs="仿宋"/>
                <w:color w:val="auto"/>
                <w:sz w:val="24"/>
              </w:rPr>
            </w:pPr>
          </w:p>
        </w:tc>
      </w:tr>
      <w:tr w14:paraId="67426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jc w:val="center"/>
        </w:trPr>
        <w:tc>
          <w:tcPr>
            <w:tcW w:w="566" w:type="dxa"/>
            <w:vAlign w:val="center"/>
          </w:tcPr>
          <w:p w14:paraId="78C22A3F">
            <w:pPr>
              <w:keepNext w:val="0"/>
              <w:keepLines w:val="0"/>
              <w:suppressLineNumbers w:val="0"/>
              <w:spacing w:before="0" w:beforeAutospacing="0" w:after="0" w:afterAutospacing="0" w:line="460" w:lineRule="exact"/>
              <w:ind w:left="0" w:right="0"/>
              <w:jc w:val="center"/>
              <w:rPr>
                <w:rFonts w:hint="default"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6</w:t>
            </w:r>
          </w:p>
        </w:tc>
        <w:tc>
          <w:tcPr>
            <w:tcW w:w="6263" w:type="dxa"/>
            <w:vAlign w:val="bottom"/>
          </w:tcPr>
          <w:p w14:paraId="15CF9070">
            <w:pPr>
              <w:spacing w:line="360" w:lineRule="auto"/>
              <w:rPr>
                <w:rFonts w:hint="eastAsia" w:ascii="仿宋" w:hAnsi="仿宋" w:eastAsia="仿宋" w:cs="仿宋"/>
                <w:color w:val="auto"/>
                <w:sz w:val="24"/>
              </w:rPr>
            </w:pPr>
            <w:r>
              <w:rPr>
                <w:rFonts w:hint="eastAsia" w:ascii="仿宋" w:hAnsi="仿宋" w:eastAsia="仿宋" w:cs="仿宋"/>
                <w:color w:val="auto"/>
                <w:kern w:val="0"/>
                <w:sz w:val="21"/>
                <w:szCs w:val="21"/>
                <w:highlight w:val="none"/>
              </w:rPr>
              <w:t>供应商有违反招标投标纪律的情况；</w:t>
            </w:r>
          </w:p>
        </w:tc>
        <w:tc>
          <w:tcPr>
            <w:tcW w:w="782" w:type="dxa"/>
          </w:tcPr>
          <w:p w14:paraId="39BA250E">
            <w:pPr>
              <w:keepNext w:val="0"/>
              <w:keepLines w:val="0"/>
              <w:suppressLineNumbers w:val="0"/>
              <w:spacing w:before="0" w:beforeAutospacing="0" w:after="0" w:afterAutospacing="0" w:line="400" w:lineRule="exact"/>
              <w:ind w:left="0" w:right="0"/>
              <w:rPr>
                <w:rFonts w:hint="eastAsia" w:ascii="仿宋" w:hAnsi="仿宋" w:eastAsia="仿宋" w:cs="仿宋"/>
                <w:color w:val="auto"/>
                <w:sz w:val="24"/>
              </w:rPr>
            </w:pPr>
          </w:p>
        </w:tc>
        <w:tc>
          <w:tcPr>
            <w:tcW w:w="829" w:type="dxa"/>
          </w:tcPr>
          <w:p w14:paraId="6514F6E3">
            <w:pPr>
              <w:keepNext w:val="0"/>
              <w:keepLines w:val="0"/>
              <w:suppressLineNumbers w:val="0"/>
              <w:spacing w:before="0" w:beforeAutospacing="0" w:after="0" w:afterAutospacing="0" w:line="400" w:lineRule="exact"/>
              <w:ind w:left="0" w:right="0"/>
              <w:rPr>
                <w:rFonts w:hint="eastAsia" w:ascii="仿宋" w:hAnsi="仿宋" w:eastAsia="仿宋" w:cs="仿宋"/>
                <w:color w:val="auto"/>
                <w:sz w:val="24"/>
              </w:rPr>
            </w:pPr>
          </w:p>
        </w:tc>
        <w:tc>
          <w:tcPr>
            <w:tcW w:w="934" w:type="dxa"/>
          </w:tcPr>
          <w:p w14:paraId="62A7892F">
            <w:pPr>
              <w:keepNext w:val="0"/>
              <w:keepLines w:val="0"/>
              <w:suppressLineNumbers w:val="0"/>
              <w:spacing w:before="0" w:beforeAutospacing="0" w:after="0" w:afterAutospacing="0" w:line="400" w:lineRule="exact"/>
              <w:ind w:left="0" w:right="0"/>
              <w:rPr>
                <w:rFonts w:hint="eastAsia" w:ascii="仿宋" w:hAnsi="仿宋" w:eastAsia="仿宋" w:cs="仿宋"/>
                <w:color w:val="auto"/>
                <w:sz w:val="24"/>
              </w:rPr>
            </w:pPr>
          </w:p>
        </w:tc>
      </w:tr>
      <w:tr w14:paraId="6A4BA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jc w:val="center"/>
        </w:trPr>
        <w:tc>
          <w:tcPr>
            <w:tcW w:w="566" w:type="dxa"/>
            <w:vAlign w:val="center"/>
          </w:tcPr>
          <w:p w14:paraId="6E227A01">
            <w:pPr>
              <w:keepNext w:val="0"/>
              <w:keepLines w:val="0"/>
              <w:suppressLineNumbers w:val="0"/>
              <w:spacing w:before="0" w:beforeAutospacing="0" w:after="0" w:afterAutospacing="0" w:line="460" w:lineRule="exact"/>
              <w:ind w:left="0" w:right="0"/>
              <w:jc w:val="center"/>
              <w:rPr>
                <w:rFonts w:hint="default"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7</w:t>
            </w:r>
          </w:p>
        </w:tc>
        <w:tc>
          <w:tcPr>
            <w:tcW w:w="6263" w:type="dxa"/>
            <w:vAlign w:val="bottom"/>
          </w:tcPr>
          <w:p w14:paraId="234CDEA5">
            <w:pPr>
              <w:spacing w:line="360" w:lineRule="auto"/>
              <w:rPr>
                <w:rFonts w:hint="eastAsia" w:ascii="仿宋" w:hAnsi="仿宋" w:eastAsia="仿宋" w:cs="仿宋"/>
                <w:color w:val="auto"/>
                <w:sz w:val="24"/>
              </w:rPr>
            </w:pPr>
            <w:r>
              <w:rPr>
                <w:rFonts w:hint="eastAsia" w:ascii="仿宋" w:hAnsi="仿宋" w:eastAsia="仿宋" w:cs="仿宋"/>
                <w:bCs/>
                <w:color w:val="auto"/>
                <w:sz w:val="21"/>
                <w:szCs w:val="21"/>
                <w:highlight w:val="none"/>
              </w:rPr>
              <w:t>未提供招标文件</w:t>
            </w:r>
            <w:r>
              <w:rPr>
                <w:rFonts w:hint="eastAsia" w:ascii="仿宋" w:hAnsi="仿宋" w:eastAsia="仿宋" w:cs="仿宋"/>
                <w:bCs/>
                <w:color w:val="auto"/>
                <w:kern w:val="0"/>
                <w:sz w:val="21"/>
                <w:szCs w:val="21"/>
                <w:highlight w:val="none"/>
              </w:rPr>
              <w:t>中规定的其他实质性要求；</w:t>
            </w:r>
          </w:p>
        </w:tc>
        <w:tc>
          <w:tcPr>
            <w:tcW w:w="782" w:type="dxa"/>
          </w:tcPr>
          <w:p w14:paraId="44E3E701">
            <w:pPr>
              <w:keepNext w:val="0"/>
              <w:keepLines w:val="0"/>
              <w:suppressLineNumbers w:val="0"/>
              <w:spacing w:before="0" w:beforeAutospacing="0" w:after="0" w:afterAutospacing="0" w:line="400" w:lineRule="exact"/>
              <w:ind w:left="0" w:right="0"/>
              <w:rPr>
                <w:rFonts w:hint="eastAsia" w:ascii="仿宋" w:hAnsi="仿宋" w:eastAsia="仿宋" w:cs="仿宋"/>
                <w:color w:val="auto"/>
                <w:sz w:val="24"/>
              </w:rPr>
            </w:pPr>
          </w:p>
        </w:tc>
        <w:tc>
          <w:tcPr>
            <w:tcW w:w="829" w:type="dxa"/>
          </w:tcPr>
          <w:p w14:paraId="0A104038">
            <w:pPr>
              <w:keepNext w:val="0"/>
              <w:keepLines w:val="0"/>
              <w:suppressLineNumbers w:val="0"/>
              <w:spacing w:before="0" w:beforeAutospacing="0" w:after="0" w:afterAutospacing="0" w:line="400" w:lineRule="exact"/>
              <w:ind w:left="0" w:right="0"/>
              <w:rPr>
                <w:rFonts w:hint="eastAsia" w:ascii="仿宋" w:hAnsi="仿宋" w:eastAsia="仿宋" w:cs="仿宋"/>
                <w:color w:val="auto"/>
                <w:sz w:val="24"/>
              </w:rPr>
            </w:pPr>
          </w:p>
        </w:tc>
        <w:tc>
          <w:tcPr>
            <w:tcW w:w="934" w:type="dxa"/>
          </w:tcPr>
          <w:p w14:paraId="3213AFE6">
            <w:pPr>
              <w:keepNext w:val="0"/>
              <w:keepLines w:val="0"/>
              <w:suppressLineNumbers w:val="0"/>
              <w:spacing w:before="0" w:beforeAutospacing="0" w:after="0" w:afterAutospacing="0" w:line="400" w:lineRule="exact"/>
              <w:ind w:left="0" w:right="0"/>
              <w:rPr>
                <w:rFonts w:hint="eastAsia" w:ascii="仿宋" w:hAnsi="仿宋" w:eastAsia="仿宋" w:cs="仿宋"/>
                <w:color w:val="auto"/>
                <w:sz w:val="24"/>
              </w:rPr>
            </w:pPr>
          </w:p>
        </w:tc>
      </w:tr>
      <w:tr w14:paraId="0F8B75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566" w:type="dxa"/>
            <w:vAlign w:val="center"/>
          </w:tcPr>
          <w:p w14:paraId="6FCD055F">
            <w:pPr>
              <w:keepNext w:val="0"/>
              <w:keepLines w:val="0"/>
              <w:suppressLineNumbers w:val="0"/>
              <w:spacing w:before="0" w:beforeAutospacing="0" w:after="0" w:afterAutospacing="0" w:line="400" w:lineRule="exact"/>
              <w:ind w:left="0" w:right="0"/>
              <w:jc w:val="center"/>
              <w:rPr>
                <w:rFonts w:hint="eastAsia" w:ascii="仿宋" w:hAnsi="仿宋" w:eastAsia="仿宋" w:cs="仿宋"/>
                <w:color w:val="auto"/>
                <w:sz w:val="24"/>
              </w:rPr>
            </w:pPr>
          </w:p>
        </w:tc>
        <w:tc>
          <w:tcPr>
            <w:tcW w:w="6263" w:type="dxa"/>
            <w:vAlign w:val="center"/>
          </w:tcPr>
          <w:p w14:paraId="02C55DE7">
            <w:pPr>
              <w:keepNext w:val="0"/>
              <w:keepLines w:val="0"/>
              <w:suppressLineNumbers w:val="0"/>
              <w:spacing w:before="0" w:beforeAutospacing="0" w:after="0" w:afterAutospacing="0" w:line="400" w:lineRule="exact"/>
              <w:ind w:left="0" w:right="0"/>
              <w:jc w:val="center"/>
              <w:rPr>
                <w:rFonts w:hint="eastAsia" w:ascii="仿宋" w:hAnsi="仿宋" w:eastAsia="仿宋" w:cs="仿宋"/>
                <w:color w:val="auto"/>
                <w:sz w:val="24"/>
              </w:rPr>
            </w:pPr>
            <w:r>
              <w:rPr>
                <w:rFonts w:hint="eastAsia" w:ascii="仿宋" w:hAnsi="仿宋" w:eastAsia="仿宋" w:cs="仿宋"/>
                <w:color w:val="auto"/>
                <w:sz w:val="24"/>
              </w:rPr>
              <w:t>结论</w:t>
            </w:r>
          </w:p>
        </w:tc>
        <w:tc>
          <w:tcPr>
            <w:tcW w:w="782" w:type="dxa"/>
          </w:tcPr>
          <w:p w14:paraId="4F90FE5C">
            <w:pPr>
              <w:keepNext w:val="0"/>
              <w:keepLines w:val="0"/>
              <w:suppressLineNumbers w:val="0"/>
              <w:spacing w:before="0" w:beforeAutospacing="0" w:after="0" w:afterAutospacing="0" w:line="400" w:lineRule="exact"/>
              <w:ind w:left="0" w:right="0"/>
              <w:rPr>
                <w:rFonts w:hint="eastAsia" w:ascii="仿宋" w:hAnsi="仿宋" w:eastAsia="仿宋" w:cs="仿宋"/>
                <w:color w:val="auto"/>
                <w:sz w:val="24"/>
              </w:rPr>
            </w:pPr>
          </w:p>
        </w:tc>
        <w:tc>
          <w:tcPr>
            <w:tcW w:w="829" w:type="dxa"/>
          </w:tcPr>
          <w:p w14:paraId="1F0E0C30">
            <w:pPr>
              <w:keepNext w:val="0"/>
              <w:keepLines w:val="0"/>
              <w:suppressLineNumbers w:val="0"/>
              <w:spacing w:before="0" w:beforeAutospacing="0" w:after="0" w:afterAutospacing="0" w:line="400" w:lineRule="exact"/>
              <w:ind w:left="0" w:right="0"/>
              <w:rPr>
                <w:rFonts w:hint="eastAsia" w:ascii="仿宋" w:hAnsi="仿宋" w:eastAsia="仿宋" w:cs="仿宋"/>
                <w:color w:val="auto"/>
                <w:sz w:val="24"/>
              </w:rPr>
            </w:pPr>
          </w:p>
        </w:tc>
        <w:tc>
          <w:tcPr>
            <w:tcW w:w="934" w:type="dxa"/>
          </w:tcPr>
          <w:p w14:paraId="2508245C">
            <w:pPr>
              <w:keepNext w:val="0"/>
              <w:keepLines w:val="0"/>
              <w:suppressLineNumbers w:val="0"/>
              <w:spacing w:before="0" w:beforeAutospacing="0" w:after="0" w:afterAutospacing="0" w:line="400" w:lineRule="exact"/>
              <w:ind w:left="0" w:right="0"/>
              <w:rPr>
                <w:rFonts w:hint="eastAsia" w:ascii="仿宋" w:hAnsi="仿宋" w:eastAsia="仿宋" w:cs="仿宋"/>
                <w:color w:val="auto"/>
                <w:sz w:val="24"/>
              </w:rPr>
            </w:pPr>
          </w:p>
        </w:tc>
      </w:tr>
    </w:tbl>
    <w:p w14:paraId="4455E83A">
      <w:pPr>
        <w:spacing w:line="360" w:lineRule="exact"/>
        <w:ind w:firstLine="240" w:firstLineChars="100"/>
        <w:rPr>
          <w:rFonts w:hint="eastAsia" w:ascii="仿宋" w:hAnsi="仿宋" w:eastAsia="仿宋" w:cs="仿宋"/>
          <w:color w:val="auto"/>
          <w:sz w:val="24"/>
        </w:rPr>
      </w:pPr>
      <w:r>
        <w:rPr>
          <w:rFonts w:hint="eastAsia" w:ascii="仿宋" w:hAnsi="仿宋" w:eastAsia="仿宋" w:cs="仿宋"/>
          <w:color w:val="auto"/>
          <w:sz w:val="24"/>
        </w:rPr>
        <w:t>说明：（1）上述各项中用“√”表示通过，“×”表示不通过；</w:t>
      </w:r>
    </w:p>
    <w:p w14:paraId="093D7753">
      <w:pPr>
        <w:spacing w:line="360" w:lineRule="exact"/>
        <w:ind w:firstLine="960" w:firstLineChars="400"/>
        <w:rPr>
          <w:rFonts w:hint="eastAsia" w:ascii="仿宋" w:hAnsi="仿宋" w:eastAsia="仿宋" w:cs="仿宋"/>
          <w:color w:val="auto"/>
          <w:sz w:val="24"/>
        </w:rPr>
      </w:pPr>
      <w:r>
        <w:rPr>
          <w:rFonts w:hint="eastAsia" w:ascii="仿宋" w:hAnsi="仿宋" w:eastAsia="仿宋" w:cs="仿宋"/>
          <w:color w:val="auto"/>
          <w:sz w:val="24"/>
        </w:rPr>
        <w:t>（2）上述各项中如有一项为“×”，则结论为“×”，表示该磋商文件中存在重大偏差，不能通过初步评审；评委对某一分项评审认为不合格时，必须要写明原因。</w:t>
      </w:r>
    </w:p>
    <w:p w14:paraId="088AE693">
      <w:pPr>
        <w:spacing w:line="360" w:lineRule="exact"/>
        <w:ind w:firstLine="960" w:firstLineChars="400"/>
        <w:rPr>
          <w:rFonts w:hint="eastAsia" w:ascii="仿宋" w:hAnsi="仿宋" w:eastAsia="仿宋" w:cs="仿宋"/>
          <w:color w:val="auto"/>
          <w:sz w:val="24"/>
        </w:rPr>
      </w:pPr>
      <w:r>
        <w:rPr>
          <w:rFonts w:hint="eastAsia" w:ascii="仿宋" w:hAnsi="仿宋" w:eastAsia="仿宋" w:cs="仿宋"/>
          <w:color w:val="auto"/>
          <w:sz w:val="24"/>
        </w:rPr>
        <w:t>（3）磋商文件最终合格与否，以所有评委的评审意见中少数服从多数为原则定论。</w:t>
      </w:r>
    </w:p>
    <w:p w14:paraId="5F362E44">
      <w:pPr>
        <w:pStyle w:val="22"/>
        <w:rPr>
          <w:rFonts w:hint="eastAsia" w:ascii="仿宋" w:hAnsi="仿宋" w:eastAsia="仿宋" w:cs="仿宋"/>
          <w:color w:val="auto"/>
        </w:rPr>
      </w:pPr>
      <w:r>
        <w:rPr>
          <w:rFonts w:hint="eastAsia" w:ascii="仿宋" w:hAnsi="仿宋" w:eastAsia="仿宋" w:cs="仿宋"/>
          <w:b/>
          <w:bCs/>
          <w:color w:val="auto"/>
          <w:sz w:val="24"/>
        </w:rPr>
        <w:t>备注：如果磋商文件中有一项未通过上述审查标准，评审委员会将认定整个磋商文件未响应磋商文件而予以废标处理。</w:t>
      </w:r>
      <w:bookmarkStart w:id="527" w:name="_Toc22896"/>
      <w:bookmarkStart w:id="528" w:name="_Toc19552"/>
    </w:p>
    <w:p w14:paraId="1D2DF59F">
      <w:pPr>
        <w:pStyle w:val="9"/>
        <w:spacing w:line="300" w:lineRule="auto"/>
        <w:ind w:firstLine="0"/>
        <w:jc w:val="center"/>
        <w:outlineLvl w:val="1"/>
        <w:rPr>
          <w:rFonts w:hint="eastAsia" w:ascii="仿宋" w:hAnsi="仿宋" w:eastAsia="仿宋" w:cs="仿宋"/>
          <w:b/>
          <w:color w:val="auto"/>
          <w:sz w:val="28"/>
          <w:szCs w:val="28"/>
        </w:rPr>
        <w:sectPr>
          <w:pgSz w:w="11907" w:h="16840"/>
          <w:pgMar w:top="1440" w:right="1080" w:bottom="1440" w:left="1080" w:header="851" w:footer="851" w:gutter="0"/>
          <w:pgBorders>
            <w:top w:val="none" w:sz="0" w:space="0"/>
            <w:left w:val="none" w:sz="0" w:space="0"/>
            <w:bottom w:val="none" w:sz="0" w:space="0"/>
            <w:right w:val="none" w:sz="0" w:space="0"/>
          </w:pgBorders>
          <w:pgNumType w:fmt="decimal"/>
          <w:cols w:space="720" w:num="1"/>
          <w:docGrid w:linePitch="462" w:charSpace="0"/>
        </w:sectPr>
      </w:pPr>
      <w:bookmarkStart w:id="529" w:name="_Toc15668"/>
      <w:bookmarkStart w:id="530" w:name="_Toc10503"/>
      <w:bookmarkStart w:id="531" w:name="_Toc12258"/>
    </w:p>
    <w:bookmarkEnd w:id="527"/>
    <w:bookmarkEnd w:id="528"/>
    <w:bookmarkEnd w:id="529"/>
    <w:bookmarkEnd w:id="530"/>
    <w:bookmarkEnd w:id="531"/>
    <w:p w14:paraId="54DB1C46">
      <w:pPr>
        <w:spacing w:line="300" w:lineRule="auto"/>
        <w:jc w:val="center"/>
        <w:outlineLvl w:val="1"/>
        <w:rPr>
          <w:rFonts w:hint="eastAsia" w:ascii="仿宋" w:hAnsi="仿宋" w:eastAsia="仿宋" w:cs="宋体"/>
          <w:b/>
          <w:bCs/>
          <w:kern w:val="0"/>
          <w:sz w:val="32"/>
          <w:szCs w:val="32"/>
          <w:lang w:val="en-US" w:eastAsia="zh-CN"/>
        </w:rPr>
      </w:pPr>
      <w:r>
        <w:rPr>
          <w:rFonts w:hint="eastAsia" w:ascii="仿宋" w:hAnsi="仿宋" w:eastAsia="仿宋" w:cs="宋体"/>
          <w:b/>
          <w:bCs/>
          <w:kern w:val="0"/>
          <w:sz w:val="32"/>
          <w:szCs w:val="32"/>
          <w:lang w:val="en-US" w:eastAsia="zh-CN"/>
        </w:rPr>
        <w:t>商务标评审表</w:t>
      </w:r>
    </w:p>
    <w:tbl>
      <w:tblPr>
        <w:tblStyle w:val="23"/>
        <w:tblW w:w="8961" w:type="dxa"/>
        <w:tblInd w:w="-153" w:type="dxa"/>
        <w:tblLayout w:type="fixed"/>
        <w:tblCellMar>
          <w:top w:w="0" w:type="dxa"/>
          <w:left w:w="108" w:type="dxa"/>
          <w:bottom w:w="0" w:type="dxa"/>
          <w:right w:w="108" w:type="dxa"/>
        </w:tblCellMar>
      </w:tblPr>
      <w:tblGrid>
        <w:gridCol w:w="2413"/>
        <w:gridCol w:w="3502"/>
        <w:gridCol w:w="914"/>
        <w:gridCol w:w="1066"/>
        <w:gridCol w:w="1066"/>
      </w:tblGrid>
      <w:tr w14:paraId="62B015E3">
        <w:tblPrEx>
          <w:tblCellMar>
            <w:top w:w="0" w:type="dxa"/>
            <w:left w:w="108" w:type="dxa"/>
            <w:bottom w:w="0" w:type="dxa"/>
            <w:right w:w="108" w:type="dxa"/>
          </w:tblCellMar>
        </w:tblPrEx>
        <w:trPr>
          <w:trHeight w:val="546" w:hRule="atLeast"/>
        </w:trPr>
        <w:tc>
          <w:tcPr>
            <w:tcW w:w="5915" w:type="dxa"/>
            <w:gridSpan w:val="2"/>
            <w:tcBorders>
              <w:top w:val="single" w:color="auto" w:sz="4" w:space="0"/>
              <w:left w:val="single" w:color="auto" w:sz="4" w:space="0"/>
              <w:bottom w:val="single" w:color="auto" w:sz="4" w:space="0"/>
              <w:right w:val="single" w:color="auto" w:sz="4" w:space="0"/>
            </w:tcBorders>
            <w:vAlign w:val="center"/>
          </w:tcPr>
          <w:p w14:paraId="33BEBFEF">
            <w:pPr>
              <w:widowControl/>
              <w:jc w:val="center"/>
              <w:rPr>
                <w:rFonts w:ascii="仿宋" w:hAnsi="仿宋" w:eastAsia="仿宋" w:cs="仿宋"/>
                <w:b/>
                <w:kern w:val="0"/>
                <w:sz w:val="24"/>
              </w:rPr>
            </w:pPr>
            <w:r>
              <w:rPr>
                <w:rFonts w:hint="eastAsia" w:ascii="仿宋" w:hAnsi="仿宋" w:eastAsia="仿宋" w:cs="仿宋"/>
                <w:b/>
                <w:kern w:val="0"/>
                <w:sz w:val="24"/>
              </w:rPr>
              <w:t>审查事项</w:t>
            </w:r>
          </w:p>
        </w:tc>
        <w:tc>
          <w:tcPr>
            <w:tcW w:w="3046" w:type="dxa"/>
            <w:gridSpan w:val="3"/>
            <w:tcBorders>
              <w:top w:val="single" w:color="auto" w:sz="4" w:space="0"/>
              <w:left w:val="single" w:color="auto" w:sz="4" w:space="0"/>
              <w:bottom w:val="single" w:color="auto" w:sz="4" w:space="0"/>
              <w:right w:val="single" w:color="auto" w:sz="4" w:space="0"/>
            </w:tcBorders>
            <w:vAlign w:val="center"/>
          </w:tcPr>
          <w:p w14:paraId="69250B10">
            <w:pPr>
              <w:widowControl/>
              <w:jc w:val="center"/>
              <w:rPr>
                <w:rFonts w:ascii="仿宋" w:hAnsi="仿宋" w:eastAsia="仿宋" w:cs="仿宋"/>
                <w:b/>
                <w:kern w:val="0"/>
                <w:sz w:val="24"/>
              </w:rPr>
            </w:pPr>
            <w:r>
              <w:rPr>
                <w:rFonts w:hint="eastAsia" w:ascii="仿宋" w:hAnsi="仿宋" w:eastAsia="仿宋" w:cs="仿宋"/>
                <w:b/>
                <w:kern w:val="0"/>
                <w:sz w:val="24"/>
              </w:rPr>
              <w:t>投标人名称及审查情况</w:t>
            </w:r>
          </w:p>
        </w:tc>
      </w:tr>
      <w:tr w14:paraId="21CF64D1">
        <w:tblPrEx>
          <w:tblCellMar>
            <w:top w:w="0" w:type="dxa"/>
            <w:left w:w="108" w:type="dxa"/>
            <w:bottom w:w="0" w:type="dxa"/>
            <w:right w:w="108" w:type="dxa"/>
          </w:tblCellMar>
        </w:tblPrEx>
        <w:trPr>
          <w:trHeight w:val="570" w:hRule="atLeast"/>
        </w:trPr>
        <w:tc>
          <w:tcPr>
            <w:tcW w:w="2413" w:type="dxa"/>
            <w:tcBorders>
              <w:top w:val="single" w:color="auto" w:sz="4" w:space="0"/>
              <w:left w:val="single" w:color="auto" w:sz="4" w:space="0"/>
              <w:bottom w:val="single" w:color="auto" w:sz="4" w:space="0"/>
              <w:right w:val="single" w:color="auto" w:sz="4" w:space="0"/>
            </w:tcBorders>
            <w:vAlign w:val="center"/>
          </w:tcPr>
          <w:p w14:paraId="18351870">
            <w:pPr>
              <w:widowControl/>
              <w:jc w:val="left"/>
              <w:rPr>
                <w:rFonts w:ascii="仿宋" w:hAnsi="仿宋" w:eastAsia="仿宋" w:cs="仿宋"/>
                <w:b/>
                <w:kern w:val="0"/>
                <w:sz w:val="24"/>
              </w:rPr>
            </w:pPr>
            <w:r>
              <w:rPr>
                <w:rFonts w:hint="eastAsia" w:ascii="仿宋" w:hAnsi="仿宋" w:eastAsia="仿宋" w:cs="仿宋"/>
                <w:b/>
                <w:kern w:val="0"/>
                <w:sz w:val="24"/>
              </w:rPr>
              <w:t>招标文件条款（投标人须知、投标人须知资料表条款号）</w:t>
            </w:r>
          </w:p>
        </w:tc>
        <w:tc>
          <w:tcPr>
            <w:tcW w:w="3502" w:type="dxa"/>
            <w:tcBorders>
              <w:top w:val="single" w:color="auto" w:sz="4" w:space="0"/>
              <w:left w:val="single" w:color="auto" w:sz="4" w:space="0"/>
              <w:bottom w:val="single" w:color="auto" w:sz="4" w:space="0"/>
              <w:right w:val="single" w:color="auto" w:sz="4" w:space="0"/>
            </w:tcBorders>
            <w:vAlign w:val="center"/>
          </w:tcPr>
          <w:p w14:paraId="22564DE0">
            <w:pPr>
              <w:widowControl/>
              <w:jc w:val="center"/>
              <w:rPr>
                <w:rFonts w:ascii="仿宋" w:hAnsi="仿宋" w:eastAsia="仿宋" w:cs="仿宋"/>
                <w:b/>
                <w:kern w:val="0"/>
                <w:sz w:val="24"/>
              </w:rPr>
            </w:pPr>
            <w:r>
              <w:rPr>
                <w:rFonts w:hint="eastAsia" w:ascii="仿宋" w:hAnsi="仿宋" w:eastAsia="仿宋" w:cs="仿宋"/>
                <w:b/>
                <w:kern w:val="0"/>
                <w:sz w:val="24"/>
              </w:rPr>
              <w:t>本项目要求</w:t>
            </w:r>
          </w:p>
        </w:tc>
        <w:tc>
          <w:tcPr>
            <w:tcW w:w="914" w:type="dxa"/>
            <w:tcBorders>
              <w:top w:val="single" w:color="auto" w:sz="4" w:space="0"/>
              <w:left w:val="single" w:color="auto" w:sz="4" w:space="0"/>
              <w:bottom w:val="single" w:color="auto" w:sz="4" w:space="0"/>
              <w:right w:val="single" w:color="auto" w:sz="4" w:space="0"/>
            </w:tcBorders>
            <w:vAlign w:val="center"/>
          </w:tcPr>
          <w:p w14:paraId="24F06F4E">
            <w:pPr>
              <w:widowControl/>
              <w:jc w:val="left"/>
              <w:rPr>
                <w:rFonts w:ascii="仿宋" w:hAnsi="仿宋" w:eastAsia="仿宋" w:cs="仿宋"/>
                <w:kern w:val="0"/>
                <w:sz w:val="24"/>
              </w:rPr>
            </w:pPr>
            <w:r>
              <w:rPr>
                <w:rFonts w:hint="eastAsia" w:ascii="仿宋" w:hAnsi="仿宋" w:eastAsia="仿宋" w:cs="仿宋"/>
                <w:kern w:val="0"/>
                <w:sz w:val="24"/>
              </w:rPr>
              <w:t>　</w:t>
            </w:r>
          </w:p>
        </w:tc>
        <w:tc>
          <w:tcPr>
            <w:tcW w:w="1066" w:type="dxa"/>
            <w:tcBorders>
              <w:top w:val="single" w:color="auto" w:sz="4" w:space="0"/>
              <w:left w:val="nil"/>
              <w:bottom w:val="single" w:color="auto" w:sz="4" w:space="0"/>
              <w:right w:val="single" w:color="auto" w:sz="4" w:space="0"/>
            </w:tcBorders>
            <w:vAlign w:val="center"/>
          </w:tcPr>
          <w:p w14:paraId="066CCFA3">
            <w:pPr>
              <w:widowControl/>
              <w:jc w:val="left"/>
              <w:rPr>
                <w:rFonts w:ascii="仿宋" w:hAnsi="仿宋" w:eastAsia="仿宋" w:cs="仿宋"/>
                <w:kern w:val="0"/>
                <w:sz w:val="24"/>
              </w:rPr>
            </w:pPr>
            <w:r>
              <w:rPr>
                <w:rFonts w:hint="eastAsia" w:ascii="仿宋" w:hAnsi="仿宋" w:eastAsia="仿宋" w:cs="仿宋"/>
                <w:kern w:val="0"/>
                <w:sz w:val="24"/>
              </w:rPr>
              <w:t>　</w:t>
            </w:r>
          </w:p>
        </w:tc>
        <w:tc>
          <w:tcPr>
            <w:tcW w:w="1066" w:type="dxa"/>
            <w:tcBorders>
              <w:top w:val="single" w:color="auto" w:sz="4" w:space="0"/>
              <w:left w:val="nil"/>
              <w:bottom w:val="single" w:color="auto" w:sz="4" w:space="0"/>
              <w:right w:val="single" w:color="auto" w:sz="4" w:space="0"/>
            </w:tcBorders>
            <w:vAlign w:val="center"/>
          </w:tcPr>
          <w:p w14:paraId="69704F7D">
            <w:pPr>
              <w:widowControl/>
              <w:jc w:val="left"/>
              <w:rPr>
                <w:rFonts w:ascii="仿宋" w:hAnsi="仿宋" w:eastAsia="仿宋" w:cs="仿宋"/>
                <w:kern w:val="0"/>
                <w:sz w:val="24"/>
              </w:rPr>
            </w:pPr>
            <w:r>
              <w:rPr>
                <w:rFonts w:hint="eastAsia" w:ascii="仿宋" w:hAnsi="仿宋" w:eastAsia="仿宋" w:cs="仿宋"/>
                <w:kern w:val="0"/>
                <w:sz w:val="24"/>
              </w:rPr>
              <w:t>　</w:t>
            </w:r>
          </w:p>
        </w:tc>
      </w:tr>
      <w:tr w14:paraId="4D154FF9">
        <w:tblPrEx>
          <w:tblCellMar>
            <w:top w:w="0" w:type="dxa"/>
            <w:left w:w="108" w:type="dxa"/>
            <w:bottom w:w="0" w:type="dxa"/>
            <w:right w:w="108" w:type="dxa"/>
          </w:tblCellMar>
        </w:tblPrEx>
        <w:trPr>
          <w:trHeight w:val="408" w:hRule="atLeast"/>
        </w:trPr>
        <w:tc>
          <w:tcPr>
            <w:tcW w:w="2413" w:type="dxa"/>
            <w:tcBorders>
              <w:top w:val="single" w:color="auto" w:sz="4" w:space="0"/>
              <w:left w:val="single" w:color="auto" w:sz="4" w:space="0"/>
              <w:bottom w:val="single" w:color="auto" w:sz="4" w:space="0"/>
              <w:right w:val="single" w:color="auto" w:sz="4" w:space="0"/>
            </w:tcBorders>
            <w:vAlign w:val="center"/>
          </w:tcPr>
          <w:p w14:paraId="0EBD3089">
            <w:pPr>
              <w:widowControl/>
              <w:jc w:val="center"/>
              <w:rPr>
                <w:rFonts w:ascii="仿宋" w:hAnsi="仿宋" w:eastAsia="仿宋" w:cs="仿宋"/>
                <w:kern w:val="0"/>
                <w:sz w:val="24"/>
              </w:rPr>
            </w:pPr>
            <w:bookmarkStart w:id="532" w:name="OLE_LINK2" w:colFirst="0" w:colLast="0"/>
            <w:r>
              <w:rPr>
                <w:rFonts w:hint="eastAsia" w:ascii="仿宋" w:hAnsi="仿宋" w:eastAsia="仿宋" w:cs="仿宋"/>
                <w:kern w:val="0"/>
                <w:sz w:val="24"/>
              </w:rPr>
              <w:t>中小企业投标要求</w:t>
            </w:r>
          </w:p>
        </w:tc>
        <w:tc>
          <w:tcPr>
            <w:tcW w:w="3502" w:type="dxa"/>
            <w:tcBorders>
              <w:top w:val="single" w:color="auto" w:sz="4" w:space="0"/>
              <w:left w:val="nil"/>
              <w:bottom w:val="single" w:color="auto" w:sz="4" w:space="0"/>
              <w:right w:val="single" w:color="auto" w:sz="4" w:space="0"/>
            </w:tcBorders>
            <w:vAlign w:val="center"/>
          </w:tcPr>
          <w:p w14:paraId="0B0644FF">
            <w:pPr>
              <w:widowControl/>
              <w:jc w:val="center"/>
              <w:rPr>
                <w:rFonts w:ascii="仿宋" w:hAnsi="仿宋" w:eastAsia="仿宋" w:cs="仿宋"/>
                <w:kern w:val="0"/>
                <w:sz w:val="24"/>
              </w:rPr>
            </w:pPr>
            <w:r>
              <w:rPr>
                <w:rFonts w:hint="eastAsia" w:ascii="仿宋" w:hAnsi="仿宋" w:eastAsia="仿宋" w:cs="仿宋"/>
                <w:kern w:val="0"/>
                <w:sz w:val="24"/>
              </w:rPr>
              <w:t>本项目</w:t>
            </w:r>
            <w:r>
              <w:rPr>
                <w:rFonts w:hint="eastAsia" w:ascii="仿宋" w:hAnsi="仿宋" w:eastAsia="仿宋" w:cs="仿宋"/>
                <w:kern w:val="0"/>
                <w:sz w:val="24"/>
                <w:u w:val="single"/>
              </w:rPr>
              <w:t>适用</w:t>
            </w:r>
          </w:p>
        </w:tc>
        <w:tc>
          <w:tcPr>
            <w:tcW w:w="914" w:type="dxa"/>
            <w:tcBorders>
              <w:top w:val="single" w:color="auto" w:sz="4" w:space="0"/>
              <w:left w:val="nil"/>
              <w:bottom w:val="single" w:color="auto" w:sz="4" w:space="0"/>
              <w:right w:val="single" w:color="auto" w:sz="4" w:space="0"/>
            </w:tcBorders>
            <w:vAlign w:val="center"/>
          </w:tcPr>
          <w:p w14:paraId="706847C6">
            <w:pPr>
              <w:widowControl/>
              <w:jc w:val="left"/>
              <w:rPr>
                <w:rFonts w:ascii="仿宋" w:hAnsi="仿宋" w:eastAsia="仿宋" w:cs="仿宋"/>
                <w:kern w:val="0"/>
                <w:sz w:val="24"/>
              </w:rPr>
            </w:pPr>
          </w:p>
        </w:tc>
        <w:tc>
          <w:tcPr>
            <w:tcW w:w="1066" w:type="dxa"/>
            <w:tcBorders>
              <w:top w:val="single" w:color="auto" w:sz="4" w:space="0"/>
              <w:left w:val="nil"/>
              <w:bottom w:val="single" w:color="auto" w:sz="4" w:space="0"/>
              <w:right w:val="single" w:color="auto" w:sz="4" w:space="0"/>
            </w:tcBorders>
            <w:vAlign w:val="center"/>
          </w:tcPr>
          <w:p w14:paraId="7D76C66A">
            <w:pPr>
              <w:widowControl/>
              <w:jc w:val="left"/>
              <w:rPr>
                <w:rFonts w:ascii="仿宋" w:hAnsi="仿宋" w:eastAsia="仿宋" w:cs="仿宋"/>
                <w:kern w:val="0"/>
                <w:sz w:val="24"/>
              </w:rPr>
            </w:pPr>
          </w:p>
        </w:tc>
        <w:tc>
          <w:tcPr>
            <w:tcW w:w="1066" w:type="dxa"/>
            <w:tcBorders>
              <w:top w:val="single" w:color="auto" w:sz="4" w:space="0"/>
              <w:left w:val="nil"/>
              <w:bottom w:val="single" w:color="auto" w:sz="4" w:space="0"/>
              <w:right w:val="single" w:color="auto" w:sz="4" w:space="0"/>
            </w:tcBorders>
            <w:vAlign w:val="center"/>
          </w:tcPr>
          <w:p w14:paraId="36870EF0">
            <w:pPr>
              <w:widowControl/>
              <w:jc w:val="left"/>
              <w:rPr>
                <w:rFonts w:ascii="仿宋" w:hAnsi="仿宋" w:eastAsia="仿宋" w:cs="仿宋"/>
                <w:kern w:val="0"/>
                <w:sz w:val="24"/>
              </w:rPr>
            </w:pPr>
          </w:p>
        </w:tc>
      </w:tr>
      <w:tr w14:paraId="23DD8B38">
        <w:tblPrEx>
          <w:tblCellMar>
            <w:top w:w="0" w:type="dxa"/>
            <w:left w:w="108" w:type="dxa"/>
            <w:bottom w:w="0" w:type="dxa"/>
            <w:right w:w="108" w:type="dxa"/>
          </w:tblCellMar>
        </w:tblPrEx>
        <w:trPr>
          <w:trHeight w:val="510" w:hRule="atLeast"/>
        </w:trPr>
        <w:tc>
          <w:tcPr>
            <w:tcW w:w="2413" w:type="dxa"/>
            <w:tcBorders>
              <w:top w:val="single" w:color="auto" w:sz="4" w:space="0"/>
              <w:left w:val="single" w:color="auto" w:sz="4" w:space="0"/>
              <w:bottom w:val="single" w:color="auto" w:sz="4" w:space="0"/>
              <w:right w:val="single" w:color="auto" w:sz="4" w:space="0"/>
            </w:tcBorders>
            <w:vAlign w:val="center"/>
          </w:tcPr>
          <w:p w14:paraId="340A84E3">
            <w:pPr>
              <w:widowControl/>
              <w:jc w:val="center"/>
              <w:rPr>
                <w:rFonts w:ascii="仿宋" w:hAnsi="仿宋" w:eastAsia="仿宋" w:cs="仿宋"/>
                <w:kern w:val="0"/>
                <w:sz w:val="24"/>
              </w:rPr>
            </w:pPr>
            <w:r>
              <w:rPr>
                <w:rFonts w:hint="eastAsia" w:ascii="仿宋" w:hAnsi="仿宋" w:eastAsia="仿宋" w:cs="仿宋"/>
                <w:kern w:val="0"/>
                <w:sz w:val="24"/>
              </w:rPr>
              <w:t>联合体投标规定</w:t>
            </w:r>
          </w:p>
        </w:tc>
        <w:tc>
          <w:tcPr>
            <w:tcW w:w="3502" w:type="dxa"/>
            <w:tcBorders>
              <w:top w:val="single" w:color="auto" w:sz="4" w:space="0"/>
              <w:left w:val="nil"/>
              <w:bottom w:val="single" w:color="auto" w:sz="4" w:space="0"/>
              <w:right w:val="single" w:color="auto" w:sz="4" w:space="0"/>
            </w:tcBorders>
            <w:vAlign w:val="center"/>
          </w:tcPr>
          <w:p w14:paraId="28518373">
            <w:pPr>
              <w:widowControl/>
              <w:jc w:val="center"/>
              <w:rPr>
                <w:rFonts w:ascii="仿宋" w:hAnsi="仿宋" w:eastAsia="仿宋" w:cs="仿宋"/>
                <w:kern w:val="0"/>
                <w:sz w:val="24"/>
              </w:rPr>
            </w:pPr>
            <w:r>
              <w:rPr>
                <w:rFonts w:hint="eastAsia" w:ascii="仿宋" w:hAnsi="仿宋" w:eastAsia="仿宋" w:cs="仿宋"/>
                <w:kern w:val="0"/>
                <w:sz w:val="24"/>
              </w:rPr>
              <w:t>本项目</w:t>
            </w:r>
            <w:r>
              <w:rPr>
                <w:rFonts w:hint="eastAsia" w:ascii="仿宋" w:hAnsi="仿宋" w:eastAsia="仿宋" w:cs="仿宋"/>
                <w:kern w:val="0"/>
                <w:sz w:val="24"/>
                <w:u w:val="single"/>
              </w:rPr>
              <w:t>不接受</w:t>
            </w:r>
            <w:r>
              <w:rPr>
                <w:rFonts w:hint="eastAsia" w:ascii="仿宋" w:hAnsi="仿宋" w:eastAsia="仿宋" w:cs="仿宋"/>
                <w:kern w:val="0"/>
                <w:sz w:val="24"/>
              </w:rPr>
              <w:t>联合体投标</w:t>
            </w:r>
          </w:p>
        </w:tc>
        <w:tc>
          <w:tcPr>
            <w:tcW w:w="914" w:type="dxa"/>
            <w:tcBorders>
              <w:top w:val="single" w:color="auto" w:sz="4" w:space="0"/>
              <w:left w:val="nil"/>
              <w:bottom w:val="single" w:color="auto" w:sz="4" w:space="0"/>
              <w:right w:val="single" w:color="auto" w:sz="4" w:space="0"/>
            </w:tcBorders>
            <w:vAlign w:val="center"/>
          </w:tcPr>
          <w:p w14:paraId="41EF9F29">
            <w:pPr>
              <w:widowControl/>
              <w:jc w:val="left"/>
              <w:rPr>
                <w:rFonts w:ascii="仿宋" w:hAnsi="仿宋" w:eastAsia="仿宋" w:cs="仿宋"/>
                <w:kern w:val="0"/>
                <w:sz w:val="24"/>
              </w:rPr>
            </w:pPr>
            <w:r>
              <w:rPr>
                <w:rFonts w:hint="eastAsia" w:ascii="仿宋" w:hAnsi="仿宋" w:eastAsia="仿宋" w:cs="仿宋"/>
                <w:kern w:val="0"/>
                <w:sz w:val="24"/>
              </w:rPr>
              <w:t>　</w:t>
            </w:r>
          </w:p>
        </w:tc>
        <w:tc>
          <w:tcPr>
            <w:tcW w:w="1066" w:type="dxa"/>
            <w:tcBorders>
              <w:top w:val="single" w:color="auto" w:sz="4" w:space="0"/>
              <w:left w:val="nil"/>
              <w:bottom w:val="single" w:color="auto" w:sz="4" w:space="0"/>
              <w:right w:val="single" w:color="auto" w:sz="4" w:space="0"/>
            </w:tcBorders>
            <w:vAlign w:val="center"/>
          </w:tcPr>
          <w:p w14:paraId="1BEE61AC">
            <w:pPr>
              <w:widowControl/>
              <w:jc w:val="left"/>
              <w:rPr>
                <w:rFonts w:ascii="仿宋" w:hAnsi="仿宋" w:eastAsia="仿宋" w:cs="仿宋"/>
                <w:kern w:val="0"/>
                <w:sz w:val="24"/>
              </w:rPr>
            </w:pPr>
            <w:r>
              <w:rPr>
                <w:rFonts w:hint="eastAsia" w:ascii="仿宋" w:hAnsi="仿宋" w:eastAsia="仿宋" w:cs="仿宋"/>
                <w:kern w:val="0"/>
                <w:sz w:val="24"/>
              </w:rPr>
              <w:t>　</w:t>
            </w:r>
          </w:p>
        </w:tc>
        <w:tc>
          <w:tcPr>
            <w:tcW w:w="1066" w:type="dxa"/>
            <w:tcBorders>
              <w:top w:val="single" w:color="auto" w:sz="4" w:space="0"/>
              <w:left w:val="nil"/>
              <w:bottom w:val="single" w:color="auto" w:sz="4" w:space="0"/>
              <w:right w:val="single" w:color="auto" w:sz="4" w:space="0"/>
            </w:tcBorders>
            <w:vAlign w:val="center"/>
          </w:tcPr>
          <w:p w14:paraId="0AFE2579">
            <w:pPr>
              <w:widowControl/>
              <w:jc w:val="left"/>
              <w:rPr>
                <w:rFonts w:ascii="仿宋" w:hAnsi="仿宋" w:eastAsia="仿宋" w:cs="仿宋"/>
                <w:kern w:val="0"/>
                <w:sz w:val="24"/>
              </w:rPr>
            </w:pPr>
            <w:r>
              <w:rPr>
                <w:rFonts w:hint="eastAsia" w:ascii="仿宋" w:hAnsi="仿宋" w:eastAsia="仿宋" w:cs="仿宋"/>
                <w:kern w:val="0"/>
                <w:sz w:val="24"/>
              </w:rPr>
              <w:t>　</w:t>
            </w:r>
          </w:p>
        </w:tc>
      </w:tr>
      <w:bookmarkEnd w:id="532"/>
      <w:tr w14:paraId="2A757E87">
        <w:tblPrEx>
          <w:tblCellMar>
            <w:top w:w="0" w:type="dxa"/>
            <w:left w:w="108" w:type="dxa"/>
            <w:bottom w:w="0" w:type="dxa"/>
            <w:right w:w="108" w:type="dxa"/>
          </w:tblCellMar>
        </w:tblPrEx>
        <w:trPr>
          <w:trHeight w:val="510" w:hRule="atLeast"/>
        </w:trPr>
        <w:tc>
          <w:tcPr>
            <w:tcW w:w="2413" w:type="dxa"/>
            <w:tcBorders>
              <w:top w:val="single" w:color="auto" w:sz="4" w:space="0"/>
              <w:left w:val="single" w:color="auto" w:sz="4" w:space="0"/>
              <w:bottom w:val="single" w:color="auto" w:sz="4" w:space="0"/>
              <w:right w:val="single" w:color="auto" w:sz="4" w:space="0"/>
            </w:tcBorders>
            <w:vAlign w:val="center"/>
          </w:tcPr>
          <w:p w14:paraId="78883B52">
            <w:pPr>
              <w:widowControl/>
              <w:jc w:val="center"/>
              <w:rPr>
                <w:rFonts w:ascii="仿宋" w:hAnsi="仿宋" w:eastAsia="仿宋" w:cs="仿宋"/>
                <w:kern w:val="0"/>
                <w:sz w:val="24"/>
              </w:rPr>
            </w:pPr>
            <w:bookmarkStart w:id="533" w:name="OLE_LINK1" w:colFirst="1" w:colLast="1"/>
            <w:r>
              <w:rPr>
                <w:rFonts w:hint="eastAsia" w:ascii="仿宋" w:hAnsi="仿宋" w:eastAsia="仿宋" w:cs="仿宋"/>
                <w:kern w:val="0"/>
                <w:sz w:val="24"/>
              </w:rPr>
              <w:t>投标人的关联性</w:t>
            </w:r>
          </w:p>
          <w:p w14:paraId="06453269">
            <w:pPr>
              <w:widowControl/>
              <w:jc w:val="center"/>
              <w:rPr>
                <w:rFonts w:ascii="仿宋" w:hAnsi="仿宋" w:eastAsia="仿宋" w:cs="仿宋"/>
                <w:kern w:val="0"/>
                <w:sz w:val="24"/>
              </w:rPr>
            </w:pPr>
          </w:p>
        </w:tc>
        <w:tc>
          <w:tcPr>
            <w:tcW w:w="3502" w:type="dxa"/>
            <w:tcBorders>
              <w:top w:val="single" w:color="auto" w:sz="4" w:space="0"/>
              <w:left w:val="nil"/>
              <w:bottom w:val="single" w:color="auto" w:sz="4" w:space="0"/>
              <w:right w:val="single" w:color="auto" w:sz="4" w:space="0"/>
            </w:tcBorders>
            <w:vAlign w:val="center"/>
          </w:tcPr>
          <w:p w14:paraId="0512F657">
            <w:pPr>
              <w:widowControl/>
              <w:jc w:val="center"/>
              <w:rPr>
                <w:rFonts w:ascii="仿宋" w:hAnsi="仿宋" w:eastAsia="仿宋" w:cs="仿宋"/>
                <w:kern w:val="0"/>
                <w:sz w:val="24"/>
              </w:rPr>
            </w:pPr>
            <w:r>
              <w:rPr>
                <w:rFonts w:hint="eastAsia" w:ascii="仿宋" w:hAnsi="仿宋" w:eastAsia="仿宋" w:cs="仿宋"/>
                <w:kern w:val="0"/>
                <w:sz w:val="24"/>
              </w:rPr>
              <w:t>在同一标包内，单位负责人为非同一人或者不存在直接控股、管理关系的不同供应商。</w:t>
            </w:r>
          </w:p>
        </w:tc>
        <w:tc>
          <w:tcPr>
            <w:tcW w:w="914" w:type="dxa"/>
            <w:tcBorders>
              <w:top w:val="single" w:color="auto" w:sz="4" w:space="0"/>
              <w:left w:val="nil"/>
              <w:bottom w:val="single" w:color="auto" w:sz="4" w:space="0"/>
              <w:right w:val="single" w:color="auto" w:sz="4" w:space="0"/>
            </w:tcBorders>
            <w:vAlign w:val="center"/>
          </w:tcPr>
          <w:p w14:paraId="23C7DD77">
            <w:pPr>
              <w:widowControl/>
              <w:jc w:val="left"/>
              <w:rPr>
                <w:rFonts w:ascii="仿宋" w:hAnsi="仿宋" w:eastAsia="仿宋" w:cs="仿宋"/>
                <w:kern w:val="0"/>
                <w:sz w:val="24"/>
              </w:rPr>
            </w:pPr>
            <w:r>
              <w:rPr>
                <w:rFonts w:hint="eastAsia" w:ascii="仿宋" w:hAnsi="仿宋" w:eastAsia="仿宋" w:cs="仿宋"/>
                <w:kern w:val="0"/>
                <w:sz w:val="24"/>
              </w:rPr>
              <w:t>　</w:t>
            </w:r>
          </w:p>
        </w:tc>
        <w:tc>
          <w:tcPr>
            <w:tcW w:w="1066" w:type="dxa"/>
            <w:tcBorders>
              <w:top w:val="single" w:color="auto" w:sz="4" w:space="0"/>
              <w:left w:val="nil"/>
              <w:bottom w:val="single" w:color="auto" w:sz="4" w:space="0"/>
              <w:right w:val="single" w:color="auto" w:sz="4" w:space="0"/>
            </w:tcBorders>
            <w:vAlign w:val="center"/>
          </w:tcPr>
          <w:p w14:paraId="6D1486A6">
            <w:pPr>
              <w:widowControl/>
              <w:jc w:val="left"/>
              <w:rPr>
                <w:rFonts w:ascii="仿宋" w:hAnsi="仿宋" w:eastAsia="仿宋" w:cs="仿宋"/>
                <w:kern w:val="0"/>
                <w:sz w:val="24"/>
              </w:rPr>
            </w:pPr>
            <w:r>
              <w:rPr>
                <w:rFonts w:hint="eastAsia" w:ascii="仿宋" w:hAnsi="仿宋" w:eastAsia="仿宋" w:cs="仿宋"/>
                <w:kern w:val="0"/>
                <w:sz w:val="24"/>
              </w:rPr>
              <w:t>　</w:t>
            </w:r>
          </w:p>
        </w:tc>
        <w:tc>
          <w:tcPr>
            <w:tcW w:w="1066" w:type="dxa"/>
            <w:tcBorders>
              <w:top w:val="single" w:color="auto" w:sz="4" w:space="0"/>
              <w:left w:val="nil"/>
              <w:bottom w:val="single" w:color="auto" w:sz="4" w:space="0"/>
              <w:right w:val="single" w:color="auto" w:sz="4" w:space="0"/>
            </w:tcBorders>
            <w:vAlign w:val="center"/>
          </w:tcPr>
          <w:p w14:paraId="10802AFE">
            <w:pPr>
              <w:widowControl/>
              <w:jc w:val="left"/>
              <w:rPr>
                <w:rFonts w:ascii="仿宋" w:hAnsi="仿宋" w:eastAsia="仿宋" w:cs="仿宋"/>
                <w:kern w:val="0"/>
                <w:sz w:val="24"/>
              </w:rPr>
            </w:pPr>
            <w:r>
              <w:rPr>
                <w:rFonts w:hint="eastAsia" w:ascii="仿宋" w:hAnsi="仿宋" w:eastAsia="仿宋" w:cs="仿宋"/>
                <w:kern w:val="0"/>
                <w:sz w:val="24"/>
              </w:rPr>
              <w:t>　</w:t>
            </w:r>
          </w:p>
        </w:tc>
      </w:tr>
      <w:tr w14:paraId="6147C17E">
        <w:tblPrEx>
          <w:tblCellMar>
            <w:top w:w="0" w:type="dxa"/>
            <w:left w:w="108" w:type="dxa"/>
            <w:bottom w:w="0" w:type="dxa"/>
            <w:right w:w="108" w:type="dxa"/>
          </w:tblCellMar>
        </w:tblPrEx>
        <w:trPr>
          <w:trHeight w:val="510" w:hRule="atLeast"/>
        </w:trPr>
        <w:tc>
          <w:tcPr>
            <w:tcW w:w="2413" w:type="dxa"/>
            <w:tcBorders>
              <w:top w:val="single" w:color="auto" w:sz="4" w:space="0"/>
              <w:left w:val="single" w:color="auto" w:sz="4" w:space="0"/>
              <w:bottom w:val="single" w:color="auto" w:sz="4" w:space="0"/>
              <w:right w:val="single" w:color="auto" w:sz="4" w:space="0"/>
            </w:tcBorders>
            <w:vAlign w:val="center"/>
          </w:tcPr>
          <w:p w14:paraId="11AB2749">
            <w:pPr>
              <w:widowControl/>
              <w:jc w:val="center"/>
              <w:rPr>
                <w:rFonts w:ascii="仿宋" w:hAnsi="仿宋" w:eastAsia="仿宋" w:cs="仿宋"/>
                <w:kern w:val="0"/>
                <w:sz w:val="24"/>
              </w:rPr>
            </w:pPr>
            <w:r>
              <w:rPr>
                <w:rFonts w:hint="eastAsia" w:ascii="仿宋" w:hAnsi="仿宋" w:eastAsia="仿宋" w:cs="仿宋"/>
                <w:kern w:val="0"/>
                <w:sz w:val="24"/>
              </w:rPr>
              <w:t>未发现影响采购人决策行为</w:t>
            </w:r>
          </w:p>
        </w:tc>
        <w:tc>
          <w:tcPr>
            <w:tcW w:w="3502" w:type="dxa"/>
            <w:tcBorders>
              <w:top w:val="single" w:color="auto" w:sz="4" w:space="0"/>
              <w:left w:val="nil"/>
              <w:bottom w:val="single" w:color="auto" w:sz="4" w:space="0"/>
              <w:right w:val="single" w:color="auto" w:sz="4" w:space="0"/>
            </w:tcBorders>
            <w:vAlign w:val="center"/>
          </w:tcPr>
          <w:p w14:paraId="5B55A5CF">
            <w:pPr>
              <w:widowControl/>
              <w:jc w:val="center"/>
              <w:rPr>
                <w:rFonts w:ascii="仿宋" w:hAnsi="仿宋" w:eastAsia="仿宋" w:cs="仿宋"/>
                <w:kern w:val="0"/>
                <w:sz w:val="24"/>
              </w:rPr>
            </w:pPr>
            <w:r>
              <w:rPr>
                <w:rFonts w:hint="eastAsia" w:ascii="仿宋" w:hAnsi="仿宋" w:eastAsia="仿宋" w:cs="仿宋"/>
                <w:sz w:val="24"/>
              </w:rPr>
              <w:t>投标人在投标过程中未向采购人提供、给予任何有价值的物品，影响其正常决策行为。</w:t>
            </w:r>
          </w:p>
        </w:tc>
        <w:tc>
          <w:tcPr>
            <w:tcW w:w="914" w:type="dxa"/>
            <w:tcBorders>
              <w:top w:val="single" w:color="auto" w:sz="4" w:space="0"/>
              <w:left w:val="nil"/>
              <w:bottom w:val="single" w:color="auto" w:sz="4" w:space="0"/>
              <w:right w:val="single" w:color="auto" w:sz="4" w:space="0"/>
            </w:tcBorders>
            <w:vAlign w:val="center"/>
          </w:tcPr>
          <w:p w14:paraId="59FC10A6">
            <w:pPr>
              <w:widowControl/>
              <w:jc w:val="left"/>
              <w:rPr>
                <w:rFonts w:ascii="仿宋" w:hAnsi="仿宋" w:eastAsia="仿宋" w:cs="仿宋"/>
                <w:kern w:val="0"/>
                <w:sz w:val="24"/>
              </w:rPr>
            </w:pPr>
          </w:p>
        </w:tc>
        <w:tc>
          <w:tcPr>
            <w:tcW w:w="1066" w:type="dxa"/>
            <w:tcBorders>
              <w:top w:val="single" w:color="auto" w:sz="4" w:space="0"/>
              <w:left w:val="nil"/>
              <w:bottom w:val="single" w:color="auto" w:sz="4" w:space="0"/>
              <w:right w:val="single" w:color="auto" w:sz="4" w:space="0"/>
            </w:tcBorders>
            <w:vAlign w:val="center"/>
          </w:tcPr>
          <w:p w14:paraId="3C24E301">
            <w:pPr>
              <w:widowControl/>
              <w:jc w:val="left"/>
              <w:rPr>
                <w:rFonts w:ascii="仿宋" w:hAnsi="仿宋" w:eastAsia="仿宋" w:cs="仿宋"/>
                <w:kern w:val="0"/>
                <w:sz w:val="24"/>
              </w:rPr>
            </w:pPr>
          </w:p>
        </w:tc>
        <w:tc>
          <w:tcPr>
            <w:tcW w:w="1066" w:type="dxa"/>
            <w:tcBorders>
              <w:top w:val="single" w:color="auto" w:sz="4" w:space="0"/>
              <w:left w:val="nil"/>
              <w:bottom w:val="single" w:color="auto" w:sz="4" w:space="0"/>
              <w:right w:val="single" w:color="auto" w:sz="4" w:space="0"/>
            </w:tcBorders>
            <w:vAlign w:val="center"/>
          </w:tcPr>
          <w:p w14:paraId="5196322D">
            <w:pPr>
              <w:widowControl/>
              <w:jc w:val="left"/>
              <w:rPr>
                <w:rFonts w:ascii="仿宋" w:hAnsi="仿宋" w:eastAsia="仿宋" w:cs="仿宋"/>
                <w:kern w:val="0"/>
                <w:sz w:val="24"/>
              </w:rPr>
            </w:pPr>
          </w:p>
        </w:tc>
      </w:tr>
      <w:tr w14:paraId="53B78D65">
        <w:tblPrEx>
          <w:tblCellMar>
            <w:top w:w="0" w:type="dxa"/>
            <w:left w:w="108" w:type="dxa"/>
            <w:bottom w:w="0" w:type="dxa"/>
            <w:right w:w="108" w:type="dxa"/>
          </w:tblCellMar>
        </w:tblPrEx>
        <w:trPr>
          <w:trHeight w:val="510" w:hRule="atLeast"/>
        </w:trPr>
        <w:tc>
          <w:tcPr>
            <w:tcW w:w="2413" w:type="dxa"/>
            <w:tcBorders>
              <w:top w:val="single" w:color="auto" w:sz="4" w:space="0"/>
              <w:left w:val="single" w:color="auto" w:sz="4" w:space="0"/>
              <w:bottom w:val="single" w:color="auto" w:sz="4" w:space="0"/>
              <w:right w:val="single" w:color="auto" w:sz="4" w:space="0"/>
            </w:tcBorders>
            <w:vAlign w:val="center"/>
          </w:tcPr>
          <w:p w14:paraId="56993CBF">
            <w:pPr>
              <w:widowControl/>
              <w:jc w:val="center"/>
              <w:rPr>
                <w:rFonts w:ascii="仿宋" w:hAnsi="仿宋" w:eastAsia="仿宋" w:cs="仿宋"/>
                <w:kern w:val="0"/>
                <w:sz w:val="24"/>
              </w:rPr>
            </w:pPr>
            <w:r>
              <w:rPr>
                <w:rFonts w:hint="eastAsia" w:ascii="仿宋" w:hAnsi="仿宋" w:eastAsia="仿宋" w:cs="仿宋"/>
                <w:kern w:val="0"/>
                <w:sz w:val="24"/>
              </w:rPr>
              <w:t>满足投标范围的完整性要求</w:t>
            </w:r>
          </w:p>
        </w:tc>
        <w:tc>
          <w:tcPr>
            <w:tcW w:w="3502" w:type="dxa"/>
            <w:tcBorders>
              <w:top w:val="single" w:color="auto" w:sz="4" w:space="0"/>
              <w:left w:val="nil"/>
              <w:bottom w:val="single" w:color="auto" w:sz="4" w:space="0"/>
              <w:right w:val="single" w:color="auto" w:sz="4" w:space="0"/>
            </w:tcBorders>
            <w:vAlign w:val="center"/>
          </w:tcPr>
          <w:p w14:paraId="3F11470F">
            <w:pPr>
              <w:widowControl/>
              <w:jc w:val="center"/>
              <w:rPr>
                <w:rFonts w:ascii="仿宋" w:hAnsi="仿宋" w:eastAsia="仿宋" w:cs="仿宋"/>
                <w:kern w:val="0"/>
                <w:sz w:val="24"/>
              </w:rPr>
            </w:pPr>
            <w:r>
              <w:rPr>
                <w:rFonts w:hint="eastAsia" w:ascii="仿宋" w:hAnsi="仿宋" w:eastAsia="仿宋" w:cs="仿宋"/>
                <w:sz w:val="24"/>
              </w:rPr>
              <w:t>投标人对所投分包招标文件中所列的所有内容进行投标。</w:t>
            </w:r>
          </w:p>
        </w:tc>
        <w:tc>
          <w:tcPr>
            <w:tcW w:w="914" w:type="dxa"/>
            <w:tcBorders>
              <w:top w:val="single" w:color="auto" w:sz="4" w:space="0"/>
              <w:left w:val="nil"/>
              <w:bottom w:val="single" w:color="auto" w:sz="4" w:space="0"/>
              <w:right w:val="single" w:color="auto" w:sz="4" w:space="0"/>
            </w:tcBorders>
            <w:vAlign w:val="center"/>
          </w:tcPr>
          <w:p w14:paraId="0BD8B8ED">
            <w:pPr>
              <w:widowControl/>
              <w:jc w:val="left"/>
              <w:rPr>
                <w:rFonts w:ascii="仿宋" w:hAnsi="仿宋" w:eastAsia="仿宋" w:cs="仿宋"/>
                <w:kern w:val="0"/>
                <w:sz w:val="24"/>
              </w:rPr>
            </w:pPr>
          </w:p>
        </w:tc>
        <w:tc>
          <w:tcPr>
            <w:tcW w:w="1066" w:type="dxa"/>
            <w:tcBorders>
              <w:top w:val="single" w:color="auto" w:sz="4" w:space="0"/>
              <w:left w:val="nil"/>
              <w:bottom w:val="single" w:color="auto" w:sz="4" w:space="0"/>
              <w:right w:val="single" w:color="auto" w:sz="4" w:space="0"/>
            </w:tcBorders>
            <w:vAlign w:val="center"/>
          </w:tcPr>
          <w:p w14:paraId="06063C2A">
            <w:pPr>
              <w:widowControl/>
              <w:jc w:val="left"/>
              <w:rPr>
                <w:rFonts w:ascii="仿宋" w:hAnsi="仿宋" w:eastAsia="仿宋" w:cs="仿宋"/>
                <w:kern w:val="0"/>
                <w:sz w:val="24"/>
              </w:rPr>
            </w:pPr>
          </w:p>
        </w:tc>
        <w:tc>
          <w:tcPr>
            <w:tcW w:w="1066" w:type="dxa"/>
            <w:tcBorders>
              <w:top w:val="single" w:color="auto" w:sz="4" w:space="0"/>
              <w:left w:val="nil"/>
              <w:bottom w:val="single" w:color="auto" w:sz="4" w:space="0"/>
              <w:right w:val="single" w:color="auto" w:sz="4" w:space="0"/>
            </w:tcBorders>
            <w:vAlign w:val="center"/>
          </w:tcPr>
          <w:p w14:paraId="27006F92">
            <w:pPr>
              <w:widowControl/>
              <w:jc w:val="left"/>
              <w:rPr>
                <w:rFonts w:ascii="仿宋" w:hAnsi="仿宋" w:eastAsia="仿宋" w:cs="仿宋"/>
                <w:kern w:val="0"/>
                <w:sz w:val="24"/>
              </w:rPr>
            </w:pPr>
          </w:p>
        </w:tc>
      </w:tr>
      <w:tr w14:paraId="1DB68C2D">
        <w:tblPrEx>
          <w:tblCellMar>
            <w:top w:w="0" w:type="dxa"/>
            <w:left w:w="108" w:type="dxa"/>
            <w:bottom w:w="0" w:type="dxa"/>
            <w:right w:w="108" w:type="dxa"/>
          </w:tblCellMar>
        </w:tblPrEx>
        <w:trPr>
          <w:trHeight w:val="510" w:hRule="atLeast"/>
        </w:trPr>
        <w:tc>
          <w:tcPr>
            <w:tcW w:w="2413" w:type="dxa"/>
            <w:tcBorders>
              <w:top w:val="single" w:color="auto" w:sz="4" w:space="0"/>
              <w:left w:val="single" w:color="auto" w:sz="4" w:space="0"/>
              <w:bottom w:val="single" w:color="auto" w:sz="4" w:space="0"/>
              <w:right w:val="single" w:color="auto" w:sz="4" w:space="0"/>
            </w:tcBorders>
            <w:vAlign w:val="center"/>
          </w:tcPr>
          <w:p w14:paraId="56A1444A">
            <w:pPr>
              <w:widowControl/>
              <w:jc w:val="center"/>
              <w:rPr>
                <w:rFonts w:ascii="仿宋" w:hAnsi="仿宋" w:eastAsia="仿宋" w:cs="仿宋"/>
                <w:kern w:val="0"/>
                <w:sz w:val="24"/>
              </w:rPr>
            </w:pPr>
            <w:r>
              <w:rPr>
                <w:rFonts w:hint="eastAsia" w:ascii="仿宋" w:hAnsi="仿宋" w:eastAsia="仿宋" w:cs="仿宋"/>
                <w:kern w:val="0"/>
                <w:sz w:val="24"/>
              </w:rPr>
              <w:t>未包含价格调整要求</w:t>
            </w:r>
          </w:p>
          <w:p w14:paraId="59024181">
            <w:pPr>
              <w:widowControl/>
              <w:jc w:val="center"/>
              <w:rPr>
                <w:rFonts w:ascii="仿宋" w:hAnsi="仿宋" w:eastAsia="仿宋" w:cs="仿宋"/>
                <w:kern w:val="0"/>
                <w:sz w:val="24"/>
              </w:rPr>
            </w:pPr>
          </w:p>
        </w:tc>
        <w:tc>
          <w:tcPr>
            <w:tcW w:w="3502" w:type="dxa"/>
            <w:tcBorders>
              <w:top w:val="single" w:color="auto" w:sz="4" w:space="0"/>
              <w:left w:val="nil"/>
              <w:bottom w:val="single" w:color="auto" w:sz="4" w:space="0"/>
              <w:right w:val="single" w:color="auto" w:sz="4" w:space="0"/>
            </w:tcBorders>
            <w:vAlign w:val="center"/>
          </w:tcPr>
          <w:p w14:paraId="65401FD0">
            <w:pPr>
              <w:widowControl/>
              <w:jc w:val="center"/>
              <w:rPr>
                <w:rFonts w:ascii="仿宋" w:hAnsi="仿宋" w:eastAsia="仿宋" w:cs="仿宋"/>
                <w:kern w:val="0"/>
                <w:sz w:val="24"/>
              </w:rPr>
            </w:pPr>
            <w:r>
              <w:rPr>
                <w:rFonts w:hint="eastAsia" w:ascii="仿宋" w:hAnsi="仿宋" w:eastAsia="仿宋" w:cs="仿宋"/>
                <w:sz w:val="24"/>
              </w:rPr>
              <w:t>投标人所报的各分项投标报价在合同履行过程中是固定不变的，不得以任何理由予以变更。</w:t>
            </w:r>
          </w:p>
        </w:tc>
        <w:tc>
          <w:tcPr>
            <w:tcW w:w="914" w:type="dxa"/>
            <w:tcBorders>
              <w:top w:val="single" w:color="auto" w:sz="4" w:space="0"/>
              <w:left w:val="nil"/>
              <w:bottom w:val="single" w:color="auto" w:sz="4" w:space="0"/>
              <w:right w:val="single" w:color="auto" w:sz="4" w:space="0"/>
            </w:tcBorders>
            <w:vAlign w:val="center"/>
          </w:tcPr>
          <w:p w14:paraId="32C1846B">
            <w:pPr>
              <w:widowControl/>
              <w:jc w:val="left"/>
              <w:rPr>
                <w:rFonts w:ascii="仿宋" w:hAnsi="仿宋" w:eastAsia="仿宋" w:cs="仿宋"/>
                <w:kern w:val="0"/>
                <w:sz w:val="24"/>
              </w:rPr>
            </w:pPr>
            <w:r>
              <w:rPr>
                <w:rFonts w:hint="eastAsia" w:ascii="仿宋" w:hAnsi="仿宋" w:eastAsia="仿宋" w:cs="仿宋"/>
                <w:kern w:val="0"/>
                <w:sz w:val="24"/>
              </w:rPr>
              <w:t>　</w:t>
            </w:r>
          </w:p>
        </w:tc>
        <w:tc>
          <w:tcPr>
            <w:tcW w:w="1066" w:type="dxa"/>
            <w:tcBorders>
              <w:top w:val="single" w:color="auto" w:sz="4" w:space="0"/>
              <w:left w:val="nil"/>
              <w:bottom w:val="single" w:color="auto" w:sz="4" w:space="0"/>
              <w:right w:val="single" w:color="auto" w:sz="4" w:space="0"/>
            </w:tcBorders>
            <w:vAlign w:val="center"/>
          </w:tcPr>
          <w:p w14:paraId="7F22E8E8">
            <w:pPr>
              <w:widowControl/>
              <w:jc w:val="left"/>
              <w:rPr>
                <w:rFonts w:ascii="仿宋" w:hAnsi="仿宋" w:eastAsia="仿宋" w:cs="仿宋"/>
                <w:kern w:val="0"/>
                <w:sz w:val="24"/>
              </w:rPr>
            </w:pPr>
            <w:r>
              <w:rPr>
                <w:rFonts w:hint="eastAsia" w:ascii="仿宋" w:hAnsi="仿宋" w:eastAsia="仿宋" w:cs="仿宋"/>
                <w:kern w:val="0"/>
                <w:sz w:val="24"/>
              </w:rPr>
              <w:t>　</w:t>
            </w:r>
          </w:p>
        </w:tc>
        <w:tc>
          <w:tcPr>
            <w:tcW w:w="1066" w:type="dxa"/>
            <w:tcBorders>
              <w:top w:val="single" w:color="auto" w:sz="4" w:space="0"/>
              <w:left w:val="nil"/>
              <w:bottom w:val="single" w:color="auto" w:sz="4" w:space="0"/>
              <w:right w:val="single" w:color="auto" w:sz="4" w:space="0"/>
            </w:tcBorders>
            <w:vAlign w:val="center"/>
          </w:tcPr>
          <w:p w14:paraId="2CAAEE36">
            <w:pPr>
              <w:widowControl/>
              <w:jc w:val="left"/>
              <w:rPr>
                <w:rFonts w:ascii="仿宋" w:hAnsi="仿宋" w:eastAsia="仿宋" w:cs="仿宋"/>
                <w:kern w:val="0"/>
                <w:sz w:val="24"/>
              </w:rPr>
            </w:pPr>
            <w:r>
              <w:rPr>
                <w:rFonts w:hint="eastAsia" w:ascii="仿宋" w:hAnsi="仿宋" w:eastAsia="仿宋" w:cs="仿宋"/>
                <w:kern w:val="0"/>
                <w:sz w:val="24"/>
              </w:rPr>
              <w:t>　</w:t>
            </w:r>
          </w:p>
        </w:tc>
      </w:tr>
      <w:tr w14:paraId="52DED131">
        <w:tblPrEx>
          <w:tblCellMar>
            <w:top w:w="0" w:type="dxa"/>
            <w:left w:w="108" w:type="dxa"/>
            <w:bottom w:w="0" w:type="dxa"/>
            <w:right w:w="108" w:type="dxa"/>
          </w:tblCellMar>
        </w:tblPrEx>
        <w:trPr>
          <w:trHeight w:val="510" w:hRule="atLeast"/>
        </w:trPr>
        <w:tc>
          <w:tcPr>
            <w:tcW w:w="2413" w:type="dxa"/>
            <w:tcBorders>
              <w:top w:val="single" w:color="auto" w:sz="4" w:space="0"/>
              <w:left w:val="single" w:color="auto" w:sz="4" w:space="0"/>
              <w:bottom w:val="single" w:color="auto" w:sz="4" w:space="0"/>
              <w:right w:val="single" w:color="auto" w:sz="4" w:space="0"/>
            </w:tcBorders>
            <w:vAlign w:val="center"/>
          </w:tcPr>
          <w:p w14:paraId="35793863">
            <w:pPr>
              <w:widowControl/>
              <w:jc w:val="center"/>
              <w:rPr>
                <w:rFonts w:ascii="仿宋" w:hAnsi="仿宋" w:eastAsia="仿宋" w:cs="仿宋"/>
                <w:kern w:val="0"/>
                <w:sz w:val="24"/>
              </w:rPr>
            </w:pPr>
            <w:r>
              <w:rPr>
                <w:rFonts w:hint="eastAsia" w:ascii="仿宋" w:hAnsi="仿宋" w:eastAsia="仿宋" w:cs="仿宋"/>
                <w:kern w:val="0"/>
                <w:sz w:val="24"/>
              </w:rPr>
              <w:t>投标保证金</w:t>
            </w:r>
          </w:p>
        </w:tc>
        <w:tc>
          <w:tcPr>
            <w:tcW w:w="3502" w:type="dxa"/>
            <w:tcBorders>
              <w:top w:val="single" w:color="auto" w:sz="4" w:space="0"/>
              <w:left w:val="nil"/>
              <w:bottom w:val="single" w:color="auto" w:sz="4" w:space="0"/>
              <w:right w:val="single" w:color="auto" w:sz="4" w:space="0"/>
            </w:tcBorders>
            <w:vAlign w:val="center"/>
          </w:tcPr>
          <w:p w14:paraId="7C7CD717">
            <w:pPr>
              <w:widowControl/>
              <w:jc w:val="center"/>
              <w:rPr>
                <w:rFonts w:ascii="仿宋" w:hAnsi="仿宋" w:eastAsia="仿宋" w:cs="仿宋"/>
                <w:sz w:val="24"/>
              </w:rPr>
            </w:pPr>
            <w:r>
              <w:rPr>
                <w:rFonts w:hint="eastAsia" w:ascii="仿宋" w:hAnsi="仿宋" w:eastAsia="仿宋" w:cs="仿宋"/>
                <w:sz w:val="24"/>
              </w:rPr>
              <w:t>符合招标文件要求</w:t>
            </w:r>
          </w:p>
        </w:tc>
        <w:tc>
          <w:tcPr>
            <w:tcW w:w="914" w:type="dxa"/>
            <w:tcBorders>
              <w:top w:val="single" w:color="auto" w:sz="4" w:space="0"/>
              <w:left w:val="nil"/>
              <w:bottom w:val="single" w:color="auto" w:sz="4" w:space="0"/>
              <w:right w:val="single" w:color="auto" w:sz="4" w:space="0"/>
            </w:tcBorders>
            <w:vAlign w:val="center"/>
          </w:tcPr>
          <w:p w14:paraId="65CC4EDA">
            <w:pPr>
              <w:widowControl/>
              <w:jc w:val="left"/>
              <w:rPr>
                <w:rFonts w:ascii="仿宋" w:hAnsi="仿宋" w:eastAsia="仿宋" w:cs="仿宋"/>
                <w:kern w:val="0"/>
                <w:sz w:val="24"/>
              </w:rPr>
            </w:pPr>
          </w:p>
        </w:tc>
        <w:tc>
          <w:tcPr>
            <w:tcW w:w="1066" w:type="dxa"/>
            <w:tcBorders>
              <w:top w:val="single" w:color="auto" w:sz="4" w:space="0"/>
              <w:left w:val="nil"/>
              <w:bottom w:val="single" w:color="auto" w:sz="4" w:space="0"/>
              <w:right w:val="single" w:color="auto" w:sz="4" w:space="0"/>
            </w:tcBorders>
            <w:vAlign w:val="center"/>
          </w:tcPr>
          <w:p w14:paraId="4802A0F4">
            <w:pPr>
              <w:widowControl/>
              <w:jc w:val="left"/>
              <w:rPr>
                <w:rFonts w:ascii="仿宋" w:hAnsi="仿宋" w:eastAsia="仿宋" w:cs="仿宋"/>
                <w:kern w:val="0"/>
                <w:sz w:val="24"/>
              </w:rPr>
            </w:pPr>
          </w:p>
        </w:tc>
        <w:tc>
          <w:tcPr>
            <w:tcW w:w="1066" w:type="dxa"/>
            <w:tcBorders>
              <w:top w:val="single" w:color="auto" w:sz="4" w:space="0"/>
              <w:left w:val="nil"/>
              <w:bottom w:val="single" w:color="auto" w:sz="4" w:space="0"/>
              <w:right w:val="single" w:color="auto" w:sz="4" w:space="0"/>
            </w:tcBorders>
            <w:vAlign w:val="center"/>
          </w:tcPr>
          <w:p w14:paraId="009D2FF2">
            <w:pPr>
              <w:widowControl/>
              <w:jc w:val="left"/>
              <w:rPr>
                <w:rFonts w:ascii="仿宋" w:hAnsi="仿宋" w:eastAsia="仿宋" w:cs="仿宋"/>
                <w:kern w:val="0"/>
                <w:sz w:val="24"/>
              </w:rPr>
            </w:pPr>
          </w:p>
        </w:tc>
      </w:tr>
      <w:tr w14:paraId="66304676">
        <w:tblPrEx>
          <w:tblCellMar>
            <w:top w:w="0" w:type="dxa"/>
            <w:left w:w="108" w:type="dxa"/>
            <w:bottom w:w="0" w:type="dxa"/>
            <w:right w:w="108" w:type="dxa"/>
          </w:tblCellMar>
        </w:tblPrEx>
        <w:trPr>
          <w:trHeight w:val="510" w:hRule="atLeast"/>
        </w:trPr>
        <w:tc>
          <w:tcPr>
            <w:tcW w:w="2413" w:type="dxa"/>
            <w:tcBorders>
              <w:top w:val="single" w:color="auto" w:sz="4" w:space="0"/>
              <w:left w:val="single" w:color="auto" w:sz="4" w:space="0"/>
              <w:bottom w:val="single" w:color="auto" w:sz="4" w:space="0"/>
              <w:right w:val="single" w:color="auto" w:sz="4" w:space="0"/>
            </w:tcBorders>
            <w:vAlign w:val="center"/>
          </w:tcPr>
          <w:p w14:paraId="7057E5FE">
            <w:pPr>
              <w:widowControl/>
              <w:jc w:val="center"/>
              <w:rPr>
                <w:rFonts w:ascii="仿宋" w:hAnsi="仿宋" w:eastAsia="仿宋" w:cs="仿宋"/>
                <w:kern w:val="0"/>
                <w:sz w:val="24"/>
              </w:rPr>
            </w:pPr>
            <w:r>
              <w:rPr>
                <w:rFonts w:hint="eastAsia" w:ascii="仿宋" w:hAnsi="仿宋" w:eastAsia="仿宋" w:cs="仿宋"/>
                <w:kern w:val="0"/>
                <w:sz w:val="24"/>
              </w:rPr>
              <w:t>投标有效期满足要求</w:t>
            </w:r>
          </w:p>
          <w:p w14:paraId="7696DB11">
            <w:pPr>
              <w:widowControl/>
              <w:jc w:val="center"/>
              <w:rPr>
                <w:rFonts w:ascii="仿宋" w:hAnsi="仿宋" w:eastAsia="仿宋" w:cs="仿宋"/>
                <w:kern w:val="0"/>
                <w:sz w:val="24"/>
              </w:rPr>
            </w:pPr>
          </w:p>
        </w:tc>
        <w:tc>
          <w:tcPr>
            <w:tcW w:w="3502" w:type="dxa"/>
            <w:tcBorders>
              <w:top w:val="single" w:color="auto" w:sz="4" w:space="0"/>
              <w:left w:val="nil"/>
              <w:bottom w:val="single" w:color="auto" w:sz="4" w:space="0"/>
              <w:right w:val="single" w:color="auto" w:sz="4" w:space="0"/>
            </w:tcBorders>
            <w:vAlign w:val="center"/>
          </w:tcPr>
          <w:p w14:paraId="4B8C60DE">
            <w:pPr>
              <w:widowControl/>
              <w:jc w:val="center"/>
              <w:rPr>
                <w:rFonts w:ascii="仿宋" w:hAnsi="仿宋" w:eastAsia="仿宋" w:cs="仿宋"/>
                <w:kern w:val="0"/>
                <w:sz w:val="24"/>
              </w:rPr>
            </w:pPr>
            <w:r>
              <w:rPr>
                <w:rFonts w:hint="eastAsia" w:ascii="仿宋" w:hAnsi="仿宋" w:eastAsia="仿宋" w:cs="仿宋"/>
                <w:sz w:val="24"/>
              </w:rPr>
              <w:t>自提交投标文件截止之日</w:t>
            </w:r>
            <w:r>
              <w:rPr>
                <w:rFonts w:hint="eastAsia" w:ascii="仿宋" w:hAnsi="仿宋" w:eastAsia="仿宋" w:cs="仿宋"/>
                <w:sz w:val="24"/>
                <w:highlight w:val="none"/>
              </w:rPr>
              <w:t>起</w:t>
            </w:r>
            <w:r>
              <w:rPr>
                <w:rFonts w:hint="eastAsia" w:ascii="仿宋" w:hAnsi="仿宋" w:eastAsia="仿宋" w:cs="仿宋"/>
                <w:color w:val="FF0000"/>
                <w:sz w:val="24"/>
                <w:highlight w:val="none"/>
                <w:u w:val="single"/>
              </w:rPr>
              <w:t xml:space="preserve"> </w:t>
            </w:r>
            <w:r>
              <w:rPr>
                <w:rFonts w:hint="eastAsia" w:ascii="仿宋" w:hAnsi="仿宋" w:eastAsia="仿宋" w:cs="仿宋"/>
                <w:sz w:val="24"/>
                <w:highlight w:val="none"/>
                <w:u w:val="single"/>
                <w:lang w:val="en-US" w:eastAsia="zh-CN"/>
              </w:rPr>
              <w:t>9</w:t>
            </w:r>
            <w:r>
              <w:rPr>
                <w:rFonts w:hint="eastAsia" w:ascii="仿宋" w:hAnsi="仿宋" w:eastAsia="仿宋" w:cs="仿宋"/>
                <w:sz w:val="24"/>
                <w:highlight w:val="none"/>
                <w:u w:val="single"/>
              </w:rPr>
              <w:t>0 日</w:t>
            </w:r>
            <w:r>
              <w:rPr>
                <w:rFonts w:hint="eastAsia" w:ascii="仿宋" w:hAnsi="仿宋" w:eastAsia="仿宋" w:cs="仿宋"/>
                <w:sz w:val="24"/>
                <w:highlight w:val="none"/>
              </w:rPr>
              <w:t>历日内</w:t>
            </w:r>
          </w:p>
        </w:tc>
        <w:tc>
          <w:tcPr>
            <w:tcW w:w="914" w:type="dxa"/>
            <w:tcBorders>
              <w:top w:val="single" w:color="auto" w:sz="4" w:space="0"/>
              <w:left w:val="nil"/>
              <w:bottom w:val="single" w:color="auto" w:sz="4" w:space="0"/>
              <w:right w:val="single" w:color="auto" w:sz="4" w:space="0"/>
            </w:tcBorders>
            <w:vAlign w:val="center"/>
          </w:tcPr>
          <w:p w14:paraId="78C1E5AE">
            <w:pPr>
              <w:widowControl/>
              <w:jc w:val="left"/>
              <w:rPr>
                <w:rFonts w:ascii="仿宋" w:hAnsi="仿宋" w:eastAsia="仿宋" w:cs="仿宋"/>
                <w:kern w:val="0"/>
                <w:sz w:val="24"/>
              </w:rPr>
            </w:pPr>
            <w:r>
              <w:rPr>
                <w:rFonts w:hint="eastAsia" w:ascii="仿宋" w:hAnsi="仿宋" w:eastAsia="仿宋" w:cs="仿宋"/>
                <w:kern w:val="0"/>
                <w:sz w:val="24"/>
              </w:rPr>
              <w:t>　</w:t>
            </w:r>
          </w:p>
        </w:tc>
        <w:tc>
          <w:tcPr>
            <w:tcW w:w="1066" w:type="dxa"/>
            <w:tcBorders>
              <w:top w:val="single" w:color="auto" w:sz="4" w:space="0"/>
              <w:left w:val="nil"/>
              <w:bottom w:val="single" w:color="auto" w:sz="4" w:space="0"/>
              <w:right w:val="single" w:color="auto" w:sz="4" w:space="0"/>
            </w:tcBorders>
            <w:vAlign w:val="center"/>
          </w:tcPr>
          <w:p w14:paraId="4AA014CB">
            <w:pPr>
              <w:widowControl/>
              <w:jc w:val="left"/>
              <w:rPr>
                <w:rFonts w:ascii="仿宋" w:hAnsi="仿宋" w:eastAsia="仿宋" w:cs="仿宋"/>
                <w:kern w:val="0"/>
                <w:sz w:val="24"/>
              </w:rPr>
            </w:pPr>
            <w:r>
              <w:rPr>
                <w:rFonts w:hint="eastAsia" w:ascii="仿宋" w:hAnsi="仿宋" w:eastAsia="仿宋" w:cs="仿宋"/>
                <w:kern w:val="0"/>
                <w:sz w:val="24"/>
              </w:rPr>
              <w:t>　</w:t>
            </w:r>
          </w:p>
        </w:tc>
        <w:tc>
          <w:tcPr>
            <w:tcW w:w="1066" w:type="dxa"/>
            <w:tcBorders>
              <w:top w:val="single" w:color="auto" w:sz="4" w:space="0"/>
              <w:left w:val="nil"/>
              <w:bottom w:val="single" w:color="auto" w:sz="4" w:space="0"/>
              <w:right w:val="single" w:color="auto" w:sz="4" w:space="0"/>
            </w:tcBorders>
            <w:vAlign w:val="center"/>
          </w:tcPr>
          <w:p w14:paraId="39C519E2">
            <w:pPr>
              <w:widowControl/>
              <w:jc w:val="left"/>
              <w:rPr>
                <w:rFonts w:ascii="仿宋" w:hAnsi="仿宋" w:eastAsia="仿宋" w:cs="仿宋"/>
                <w:kern w:val="0"/>
                <w:sz w:val="24"/>
              </w:rPr>
            </w:pPr>
            <w:r>
              <w:rPr>
                <w:rFonts w:hint="eastAsia" w:ascii="仿宋" w:hAnsi="仿宋" w:eastAsia="仿宋" w:cs="仿宋"/>
                <w:kern w:val="0"/>
                <w:sz w:val="24"/>
              </w:rPr>
              <w:t>　</w:t>
            </w:r>
          </w:p>
        </w:tc>
      </w:tr>
      <w:tr w14:paraId="3E544F88">
        <w:tblPrEx>
          <w:tblCellMar>
            <w:top w:w="0" w:type="dxa"/>
            <w:left w:w="108" w:type="dxa"/>
            <w:bottom w:w="0" w:type="dxa"/>
            <w:right w:w="108" w:type="dxa"/>
          </w:tblCellMar>
        </w:tblPrEx>
        <w:trPr>
          <w:trHeight w:val="570" w:hRule="atLeast"/>
        </w:trPr>
        <w:tc>
          <w:tcPr>
            <w:tcW w:w="2413" w:type="dxa"/>
            <w:tcBorders>
              <w:top w:val="single" w:color="auto" w:sz="4" w:space="0"/>
              <w:left w:val="single" w:color="auto" w:sz="4" w:space="0"/>
              <w:bottom w:val="single" w:color="auto" w:sz="4" w:space="0"/>
              <w:right w:val="single" w:color="auto" w:sz="4" w:space="0"/>
            </w:tcBorders>
            <w:vAlign w:val="center"/>
          </w:tcPr>
          <w:p w14:paraId="2587F157">
            <w:pPr>
              <w:widowControl/>
              <w:jc w:val="center"/>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投标文件的签署和盖章符合要求</w:t>
            </w:r>
          </w:p>
          <w:p w14:paraId="4B699199">
            <w:pPr>
              <w:widowControl/>
              <w:jc w:val="center"/>
              <w:rPr>
                <w:rFonts w:ascii="仿宋" w:hAnsi="仿宋" w:eastAsia="仿宋" w:cs="仿宋"/>
                <w:kern w:val="0"/>
                <w:sz w:val="24"/>
              </w:rPr>
            </w:pPr>
          </w:p>
        </w:tc>
        <w:tc>
          <w:tcPr>
            <w:tcW w:w="3502" w:type="dxa"/>
            <w:tcBorders>
              <w:top w:val="single" w:color="auto" w:sz="4" w:space="0"/>
              <w:left w:val="nil"/>
              <w:bottom w:val="single" w:color="auto" w:sz="4" w:space="0"/>
              <w:right w:val="single" w:color="auto" w:sz="4" w:space="0"/>
            </w:tcBorders>
            <w:vAlign w:val="center"/>
          </w:tcPr>
          <w:p w14:paraId="00E33C12">
            <w:pPr>
              <w:widowControl/>
              <w:jc w:val="center"/>
              <w:rPr>
                <w:rFonts w:ascii="仿宋" w:hAnsi="仿宋" w:eastAsia="仿宋" w:cs="仿宋"/>
                <w:sz w:val="24"/>
              </w:rPr>
            </w:pPr>
            <w:r>
              <w:rPr>
                <w:rFonts w:hint="eastAsia" w:ascii="仿宋" w:hAnsi="仿宋" w:eastAsia="仿宋" w:cs="仿宋"/>
                <w:sz w:val="24"/>
              </w:rPr>
              <w:t>按照招标文件规定要求签署、盖章。</w:t>
            </w:r>
          </w:p>
        </w:tc>
        <w:tc>
          <w:tcPr>
            <w:tcW w:w="914" w:type="dxa"/>
            <w:tcBorders>
              <w:top w:val="single" w:color="auto" w:sz="4" w:space="0"/>
              <w:left w:val="nil"/>
              <w:bottom w:val="single" w:color="auto" w:sz="4" w:space="0"/>
              <w:right w:val="single" w:color="auto" w:sz="4" w:space="0"/>
            </w:tcBorders>
            <w:vAlign w:val="center"/>
          </w:tcPr>
          <w:p w14:paraId="13D90506">
            <w:pPr>
              <w:widowControl/>
              <w:jc w:val="left"/>
              <w:rPr>
                <w:rFonts w:ascii="仿宋" w:hAnsi="仿宋" w:eastAsia="仿宋" w:cs="仿宋"/>
                <w:kern w:val="0"/>
                <w:sz w:val="24"/>
              </w:rPr>
            </w:pPr>
          </w:p>
        </w:tc>
        <w:tc>
          <w:tcPr>
            <w:tcW w:w="1066" w:type="dxa"/>
            <w:tcBorders>
              <w:top w:val="single" w:color="auto" w:sz="4" w:space="0"/>
              <w:left w:val="nil"/>
              <w:bottom w:val="single" w:color="auto" w:sz="4" w:space="0"/>
              <w:right w:val="single" w:color="auto" w:sz="4" w:space="0"/>
            </w:tcBorders>
            <w:vAlign w:val="center"/>
          </w:tcPr>
          <w:p w14:paraId="1DE0A9C6">
            <w:pPr>
              <w:widowControl/>
              <w:jc w:val="left"/>
              <w:rPr>
                <w:rFonts w:ascii="仿宋" w:hAnsi="仿宋" w:eastAsia="仿宋" w:cs="仿宋"/>
                <w:kern w:val="0"/>
                <w:sz w:val="24"/>
              </w:rPr>
            </w:pPr>
          </w:p>
        </w:tc>
        <w:tc>
          <w:tcPr>
            <w:tcW w:w="1066" w:type="dxa"/>
            <w:tcBorders>
              <w:top w:val="single" w:color="auto" w:sz="4" w:space="0"/>
              <w:left w:val="nil"/>
              <w:bottom w:val="single" w:color="auto" w:sz="4" w:space="0"/>
              <w:right w:val="single" w:color="auto" w:sz="4" w:space="0"/>
            </w:tcBorders>
            <w:vAlign w:val="center"/>
          </w:tcPr>
          <w:p w14:paraId="49029A78">
            <w:pPr>
              <w:widowControl/>
              <w:jc w:val="left"/>
              <w:rPr>
                <w:rFonts w:ascii="仿宋" w:hAnsi="仿宋" w:eastAsia="仿宋" w:cs="仿宋"/>
                <w:kern w:val="0"/>
                <w:sz w:val="24"/>
              </w:rPr>
            </w:pPr>
          </w:p>
        </w:tc>
      </w:tr>
      <w:tr w14:paraId="571DA975">
        <w:tblPrEx>
          <w:tblCellMar>
            <w:top w:w="0" w:type="dxa"/>
            <w:left w:w="108" w:type="dxa"/>
            <w:bottom w:w="0" w:type="dxa"/>
            <w:right w:w="108" w:type="dxa"/>
          </w:tblCellMar>
        </w:tblPrEx>
        <w:trPr>
          <w:trHeight w:val="510" w:hRule="atLeast"/>
        </w:trPr>
        <w:tc>
          <w:tcPr>
            <w:tcW w:w="2413" w:type="dxa"/>
            <w:tcBorders>
              <w:top w:val="single" w:color="auto" w:sz="4" w:space="0"/>
              <w:left w:val="single" w:color="auto" w:sz="4" w:space="0"/>
              <w:bottom w:val="single" w:color="auto" w:sz="4" w:space="0"/>
              <w:right w:val="single" w:color="auto" w:sz="4" w:space="0"/>
            </w:tcBorders>
            <w:vAlign w:val="center"/>
          </w:tcPr>
          <w:p w14:paraId="52F45CF5">
            <w:pPr>
              <w:widowControl/>
              <w:jc w:val="center"/>
              <w:rPr>
                <w:rFonts w:ascii="仿宋" w:hAnsi="仿宋" w:eastAsia="仿宋" w:cs="仿宋"/>
                <w:kern w:val="0"/>
                <w:sz w:val="24"/>
              </w:rPr>
            </w:pPr>
            <w:r>
              <w:rPr>
                <w:rFonts w:hint="eastAsia" w:ascii="仿宋" w:hAnsi="仿宋" w:eastAsia="仿宋" w:cs="仿宋"/>
                <w:kern w:val="0"/>
                <w:sz w:val="24"/>
              </w:rPr>
              <w:t>接受价格的算术修正</w:t>
            </w:r>
          </w:p>
          <w:p w14:paraId="524A492B">
            <w:pPr>
              <w:widowControl/>
              <w:jc w:val="center"/>
              <w:rPr>
                <w:rFonts w:ascii="仿宋" w:hAnsi="仿宋" w:eastAsia="仿宋" w:cs="仿宋"/>
                <w:kern w:val="0"/>
                <w:sz w:val="24"/>
              </w:rPr>
            </w:pPr>
          </w:p>
        </w:tc>
        <w:tc>
          <w:tcPr>
            <w:tcW w:w="3502" w:type="dxa"/>
            <w:tcBorders>
              <w:top w:val="single" w:color="auto" w:sz="4" w:space="0"/>
              <w:left w:val="nil"/>
              <w:bottom w:val="single" w:color="auto" w:sz="4" w:space="0"/>
              <w:right w:val="single" w:color="auto" w:sz="4" w:space="0"/>
            </w:tcBorders>
            <w:vAlign w:val="center"/>
          </w:tcPr>
          <w:p w14:paraId="1B4B6A89">
            <w:pPr>
              <w:widowControl/>
              <w:rPr>
                <w:rFonts w:ascii="仿宋" w:hAnsi="仿宋" w:eastAsia="仿宋" w:cs="仿宋"/>
                <w:kern w:val="0"/>
                <w:sz w:val="24"/>
              </w:rPr>
            </w:pPr>
            <w:r>
              <w:rPr>
                <w:rFonts w:hint="eastAsia" w:ascii="仿宋" w:hAnsi="仿宋" w:eastAsia="仿宋" w:cs="仿宋"/>
                <w:sz w:val="24"/>
              </w:rPr>
              <w:t>投标文件报价出现前后不一致的，应按照招标文件规定的顺序修正。修正后的报价经投标人确认后产生约束力。</w:t>
            </w:r>
          </w:p>
        </w:tc>
        <w:tc>
          <w:tcPr>
            <w:tcW w:w="914" w:type="dxa"/>
            <w:tcBorders>
              <w:top w:val="single" w:color="auto" w:sz="4" w:space="0"/>
              <w:left w:val="nil"/>
              <w:bottom w:val="single" w:color="auto" w:sz="4" w:space="0"/>
              <w:right w:val="single" w:color="auto" w:sz="4" w:space="0"/>
            </w:tcBorders>
            <w:vAlign w:val="center"/>
          </w:tcPr>
          <w:p w14:paraId="29DE1B84">
            <w:pPr>
              <w:widowControl/>
              <w:jc w:val="left"/>
              <w:rPr>
                <w:rFonts w:ascii="仿宋" w:hAnsi="仿宋" w:eastAsia="仿宋" w:cs="仿宋"/>
                <w:kern w:val="0"/>
                <w:sz w:val="24"/>
              </w:rPr>
            </w:pPr>
            <w:r>
              <w:rPr>
                <w:rFonts w:hint="eastAsia" w:ascii="仿宋" w:hAnsi="仿宋" w:eastAsia="仿宋" w:cs="仿宋"/>
                <w:kern w:val="0"/>
                <w:sz w:val="24"/>
              </w:rPr>
              <w:t>　</w:t>
            </w:r>
          </w:p>
        </w:tc>
        <w:tc>
          <w:tcPr>
            <w:tcW w:w="1066" w:type="dxa"/>
            <w:tcBorders>
              <w:top w:val="single" w:color="auto" w:sz="4" w:space="0"/>
              <w:left w:val="nil"/>
              <w:bottom w:val="single" w:color="auto" w:sz="4" w:space="0"/>
              <w:right w:val="single" w:color="auto" w:sz="4" w:space="0"/>
            </w:tcBorders>
            <w:vAlign w:val="center"/>
          </w:tcPr>
          <w:p w14:paraId="13B870D2">
            <w:pPr>
              <w:widowControl/>
              <w:jc w:val="left"/>
              <w:rPr>
                <w:rFonts w:ascii="仿宋" w:hAnsi="仿宋" w:eastAsia="仿宋" w:cs="仿宋"/>
                <w:kern w:val="0"/>
                <w:sz w:val="24"/>
              </w:rPr>
            </w:pPr>
            <w:r>
              <w:rPr>
                <w:rFonts w:hint="eastAsia" w:ascii="仿宋" w:hAnsi="仿宋" w:eastAsia="仿宋" w:cs="仿宋"/>
                <w:kern w:val="0"/>
                <w:sz w:val="24"/>
              </w:rPr>
              <w:t>　</w:t>
            </w:r>
          </w:p>
        </w:tc>
        <w:tc>
          <w:tcPr>
            <w:tcW w:w="1066" w:type="dxa"/>
            <w:tcBorders>
              <w:top w:val="single" w:color="auto" w:sz="4" w:space="0"/>
              <w:left w:val="nil"/>
              <w:bottom w:val="single" w:color="auto" w:sz="4" w:space="0"/>
              <w:right w:val="single" w:color="auto" w:sz="4" w:space="0"/>
            </w:tcBorders>
            <w:vAlign w:val="center"/>
          </w:tcPr>
          <w:p w14:paraId="3B70199F">
            <w:pPr>
              <w:widowControl/>
              <w:jc w:val="left"/>
              <w:rPr>
                <w:rFonts w:ascii="仿宋" w:hAnsi="仿宋" w:eastAsia="仿宋" w:cs="仿宋"/>
                <w:kern w:val="0"/>
                <w:sz w:val="24"/>
              </w:rPr>
            </w:pPr>
            <w:r>
              <w:rPr>
                <w:rFonts w:hint="eastAsia" w:ascii="仿宋" w:hAnsi="仿宋" w:eastAsia="仿宋" w:cs="仿宋"/>
                <w:kern w:val="0"/>
                <w:sz w:val="24"/>
              </w:rPr>
              <w:t>　</w:t>
            </w:r>
          </w:p>
        </w:tc>
      </w:tr>
      <w:tr w14:paraId="7C94F48B">
        <w:tblPrEx>
          <w:tblCellMar>
            <w:top w:w="0" w:type="dxa"/>
            <w:left w:w="108" w:type="dxa"/>
            <w:bottom w:w="0" w:type="dxa"/>
            <w:right w:w="108" w:type="dxa"/>
          </w:tblCellMar>
        </w:tblPrEx>
        <w:trPr>
          <w:trHeight w:val="510" w:hRule="atLeast"/>
        </w:trPr>
        <w:tc>
          <w:tcPr>
            <w:tcW w:w="2413" w:type="dxa"/>
            <w:tcBorders>
              <w:top w:val="single" w:color="auto" w:sz="4" w:space="0"/>
              <w:left w:val="single" w:color="auto" w:sz="4" w:space="0"/>
              <w:bottom w:val="single" w:color="auto" w:sz="4" w:space="0"/>
              <w:right w:val="single" w:color="auto" w:sz="4" w:space="0"/>
            </w:tcBorders>
            <w:vAlign w:val="center"/>
          </w:tcPr>
          <w:p w14:paraId="0956042F">
            <w:pPr>
              <w:widowControl/>
              <w:jc w:val="center"/>
              <w:rPr>
                <w:rFonts w:ascii="仿宋" w:hAnsi="仿宋" w:eastAsia="仿宋" w:cs="仿宋"/>
                <w:kern w:val="0"/>
                <w:sz w:val="24"/>
              </w:rPr>
            </w:pPr>
            <w:r>
              <w:rPr>
                <w:rFonts w:hint="eastAsia" w:ascii="仿宋" w:hAnsi="仿宋" w:eastAsia="仿宋" w:cs="仿宋"/>
                <w:kern w:val="0"/>
                <w:sz w:val="24"/>
              </w:rPr>
              <w:t>未发现串通投标</w:t>
            </w:r>
          </w:p>
        </w:tc>
        <w:tc>
          <w:tcPr>
            <w:tcW w:w="3502" w:type="dxa"/>
            <w:tcBorders>
              <w:top w:val="single" w:color="auto" w:sz="4" w:space="0"/>
              <w:left w:val="nil"/>
              <w:bottom w:val="single" w:color="auto" w:sz="4" w:space="0"/>
              <w:right w:val="single" w:color="auto" w:sz="4" w:space="0"/>
            </w:tcBorders>
            <w:vAlign w:val="center"/>
          </w:tcPr>
          <w:p w14:paraId="7A0645D5">
            <w:pPr>
              <w:widowControl/>
              <w:rPr>
                <w:rFonts w:ascii="仿宋" w:hAnsi="仿宋" w:eastAsia="仿宋" w:cs="仿宋"/>
                <w:kern w:val="0"/>
                <w:sz w:val="24"/>
              </w:rPr>
            </w:pPr>
            <w:r>
              <w:rPr>
                <w:rFonts w:hint="eastAsia" w:ascii="仿宋" w:hAnsi="仿宋" w:eastAsia="仿宋" w:cs="仿宋"/>
                <w:sz w:val="24"/>
              </w:rPr>
              <w:t>未与其他投标人串通投标，或者与招标人串通投标。</w:t>
            </w:r>
          </w:p>
        </w:tc>
        <w:tc>
          <w:tcPr>
            <w:tcW w:w="914" w:type="dxa"/>
            <w:tcBorders>
              <w:top w:val="single" w:color="auto" w:sz="4" w:space="0"/>
              <w:left w:val="nil"/>
              <w:bottom w:val="single" w:color="auto" w:sz="4" w:space="0"/>
              <w:right w:val="single" w:color="auto" w:sz="4" w:space="0"/>
            </w:tcBorders>
            <w:vAlign w:val="center"/>
          </w:tcPr>
          <w:p w14:paraId="4A95D53F">
            <w:pPr>
              <w:widowControl/>
              <w:jc w:val="left"/>
              <w:rPr>
                <w:rFonts w:ascii="仿宋" w:hAnsi="仿宋" w:eastAsia="仿宋" w:cs="仿宋"/>
                <w:kern w:val="0"/>
                <w:sz w:val="24"/>
              </w:rPr>
            </w:pPr>
            <w:r>
              <w:rPr>
                <w:rFonts w:hint="eastAsia" w:ascii="仿宋" w:hAnsi="仿宋" w:eastAsia="仿宋" w:cs="仿宋"/>
                <w:kern w:val="0"/>
                <w:sz w:val="24"/>
              </w:rPr>
              <w:t>　</w:t>
            </w:r>
          </w:p>
        </w:tc>
        <w:tc>
          <w:tcPr>
            <w:tcW w:w="1066" w:type="dxa"/>
            <w:tcBorders>
              <w:top w:val="single" w:color="auto" w:sz="4" w:space="0"/>
              <w:left w:val="nil"/>
              <w:bottom w:val="single" w:color="auto" w:sz="4" w:space="0"/>
              <w:right w:val="single" w:color="auto" w:sz="4" w:space="0"/>
            </w:tcBorders>
            <w:vAlign w:val="center"/>
          </w:tcPr>
          <w:p w14:paraId="3887BC30">
            <w:pPr>
              <w:widowControl/>
              <w:jc w:val="left"/>
              <w:rPr>
                <w:rFonts w:ascii="仿宋" w:hAnsi="仿宋" w:eastAsia="仿宋" w:cs="仿宋"/>
                <w:kern w:val="0"/>
                <w:sz w:val="24"/>
              </w:rPr>
            </w:pPr>
            <w:r>
              <w:rPr>
                <w:rFonts w:hint="eastAsia" w:ascii="仿宋" w:hAnsi="仿宋" w:eastAsia="仿宋" w:cs="仿宋"/>
                <w:kern w:val="0"/>
                <w:sz w:val="24"/>
              </w:rPr>
              <w:t>　</w:t>
            </w:r>
          </w:p>
        </w:tc>
        <w:tc>
          <w:tcPr>
            <w:tcW w:w="1066" w:type="dxa"/>
            <w:tcBorders>
              <w:top w:val="single" w:color="auto" w:sz="4" w:space="0"/>
              <w:left w:val="nil"/>
              <w:bottom w:val="single" w:color="auto" w:sz="4" w:space="0"/>
              <w:right w:val="single" w:color="auto" w:sz="4" w:space="0"/>
            </w:tcBorders>
            <w:vAlign w:val="center"/>
          </w:tcPr>
          <w:p w14:paraId="33304D4C">
            <w:pPr>
              <w:widowControl/>
              <w:jc w:val="left"/>
              <w:rPr>
                <w:rFonts w:ascii="仿宋" w:hAnsi="仿宋" w:eastAsia="仿宋" w:cs="仿宋"/>
                <w:kern w:val="0"/>
                <w:sz w:val="24"/>
              </w:rPr>
            </w:pPr>
            <w:r>
              <w:rPr>
                <w:rFonts w:hint="eastAsia" w:ascii="仿宋" w:hAnsi="仿宋" w:eastAsia="仿宋" w:cs="仿宋"/>
                <w:kern w:val="0"/>
                <w:sz w:val="24"/>
              </w:rPr>
              <w:t>　</w:t>
            </w:r>
          </w:p>
        </w:tc>
      </w:tr>
      <w:tr w14:paraId="3C25CD85">
        <w:tblPrEx>
          <w:tblCellMar>
            <w:top w:w="0" w:type="dxa"/>
            <w:left w:w="108" w:type="dxa"/>
            <w:bottom w:w="0" w:type="dxa"/>
            <w:right w:w="108" w:type="dxa"/>
          </w:tblCellMar>
        </w:tblPrEx>
        <w:trPr>
          <w:trHeight w:val="510" w:hRule="atLeast"/>
        </w:trPr>
        <w:tc>
          <w:tcPr>
            <w:tcW w:w="2413" w:type="dxa"/>
            <w:tcBorders>
              <w:top w:val="single" w:color="auto" w:sz="4" w:space="0"/>
              <w:left w:val="single" w:color="auto" w:sz="4" w:space="0"/>
              <w:bottom w:val="single" w:color="auto" w:sz="4" w:space="0"/>
              <w:right w:val="single" w:color="auto" w:sz="4" w:space="0"/>
            </w:tcBorders>
            <w:vAlign w:val="center"/>
          </w:tcPr>
          <w:p w14:paraId="3023A445">
            <w:pPr>
              <w:widowControl/>
              <w:jc w:val="center"/>
              <w:rPr>
                <w:rFonts w:ascii="仿宋" w:hAnsi="仿宋" w:eastAsia="仿宋" w:cs="仿宋"/>
                <w:kern w:val="0"/>
                <w:sz w:val="24"/>
              </w:rPr>
            </w:pPr>
            <w:r>
              <w:rPr>
                <w:rFonts w:hint="eastAsia" w:ascii="仿宋" w:hAnsi="仿宋" w:eastAsia="仿宋" w:cs="仿宋"/>
                <w:kern w:val="0"/>
                <w:sz w:val="24"/>
              </w:rPr>
              <w:t>报价说明可以接受</w:t>
            </w:r>
          </w:p>
        </w:tc>
        <w:tc>
          <w:tcPr>
            <w:tcW w:w="3502" w:type="dxa"/>
            <w:tcBorders>
              <w:top w:val="single" w:color="auto" w:sz="4" w:space="0"/>
              <w:left w:val="nil"/>
              <w:bottom w:val="single" w:color="auto" w:sz="4" w:space="0"/>
              <w:right w:val="single" w:color="auto" w:sz="4" w:space="0"/>
            </w:tcBorders>
            <w:vAlign w:val="center"/>
          </w:tcPr>
          <w:p w14:paraId="2392C229">
            <w:pPr>
              <w:widowControl/>
              <w:jc w:val="center"/>
              <w:rPr>
                <w:rFonts w:ascii="仿宋" w:hAnsi="仿宋" w:eastAsia="仿宋" w:cs="仿宋"/>
                <w:kern w:val="0"/>
                <w:sz w:val="24"/>
              </w:rPr>
            </w:pPr>
            <w:r>
              <w:rPr>
                <w:rFonts w:hint="eastAsia" w:ascii="仿宋" w:hAnsi="仿宋" w:eastAsia="仿宋" w:cs="仿宋"/>
                <w:sz w:val="24"/>
              </w:rPr>
              <w:t>投标人的报价明显低于其他通过符合性检查投标人的报价，有可能影响履约的，投标人能按照规定证明其报价合理性。</w:t>
            </w:r>
          </w:p>
        </w:tc>
        <w:tc>
          <w:tcPr>
            <w:tcW w:w="914" w:type="dxa"/>
            <w:tcBorders>
              <w:top w:val="single" w:color="auto" w:sz="4" w:space="0"/>
              <w:left w:val="nil"/>
              <w:bottom w:val="single" w:color="auto" w:sz="4" w:space="0"/>
              <w:right w:val="single" w:color="auto" w:sz="4" w:space="0"/>
            </w:tcBorders>
            <w:vAlign w:val="center"/>
          </w:tcPr>
          <w:p w14:paraId="398FEA18">
            <w:pPr>
              <w:widowControl/>
              <w:jc w:val="left"/>
              <w:rPr>
                <w:rFonts w:ascii="仿宋" w:hAnsi="仿宋" w:eastAsia="仿宋" w:cs="仿宋"/>
                <w:kern w:val="0"/>
                <w:sz w:val="24"/>
              </w:rPr>
            </w:pPr>
            <w:r>
              <w:rPr>
                <w:rFonts w:hint="eastAsia" w:ascii="仿宋" w:hAnsi="仿宋" w:eastAsia="仿宋" w:cs="仿宋"/>
                <w:kern w:val="0"/>
                <w:sz w:val="24"/>
              </w:rPr>
              <w:t>　</w:t>
            </w:r>
          </w:p>
        </w:tc>
        <w:tc>
          <w:tcPr>
            <w:tcW w:w="1066" w:type="dxa"/>
            <w:tcBorders>
              <w:top w:val="single" w:color="auto" w:sz="4" w:space="0"/>
              <w:left w:val="nil"/>
              <w:bottom w:val="single" w:color="auto" w:sz="4" w:space="0"/>
              <w:right w:val="single" w:color="auto" w:sz="4" w:space="0"/>
            </w:tcBorders>
            <w:vAlign w:val="center"/>
          </w:tcPr>
          <w:p w14:paraId="10D77DA0">
            <w:pPr>
              <w:widowControl/>
              <w:jc w:val="left"/>
              <w:rPr>
                <w:rFonts w:ascii="仿宋" w:hAnsi="仿宋" w:eastAsia="仿宋" w:cs="仿宋"/>
                <w:kern w:val="0"/>
                <w:sz w:val="24"/>
              </w:rPr>
            </w:pPr>
            <w:r>
              <w:rPr>
                <w:rFonts w:hint="eastAsia" w:ascii="仿宋" w:hAnsi="仿宋" w:eastAsia="仿宋" w:cs="仿宋"/>
                <w:kern w:val="0"/>
                <w:sz w:val="24"/>
              </w:rPr>
              <w:t>　</w:t>
            </w:r>
          </w:p>
        </w:tc>
        <w:tc>
          <w:tcPr>
            <w:tcW w:w="1066" w:type="dxa"/>
            <w:tcBorders>
              <w:top w:val="single" w:color="auto" w:sz="4" w:space="0"/>
              <w:left w:val="nil"/>
              <w:bottom w:val="single" w:color="auto" w:sz="4" w:space="0"/>
              <w:right w:val="single" w:color="auto" w:sz="4" w:space="0"/>
            </w:tcBorders>
            <w:vAlign w:val="center"/>
          </w:tcPr>
          <w:p w14:paraId="4575E43D">
            <w:pPr>
              <w:widowControl/>
              <w:jc w:val="left"/>
              <w:rPr>
                <w:rFonts w:ascii="仿宋" w:hAnsi="仿宋" w:eastAsia="仿宋" w:cs="仿宋"/>
                <w:kern w:val="0"/>
                <w:sz w:val="24"/>
              </w:rPr>
            </w:pPr>
            <w:r>
              <w:rPr>
                <w:rFonts w:hint="eastAsia" w:ascii="仿宋" w:hAnsi="仿宋" w:eastAsia="仿宋" w:cs="仿宋"/>
                <w:kern w:val="0"/>
                <w:sz w:val="24"/>
              </w:rPr>
              <w:t>　</w:t>
            </w:r>
          </w:p>
        </w:tc>
      </w:tr>
      <w:tr w14:paraId="303031EB">
        <w:tblPrEx>
          <w:tblCellMar>
            <w:top w:w="0" w:type="dxa"/>
            <w:left w:w="108" w:type="dxa"/>
            <w:bottom w:w="0" w:type="dxa"/>
            <w:right w:w="108" w:type="dxa"/>
          </w:tblCellMar>
        </w:tblPrEx>
        <w:trPr>
          <w:trHeight w:val="510" w:hRule="atLeast"/>
        </w:trPr>
        <w:tc>
          <w:tcPr>
            <w:tcW w:w="2413" w:type="dxa"/>
            <w:tcBorders>
              <w:top w:val="single" w:color="auto" w:sz="4" w:space="0"/>
              <w:left w:val="single" w:color="auto" w:sz="4" w:space="0"/>
              <w:bottom w:val="single" w:color="auto" w:sz="4" w:space="0"/>
              <w:right w:val="single" w:color="auto" w:sz="4" w:space="0"/>
            </w:tcBorders>
            <w:vAlign w:val="center"/>
          </w:tcPr>
          <w:p w14:paraId="7BFABD5E">
            <w:pPr>
              <w:widowControl/>
              <w:jc w:val="center"/>
              <w:rPr>
                <w:rFonts w:ascii="仿宋" w:hAnsi="仿宋" w:eastAsia="仿宋" w:cs="仿宋"/>
                <w:kern w:val="0"/>
                <w:sz w:val="24"/>
              </w:rPr>
            </w:pPr>
            <w:r>
              <w:rPr>
                <w:rFonts w:hint="eastAsia" w:ascii="仿宋" w:hAnsi="仿宋" w:eastAsia="仿宋" w:cs="仿宋"/>
                <w:sz w:val="24"/>
              </w:rPr>
              <w:t>无采购人不能接受的附加条件</w:t>
            </w:r>
          </w:p>
        </w:tc>
        <w:tc>
          <w:tcPr>
            <w:tcW w:w="3502" w:type="dxa"/>
            <w:tcBorders>
              <w:top w:val="single" w:color="auto" w:sz="4" w:space="0"/>
              <w:left w:val="nil"/>
              <w:bottom w:val="single" w:color="auto" w:sz="4" w:space="0"/>
              <w:right w:val="single" w:color="auto" w:sz="4" w:space="0"/>
            </w:tcBorders>
            <w:vAlign w:val="center"/>
          </w:tcPr>
          <w:p w14:paraId="4436A3CE">
            <w:pPr>
              <w:widowControl/>
              <w:jc w:val="center"/>
              <w:rPr>
                <w:rFonts w:ascii="仿宋" w:hAnsi="仿宋" w:eastAsia="仿宋" w:cs="仿宋"/>
                <w:kern w:val="0"/>
                <w:sz w:val="24"/>
              </w:rPr>
            </w:pPr>
            <w:r>
              <w:rPr>
                <w:rFonts w:hint="eastAsia" w:ascii="仿宋" w:hAnsi="仿宋" w:eastAsia="仿宋" w:cs="仿宋"/>
                <w:sz w:val="24"/>
              </w:rPr>
              <w:t>投标文件未含有采购人不能接受的附加条件。</w:t>
            </w:r>
          </w:p>
        </w:tc>
        <w:tc>
          <w:tcPr>
            <w:tcW w:w="914" w:type="dxa"/>
            <w:tcBorders>
              <w:top w:val="single" w:color="auto" w:sz="4" w:space="0"/>
              <w:left w:val="nil"/>
              <w:bottom w:val="single" w:color="auto" w:sz="4" w:space="0"/>
              <w:right w:val="single" w:color="auto" w:sz="4" w:space="0"/>
            </w:tcBorders>
            <w:vAlign w:val="center"/>
          </w:tcPr>
          <w:p w14:paraId="632B6164">
            <w:pPr>
              <w:widowControl/>
              <w:jc w:val="left"/>
              <w:rPr>
                <w:rFonts w:ascii="仿宋" w:hAnsi="仿宋" w:eastAsia="仿宋" w:cs="仿宋"/>
                <w:kern w:val="0"/>
                <w:sz w:val="24"/>
              </w:rPr>
            </w:pPr>
          </w:p>
        </w:tc>
        <w:tc>
          <w:tcPr>
            <w:tcW w:w="1066" w:type="dxa"/>
            <w:tcBorders>
              <w:top w:val="single" w:color="auto" w:sz="4" w:space="0"/>
              <w:left w:val="nil"/>
              <w:bottom w:val="single" w:color="auto" w:sz="4" w:space="0"/>
              <w:right w:val="single" w:color="auto" w:sz="4" w:space="0"/>
            </w:tcBorders>
            <w:vAlign w:val="center"/>
          </w:tcPr>
          <w:p w14:paraId="2100FE98">
            <w:pPr>
              <w:widowControl/>
              <w:jc w:val="left"/>
              <w:rPr>
                <w:rFonts w:ascii="仿宋" w:hAnsi="仿宋" w:eastAsia="仿宋" w:cs="仿宋"/>
                <w:kern w:val="0"/>
                <w:sz w:val="24"/>
              </w:rPr>
            </w:pPr>
          </w:p>
        </w:tc>
        <w:tc>
          <w:tcPr>
            <w:tcW w:w="1066" w:type="dxa"/>
            <w:tcBorders>
              <w:top w:val="single" w:color="auto" w:sz="4" w:space="0"/>
              <w:left w:val="nil"/>
              <w:bottom w:val="single" w:color="auto" w:sz="4" w:space="0"/>
              <w:right w:val="single" w:color="auto" w:sz="4" w:space="0"/>
            </w:tcBorders>
            <w:vAlign w:val="center"/>
          </w:tcPr>
          <w:p w14:paraId="657E16DE">
            <w:pPr>
              <w:widowControl/>
              <w:jc w:val="left"/>
              <w:rPr>
                <w:rFonts w:ascii="仿宋" w:hAnsi="仿宋" w:eastAsia="仿宋" w:cs="仿宋"/>
                <w:kern w:val="0"/>
                <w:sz w:val="24"/>
              </w:rPr>
            </w:pPr>
          </w:p>
        </w:tc>
      </w:tr>
      <w:bookmarkEnd w:id="533"/>
      <w:tr w14:paraId="750A1299">
        <w:tblPrEx>
          <w:tblCellMar>
            <w:top w:w="0" w:type="dxa"/>
            <w:left w:w="108" w:type="dxa"/>
            <w:bottom w:w="0" w:type="dxa"/>
            <w:right w:w="108" w:type="dxa"/>
          </w:tblCellMar>
        </w:tblPrEx>
        <w:trPr>
          <w:trHeight w:val="774" w:hRule="atLeast"/>
        </w:trPr>
        <w:tc>
          <w:tcPr>
            <w:tcW w:w="5915" w:type="dxa"/>
            <w:gridSpan w:val="2"/>
            <w:tcBorders>
              <w:top w:val="single" w:color="auto" w:sz="4" w:space="0"/>
              <w:left w:val="single" w:color="auto" w:sz="4" w:space="0"/>
              <w:bottom w:val="single" w:color="auto" w:sz="4" w:space="0"/>
              <w:right w:val="single" w:color="auto" w:sz="4" w:space="0"/>
            </w:tcBorders>
            <w:vAlign w:val="center"/>
          </w:tcPr>
          <w:p w14:paraId="3404A314">
            <w:pPr>
              <w:widowControl/>
              <w:jc w:val="center"/>
              <w:rPr>
                <w:rFonts w:ascii="仿宋" w:hAnsi="仿宋" w:eastAsia="仿宋" w:cs="仿宋"/>
                <w:b/>
                <w:sz w:val="24"/>
              </w:rPr>
            </w:pPr>
            <w:r>
              <w:rPr>
                <w:rFonts w:hint="eastAsia" w:ascii="仿宋" w:hAnsi="仿宋" w:eastAsia="仿宋" w:cs="仿宋"/>
                <w:sz w:val="24"/>
              </w:rPr>
              <w:t>结论（</w:t>
            </w:r>
            <w:r>
              <w:rPr>
                <w:rFonts w:hint="eastAsia" w:ascii="仿宋" w:hAnsi="仿宋" w:eastAsia="仿宋" w:cs="仿宋"/>
                <w:spacing w:val="-2"/>
                <w:sz w:val="24"/>
              </w:rPr>
              <w:t>通过评审写“通过”，未通过评审写“不通过”）</w:t>
            </w:r>
          </w:p>
        </w:tc>
        <w:tc>
          <w:tcPr>
            <w:tcW w:w="914" w:type="dxa"/>
            <w:tcBorders>
              <w:top w:val="single" w:color="auto" w:sz="4" w:space="0"/>
              <w:left w:val="nil"/>
              <w:bottom w:val="single" w:color="auto" w:sz="4" w:space="0"/>
              <w:right w:val="single" w:color="auto" w:sz="4" w:space="0"/>
            </w:tcBorders>
            <w:vAlign w:val="center"/>
          </w:tcPr>
          <w:p w14:paraId="67B6A63C">
            <w:pPr>
              <w:widowControl/>
              <w:jc w:val="center"/>
              <w:rPr>
                <w:rFonts w:ascii="仿宋" w:hAnsi="仿宋" w:eastAsia="仿宋" w:cs="仿宋"/>
                <w:kern w:val="0"/>
                <w:sz w:val="24"/>
              </w:rPr>
            </w:pPr>
          </w:p>
        </w:tc>
        <w:tc>
          <w:tcPr>
            <w:tcW w:w="1066" w:type="dxa"/>
            <w:tcBorders>
              <w:top w:val="single" w:color="auto" w:sz="4" w:space="0"/>
              <w:left w:val="nil"/>
              <w:bottom w:val="single" w:color="auto" w:sz="4" w:space="0"/>
              <w:right w:val="single" w:color="auto" w:sz="4" w:space="0"/>
            </w:tcBorders>
            <w:vAlign w:val="center"/>
          </w:tcPr>
          <w:p w14:paraId="48DDC51E">
            <w:pPr>
              <w:widowControl/>
              <w:jc w:val="center"/>
              <w:rPr>
                <w:rFonts w:ascii="仿宋" w:hAnsi="仿宋" w:eastAsia="仿宋" w:cs="仿宋"/>
                <w:kern w:val="0"/>
                <w:sz w:val="24"/>
              </w:rPr>
            </w:pPr>
          </w:p>
        </w:tc>
        <w:tc>
          <w:tcPr>
            <w:tcW w:w="1066" w:type="dxa"/>
            <w:tcBorders>
              <w:top w:val="single" w:color="auto" w:sz="4" w:space="0"/>
              <w:left w:val="nil"/>
              <w:bottom w:val="single" w:color="auto" w:sz="4" w:space="0"/>
              <w:right w:val="single" w:color="auto" w:sz="4" w:space="0"/>
            </w:tcBorders>
            <w:vAlign w:val="center"/>
          </w:tcPr>
          <w:p w14:paraId="1F196590">
            <w:pPr>
              <w:widowControl/>
              <w:jc w:val="center"/>
              <w:rPr>
                <w:rFonts w:ascii="仿宋" w:hAnsi="仿宋" w:eastAsia="仿宋" w:cs="仿宋"/>
                <w:kern w:val="0"/>
                <w:sz w:val="24"/>
              </w:rPr>
            </w:pPr>
          </w:p>
        </w:tc>
      </w:tr>
    </w:tbl>
    <w:p w14:paraId="49B3B315">
      <w:pPr>
        <w:spacing w:line="360" w:lineRule="exact"/>
        <w:rPr>
          <w:rFonts w:ascii="仿宋" w:hAnsi="仿宋" w:eastAsia="仿宋" w:cs="仿宋"/>
          <w:sz w:val="24"/>
        </w:rPr>
      </w:pPr>
      <w:r>
        <w:rPr>
          <w:rFonts w:hint="eastAsia" w:ascii="仿宋" w:hAnsi="仿宋" w:eastAsia="仿宋" w:cs="仿宋"/>
          <w:sz w:val="24"/>
        </w:rPr>
        <w:t>说明：</w:t>
      </w:r>
    </w:p>
    <w:p w14:paraId="4BFE7AD1">
      <w:pPr>
        <w:spacing w:line="360" w:lineRule="exact"/>
        <w:rPr>
          <w:rFonts w:ascii="仿宋" w:hAnsi="仿宋" w:eastAsia="仿宋" w:cs="仿宋"/>
          <w:sz w:val="24"/>
        </w:rPr>
      </w:pPr>
      <w:r>
        <w:rPr>
          <w:rFonts w:hint="eastAsia" w:ascii="仿宋" w:hAnsi="仿宋" w:eastAsia="仿宋" w:cs="仿宋"/>
          <w:sz w:val="24"/>
        </w:rPr>
        <w:t>（1）上述各项中用“√”表示通过，“×”表示不通过；</w:t>
      </w:r>
    </w:p>
    <w:p w14:paraId="10580AB9">
      <w:pPr>
        <w:spacing w:line="360" w:lineRule="exact"/>
        <w:rPr>
          <w:rFonts w:ascii="仿宋" w:hAnsi="仿宋" w:eastAsia="仿宋" w:cs="仿宋"/>
          <w:sz w:val="24"/>
        </w:rPr>
      </w:pPr>
      <w:r>
        <w:rPr>
          <w:rFonts w:hint="eastAsia" w:ascii="仿宋" w:hAnsi="仿宋" w:eastAsia="仿宋" w:cs="仿宋"/>
          <w:sz w:val="24"/>
        </w:rPr>
        <w:t>（2）上述各项中如有一项为“×”，则结论为“×”，表示该磋商文件中存在重大偏差，不能通过初步评审；评委对某一分项评审认为不合格时，必须要写明原因。</w:t>
      </w:r>
    </w:p>
    <w:p w14:paraId="7BAE4ED1">
      <w:pPr>
        <w:spacing w:line="360" w:lineRule="exact"/>
        <w:rPr>
          <w:rFonts w:ascii="仿宋" w:hAnsi="仿宋" w:eastAsia="仿宋" w:cs="仿宋"/>
          <w:sz w:val="24"/>
        </w:rPr>
      </w:pPr>
      <w:r>
        <w:rPr>
          <w:rFonts w:hint="eastAsia" w:ascii="仿宋" w:hAnsi="仿宋" w:eastAsia="仿宋" w:cs="仿宋"/>
          <w:sz w:val="24"/>
        </w:rPr>
        <w:t>（3）磋商文件最终合格与否，以所有评委的评审意见中少数服从多数为原则定论。</w:t>
      </w:r>
    </w:p>
    <w:p w14:paraId="096A341B">
      <w:pPr>
        <w:spacing w:line="240" w:lineRule="atLeast"/>
        <w:ind w:left="1080" w:leftChars="257" w:hanging="540"/>
        <w:jc w:val="left"/>
        <w:rPr>
          <w:rFonts w:ascii="仿宋" w:hAnsi="仿宋" w:eastAsia="仿宋" w:cs="仿宋"/>
          <w:b/>
          <w:sz w:val="28"/>
          <w:szCs w:val="28"/>
        </w:rPr>
      </w:pPr>
      <w:r>
        <w:rPr>
          <w:rFonts w:hint="eastAsia" w:ascii="仿宋" w:hAnsi="仿宋" w:eastAsia="仿宋" w:cs="仿宋"/>
          <w:b/>
          <w:bCs/>
          <w:sz w:val="24"/>
        </w:rPr>
        <w:t>备注：如果磋商文件中有一项未通过上述审查标准，评审委员会将认定整个磋商文件未响应磋商文件而予以废标处理。</w:t>
      </w:r>
      <w:bookmarkStart w:id="534" w:name="_Toc20930"/>
      <w:bookmarkStart w:id="535" w:name="_Toc25310"/>
      <w:bookmarkStart w:id="536" w:name="_Toc23522"/>
      <w:bookmarkStart w:id="537" w:name="_Toc16953"/>
      <w:bookmarkStart w:id="538" w:name="_Toc10809"/>
      <w:bookmarkStart w:id="539" w:name="_Toc507399904"/>
    </w:p>
    <w:p w14:paraId="45C97CA5">
      <w:pPr>
        <w:pStyle w:val="22"/>
      </w:pPr>
      <w:r>
        <w:rPr>
          <w:rFonts w:hint="eastAsia" w:ascii="仿宋" w:hAnsi="仿宋" w:eastAsia="仿宋" w:cs="仿宋"/>
          <w:b/>
          <w:sz w:val="28"/>
          <w:szCs w:val="28"/>
        </w:rPr>
        <w:br w:type="page"/>
      </w:r>
    </w:p>
    <w:bookmarkEnd w:id="534"/>
    <w:bookmarkEnd w:id="535"/>
    <w:bookmarkEnd w:id="536"/>
    <w:bookmarkEnd w:id="537"/>
    <w:bookmarkEnd w:id="538"/>
    <w:p w14:paraId="3B5BFF3A">
      <w:pPr>
        <w:spacing w:before="100" w:line="228" w:lineRule="auto"/>
        <w:jc w:val="center"/>
        <w:outlineLvl w:val="1"/>
        <w:rPr>
          <w:rFonts w:ascii="仿宋" w:hAnsi="仿宋" w:eastAsia="仿宋" w:cs="仿宋"/>
          <w:sz w:val="31"/>
          <w:szCs w:val="31"/>
        </w:rPr>
      </w:pPr>
      <w:r>
        <w:rPr>
          <w:rFonts w:ascii="仿宋" w:hAnsi="仿宋" w:eastAsia="仿宋" w:cs="仿宋"/>
          <w:b/>
          <w:bCs/>
          <w:spacing w:val="2"/>
          <w:sz w:val="31"/>
          <w:szCs w:val="31"/>
        </w:rPr>
        <w:t>综合评分表</w:t>
      </w:r>
    </w:p>
    <w:tbl>
      <w:tblPr>
        <w:tblStyle w:val="23"/>
        <w:tblpPr w:leftFromText="180" w:rightFromText="180" w:vertAnchor="text" w:horzAnchor="page" w:tblpXSpec="center" w:tblpY="87"/>
        <w:tblOverlap w:val="never"/>
        <w:tblW w:w="9041"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771"/>
        <w:gridCol w:w="1295"/>
        <w:gridCol w:w="762"/>
        <w:gridCol w:w="6213"/>
      </w:tblGrid>
      <w:tr w14:paraId="58BEB7B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59" w:hRule="atLeast"/>
          <w:jc w:val="center"/>
        </w:trPr>
        <w:tc>
          <w:tcPr>
            <w:tcW w:w="771" w:type="dxa"/>
            <w:tcBorders>
              <w:tl2br w:val="nil"/>
              <w:tr2bl w:val="nil"/>
            </w:tcBorders>
            <w:noWrap w:val="0"/>
            <w:vAlign w:val="center"/>
          </w:tcPr>
          <w:p w14:paraId="137C3D89">
            <w:pPr>
              <w:spacing w:before="59" w:line="239" w:lineRule="auto"/>
              <w:jc w:val="center"/>
              <w:rPr>
                <w:rFonts w:hint="eastAsia" w:ascii="仿宋" w:hAnsi="仿宋" w:eastAsia="仿宋" w:cs="仿宋"/>
                <w:b w:val="0"/>
                <w:bCs w:val="0"/>
                <w:spacing w:val="-3"/>
                <w:sz w:val="24"/>
                <w:szCs w:val="24"/>
              </w:rPr>
            </w:pPr>
            <w:r>
              <w:rPr>
                <w:rFonts w:hint="eastAsia" w:ascii="仿宋" w:hAnsi="仿宋" w:eastAsia="仿宋" w:cs="仿宋"/>
                <w:b w:val="0"/>
                <w:bCs w:val="0"/>
                <w:spacing w:val="-3"/>
                <w:sz w:val="24"/>
                <w:szCs w:val="24"/>
              </w:rPr>
              <w:t>序号</w:t>
            </w:r>
          </w:p>
        </w:tc>
        <w:tc>
          <w:tcPr>
            <w:tcW w:w="1295" w:type="dxa"/>
            <w:tcBorders>
              <w:tl2br w:val="nil"/>
              <w:tr2bl w:val="nil"/>
            </w:tcBorders>
            <w:noWrap w:val="0"/>
            <w:vAlign w:val="center"/>
          </w:tcPr>
          <w:p w14:paraId="64FC0B46">
            <w:pPr>
              <w:spacing w:before="59" w:line="239" w:lineRule="auto"/>
              <w:jc w:val="center"/>
              <w:rPr>
                <w:rFonts w:hint="eastAsia" w:ascii="仿宋" w:hAnsi="仿宋" w:eastAsia="仿宋" w:cs="仿宋"/>
                <w:b w:val="0"/>
                <w:bCs w:val="0"/>
                <w:spacing w:val="-3"/>
                <w:sz w:val="24"/>
                <w:szCs w:val="24"/>
              </w:rPr>
            </w:pPr>
            <w:r>
              <w:rPr>
                <w:rFonts w:hint="eastAsia" w:ascii="仿宋" w:hAnsi="仿宋" w:eastAsia="仿宋" w:cs="仿宋"/>
                <w:b w:val="0"/>
                <w:bCs w:val="0"/>
                <w:spacing w:val="-3"/>
                <w:sz w:val="24"/>
                <w:szCs w:val="24"/>
              </w:rPr>
              <w:t>评分因素</w:t>
            </w:r>
          </w:p>
        </w:tc>
        <w:tc>
          <w:tcPr>
            <w:tcW w:w="762" w:type="dxa"/>
            <w:tcBorders>
              <w:tl2br w:val="nil"/>
              <w:tr2bl w:val="nil"/>
            </w:tcBorders>
            <w:noWrap w:val="0"/>
            <w:vAlign w:val="center"/>
          </w:tcPr>
          <w:p w14:paraId="156D702E">
            <w:pPr>
              <w:spacing w:before="59" w:line="239" w:lineRule="auto"/>
              <w:jc w:val="center"/>
              <w:rPr>
                <w:rFonts w:hint="eastAsia" w:ascii="仿宋" w:hAnsi="仿宋" w:eastAsia="仿宋" w:cs="仿宋"/>
                <w:b w:val="0"/>
                <w:bCs w:val="0"/>
                <w:spacing w:val="-3"/>
                <w:sz w:val="24"/>
                <w:szCs w:val="24"/>
              </w:rPr>
            </w:pPr>
            <w:r>
              <w:rPr>
                <w:rFonts w:hint="eastAsia" w:ascii="仿宋" w:hAnsi="仿宋" w:eastAsia="仿宋" w:cs="仿宋"/>
                <w:b w:val="0"/>
                <w:bCs w:val="0"/>
                <w:spacing w:val="-3"/>
                <w:sz w:val="24"/>
                <w:szCs w:val="24"/>
              </w:rPr>
              <w:t>分值</w:t>
            </w:r>
          </w:p>
        </w:tc>
        <w:tc>
          <w:tcPr>
            <w:tcW w:w="6213" w:type="dxa"/>
            <w:tcBorders>
              <w:tl2br w:val="nil"/>
              <w:tr2bl w:val="nil"/>
            </w:tcBorders>
            <w:noWrap w:val="0"/>
            <w:vAlign w:val="center"/>
          </w:tcPr>
          <w:p w14:paraId="2C0C601A">
            <w:pPr>
              <w:spacing w:before="59" w:line="239" w:lineRule="auto"/>
              <w:jc w:val="center"/>
              <w:rPr>
                <w:rFonts w:hint="default" w:ascii="仿宋" w:hAnsi="仿宋" w:eastAsia="仿宋" w:cs="仿宋"/>
                <w:b w:val="0"/>
                <w:bCs w:val="0"/>
                <w:spacing w:val="-3"/>
                <w:sz w:val="24"/>
                <w:szCs w:val="24"/>
                <w:lang w:val="en-US" w:eastAsia="zh-CN"/>
              </w:rPr>
            </w:pPr>
            <w:r>
              <w:rPr>
                <w:rFonts w:hint="eastAsia" w:ascii="仿宋" w:hAnsi="仿宋" w:eastAsia="仿宋" w:cs="仿宋"/>
                <w:b w:val="0"/>
                <w:bCs w:val="0"/>
                <w:spacing w:val="-3"/>
                <w:sz w:val="24"/>
                <w:szCs w:val="24"/>
              </w:rPr>
              <w:t>评分标准</w:t>
            </w:r>
            <w:r>
              <w:rPr>
                <w:rFonts w:hint="eastAsia" w:ascii="仿宋" w:hAnsi="仿宋" w:eastAsia="仿宋" w:cs="仿宋"/>
                <w:b w:val="0"/>
                <w:bCs w:val="0"/>
                <w:spacing w:val="-3"/>
                <w:sz w:val="24"/>
                <w:szCs w:val="24"/>
                <w:lang w:eastAsia="zh-CN"/>
              </w:rPr>
              <w:t>：</w:t>
            </w:r>
            <w:r>
              <w:rPr>
                <w:rFonts w:hint="eastAsia" w:ascii="仿宋" w:hAnsi="仿宋" w:eastAsia="仿宋" w:cs="仿宋"/>
                <w:b w:val="0"/>
                <w:bCs w:val="0"/>
                <w:color w:val="auto"/>
                <w:spacing w:val="-3"/>
                <w:sz w:val="24"/>
                <w:szCs w:val="24"/>
                <w:lang w:val="en-US" w:eastAsia="zh-CN"/>
              </w:rPr>
              <w:t>报价：</w:t>
            </w:r>
            <w:r>
              <w:rPr>
                <w:rFonts w:hint="eastAsia" w:ascii="仿宋" w:hAnsi="仿宋" w:eastAsia="仿宋" w:cs="仿宋"/>
                <w:color w:val="auto"/>
                <w:spacing w:val="-3"/>
                <w:sz w:val="24"/>
                <w:szCs w:val="24"/>
                <w:lang w:val="en-US" w:eastAsia="zh-CN"/>
              </w:rPr>
              <w:t>15</w:t>
            </w:r>
            <w:r>
              <w:rPr>
                <w:rFonts w:hint="eastAsia" w:ascii="仿宋" w:hAnsi="仿宋" w:eastAsia="仿宋" w:cs="仿宋"/>
                <w:color w:val="auto"/>
                <w:spacing w:val="-3"/>
                <w:sz w:val="24"/>
                <w:szCs w:val="24"/>
              </w:rPr>
              <w:t>分</w:t>
            </w:r>
            <w:r>
              <w:rPr>
                <w:rFonts w:hint="eastAsia" w:ascii="仿宋" w:hAnsi="仿宋" w:eastAsia="仿宋" w:cs="仿宋"/>
                <w:color w:val="auto"/>
                <w:spacing w:val="5"/>
                <w:sz w:val="24"/>
                <w:szCs w:val="24"/>
              </w:rPr>
              <w:t xml:space="preserve">  </w:t>
            </w:r>
            <w:r>
              <w:rPr>
                <w:rFonts w:hint="eastAsia" w:ascii="仿宋" w:hAnsi="仿宋" w:eastAsia="仿宋" w:cs="仿宋"/>
                <w:color w:val="auto"/>
                <w:spacing w:val="-3"/>
                <w:sz w:val="24"/>
                <w:szCs w:val="24"/>
              </w:rPr>
              <w:t>商务：</w:t>
            </w:r>
            <w:r>
              <w:rPr>
                <w:rFonts w:hint="eastAsia" w:ascii="仿宋" w:hAnsi="仿宋" w:eastAsia="仿宋" w:cs="仿宋"/>
                <w:color w:val="auto"/>
                <w:spacing w:val="-3"/>
                <w:sz w:val="24"/>
                <w:szCs w:val="24"/>
                <w:lang w:val="en-US" w:eastAsia="zh-CN"/>
              </w:rPr>
              <w:t>11</w:t>
            </w:r>
            <w:r>
              <w:rPr>
                <w:rFonts w:hint="eastAsia" w:ascii="仿宋" w:hAnsi="仿宋" w:eastAsia="仿宋" w:cs="仿宋"/>
                <w:color w:val="auto"/>
                <w:spacing w:val="-3"/>
                <w:sz w:val="24"/>
                <w:szCs w:val="24"/>
              </w:rPr>
              <w:t>分</w:t>
            </w:r>
            <w:r>
              <w:rPr>
                <w:rFonts w:hint="eastAsia" w:ascii="仿宋" w:hAnsi="仿宋" w:eastAsia="仿宋" w:cs="仿宋"/>
                <w:color w:val="auto"/>
                <w:spacing w:val="2"/>
                <w:sz w:val="24"/>
                <w:szCs w:val="24"/>
              </w:rPr>
              <w:t xml:space="preserve">   </w:t>
            </w:r>
            <w:r>
              <w:rPr>
                <w:rFonts w:hint="eastAsia" w:ascii="仿宋" w:hAnsi="仿宋" w:eastAsia="仿宋" w:cs="仿宋"/>
                <w:color w:val="auto"/>
                <w:spacing w:val="-3"/>
                <w:sz w:val="24"/>
                <w:szCs w:val="24"/>
              </w:rPr>
              <w:t>技术：</w:t>
            </w:r>
            <w:r>
              <w:rPr>
                <w:rFonts w:hint="eastAsia" w:ascii="仿宋" w:hAnsi="仿宋" w:eastAsia="仿宋" w:cs="仿宋"/>
                <w:color w:val="auto"/>
                <w:spacing w:val="-3"/>
                <w:sz w:val="24"/>
                <w:szCs w:val="24"/>
                <w:lang w:val="en-US" w:eastAsia="zh-CN"/>
              </w:rPr>
              <w:t>74</w:t>
            </w:r>
            <w:r>
              <w:rPr>
                <w:rFonts w:hint="eastAsia" w:ascii="仿宋" w:hAnsi="仿宋" w:eastAsia="仿宋" w:cs="仿宋"/>
                <w:color w:val="auto"/>
                <w:spacing w:val="-3"/>
                <w:sz w:val="24"/>
                <w:szCs w:val="24"/>
              </w:rPr>
              <w:t>分</w:t>
            </w:r>
          </w:p>
        </w:tc>
      </w:tr>
      <w:tr w14:paraId="4B27503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95" w:hRule="atLeast"/>
          <w:jc w:val="center"/>
        </w:trPr>
        <w:tc>
          <w:tcPr>
            <w:tcW w:w="9041" w:type="dxa"/>
            <w:gridSpan w:val="4"/>
            <w:tcBorders>
              <w:tl2br w:val="nil"/>
              <w:tr2bl w:val="nil"/>
            </w:tcBorders>
            <w:noWrap w:val="0"/>
            <w:vAlign w:val="center"/>
          </w:tcPr>
          <w:p w14:paraId="096C38A4">
            <w:pPr>
              <w:spacing w:before="59" w:line="239" w:lineRule="auto"/>
              <w:jc w:val="center"/>
              <w:rPr>
                <w:rFonts w:hint="eastAsia" w:ascii="仿宋" w:hAnsi="仿宋" w:eastAsia="仿宋" w:cs="仿宋"/>
                <w:b w:val="0"/>
                <w:bCs w:val="0"/>
                <w:spacing w:val="-3"/>
                <w:sz w:val="24"/>
                <w:szCs w:val="24"/>
                <w:lang w:val="en-US" w:eastAsia="zh-CN"/>
              </w:rPr>
            </w:pPr>
            <w:r>
              <w:rPr>
                <w:rFonts w:hint="eastAsia" w:ascii="仿宋" w:hAnsi="仿宋" w:eastAsia="仿宋" w:cs="仿宋"/>
                <w:b/>
                <w:bCs/>
                <w:spacing w:val="-3"/>
                <w:sz w:val="24"/>
                <w:szCs w:val="24"/>
                <w:lang w:val="en-US" w:eastAsia="zh-CN"/>
              </w:rPr>
              <w:t>一、报价部分</w:t>
            </w:r>
          </w:p>
        </w:tc>
      </w:tr>
      <w:tr w14:paraId="4C88753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771" w:type="dxa"/>
            <w:tcBorders>
              <w:tl2br w:val="nil"/>
              <w:tr2bl w:val="nil"/>
            </w:tcBorders>
            <w:noWrap w:val="0"/>
            <w:vAlign w:val="center"/>
          </w:tcPr>
          <w:p w14:paraId="5B95B715">
            <w:pPr>
              <w:spacing w:before="59" w:line="239" w:lineRule="auto"/>
              <w:jc w:val="center"/>
              <w:rPr>
                <w:rFonts w:hint="eastAsia" w:ascii="仿宋" w:hAnsi="仿宋" w:eastAsia="仿宋" w:cs="仿宋"/>
                <w:b w:val="0"/>
                <w:bCs w:val="0"/>
                <w:spacing w:val="-3"/>
                <w:sz w:val="24"/>
                <w:szCs w:val="24"/>
                <w:lang w:val="en-US" w:eastAsia="zh-CN"/>
              </w:rPr>
            </w:pPr>
            <w:r>
              <w:rPr>
                <w:rFonts w:hint="eastAsia" w:ascii="仿宋" w:hAnsi="仿宋" w:eastAsia="仿宋" w:cs="仿宋"/>
                <w:b w:val="0"/>
                <w:bCs w:val="0"/>
                <w:spacing w:val="-3"/>
                <w:sz w:val="24"/>
                <w:szCs w:val="24"/>
                <w:lang w:val="en-US" w:eastAsia="zh-CN"/>
              </w:rPr>
              <w:t>1</w:t>
            </w:r>
          </w:p>
        </w:tc>
        <w:tc>
          <w:tcPr>
            <w:tcW w:w="1295" w:type="dxa"/>
            <w:tcBorders>
              <w:tl2br w:val="nil"/>
              <w:tr2bl w:val="nil"/>
            </w:tcBorders>
            <w:noWrap w:val="0"/>
            <w:vAlign w:val="center"/>
          </w:tcPr>
          <w:p w14:paraId="3F7E0527">
            <w:pPr>
              <w:spacing w:before="59" w:line="239" w:lineRule="auto"/>
              <w:jc w:val="center"/>
              <w:rPr>
                <w:rFonts w:hint="default" w:ascii="仿宋" w:hAnsi="仿宋" w:eastAsia="仿宋" w:cs="仿宋"/>
                <w:b w:val="0"/>
                <w:bCs w:val="0"/>
                <w:spacing w:val="-3"/>
                <w:sz w:val="24"/>
                <w:szCs w:val="24"/>
                <w:lang w:val="en-US" w:eastAsia="zh-CN"/>
              </w:rPr>
            </w:pPr>
            <w:r>
              <w:rPr>
                <w:rFonts w:hint="eastAsia" w:ascii="仿宋" w:hAnsi="仿宋" w:eastAsia="仿宋" w:cs="仿宋"/>
                <w:b w:val="0"/>
                <w:bCs w:val="0"/>
                <w:spacing w:val="-3"/>
                <w:sz w:val="24"/>
                <w:szCs w:val="24"/>
                <w:lang w:val="en-US" w:eastAsia="zh-CN"/>
              </w:rPr>
              <w:t>投标报价</w:t>
            </w:r>
          </w:p>
        </w:tc>
        <w:tc>
          <w:tcPr>
            <w:tcW w:w="762" w:type="dxa"/>
            <w:tcBorders>
              <w:tl2br w:val="nil"/>
              <w:tr2bl w:val="nil"/>
            </w:tcBorders>
            <w:noWrap w:val="0"/>
            <w:vAlign w:val="center"/>
          </w:tcPr>
          <w:p w14:paraId="39B192DD">
            <w:pPr>
              <w:spacing w:before="59" w:line="239" w:lineRule="auto"/>
              <w:jc w:val="center"/>
              <w:rPr>
                <w:rFonts w:hint="eastAsia" w:ascii="仿宋" w:hAnsi="仿宋" w:eastAsia="仿宋" w:cs="仿宋"/>
                <w:b w:val="0"/>
                <w:bCs w:val="0"/>
                <w:spacing w:val="-3"/>
                <w:sz w:val="24"/>
                <w:szCs w:val="24"/>
                <w:cs/>
                <w:lang w:val="en-US" w:eastAsia="zh-CN"/>
              </w:rPr>
            </w:pPr>
            <w:r>
              <w:rPr>
                <w:rFonts w:hint="eastAsia" w:ascii="仿宋" w:hAnsi="仿宋" w:eastAsia="仿宋" w:cs="仿宋"/>
                <w:b w:val="0"/>
                <w:bCs w:val="0"/>
                <w:spacing w:val="-3"/>
                <w:sz w:val="24"/>
                <w:szCs w:val="24"/>
                <w:lang w:val="en-US" w:eastAsia="zh-CN"/>
              </w:rPr>
              <w:t>15分</w:t>
            </w:r>
          </w:p>
        </w:tc>
        <w:tc>
          <w:tcPr>
            <w:tcW w:w="6213" w:type="dxa"/>
            <w:tcBorders>
              <w:tl2br w:val="nil"/>
              <w:tr2bl w:val="nil"/>
            </w:tcBorders>
            <w:noWrap w:val="0"/>
            <w:vAlign w:val="center"/>
          </w:tcPr>
          <w:p w14:paraId="3E9C031D">
            <w:pPr>
              <w:spacing w:before="59" w:line="240" w:lineRule="auto"/>
              <w:jc w:val="left"/>
              <w:rPr>
                <w:rFonts w:hint="default" w:ascii="仿宋" w:hAnsi="仿宋" w:eastAsia="仿宋" w:cs="仿宋"/>
                <w:b w:val="0"/>
                <w:bCs w:val="0"/>
                <w:spacing w:val="-3"/>
                <w:sz w:val="24"/>
                <w:szCs w:val="24"/>
                <w:lang w:val="en-US" w:eastAsia="zh-CN"/>
              </w:rPr>
            </w:pPr>
            <w:r>
              <w:rPr>
                <w:rFonts w:hint="eastAsia" w:ascii="仿宋" w:hAnsi="仿宋" w:eastAsia="仿宋" w:cs="仿宋"/>
                <w:b w:val="0"/>
                <w:bCs w:val="0"/>
                <w:spacing w:val="-3"/>
                <w:sz w:val="24"/>
                <w:szCs w:val="24"/>
                <w:lang w:val="en-US" w:eastAsia="zh-CN"/>
              </w:rPr>
              <w:t>评标基准价=有效投标报价的最低值，有效投标报价等于基准值的得满分15分，投标报价得分=（评标基准价/投标报价） ×价格权重× 100；有效投标报价为通过资格性和符合性审查的供应商报价。计算分数时四舍五入取小数点后两位,分数最高不超过15分。评标过程中，不得去掉报价中的最低和最高报价。因落实政府采购政策进行价格调整的， 以调整后的价格计算评标基准价和投标报价。</w:t>
            </w:r>
          </w:p>
        </w:tc>
      </w:tr>
      <w:tr w14:paraId="0CB3329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95" w:hRule="atLeast"/>
          <w:jc w:val="center"/>
        </w:trPr>
        <w:tc>
          <w:tcPr>
            <w:tcW w:w="9041" w:type="dxa"/>
            <w:gridSpan w:val="4"/>
            <w:tcBorders>
              <w:tl2br w:val="nil"/>
              <w:tr2bl w:val="nil"/>
            </w:tcBorders>
            <w:noWrap w:val="0"/>
            <w:vAlign w:val="center"/>
          </w:tcPr>
          <w:p w14:paraId="24C71EA6">
            <w:pPr>
              <w:spacing w:before="59" w:line="239" w:lineRule="auto"/>
              <w:jc w:val="center"/>
              <w:rPr>
                <w:rFonts w:hint="eastAsia" w:ascii="仿宋" w:hAnsi="仿宋" w:eastAsia="仿宋" w:cs="仿宋"/>
                <w:b w:val="0"/>
                <w:bCs w:val="0"/>
                <w:spacing w:val="-3"/>
                <w:sz w:val="24"/>
                <w:szCs w:val="24"/>
                <w:lang w:val="en-US" w:eastAsia="zh-CN"/>
              </w:rPr>
            </w:pPr>
            <w:r>
              <w:rPr>
                <w:rFonts w:hint="eastAsia" w:ascii="仿宋" w:hAnsi="仿宋" w:eastAsia="仿宋" w:cs="仿宋"/>
                <w:b/>
                <w:bCs/>
                <w:spacing w:val="-3"/>
                <w:sz w:val="24"/>
                <w:szCs w:val="24"/>
                <w:lang w:val="en-US" w:eastAsia="zh-CN"/>
              </w:rPr>
              <w:t>二、商务部分</w:t>
            </w:r>
          </w:p>
        </w:tc>
      </w:tr>
      <w:tr w14:paraId="635D783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709" w:hRule="atLeast"/>
          <w:jc w:val="center"/>
        </w:trPr>
        <w:tc>
          <w:tcPr>
            <w:tcW w:w="771" w:type="dxa"/>
            <w:tcBorders>
              <w:tl2br w:val="nil"/>
              <w:tr2bl w:val="nil"/>
            </w:tcBorders>
            <w:noWrap w:val="0"/>
            <w:vAlign w:val="center"/>
          </w:tcPr>
          <w:p w14:paraId="42B448AC">
            <w:pPr>
              <w:spacing w:before="59" w:line="239" w:lineRule="auto"/>
              <w:jc w:val="center"/>
              <w:rPr>
                <w:rFonts w:hint="eastAsia" w:ascii="仿宋" w:hAnsi="仿宋" w:eastAsia="仿宋" w:cs="仿宋"/>
                <w:b w:val="0"/>
                <w:bCs w:val="0"/>
                <w:spacing w:val="-3"/>
                <w:sz w:val="24"/>
                <w:szCs w:val="24"/>
                <w:highlight w:val="none"/>
                <w:lang w:val="en-US" w:eastAsia="zh-CN"/>
              </w:rPr>
            </w:pPr>
            <w:r>
              <w:rPr>
                <w:rFonts w:hint="eastAsia" w:ascii="仿宋" w:hAnsi="仿宋" w:eastAsia="仿宋" w:cs="仿宋"/>
                <w:b w:val="0"/>
                <w:bCs w:val="0"/>
                <w:spacing w:val="-3"/>
                <w:sz w:val="24"/>
                <w:szCs w:val="24"/>
                <w:highlight w:val="none"/>
                <w:lang w:val="en-US" w:eastAsia="zh-CN"/>
              </w:rPr>
              <w:t>1</w:t>
            </w:r>
          </w:p>
        </w:tc>
        <w:tc>
          <w:tcPr>
            <w:tcW w:w="1295" w:type="dxa"/>
            <w:tcBorders>
              <w:tl2br w:val="nil"/>
              <w:tr2bl w:val="nil"/>
            </w:tcBorders>
            <w:noWrap w:val="0"/>
            <w:vAlign w:val="center"/>
          </w:tcPr>
          <w:p w14:paraId="3D6D3C79">
            <w:pPr>
              <w:spacing w:before="59" w:line="239" w:lineRule="auto"/>
              <w:jc w:val="center"/>
              <w:rPr>
                <w:rFonts w:hint="eastAsia" w:ascii="仿宋" w:hAnsi="仿宋" w:eastAsia="仿宋" w:cs="仿宋"/>
                <w:b w:val="0"/>
                <w:bCs w:val="0"/>
                <w:color w:val="auto"/>
                <w:spacing w:val="-3"/>
                <w:sz w:val="24"/>
                <w:szCs w:val="24"/>
                <w:highlight w:val="none"/>
                <w:lang w:val="en-US" w:eastAsia="zh-CN"/>
              </w:rPr>
            </w:pPr>
            <w:r>
              <w:rPr>
                <w:rFonts w:hint="eastAsia" w:ascii="仿宋" w:hAnsi="仿宋" w:eastAsia="仿宋" w:cs="仿宋"/>
                <w:b w:val="0"/>
                <w:bCs w:val="0"/>
                <w:color w:val="auto"/>
                <w:spacing w:val="-3"/>
                <w:sz w:val="24"/>
                <w:szCs w:val="24"/>
                <w:highlight w:val="none"/>
                <w:lang w:val="en-US" w:eastAsia="zh-CN"/>
              </w:rPr>
              <w:t>类似项目业绩</w:t>
            </w:r>
          </w:p>
        </w:tc>
        <w:tc>
          <w:tcPr>
            <w:tcW w:w="762" w:type="dxa"/>
            <w:tcBorders>
              <w:tl2br w:val="nil"/>
              <w:tr2bl w:val="nil"/>
            </w:tcBorders>
            <w:noWrap w:val="0"/>
            <w:vAlign w:val="center"/>
          </w:tcPr>
          <w:p w14:paraId="289EFB21">
            <w:pPr>
              <w:spacing w:before="59" w:line="239" w:lineRule="auto"/>
              <w:jc w:val="center"/>
              <w:rPr>
                <w:rFonts w:hint="default" w:ascii="仿宋" w:hAnsi="仿宋" w:eastAsia="仿宋" w:cs="仿宋"/>
                <w:b w:val="0"/>
                <w:bCs w:val="0"/>
                <w:spacing w:val="-3"/>
                <w:sz w:val="24"/>
                <w:szCs w:val="24"/>
                <w:highlight w:val="none"/>
                <w:lang w:val="en-US" w:eastAsia="zh-CN"/>
              </w:rPr>
            </w:pPr>
            <w:r>
              <w:rPr>
                <w:rFonts w:hint="eastAsia" w:ascii="仿宋" w:hAnsi="仿宋" w:eastAsia="仿宋" w:cs="仿宋"/>
                <w:b w:val="0"/>
                <w:bCs w:val="0"/>
                <w:spacing w:val="-3"/>
                <w:sz w:val="24"/>
                <w:szCs w:val="24"/>
                <w:highlight w:val="none"/>
                <w:lang w:val="en-US" w:eastAsia="zh-CN"/>
              </w:rPr>
              <w:t>2分</w:t>
            </w:r>
          </w:p>
        </w:tc>
        <w:tc>
          <w:tcPr>
            <w:tcW w:w="6213" w:type="dxa"/>
            <w:tcBorders>
              <w:tl2br w:val="nil"/>
              <w:tr2bl w:val="nil"/>
            </w:tcBorders>
            <w:noWrap w:val="0"/>
            <w:vAlign w:val="center"/>
          </w:tcPr>
          <w:p w14:paraId="57C1875D">
            <w:pPr>
              <w:spacing w:before="59" w:line="240" w:lineRule="auto"/>
              <w:jc w:val="left"/>
              <w:rPr>
                <w:rFonts w:hint="eastAsia" w:ascii="仿宋" w:hAnsi="仿宋" w:eastAsia="仿宋" w:cs="仿宋"/>
                <w:b w:val="0"/>
                <w:bCs w:val="0"/>
                <w:spacing w:val="-3"/>
                <w:sz w:val="24"/>
                <w:szCs w:val="24"/>
                <w:highlight w:val="none"/>
                <w:lang w:val="en-US" w:eastAsia="zh-CN"/>
              </w:rPr>
            </w:pPr>
            <w:r>
              <w:rPr>
                <w:rFonts w:hint="eastAsia" w:ascii="仿宋" w:hAnsi="仿宋" w:eastAsia="仿宋" w:cs="仿宋"/>
                <w:b w:val="0"/>
                <w:bCs w:val="0"/>
                <w:spacing w:val="-3"/>
                <w:sz w:val="24"/>
                <w:szCs w:val="24"/>
                <w:highlight w:val="none"/>
                <w:lang w:val="en-US" w:eastAsia="zh-CN"/>
              </w:rPr>
              <w:t>2021年1月至今,独立完成过与本项目类似的业绩，每提供1个得1分，最高得2分，不提供或提供不清晰导致专家无法判断的不得分。</w:t>
            </w:r>
          </w:p>
          <w:p w14:paraId="23A0F595">
            <w:pPr>
              <w:spacing w:before="59" w:line="240" w:lineRule="auto"/>
              <w:jc w:val="left"/>
              <w:rPr>
                <w:rFonts w:hint="default" w:ascii="仿宋" w:hAnsi="仿宋" w:eastAsia="仿宋" w:cs="仿宋"/>
                <w:b w:val="0"/>
                <w:bCs w:val="0"/>
                <w:spacing w:val="-3"/>
                <w:sz w:val="24"/>
                <w:szCs w:val="24"/>
                <w:highlight w:val="none"/>
                <w:lang w:val="en-US" w:eastAsia="zh-CN"/>
              </w:rPr>
            </w:pPr>
            <w:r>
              <w:rPr>
                <w:rFonts w:hint="eastAsia" w:ascii="仿宋" w:hAnsi="仿宋" w:eastAsia="仿宋" w:cs="仿宋"/>
                <w:b/>
                <w:bCs/>
                <w:spacing w:val="-3"/>
                <w:sz w:val="24"/>
                <w:szCs w:val="24"/>
                <w:highlight w:val="none"/>
                <w:lang w:val="en-US" w:eastAsia="zh-CN"/>
              </w:rPr>
              <w:t>注：须提供中标/成交通知书、合同协议书（须提供合同首页、网站截图及可查询链接截图并加盖本单位公章，四项为完整的一套资料。提供虚假业绩将自行承担相关责任）</w:t>
            </w:r>
          </w:p>
        </w:tc>
      </w:tr>
      <w:tr w14:paraId="0FCDCBF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94" w:hRule="atLeast"/>
          <w:jc w:val="center"/>
        </w:trPr>
        <w:tc>
          <w:tcPr>
            <w:tcW w:w="771" w:type="dxa"/>
            <w:tcBorders>
              <w:tl2br w:val="nil"/>
              <w:tr2bl w:val="nil"/>
            </w:tcBorders>
            <w:noWrap w:val="0"/>
            <w:vAlign w:val="center"/>
          </w:tcPr>
          <w:p w14:paraId="21E445FA">
            <w:pPr>
              <w:spacing w:before="59" w:line="239" w:lineRule="auto"/>
              <w:jc w:val="center"/>
              <w:rPr>
                <w:rFonts w:hint="default" w:ascii="仿宋" w:hAnsi="仿宋" w:eastAsia="仿宋" w:cs="仿宋"/>
                <w:b w:val="0"/>
                <w:bCs w:val="0"/>
                <w:spacing w:val="-3"/>
                <w:sz w:val="24"/>
                <w:szCs w:val="24"/>
                <w:highlight w:val="none"/>
                <w:cs w:val="0"/>
                <w:lang w:val="en-US" w:eastAsia="zh-CN"/>
              </w:rPr>
            </w:pPr>
            <w:r>
              <w:rPr>
                <w:rFonts w:hint="eastAsia" w:ascii="仿宋" w:hAnsi="仿宋" w:eastAsia="仿宋" w:cs="仿宋"/>
                <w:b w:val="0"/>
                <w:bCs w:val="0"/>
                <w:spacing w:val="-3"/>
                <w:sz w:val="24"/>
                <w:szCs w:val="24"/>
                <w:highlight w:val="none"/>
                <w:cs w:val="0"/>
                <w:lang w:val="en-US" w:eastAsia="zh-CN"/>
              </w:rPr>
              <w:t>2</w:t>
            </w:r>
          </w:p>
        </w:tc>
        <w:tc>
          <w:tcPr>
            <w:tcW w:w="1295" w:type="dxa"/>
            <w:tcBorders>
              <w:tl2br w:val="nil"/>
              <w:tr2bl w:val="nil"/>
            </w:tcBorders>
            <w:noWrap w:val="0"/>
            <w:vAlign w:val="center"/>
          </w:tcPr>
          <w:p w14:paraId="0CE3807D">
            <w:pPr>
              <w:spacing w:before="59" w:line="239" w:lineRule="auto"/>
              <w:jc w:val="center"/>
              <w:rPr>
                <w:rFonts w:hint="default" w:ascii="仿宋" w:hAnsi="仿宋" w:eastAsia="仿宋" w:cs="仿宋"/>
                <w:b w:val="0"/>
                <w:bCs w:val="0"/>
                <w:color w:val="auto"/>
                <w:spacing w:val="-3"/>
                <w:sz w:val="24"/>
                <w:szCs w:val="24"/>
                <w:highlight w:val="none"/>
                <w:lang w:val="en-US" w:eastAsia="zh-CN"/>
              </w:rPr>
            </w:pPr>
            <w:r>
              <w:rPr>
                <w:rFonts w:hint="default" w:ascii="仿宋" w:hAnsi="仿宋" w:eastAsia="仿宋" w:cs="仿宋"/>
                <w:b w:val="0"/>
                <w:bCs w:val="0"/>
                <w:color w:val="auto"/>
                <w:spacing w:val="-3"/>
                <w:sz w:val="24"/>
                <w:szCs w:val="24"/>
                <w:highlight w:val="none"/>
                <w:lang w:val="en-US" w:eastAsia="zh-CN"/>
              </w:rPr>
              <w:t>企业能力</w:t>
            </w:r>
          </w:p>
        </w:tc>
        <w:tc>
          <w:tcPr>
            <w:tcW w:w="762" w:type="dxa"/>
            <w:tcBorders>
              <w:tl2br w:val="nil"/>
              <w:tr2bl w:val="nil"/>
            </w:tcBorders>
            <w:noWrap w:val="0"/>
            <w:vAlign w:val="center"/>
          </w:tcPr>
          <w:p w14:paraId="1609DA49">
            <w:pPr>
              <w:spacing w:before="59" w:line="239" w:lineRule="auto"/>
              <w:jc w:val="center"/>
              <w:rPr>
                <w:rFonts w:hint="default" w:ascii="仿宋" w:hAnsi="仿宋" w:eastAsia="仿宋" w:cs="仿宋"/>
                <w:b w:val="0"/>
                <w:bCs w:val="0"/>
                <w:color w:val="auto"/>
                <w:spacing w:val="-3"/>
                <w:sz w:val="24"/>
                <w:szCs w:val="24"/>
                <w:highlight w:val="none"/>
                <w:lang w:val="en-US" w:eastAsia="zh-CN"/>
              </w:rPr>
            </w:pPr>
            <w:r>
              <w:rPr>
                <w:rFonts w:hint="eastAsia" w:ascii="仿宋" w:hAnsi="仿宋" w:eastAsia="仿宋" w:cs="仿宋"/>
                <w:b w:val="0"/>
                <w:bCs w:val="0"/>
                <w:color w:val="auto"/>
                <w:spacing w:val="-3"/>
                <w:sz w:val="24"/>
                <w:szCs w:val="24"/>
                <w:highlight w:val="none"/>
                <w:cs w:val="0"/>
                <w:lang w:val="en-US" w:eastAsia="zh-CN"/>
              </w:rPr>
              <w:t>6分</w:t>
            </w:r>
          </w:p>
        </w:tc>
        <w:tc>
          <w:tcPr>
            <w:tcW w:w="6213" w:type="dxa"/>
            <w:tcBorders>
              <w:tl2br w:val="nil"/>
              <w:tr2bl w:val="nil"/>
            </w:tcBorders>
            <w:noWrap w:val="0"/>
            <w:vAlign w:val="center"/>
          </w:tcPr>
          <w:p w14:paraId="3CDEA397">
            <w:pPr>
              <w:keepNext w:val="0"/>
              <w:keepLines w:val="0"/>
              <w:widowControl/>
              <w:suppressLineNumbers w:val="0"/>
              <w:spacing w:line="240" w:lineRule="auto"/>
              <w:jc w:val="left"/>
              <w:rPr>
                <w:rFonts w:hint="default" w:ascii="仿宋" w:hAnsi="仿宋" w:eastAsia="仿宋" w:cs="仿宋"/>
                <w:b w:val="0"/>
                <w:bCs w:val="0"/>
                <w:spacing w:val="-3"/>
                <w:sz w:val="24"/>
                <w:szCs w:val="24"/>
                <w:highlight w:val="none"/>
                <w:cs w:val="0"/>
                <w:lang w:val="en-US" w:eastAsia="zh-CN"/>
              </w:rPr>
            </w:pPr>
            <w:r>
              <w:rPr>
                <w:rFonts w:hint="eastAsia" w:ascii="仿宋" w:hAnsi="仿宋" w:eastAsia="仿宋" w:cs="仿宋"/>
                <w:b w:val="0"/>
                <w:bCs w:val="0"/>
                <w:spacing w:val="-3"/>
                <w:sz w:val="24"/>
                <w:szCs w:val="24"/>
                <w:highlight w:val="none"/>
                <w:cs w:val="0"/>
                <w:lang w:val="en-US" w:eastAsia="zh-CN"/>
              </w:rPr>
              <w:t>供应商需具备多方面的企业能力，承担本项目</w:t>
            </w:r>
          </w:p>
          <w:p w14:paraId="7FFB4233">
            <w:pPr>
              <w:keepNext w:val="0"/>
              <w:keepLines w:val="0"/>
              <w:widowControl/>
              <w:suppressLineNumbers w:val="0"/>
              <w:spacing w:line="240" w:lineRule="auto"/>
              <w:jc w:val="left"/>
              <w:rPr>
                <w:rFonts w:hint="eastAsia" w:ascii="仿宋" w:hAnsi="仿宋" w:eastAsia="仿宋" w:cs="仿宋"/>
                <w:b w:val="0"/>
                <w:bCs w:val="0"/>
                <w:spacing w:val="-3"/>
                <w:sz w:val="24"/>
                <w:szCs w:val="24"/>
                <w:highlight w:val="none"/>
                <w:cs w:val="0"/>
                <w:lang w:val="en-US" w:eastAsia="zh-CN"/>
              </w:rPr>
            </w:pPr>
            <w:r>
              <w:rPr>
                <w:rFonts w:hint="eastAsia" w:ascii="仿宋" w:hAnsi="仿宋" w:eastAsia="仿宋" w:cs="仿宋"/>
                <w:b w:val="0"/>
                <w:bCs w:val="0"/>
                <w:spacing w:val="-3"/>
                <w:sz w:val="24"/>
                <w:szCs w:val="24"/>
                <w:highlight w:val="none"/>
                <w:cs w:val="0"/>
                <w:lang w:val="en-US" w:eastAsia="zh-CN"/>
              </w:rPr>
              <w:t>①课程开发与教学设计能力：提供优质内容的能力和课程体系规划能力；</w:t>
            </w:r>
          </w:p>
          <w:p w14:paraId="1E5226A3">
            <w:pPr>
              <w:keepNext w:val="0"/>
              <w:keepLines w:val="0"/>
              <w:widowControl/>
              <w:suppressLineNumbers w:val="0"/>
              <w:spacing w:line="240" w:lineRule="auto"/>
              <w:jc w:val="left"/>
              <w:rPr>
                <w:rFonts w:hint="eastAsia" w:ascii="仿宋" w:hAnsi="仿宋" w:eastAsia="仿宋" w:cs="仿宋"/>
                <w:b w:val="0"/>
                <w:bCs w:val="0"/>
                <w:spacing w:val="-3"/>
                <w:sz w:val="24"/>
                <w:szCs w:val="24"/>
                <w:highlight w:val="none"/>
                <w:cs w:val="0"/>
                <w:lang w:val="en-US" w:eastAsia="zh-CN"/>
              </w:rPr>
            </w:pPr>
            <w:r>
              <w:rPr>
                <w:rFonts w:hint="eastAsia" w:ascii="仿宋" w:hAnsi="仿宋" w:eastAsia="仿宋" w:cs="仿宋"/>
                <w:b w:val="0"/>
                <w:bCs w:val="0"/>
                <w:spacing w:val="-3"/>
                <w:sz w:val="24"/>
                <w:szCs w:val="24"/>
                <w:highlight w:val="none"/>
                <w:cs w:val="0"/>
                <w:lang w:val="en-US" w:eastAsia="zh-CN"/>
              </w:rPr>
              <w:t>②技术支持与平台能力：稳定的在线学习平台、有智能学习的辅助功能；</w:t>
            </w:r>
          </w:p>
          <w:p w14:paraId="7BE0E86D">
            <w:pPr>
              <w:keepNext w:val="0"/>
              <w:keepLines w:val="0"/>
              <w:widowControl/>
              <w:suppressLineNumbers w:val="0"/>
              <w:spacing w:line="240" w:lineRule="auto"/>
              <w:jc w:val="left"/>
              <w:rPr>
                <w:rFonts w:hint="default" w:ascii="仿宋" w:hAnsi="仿宋" w:eastAsia="仿宋" w:cs="仿宋"/>
                <w:b w:val="0"/>
                <w:bCs w:val="0"/>
                <w:spacing w:val="-3"/>
                <w:sz w:val="24"/>
                <w:szCs w:val="24"/>
                <w:highlight w:val="none"/>
                <w:cs w:val="0"/>
                <w:lang w:val="en-US" w:eastAsia="zh-CN"/>
              </w:rPr>
            </w:pPr>
            <w:r>
              <w:rPr>
                <w:rFonts w:hint="eastAsia" w:ascii="仿宋" w:hAnsi="仿宋" w:eastAsia="仿宋" w:cs="仿宋"/>
                <w:b w:val="0"/>
                <w:bCs w:val="0"/>
                <w:spacing w:val="-3"/>
                <w:sz w:val="24"/>
                <w:szCs w:val="24"/>
                <w:highlight w:val="none"/>
                <w:cs w:val="0"/>
                <w:lang w:val="en-US" w:eastAsia="zh-CN"/>
              </w:rPr>
              <w:t>③学习支持服务：助教/导师团队(提供作业批改、答疑)；</w:t>
            </w:r>
            <w:r>
              <w:rPr>
                <w:rFonts w:hint="eastAsia" w:ascii="仿宋" w:hAnsi="仿宋" w:eastAsia="仿宋" w:cs="仿宋"/>
                <w:b w:val="0"/>
                <w:bCs w:val="0"/>
                <w:spacing w:val="-3"/>
                <w:sz w:val="24"/>
                <w:szCs w:val="24"/>
                <w:highlight w:val="none"/>
                <w:rtl w:val="0"/>
                <w:cs w:val="0"/>
                <w:lang w:val="en-US" w:eastAsia="zh-CN"/>
              </w:rPr>
              <w:t>以上工作思路清晰且紧贴本项目的全部提供得6分，每缺少一项或提供不全扣2分，扣完为止。</w:t>
            </w:r>
          </w:p>
        </w:tc>
      </w:tr>
      <w:tr w14:paraId="3FFE139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94" w:hRule="atLeast"/>
          <w:jc w:val="center"/>
        </w:trPr>
        <w:tc>
          <w:tcPr>
            <w:tcW w:w="771" w:type="dxa"/>
            <w:tcBorders>
              <w:tl2br w:val="nil"/>
              <w:tr2bl w:val="nil"/>
            </w:tcBorders>
            <w:noWrap w:val="0"/>
            <w:vAlign w:val="center"/>
          </w:tcPr>
          <w:p w14:paraId="35A4ACC1">
            <w:pPr>
              <w:spacing w:before="59" w:line="239" w:lineRule="auto"/>
              <w:jc w:val="center"/>
              <w:rPr>
                <w:rFonts w:hint="default" w:ascii="仿宋" w:hAnsi="仿宋" w:eastAsia="仿宋" w:cs="仿宋"/>
                <w:b w:val="0"/>
                <w:bCs w:val="0"/>
                <w:spacing w:val="-3"/>
                <w:sz w:val="24"/>
                <w:szCs w:val="24"/>
                <w:highlight w:val="none"/>
                <w:cs w:val="0"/>
                <w:lang w:val="en-US" w:eastAsia="zh-CN"/>
              </w:rPr>
            </w:pPr>
            <w:r>
              <w:rPr>
                <w:rFonts w:hint="eastAsia" w:ascii="仿宋" w:hAnsi="仿宋" w:eastAsia="仿宋" w:cs="仿宋"/>
                <w:b w:val="0"/>
                <w:bCs w:val="0"/>
                <w:spacing w:val="-3"/>
                <w:sz w:val="24"/>
                <w:szCs w:val="24"/>
                <w:highlight w:val="none"/>
                <w:cs w:val="0"/>
                <w:lang w:val="en-US" w:eastAsia="zh-CN"/>
              </w:rPr>
              <w:t>3</w:t>
            </w:r>
          </w:p>
        </w:tc>
        <w:tc>
          <w:tcPr>
            <w:tcW w:w="1295" w:type="dxa"/>
            <w:tcBorders>
              <w:tl2br w:val="nil"/>
              <w:tr2bl w:val="nil"/>
            </w:tcBorders>
            <w:noWrap w:val="0"/>
            <w:vAlign w:val="center"/>
          </w:tcPr>
          <w:p w14:paraId="030D3FB2">
            <w:pPr>
              <w:spacing w:before="59" w:line="239" w:lineRule="auto"/>
              <w:jc w:val="center"/>
              <w:rPr>
                <w:rFonts w:hint="default" w:ascii="仿宋" w:hAnsi="仿宋" w:eastAsia="仿宋" w:cs="仿宋"/>
                <w:b w:val="0"/>
                <w:bCs w:val="0"/>
                <w:color w:val="auto"/>
                <w:spacing w:val="-3"/>
                <w:sz w:val="24"/>
                <w:szCs w:val="24"/>
                <w:highlight w:val="none"/>
                <w:lang w:val="en-US" w:eastAsia="zh-CN"/>
              </w:rPr>
            </w:pPr>
            <w:r>
              <w:rPr>
                <w:rFonts w:hint="eastAsia" w:ascii="仿宋" w:hAnsi="仿宋" w:eastAsia="仿宋" w:cs="仿宋"/>
                <w:b w:val="0"/>
                <w:bCs w:val="0"/>
                <w:color w:val="auto"/>
                <w:spacing w:val="-3"/>
                <w:sz w:val="24"/>
                <w:szCs w:val="24"/>
                <w:highlight w:val="none"/>
                <w:lang w:val="en-US" w:eastAsia="zh-CN"/>
              </w:rPr>
              <w:t>服务团队</w:t>
            </w:r>
          </w:p>
        </w:tc>
        <w:tc>
          <w:tcPr>
            <w:tcW w:w="762" w:type="dxa"/>
            <w:tcBorders>
              <w:tl2br w:val="nil"/>
              <w:tr2bl w:val="nil"/>
            </w:tcBorders>
            <w:noWrap w:val="0"/>
            <w:vAlign w:val="center"/>
          </w:tcPr>
          <w:p w14:paraId="785B9D6A">
            <w:pPr>
              <w:spacing w:before="59" w:line="239" w:lineRule="auto"/>
              <w:jc w:val="center"/>
              <w:rPr>
                <w:rFonts w:hint="default" w:ascii="仿宋" w:hAnsi="仿宋" w:eastAsia="仿宋" w:cs="仿宋"/>
                <w:b w:val="0"/>
                <w:bCs w:val="0"/>
                <w:color w:val="auto"/>
                <w:spacing w:val="-3"/>
                <w:sz w:val="24"/>
                <w:szCs w:val="24"/>
                <w:highlight w:val="none"/>
                <w:cs w:val="0"/>
                <w:lang w:val="en-US" w:eastAsia="zh-CN"/>
              </w:rPr>
            </w:pPr>
            <w:r>
              <w:rPr>
                <w:rFonts w:hint="eastAsia" w:ascii="仿宋" w:hAnsi="仿宋" w:eastAsia="仿宋" w:cs="仿宋"/>
                <w:b w:val="0"/>
                <w:bCs w:val="0"/>
                <w:color w:val="auto"/>
                <w:spacing w:val="-3"/>
                <w:sz w:val="24"/>
                <w:szCs w:val="24"/>
                <w:highlight w:val="none"/>
                <w:cs w:val="0"/>
                <w:lang w:val="en-US" w:eastAsia="zh-CN"/>
              </w:rPr>
              <w:t>3分</w:t>
            </w:r>
          </w:p>
        </w:tc>
        <w:tc>
          <w:tcPr>
            <w:tcW w:w="6213" w:type="dxa"/>
            <w:tcBorders>
              <w:tl2br w:val="nil"/>
              <w:tr2bl w:val="nil"/>
            </w:tcBorders>
            <w:noWrap w:val="0"/>
            <w:vAlign w:val="center"/>
          </w:tcPr>
          <w:p w14:paraId="1E33555F">
            <w:pPr>
              <w:keepNext w:val="0"/>
              <w:keepLines w:val="0"/>
              <w:widowControl/>
              <w:suppressLineNumbers w:val="0"/>
              <w:spacing w:line="240" w:lineRule="auto"/>
              <w:jc w:val="left"/>
              <w:rPr>
                <w:rFonts w:hint="eastAsia" w:ascii="仿宋" w:hAnsi="仿宋" w:eastAsia="仿宋" w:cs="仿宋"/>
                <w:b w:val="0"/>
                <w:bCs w:val="0"/>
                <w:spacing w:val="-3"/>
                <w:sz w:val="24"/>
                <w:szCs w:val="24"/>
                <w:highlight w:val="none"/>
                <w:cs w:val="0"/>
                <w:lang w:val="en-US" w:eastAsia="zh-CN"/>
              </w:rPr>
            </w:pPr>
            <w:r>
              <w:rPr>
                <w:rFonts w:hint="eastAsia" w:ascii="仿宋" w:hAnsi="仿宋" w:eastAsia="仿宋" w:cs="仿宋"/>
                <w:b w:val="0"/>
                <w:bCs w:val="0"/>
                <w:spacing w:val="-3"/>
                <w:sz w:val="24"/>
                <w:szCs w:val="24"/>
                <w:highlight w:val="none"/>
                <w:cs w:val="0"/>
                <w:lang w:val="en-US" w:eastAsia="zh-CN"/>
              </w:rPr>
              <w:t xml:space="preserve">投标人拟投入本项目的服务团队人员(人员重复不得分):具备课程设计和系统集成项目管理师证书的，每1人得1.5分，最多得3分。 </w:t>
            </w:r>
          </w:p>
          <w:p w14:paraId="771AF671">
            <w:pPr>
              <w:keepNext w:val="0"/>
              <w:keepLines w:val="0"/>
              <w:widowControl/>
              <w:suppressLineNumbers w:val="0"/>
              <w:spacing w:line="240" w:lineRule="auto"/>
              <w:jc w:val="left"/>
              <w:rPr>
                <w:rFonts w:hint="eastAsia" w:ascii="仿宋" w:hAnsi="仿宋" w:eastAsia="仿宋" w:cs="仿宋"/>
                <w:b w:val="0"/>
                <w:bCs w:val="0"/>
                <w:spacing w:val="-3"/>
                <w:sz w:val="24"/>
                <w:szCs w:val="24"/>
                <w:highlight w:val="none"/>
                <w:cs w:val="0"/>
                <w:lang w:val="en-US" w:eastAsia="zh-CN"/>
              </w:rPr>
            </w:pPr>
            <w:r>
              <w:rPr>
                <w:rFonts w:hint="eastAsia" w:ascii="仿宋" w:hAnsi="仿宋" w:eastAsia="仿宋" w:cs="仿宋"/>
                <w:b/>
                <w:bCs/>
                <w:color w:val="auto"/>
                <w:spacing w:val="-3"/>
                <w:sz w:val="24"/>
                <w:szCs w:val="24"/>
                <w:highlight w:val="none"/>
                <w:cs w:val="0"/>
                <w:lang w:val="en-US" w:eastAsia="zh-CN"/>
              </w:rPr>
              <w:t>注:投标文件中提供人员的证书复印件及与本公司签订劳动合同证明复印件为评审依据，否则不计分。</w:t>
            </w:r>
          </w:p>
        </w:tc>
      </w:tr>
      <w:tr w14:paraId="18EB73F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22" w:hRule="atLeast"/>
          <w:jc w:val="center"/>
        </w:trPr>
        <w:tc>
          <w:tcPr>
            <w:tcW w:w="9041" w:type="dxa"/>
            <w:gridSpan w:val="4"/>
            <w:tcBorders>
              <w:tl2br w:val="nil"/>
              <w:tr2bl w:val="nil"/>
            </w:tcBorders>
            <w:noWrap w:val="0"/>
            <w:vAlign w:val="center"/>
          </w:tcPr>
          <w:p w14:paraId="3CA9EE8D">
            <w:pPr>
              <w:spacing w:line="440" w:lineRule="exact"/>
              <w:jc w:val="center"/>
              <w:rPr>
                <w:rFonts w:hint="eastAsia" w:ascii="楷体" w:hAnsi="楷体" w:eastAsia="楷体" w:cs="楷体"/>
                <w:i w:val="0"/>
                <w:iCs w:val="0"/>
                <w:color w:val="auto"/>
                <w:sz w:val="24"/>
                <w:szCs w:val="24"/>
                <w:highlight w:val="none"/>
                <w:lang w:val="en-US" w:eastAsia="zh-CN"/>
              </w:rPr>
            </w:pPr>
            <w:r>
              <w:rPr>
                <w:rFonts w:hint="eastAsia" w:ascii="仿宋" w:hAnsi="仿宋" w:eastAsia="仿宋" w:cs="仿宋"/>
                <w:b/>
                <w:bCs/>
                <w:color w:val="auto"/>
                <w:spacing w:val="-3"/>
                <w:sz w:val="24"/>
                <w:szCs w:val="24"/>
                <w:highlight w:val="none"/>
                <w:lang w:val="en-US" w:eastAsia="zh-CN"/>
              </w:rPr>
              <w:t>三、技术部分</w:t>
            </w:r>
          </w:p>
        </w:tc>
      </w:tr>
      <w:tr w14:paraId="6CE0EEE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287" w:hRule="atLeast"/>
          <w:jc w:val="center"/>
        </w:trPr>
        <w:tc>
          <w:tcPr>
            <w:tcW w:w="771" w:type="dxa"/>
            <w:tcBorders>
              <w:tl2br w:val="nil"/>
              <w:tr2bl w:val="nil"/>
            </w:tcBorders>
            <w:noWrap w:val="0"/>
            <w:vAlign w:val="center"/>
          </w:tcPr>
          <w:p w14:paraId="780BA983">
            <w:pPr>
              <w:spacing w:before="59" w:line="239" w:lineRule="auto"/>
              <w:jc w:val="center"/>
              <w:rPr>
                <w:rFonts w:hint="default" w:ascii="仿宋" w:hAnsi="仿宋" w:eastAsia="仿宋" w:cs="仿宋"/>
                <w:b w:val="0"/>
                <w:bCs w:val="0"/>
                <w:spacing w:val="-3"/>
                <w:sz w:val="24"/>
                <w:szCs w:val="24"/>
                <w:highlight w:val="none"/>
                <w:rtl w:val="0"/>
                <w:cs w:val="0"/>
                <w:lang w:val="en-US" w:eastAsia="zh-CN"/>
              </w:rPr>
            </w:pPr>
            <w:r>
              <w:rPr>
                <w:rFonts w:hint="eastAsia" w:ascii="仿宋" w:hAnsi="仿宋" w:eastAsia="仿宋" w:cs="仿宋"/>
                <w:b w:val="0"/>
                <w:bCs w:val="0"/>
                <w:spacing w:val="-3"/>
                <w:sz w:val="24"/>
                <w:szCs w:val="24"/>
                <w:highlight w:val="none"/>
                <w:rtl w:val="0"/>
                <w:cs w:val="0"/>
                <w:lang w:val="en-US" w:eastAsia="zh-CN"/>
              </w:rPr>
              <w:t>1</w:t>
            </w:r>
          </w:p>
        </w:tc>
        <w:tc>
          <w:tcPr>
            <w:tcW w:w="1295" w:type="dxa"/>
            <w:tcBorders>
              <w:tl2br w:val="nil"/>
              <w:tr2bl w:val="nil"/>
            </w:tcBorders>
            <w:noWrap w:val="0"/>
            <w:vAlign w:val="center"/>
          </w:tcPr>
          <w:p w14:paraId="62D637D9">
            <w:pPr>
              <w:spacing w:before="59" w:line="360" w:lineRule="auto"/>
              <w:jc w:val="center"/>
              <w:rPr>
                <w:rFonts w:hint="eastAsia" w:ascii="仿宋" w:hAnsi="仿宋" w:eastAsia="仿宋" w:cs="仿宋"/>
                <w:b w:val="0"/>
                <w:bCs w:val="0"/>
                <w:color w:val="auto"/>
                <w:spacing w:val="-3"/>
                <w:sz w:val="24"/>
                <w:szCs w:val="24"/>
                <w:highlight w:val="none"/>
                <w:rtl w:val="0"/>
                <w:cs w:val="0"/>
                <w:lang w:val="en-US" w:eastAsia="zh-CN"/>
              </w:rPr>
            </w:pPr>
            <w:r>
              <w:rPr>
                <w:rFonts w:hint="eastAsia" w:ascii="仿宋" w:hAnsi="仿宋" w:eastAsia="仿宋" w:cs="仿宋"/>
                <w:b w:val="0"/>
                <w:bCs w:val="0"/>
                <w:color w:val="auto"/>
                <w:spacing w:val="-3"/>
                <w:sz w:val="24"/>
                <w:szCs w:val="24"/>
                <w:highlight w:val="none"/>
                <w:rtl w:val="0"/>
                <w:cs w:val="0"/>
                <w:lang w:val="en-US" w:eastAsia="zh-CN"/>
              </w:rPr>
              <w:t>配置性能 指标</w:t>
            </w:r>
          </w:p>
        </w:tc>
        <w:tc>
          <w:tcPr>
            <w:tcW w:w="762" w:type="dxa"/>
            <w:tcBorders>
              <w:tl2br w:val="nil"/>
              <w:tr2bl w:val="nil"/>
            </w:tcBorders>
            <w:noWrap w:val="0"/>
            <w:vAlign w:val="center"/>
          </w:tcPr>
          <w:p w14:paraId="6B9A3BF4">
            <w:pPr>
              <w:spacing w:before="59" w:line="240" w:lineRule="auto"/>
              <w:jc w:val="center"/>
              <w:rPr>
                <w:rFonts w:hint="eastAsia" w:ascii="仿宋" w:hAnsi="仿宋" w:eastAsia="仿宋" w:cs="仿宋"/>
                <w:b w:val="0"/>
                <w:bCs w:val="0"/>
                <w:color w:val="auto"/>
                <w:spacing w:val="-3"/>
                <w:sz w:val="24"/>
                <w:szCs w:val="24"/>
                <w:highlight w:val="none"/>
                <w:rtl w:val="0"/>
                <w:cs w:val="0"/>
                <w:lang w:val="en-US" w:eastAsia="zh-CN"/>
              </w:rPr>
            </w:pPr>
            <w:r>
              <w:rPr>
                <w:rFonts w:hint="eastAsia" w:ascii="仿宋" w:hAnsi="仿宋" w:eastAsia="仿宋" w:cs="仿宋"/>
                <w:b w:val="0"/>
                <w:bCs w:val="0"/>
                <w:color w:val="auto"/>
                <w:spacing w:val="-3"/>
                <w:sz w:val="24"/>
                <w:szCs w:val="24"/>
                <w:highlight w:val="none"/>
                <w:rtl w:val="0"/>
                <w:cs w:val="0"/>
                <w:lang w:val="en-US" w:eastAsia="zh-CN"/>
              </w:rPr>
              <w:t>40分</w:t>
            </w:r>
          </w:p>
        </w:tc>
        <w:tc>
          <w:tcPr>
            <w:tcW w:w="6213" w:type="dxa"/>
            <w:tcBorders>
              <w:tl2br w:val="nil"/>
              <w:tr2bl w:val="nil"/>
            </w:tcBorders>
            <w:noWrap w:val="0"/>
            <w:vAlign w:val="center"/>
          </w:tcPr>
          <w:p w14:paraId="081698AD">
            <w:pPr>
              <w:numPr>
                <w:ilvl w:val="0"/>
                <w:numId w:val="0"/>
              </w:numPr>
              <w:spacing w:before="59" w:line="240" w:lineRule="auto"/>
              <w:jc w:val="both"/>
              <w:rPr>
                <w:rFonts w:hint="default" w:ascii="仿宋" w:hAnsi="仿宋" w:eastAsia="仿宋" w:cs="仿宋"/>
                <w:b w:val="0"/>
                <w:bCs w:val="0"/>
                <w:spacing w:val="-3"/>
                <w:sz w:val="24"/>
                <w:szCs w:val="24"/>
                <w:highlight w:val="none"/>
                <w:rtl w:val="0"/>
                <w:cs w:val="0"/>
                <w:lang w:val="en-US" w:eastAsia="zh-CN"/>
              </w:rPr>
            </w:pPr>
            <w:r>
              <w:rPr>
                <w:rFonts w:hint="default" w:ascii="仿宋" w:hAnsi="仿宋" w:eastAsia="仿宋" w:cs="仿宋"/>
                <w:b w:val="0"/>
                <w:bCs w:val="0"/>
                <w:spacing w:val="-3"/>
                <w:sz w:val="24"/>
                <w:szCs w:val="24"/>
                <w:highlight w:val="none"/>
                <w:rtl w:val="0"/>
                <w:cs w:val="0"/>
                <w:lang w:val="en-US" w:eastAsia="zh-CN"/>
              </w:rPr>
              <w:t>配置性能指标根据所投项目产品清单的技术参数配置与性能指标的响应程度打分，招标文件中所有技术参数须逐条响应，所提供的设备资料应尽可能全面详细。全部响应招标文件的得</w:t>
            </w:r>
            <w:r>
              <w:rPr>
                <w:rFonts w:hint="eastAsia" w:ascii="仿宋" w:hAnsi="仿宋" w:eastAsia="仿宋" w:cs="仿宋"/>
                <w:b w:val="0"/>
                <w:bCs w:val="0"/>
                <w:spacing w:val="-3"/>
                <w:sz w:val="24"/>
                <w:szCs w:val="24"/>
                <w:highlight w:val="none"/>
                <w:rtl w:val="0"/>
                <w:cs w:val="0"/>
                <w:lang w:val="en-US" w:eastAsia="zh-CN"/>
              </w:rPr>
              <w:t>40</w:t>
            </w:r>
            <w:r>
              <w:rPr>
                <w:rFonts w:hint="default" w:ascii="仿宋" w:hAnsi="仿宋" w:eastAsia="仿宋" w:cs="仿宋"/>
                <w:b w:val="0"/>
                <w:bCs w:val="0"/>
                <w:spacing w:val="-3"/>
                <w:sz w:val="24"/>
                <w:szCs w:val="24"/>
                <w:highlight w:val="none"/>
                <w:rtl w:val="0"/>
                <w:cs w:val="0"/>
                <w:lang w:val="en-US" w:eastAsia="zh-CN"/>
              </w:rPr>
              <w:t>分</w:t>
            </w:r>
            <w:r>
              <w:rPr>
                <w:rFonts w:hint="eastAsia" w:ascii="仿宋" w:hAnsi="仿宋" w:eastAsia="仿宋" w:cs="仿宋"/>
                <w:b w:val="0"/>
                <w:bCs w:val="0"/>
                <w:spacing w:val="-3"/>
                <w:sz w:val="24"/>
                <w:szCs w:val="24"/>
                <w:highlight w:val="none"/>
                <w:rtl w:val="0"/>
                <w:cs w:val="0"/>
                <w:lang w:val="en-US" w:eastAsia="zh-CN"/>
              </w:rPr>
              <w:t>。</w:t>
            </w:r>
          </w:p>
          <w:p w14:paraId="70EB6A97">
            <w:pPr>
              <w:numPr>
                <w:ilvl w:val="0"/>
                <w:numId w:val="0"/>
              </w:numPr>
              <w:spacing w:before="59" w:line="240" w:lineRule="auto"/>
              <w:jc w:val="both"/>
              <w:rPr>
                <w:rFonts w:hint="default" w:ascii="仿宋" w:hAnsi="仿宋" w:eastAsia="仿宋" w:cs="仿宋"/>
                <w:b w:val="0"/>
                <w:bCs w:val="0"/>
                <w:spacing w:val="-3"/>
                <w:sz w:val="24"/>
                <w:szCs w:val="24"/>
                <w:highlight w:val="none"/>
                <w:rtl w:val="0"/>
                <w:cs w:val="0"/>
                <w:lang w:val="en-US" w:eastAsia="zh-CN"/>
              </w:rPr>
            </w:pPr>
            <w:r>
              <w:rPr>
                <w:rFonts w:hint="default" w:ascii="仿宋" w:hAnsi="仿宋" w:eastAsia="仿宋" w:cs="仿宋"/>
                <w:b w:val="0"/>
                <w:bCs w:val="0"/>
                <w:color w:val="FF0000"/>
                <w:spacing w:val="-3"/>
                <w:sz w:val="24"/>
                <w:szCs w:val="24"/>
                <w:highlight w:val="none"/>
                <w:rtl w:val="0"/>
                <w:cs w:val="0"/>
                <w:lang w:val="en-US" w:eastAsia="zh-CN"/>
              </w:rPr>
              <w:t>注：带★</w:t>
            </w:r>
            <w:r>
              <w:rPr>
                <w:rFonts w:hint="eastAsia" w:ascii="仿宋" w:hAnsi="仿宋" w:eastAsia="仿宋" w:cs="仿宋"/>
                <w:b w:val="0"/>
                <w:bCs w:val="0"/>
                <w:color w:val="FF0000"/>
                <w:spacing w:val="-3"/>
                <w:sz w:val="24"/>
                <w:szCs w:val="24"/>
                <w:highlight w:val="none"/>
                <w:rtl w:val="0"/>
                <w:cs w:val="0"/>
                <w:lang w:val="en-US" w:eastAsia="zh-CN"/>
              </w:rPr>
              <w:t>、</w:t>
            </w:r>
            <w:r>
              <w:rPr>
                <w:rFonts w:hint="eastAsia" w:ascii="仿宋" w:hAnsi="仿宋" w:eastAsia="仿宋" w:cs="仿宋"/>
                <w:color w:val="FF0000"/>
                <w:sz w:val="24"/>
                <w:szCs w:val="24"/>
                <w:highlight w:val="none"/>
                <w:lang w:val="en-US" w:eastAsia="zh-CN"/>
              </w:rPr>
              <w:t>▲</w:t>
            </w:r>
            <w:r>
              <w:rPr>
                <w:rFonts w:hint="default" w:ascii="仿宋" w:hAnsi="仿宋" w:eastAsia="仿宋" w:cs="仿宋"/>
                <w:b w:val="0"/>
                <w:bCs w:val="0"/>
                <w:color w:val="FF0000"/>
                <w:spacing w:val="-3"/>
                <w:sz w:val="24"/>
                <w:szCs w:val="24"/>
                <w:highlight w:val="none"/>
                <w:rtl w:val="0"/>
                <w:cs w:val="0"/>
                <w:lang w:val="en-US" w:eastAsia="zh-CN"/>
              </w:rPr>
              <w:t>号为关键指标参数，负偏离或未提供证明材料（截图或检测报告或其他要求证明材料）扣1分，其它为一般参数，低于要求或负偏离扣0.5分，扣完为止。</w:t>
            </w:r>
          </w:p>
        </w:tc>
      </w:tr>
      <w:tr w14:paraId="79162C6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287" w:hRule="atLeast"/>
          <w:jc w:val="center"/>
        </w:trPr>
        <w:tc>
          <w:tcPr>
            <w:tcW w:w="771" w:type="dxa"/>
            <w:tcBorders>
              <w:tl2br w:val="nil"/>
              <w:tr2bl w:val="nil"/>
            </w:tcBorders>
            <w:noWrap w:val="0"/>
            <w:vAlign w:val="center"/>
          </w:tcPr>
          <w:p w14:paraId="675C731E">
            <w:pPr>
              <w:spacing w:before="59" w:line="239" w:lineRule="auto"/>
              <w:jc w:val="center"/>
              <w:rPr>
                <w:rFonts w:hint="eastAsia" w:ascii="仿宋" w:hAnsi="仿宋" w:eastAsia="仿宋" w:cs="仿宋"/>
                <w:b w:val="0"/>
                <w:bCs w:val="0"/>
                <w:spacing w:val="-3"/>
                <w:sz w:val="24"/>
                <w:szCs w:val="24"/>
                <w:highlight w:val="none"/>
                <w:rtl w:val="0"/>
                <w:cs w:val="0"/>
                <w:lang w:val="en-US" w:eastAsia="zh-CN"/>
              </w:rPr>
            </w:pPr>
            <w:r>
              <w:rPr>
                <w:rFonts w:hint="eastAsia" w:ascii="仿宋" w:hAnsi="仿宋" w:eastAsia="仿宋" w:cs="仿宋"/>
                <w:b w:val="0"/>
                <w:bCs w:val="0"/>
                <w:spacing w:val="-3"/>
                <w:sz w:val="24"/>
                <w:szCs w:val="24"/>
                <w:highlight w:val="none"/>
                <w:rtl w:val="0"/>
                <w:cs w:val="0"/>
                <w:lang w:val="en-US" w:eastAsia="zh-CN"/>
              </w:rPr>
              <w:t>2</w:t>
            </w:r>
          </w:p>
        </w:tc>
        <w:tc>
          <w:tcPr>
            <w:tcW w:w="1295" w:type="dxa"/>
            <w:tcBorders>
              <w:tl2br w:val="nil"/>
              <w:tr2bl w:val="nil"/>
            </w:tcBorders>
            <w:noWrap w:val="0"/>
            <w:vAlign w:val="center"/>
          </w:tcPr>
          <w:p w14:paraId="2B9704DE">
            <w:pPr>
              <w:spacing w:before="59" w:line="239" w:lineRule="auto"/>
              <w:jc w:val="center"/>
              <w:rPr>
                <w:rFonts w:hint="eastAsia" w:ascii="仿宋" w:hAnsi="仿宋" w:eastAsia="仿宋" w:cs="仿宋"/>
                <w:b w:val="0"/>
                <w:bCs w:val="0"/>
                <w:color w:val="auto"/>
                <w:spacing w:val="-3"/>
                <w:sz w:val="24"/>
                <w:szCs w:val="24"/>
                <w:highlight w:val="none"/>
                <w:rtl w:val="0"/>
                <w:cs w:val="0"/>
                <w:lang w:val="en-US" w:eastAsia="zh-CN"/>
              </w:rPr>
            </w:pPr>
            <w:r>
              <w:rPr>
                <w:rFonts w:hint="default" w:ascii="仿宋" w:hAnsi="仿宋" w:eastAsia="仿宋" w:cs="仿宋"/>
                <w:b w:val="0"/>
                <w:bCs w:val="0"/>
                <w:color w:val="auto"/>
                <w:spacing w:val="-3"/>
                <w:sz w:val="24"/>
                <w:szCs w:val="24"/>
                <w:highlight w:val="none"/>
                <w:rtl w:val="0"/>
                <w:cs w:val="0"/>
                <w:lang w:val="en-US" w:eastAsia="zh-CN"/>
              </w:rPr>
              <w:t>项目需求理解分析</w:t>
            </w:r>
          </w:p>
        </w:tc>
        <w:tc>
          <w:tcPr>
            <w:tcW w:w="762" w:type="dxa"/>
            <w:tcBorders>
              <w:tl2br w:val="nil"/>
              <w:tr2bl w:val="nil"/>
            </w:tcBorders>
            <w:noWrap w:val="0"/>
            <w:vAlign w:val="center"/>
          </w:tcPr>
          <w:p w14:paraId="04AA14A1">
            <w:pPr>
              <w:spacing w:before="59" w:line="239" w:lineRule="auto"/>
              <w:jc w:val="center"/>
              <w:rPr>
                <w:rFonts w:hint="eastAsia" w:ascii="仿宋" w:hAnsi="仿宋" w:eastAsia="仿宋" w:cs="仿宋"/>
                <w:b w:val="0"/>
                <w:bCs w:val="0"/>
                <w:color w:val="auto"/>
                <w:spacing w:val="-3"/>
                <w:sz w:val="24"/>
                <w:szCs w:val="24"/>
                <w:highlight w:val="none"/>
                <w:rtl w:val="0"/>
                <w:cs w:val="0"/>
                <w:lang w:val="en-US" w:eastAsia="zh-CN"/>
              </w:rPr>
            </w:pPr>
            <w:r>
              <w:rPr>
                <w:rFonts w:hint="eastAsia" w:ascii="仿宋" w:hAnsi="仿宋" w:eastAsia="仿宋" w:cs="仿宋"/>
                <w:b w:val="0"/>
                <w:bCs w:val="0"/>
                <w:color w:val="auto"/>
                <w:spacing w:val="-3"/>
                <w:sz w:val="24"/>
                <w:szCs w:val="24"/>
                <w:highlight w:val="none"/>
                <w:rtl w:val="0"/>
                <w:cs w:val="0"/>
                <w:lang w:val="en-US" w:eastAsia="zh-CN"/>
              </w:rPr>
              <w:t>3分</w:t>
            </w:r>
          </w:p>
        </w:tc>
        <w:tc>
          <w:tcPr>
            <w:tcW w:w="6213" w:type="dxa"/>
            <w:tcBorders>
              <w:tl2br w:val="nil"/>
              <w:tr2bl w:val="nil"/>
            </w:tcBorders>
            <w:noWrap w:val="0"/>
            <w:vAlign w:val="center"/>
          </w:tcPr>
          <w:p w14:paraId="591DB2B2">
            <w:pPr>
              <w:pStyle w:val="47"/>
              <w:keepNext w:val="0"/>
              <w:keepLines w:val="0"/>
              <w:numPr>
                <w:ilvl w:val="0"/>
                <w:numId w:val="0"/>
              </w:numPr>
              <w:suppressLineNumbers w:val="0"/>
              <w:spacing w:before="0" w:beforeAutospacing="0" w:after="0" w:afterAutospacing="0" w:line="240" w:lineRule="auto"/>
              <w:ind w:right="0" w:rightChars="0"/>
              <w:rPr>
                <w:rFonts w:hint="default" w:ascii="仿宋" w:hAnsi="仿宋" w:eastAsia="仿宋" w:cs="仿宋"/>
                <w:b w:val="0"/>
                <w:bCs w:val="0"/>
                <w:spacing w:val="-3"/>
                <w:sz w:val="24"/>
                <w:szCs w:val="24"/>
                <w:highlight w:val="none"/>
                <w:rtl w:val="0"/>
                <w:cs w:val="0"/>
                <w:lang w:val="en-US" w:eastAsia="zh-CN"/>
              </w:rPr>
            </w:pPr>
            <w:r>
              <w:rPr>
                <w:rFonts w:hint="default" w:ascii="仿宋" w:hAnsi="仿宋" w:eastAsia="仿宋" w:cs="仿宋"/>
                <w:b w:val="0"/>
                <w:bCs w:val="0"/>
                <w:spacing w:val="-3"/>
                <w:sz w:val="24"/>
                <w:szCs w:val="24"/>
                <w:highlight w:val="none"/>
                <w:rtl w:val="0"/>
                <w:cs w:val="0"/>
                <w:lang w:val="en-US" w:eastAsia="zh-CN"/>
              </w:rPr>
              <w:t>供应商需结合采购人需求和特点提供本项目课程制作分析方案： 对于在线开放课程制作的要求分析详细、阐述清晰、 全面，对于本项目任务目标及需求理解完全符合本项目要求，得</w:t>
            </w:r>
            <w:r>
              <w:rPr>
                <w:rFonts w:hint="eastAsia" w:ascii="仿宋" w:hAnsi="仿宋" w:eastAsia="仿宋" w:cs="仿宋"/>
                <w:b w:val="0"/>
                <w:bCs w:val="0"/>
                <w:spacing w:val="-3"/>
                <w:sz w:val="24"/>
                <w:szCs w:val="24"/>
                <w:highlight w:val="none"/>
                <w:rtl w:val="0"/>
                <w:cs w:val="0"/>
                <w:lang w:val="en-US" w:eastAsia="zh-CN"/>
              </w:rPr>
              <w:t>3</w:t>
            </w:r>
            <w:r>
              <w:rPr>
                <w:rFonts w:hint="default" w:ascii="仿宋" w:hAnsi="仿宋" w:eastAsia="仿宋" w:cs="仿宋"/>
                <w:b w:val="0"/>
                <w:bCs w:val="0"/>
                <w:spacing w:val="-3"/>
                <w:sz w:val="24"/>
                <w:szCs w:val="24"/>
                <w:highlight w:val="none"/>
                <w:rtl w:val="0"/>
                <w:cs w:val="0"/>
                <w:lang w:val="en-US" w:eastAsia="zh-CN"/>
              </w:rPr>
              <w:t>分；</w:t>
            </w:r>
            <w:r>
              <w:rPr>
                <w:rFonts w:hint="eastAsia" w:ascii="仿宋" w:hAnsi="仿宋" w:eastAsia="仿宋" w:cs="仿宋"/>
                <w:b w:val="0"/>
                <w:bCs w:val="0"/>
                <w:spacing w:val="-3"/>
                <w:sz w:val="24"/>
                <w:szCs w:val="24"/>
                <w:highlight w:val="none"/>
                <w:rtl w:val="0"/>
                <w:cs w:val="0"/>
                <w:lang w:val="en-US" w:eastAsia="zh-CN"/>
              </w:rPr>
              <w:t>方案</w:t>
            </w:r>
            <w:r>
              <w:rPr>
                <w:rFonts w:hint="default" w:ascii="仿宋" w:hAnsi="仿宋" w:eastAsia="仿宋" w:cs="仿宋"/>
                <w:b w:val="0"/>
                <w:bCs w:val="0"/>
                <w:spacing w:val="-3"/>
                <w:sz w:val="24"/>
                <w:szCs w:val="24"/>
                <w:highlight w:val="none"/>
                <w:rtl w:val="0"/>
                <w:cs w:val="0"/>
                <w:lang w:val="en-US" w:eastAsia="zh-CN"/>
              </w:rPr>
              <w:t>要求分析阐述基本完整，基本符合本项目要求 ，得</w:t>
            </w:r>
            <w:r>
              <w:rPr>
                <w:rFonts w:hint="eastAsia" w:ascii="仿宋" w:hAnsi="仿宋" w:eastAsia="仿宋" w:cs="仿宋"/>
                <w:b w:val="0"/>
                <w:bCs w:val="0"/>
                <w:spacing w:val="-3"/>
                <w:sz w:val="24"/>
                <w:szCs w:val="24"/>
                <w:highlight w:val="none"/>
                <w:rtl w:val="0"/>
                <w:cs w:val="0"/>
                <w:lang w:val="en-US" w:eastAsia="zh-CN"/>
              </w:rPr>
              <w:t>2</w:t>
            </w:r>
            <w:r>
              <w:rPr>
                <w:rFonts w:hint="default" w:ascii="仿宋" w:hAnsi="仿宋" w:eastAsia="仿宋" w:cs="仿宋"/>
                <w:b w:val="0"/>
                <w:bCs w:val="0"/>
                <w:spacing w:val="-3"/>
                <w:sz w:val="24"/>
                <w:szCs w:val="24"/>
                <w:highlight w:val="none"/>
                <w:rtl w:val="0"/>
                <w:cs w:val="0"/>
                <w:lang w:val="en-US" w:eastAsia="zh-CN"/>
              </w:rPr>
              <w:t>分； 对于本项目任务目标及需求理解有缺失，仅部分符合项目需求 ，得1分；未提供或与本项目无关的，得0分。</w:t>
            </w:r>
          </w:p>
        </w:tc>
      </w:tr>
      <w:tr w14:paraId="3CB47C7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06" w:hRule="atLeast"/>
          <w:jc w:val="center"/>
        </w:trPr>
        <w:tc>
          <w:tcPr>
            <w:tcW w:w="771" w:type="dxa"/>
            <w:tcBorders>
              <w:tl2br w:val="nil"/>
              <w:tr2bl w:val="nil"/>
            </w:tcBorders>
            <w:noWrap w:val="0"/>
            <w:vAlign w:val="center"/>
          </w:tcPr>
          <w:p w14:paraId="5676F711">
            <w:pPr>
              <w:spacing w:before="59" w:line="239" w:lineRule="auto"/>
              <w:jc w:val="center"/>
              <w:rPr>
                <w:rFonts w:hint="default" w:ascii="仿宋" w:hAnsi="仿宋" w:eastAsia="仿宋" w:cs="仿宋"/>
                <w:b w:val="0"/>
                <w:bCs w:val="0"/>
                <w:spacing w:val="-3"/>
                <w:sz w:val="24"/>
                <w:szCs w:val="24"/>
                <w:highlight w:val="none"/>
                <w:rtl w:val="0"/>
                <w:cs w:val="0"/>
                <w:lang w:val="en-US" w:eastAsia="zh-CN"/>
              </w:rPr>
            </w:pPr>
            <w:r>
              <w:rPr>
                <w:rFonts w:hint="eastAsia" w:ascii="仿宋" w:hAnsi="仿宋" w:eastAsia="仿宋" w:cs="仿宋"/>
                <w:b w:val="0"/>
                <w:bCs w:val="0"/>
                <w:spacing w:val="-3"/>
                <w:sz w:val="24"/>
                <w:szCs w:val="24"/>
                <w:highlight w:val="none"/>
                <w:rtl w:val="0"/>
                <w:cs w:val="0"/>
                <w:lang w:val="en-US" w:eastAsia="zh-CN"/>
              </w:rPr>
              <w:t>3</w:t>
            </w:r>
          </w:p>
        </w:tc>
        <w:tc>
          <w:tcPr>
            <w:tcW w:w="1295" w:type="dxa"/>
            <w:tcBorders>
              <w:tl2br w:val="nil"/>
              <w:tr2bl w:val="nil"/>
            </w:tcBorders>
            <w:noWrap w:val="0"/>
            <w:vAlign w:val="center"/>
          </w:tcPr>
          <w:p w14:paraId="6884D9FB">
            <w:pPr>
              <w:spacing w:before="59" w:line="360" w:lineRule="auto"/>
              <w:jc w:val="center"/>
              <w:rPr>
                <w:rFonts w:hint="default" w:ascii="仿宋" w:hAnsi="仿宋" w:eastAsia="仿宋" w:cs="仿宋"/>
                <w:b w:val="0"/>
                <w:bCs w:val="0"/>
                <w:color w:val="auto"/>
                <w:spacing w:val="-3"/>
                <w:sz w:val="24"/>
                <w:szCs w:val="24"/>
                <w:highlight w:val="none"/>
                <w:rtl w:val="0"/>
                <w:cs w:val="0"/>
                <w:lang w:val="en-US" w:eastAsia="zh-CN"/>
              </w:rPr>
            </w:pPr>
            <w:r>
              <w:rPr>
                <w:rFonts w:hint="eastAsia" w:ascii="仿宋" w:hAnsi="仿宋" w:eastAsia="仿宋" w:cs="仿宋"/>
                <w:b w:val="0"/>
                <w:bCs w:val="0"/>
                <w:color w:val="auto"/>
                <w:spacing w:val="-3"/>
                <w:sz w:val="24"/>
                <w:szCs w:val="24"/>
                <w:highlight w:val="none"/>
                <w:rtl w:val="0"/>
                <w:cs w:val="0"/>
                <w:lang w:val="en-US" w:eastAsia="zh-CN"/>
              </w:rPr>
              <w:t>系统演示</w:t>
            </w:r>
          </w:p>
        </w:tc>
        <w:tc>
          <w:tcPr>
            <w:tcW w:w="762" w:type="dxa"/>
            <w:tcBorders>
              <w:tl2br w:val="nil"/>
              <w:tr2bl w:val="nil"/>
            </w:tcBorders>
            <w:noWrap w:val="0"/>
            <w:vAlign w:val="center"/>
          </w:tcPr>
          <w:p w14:paraId="2C64C400">
            <w:pPr>
              <w:spacing w:before="59" w:line="240" w:lineRule="auto"/>
              <w:jc w:val="center"/>
              <w:rPr>
                <w:rFonts w:hint="default" w:ascii="仿宋" w:hAnsi="仿宋" w:eastAsia="仿宋" w:cs="仿宋"/>
                <w:b w:val="0"/>
                <w:bCs w:val="0"/>
                <w:color w:val="auto"/>
                <w:spacing w:val="-3"/>
                <w:sz w:val="24"/>
                <w:szCs w:val="24"/>
                <w:highlight w:val="none"/>
                <w:rtl w:val="0"/>
                <w:cs w:val="0"/>
                <w:lang w:val="en-US" w:eastAsia="zh-CN"/>
              </w:rPr>
            </w:pPr>
            <w:r>
              <w:rPr>
                <w:rFonts w:hint="eastAsia" w:ascii="仿宋" w:hAnsi="仿宋" w:eastAsia="仿宋" w:cs="仿宋"/>
                <w:b w:val="0"/>
                <w:bCs w:val="0"/>
                <w:color w:val="auto"/>
                <w:spacing w:val="-3"/>
                <w:sz w:val="24"/>
                <w:szCs w:val="24"/>
                <w:highlight w:val="none"/>
                <w:rtl w:val="0"/>
                <w:cs w:val="0"/>
                <w:lang w:val="en-US" w:eastAsia="zh-CN"/>
              </w:rPr>
              <w:t>5分</w:t>
            </w:r>
          </w:p>
        </w:tc>
        <w:tc>
          <w:tcPr>
            <w:tcW w:w="6213" w:type="dxa"/>
            <w:tcBorders>
              <w:tl2br w:val="nil"/>
              <w:tr2bl w:val="nil"/>
            </w:tcBorders>
            <w:noWrap w:val="0"/>
            <w:vAlign w:val="center"/>
          </w:tcPr>
          <w:p w14:paraId="6DAAA8C8">
            <w:pPr>
              <w:numPr>
                <w:ilvl w:val="0"/>
                <w:numId w:val="0"/>
              </w:numPr>
              <w:spacing w:before="59" w:line="240" w:lineRule="auto"/>
              <w:ind w:left="0" w:leftChars="0" w:firstLine="0" w:firstLineChars="0"/>
              <w:jc w:val="both"/>
              <w:rPr>
                <w:rFonts w:hint="default" w:ascii="仿宋" w:hAnsi="仿宋" w:eastAsia="仿宋" w:cs="仿宋"/>
                <w:b w:val="0"/>
                <w:bCs w:val="0"/>
                <w:spacing w:val="-3"/>
                <w:sz w:val="24"/>
                <w:szCs w:val="24"/>
                <w:highlight w:val="none"/>
                <w:rtl w:val="0"/>
                <w:cs w:val="0"/>
                <w:lang w:val="en-US" w:eastAsia="zh-CN"/>
              </w:rPr>
            </w:pPr>
            <w:r>
              <w:rPr>
                <w:rFonts w:hint="default" w:ascii="仿宋" w:hAnsi="仿宋" w:eastAsia="仿宋" w:cs="仿宋"/>
                <w:b w:val="0"/>
                <w:bCs w:val="0"/>
                <w:spacing w:val="-3"/>
                <w:sz w:val="24"/>
                <w:szCs w:val="24"/>
                <w:highlight w:val="none"/>
                <w:rtl w:val="0"/>
                <w:cs w:val="0"/>
                <w:lang w:val="en-US" w:eastAsia="zh-CN"/>
              </w:rPr>
              <w:t>投标人自制课程视频相关截图和说明文稿，用以说明针对相应学科课程的设计思想与制作手法、 典型场景、景别设计、外景拍摄、动画制作等方面表现性。完全满足要求的得</w:t>
            </w:r>
            <w:r>
              <w:rPr>
                <w:rFonts w:hint="eastAsia" w:ascii="仿宋" w:hAnsi="仿宋" w:eastAsia="仿宋" w:cs="仿宋"/>
                <w:b w:val="0"/>
                <w:bCs w:val="0"/>
                <w:spacing w:val="-3"/>
                <w:sz w:val="24"/>
                <w:szCs w:val="24"/>
                <w:highlight w:val="none"/>
                <w:rtl w:val="0"/>
                <w:cs w:val="0"/>
                <w:lang w:val="en-US" w:eastAsia="zh-CN"/>
              </w:rPr>
              <w:t>5</w:t>
            </w:r>
            <w:r>
              <w:rPr>
                <w:rFonts w:hint="default" w:ascii="仿宋" w:hAnsi="仿宋" w:eastAsia="仿宋" w:cs="仿宋"/>
                <w:b w:val="0"/>
                <w:bCs w:val="0"/>
                <w:spacing w:val="-3"/>
                <w:sz w:val="24"/>
                <w:szCs w:val="24"/>
                <w:highlight w:val="none"/>
                <w:rtl w:val="0"/>
                <w:cs w:val="0"/>
                <w:lang w:val="en-US" w:eastAsia="zh-CN"/>
              </w:rPr>
              <w:t>分 。有1项演示内容不满足的扣1分，扣完为止。不提供 不计分。</w:t>
            </w:r>
          </w:p>
        </w:tc>
      </w:tr>
      <w:tr w14:paraId="1C6870C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362" w:hRule="atLeast"/>
          <w:jc w:val="center"/>
        </w:trPr>
        <w:tc>
          <w:tcPr>
            <w:tcW w:w="771" w:type="dxa"/>
            <w:tcBorders>
              <w:tl2br w:val="nil"/>
              <w:tr2bl w:val="nil"/>
            </w:tcBorders>
            <w:noWrap w:val="0"/>
            <w:vAlign w:val="center"/>
          </w:tcPr>
          <w:p w14:paraId="228B6926">
            <w:pPr>
              <w:spacing w:before="59" w:line="239" w:lineRule="auto"/>
              <w:jc w:val="center"/>
              <w:rPr>
                <w:rFonts w:hint="eastAsia" w:ascii="仿宋" w:hAnsi="仿宋" w:eastAsia="仿宋" w:cs="仿宋"/>
                <w:b w:val="0"/>
                <w:bCs w:val="0"/>
                <w:spacing w:val="-3"/>
                <w:sz w:val="24"/>
                <w:szCs w:val="24"/>
                <w:highlight w:val="none"/>
                <w:rtl w:val="0"/>
                <w:cs w:val="0"/>
                <w:lang w:val="en-US" w:eastAsia="zh-CN"/>
              </w:rPr>
            </w:pPr>
            <w:r>
              <w:rPr>
                <w:rFonts w:hint="eastAsia" w:ascii="仿宋" w:hAnsi="仿宋" w:eastAsia="仿宋" w:cs="仿宋"/>
                <w:b w:val="0"/>
                <w:bCs w:val="0"/>
                <w:spacing w:val="-3"/>
                <w:sz w:val="24"/>
                <w:szCs w:val="24"/>
                <w:highlight w:val="none"/>
                <w:rtl w:val="0"/>
                <w:cs w:val="0"/>
                <w:lang w:val="en-US" w:eastAsia="zh-CN"/>
              </w:rPr>
              <w:t>4</w:t>
            </w:r>
          </w:p>
        </w:tc>
        <w:tc>
          <w:tcPr>
            <w:tcW w:w="1295" w:type="dxa"/>
            <w:tcBorders>
              <w:tl2br w:val="nil"/>
              <w:tr2bl w:val="nil"/>
            </w:tcBorders>
            <w:noWrap w:val="0"/>
            <w:vAlign w:val="center"/>
          </w:tcPr>
          <w:p w14:paraId="6BF55212">
            <w:pPr>
              <w:spacing w:before="59" w:line="239" w:lineRule="auto"/>
              <w:jc w:val="center"/>
              <w:rPr>
                <w:rFonts w:hint="default" w:ascii="仿宋" w:hAnsi="仿宋" w:eastAsia="仿宋" w:cs="仿宋"/>
                <w:b w:val="0"/>
                <w:bCs w:val="0"/>
                <w:color w:val="auto"/>
                <w:spacing w:val="-3"/>
                <w:sz w:val="24"/>
                <w:szCs w:val="24"/>
                <w:highlight w:val="none"/>
                <w:rtl w:val="0"/>
                <w:cs w:val="0"/>
                <w:lang w:val="en-US" w:eastAsia="zh-CN"/>
              </w:rPr>
            </w:pPr>
            <w:r>
              <w:rPr>
                <w:rFonts w:hint="default" w:ascii="仿宋" w:hAnsi="仿宋" w:eastAsia="仿宋" w:cs="仿宋"/>
                <w:b w:val="0"/>
                <w:bCs w:val="0"/>
                <w:color w:val="auto"/>
                <w:spacing w:val="-3"/>
                <w:sz w:val="24"/>
                <w:szCs w:val="24"/>
                <w:highlight w:val="none"/>
                <w:rtl w:val="0"/>
                <w:cs w:val="0"/>
                <w:lang w:val="en-US" w:eastAsia="zh-CN"/>
              </w:rPr>
              <w:t>课程内容质量</w:t>
            </w:r>
          </w:p>
        </w:tc>
        <w:tc>
          <w:tcPr>
            <w:tcW w:w="762" w:type="dxa"/>
            <w:tcBorders>
              <w:tl2br w:val="nil"/>
              <w:tr2bl w:val="nil"/>
            </w:tcBorders>
            <w:noWrap w:val="0"/>
            <w:vAlign w:val="center"/>
          </w:tcPr>
          <w:p w14:paraId="572CA12C">
            <w:pPr>
              <w:spacing w:before="59" w:line="239" w:lineRule="auto"/>
              <w:jc w:val="center"/>
              <w:rPr>
                <w:rFonts w:hint="eastAsia" w:ascii="仿宋" w:hAnsi="仿宋" w:eastAsia="仿宋" w:cs="仿宋"/>
                <w:b w:val="0"/>
                <w:bCs w:val="0"/>
                <w:color w:val="auto"/>
                <w:spacing w:val="-3"/>
                <w:sz w:val="24"/>
                <w:szCs w:val="24"/>
                <w:highlight w:val="none"/>
                <w:rtl w:val="0"/>
                <w:cs w:val="0"/>
                <w:lang w:val="en-US" w:eastAsia="zh-CN"/>
              </w:rPr>
            </w:pPr>
            <w:r>
              <w:rPr>
                <w:rFonts w:hint="eastAsia" w:ascii="仿宋" w:hAnsi="仿宋" w:eastAsia="仿宋" w:cs="仿宋"/>
                <w:b w:val="0"/>
                <w:bCs w:val="0"/>
                <w:color w:val="auto"/>
                <w:spacing w:val="-3"/>
                <w:sz w:val="24"/>
                <w:szCs w:val="24"/>
                <w:highlight w:val="none"/>
                <w:rtl w:val="0"/>
                <w:cs w:val="0"/>
                <w:lang w:val="en-US" w:eastAsia="zh-CN"/>
              </w:rPr>
              <w:t>6</w:t>
            </w:r>
            <w:r>
              <w:rPr>
                <w:rFonts w:hint="default" w:ascii="仿宋" w:hAnsi="仿宋" w:eastAsia="仿宋" w:cs="仿宋"/>
                <w:b w:val="0"/>
                <w:bCs w:val="0"/>
                <w:color w:val="auto"/>
                <w:spacing w:val="-3"/>
                <w:sz w:val="24"/>
                <w:szCs w:val="24"/>
                <w:highlight w:val="none"/>
                <w:rtl w:val="0"/>
                <w:cs w:val="0"/>
                <w:lang w:val="en-US" w:eastAsia="zh-CN"/>
              </w:rPr>
              <w:t>分</w:t>
            </w:r>
          </w:p>
        </w:tc>
        <w:tc>
          <w:tcPr>
            <w:tcW w:w="6213" w:type="dxa"/>
            <w:tcBorders>
              <w:tl2br w:val="nil"/>
              <w:tr2bl w:val="nil"/>
            </w:tcBorders>
            <w:noWrap w:val="0"/>
            <w:vAlign w:val="center"/>
          </w:tcPr>
          <w:p w14:paraId="526EE8AD">
            <w:pPr>
              <w:pStyle w:val="47"/>
              <w:keepNext w:val="0"/>
              <w:keepLines w:val="0"/>
              <w:numPr>
                <w:ilvl w:val="0"/>
                <w:numId w:val="0"/>
              </w:numPr>
              <w:suppressLineNumbers w:val="0"/>
              <w:spacing w:before="0" w:beforeAutospacing="0" w:after="0" w:afterAutospacing="0" w:line="240" w:lineRule="auto"/>
              <w:ind w:left="0" w:leftChars="0" w:right="0"/>
              <w:rPr>
                <w:rFonts w:hint="default" w:ascii="仿宋" w:hAnsi="仿宋" w:eastAsia="仿宋" w:cs="仿宋"/>
                <w:b w:val="0"/>
                <w:bCs w:val="0"/>
                <w:spacing w:val="-3"/>
                <w:sz w:val="24"/>
                <w:szCs w:val="24"/>
                <w:highlight w:val="none"/>
                <w:rtl w:val="0"/>
                <w:cs w:val="0"/>
                <w:lang w:val="en-US" w:eastAsia="zh-CN"/>
              </w:rPr>
            </w:pPr>
            <w:r>
              <w:rPr>
                <w:rFonts w:hint="eastAsia" w:ascii="仿宋" w:hAnsi="仿宋" w:eastAsia="仿宋" w:cs="仿宋"/>
                <w:b w:val="0"/>
                <w:bCs w:val="0"/>
                <w:spacing w:val="-3"/>
                <w:sz w:val="24"/>
                <w:szCs w:val="24"/>
                <w:highlight w:val="none"/>
                <w:rtl w:val="0"/>
                <w:cs w:val="0"/>
                <w:lang w:val="en-US" w:eastAsia="zh-CN"/>
              </w:rPr>
              <w:t>1.知识体系逻辑清晰，章节模块化设计的衔接合理，覆盖核心知识点，无重大遗漏。</w:t>
            </w:r>
          </w:p>
          <w:p w14:paraId="18651E81">
            <w:pPr>
              <w:pStyle w:val="47"/>
              <w:keepNext w:val="0"/>
              <w:keepLines w:val="0"/>
              <w:numPr>
                <w:ilvl w:val="0"/>
                <w:numId w:val="0"/>
              </w:numPr>
              <w:suppressLineNumbers w:val="0"/>
              <w:spacing w:before="0" w:beforeAutospacing="0" w:after="0" w:afterAutospacing="0" w:line="240" w:lineRule="auto"/>
              <w:ind w:left="0" w:leftChars="0" w:right="0"/>
              <w:rPr>
                <w:rFonts w:hint="default" w:ascii="仿宋" w:hAnsi="仿宋" w:eastAsia="仿宋" w:cs="仿宋"/>
                <w:b w:val="0"/>
                <w:bCs w:val="0"/>
                <w:spacing w:val="-3"/>
                <w:sz w:val="24"/>
                <w:szCs w:val="24"/>
                <w:highlight w:val="none"/>
                <w:rtl w:val="0"/>
                <w:cs w:val="0"/>
                <w:lang w:val="en-US" w:eastAsia="zh-CN"/>
              </w:rPr>
            </w:pPr>
            <w:r>
              <w:rPr>
                <w:rFonts w:hint="eastAsia" w:ascii="仿宋" w:hAnsi="仿宋" w:eastAsia="仿宋" w:cs="仿宋"/>
                <w:b w:val="0"/>
                <w:bCs w:val="0"/>
                <w:spacing w:val="-3"/>
                <w:sz w:val="24"/>
                <w:szCs w:val="24"/>
                <w:highlight w:val="none"/>
                <w:rtl w:val="0"/>
                <w:cs w:val="0"/>
                <w:lang w:val="en-US" w:eastAsia="zh-CN"/>
              </w:rPr>
              <w:t>2.内容有深度，理论+实践相结合（如提供真实且有教育意义的案例）。</w:t>
            </w:r>
          </w:p>
          <w:p w14:paraId="1F15CB7A">
            <w:pPr>
              <w:pStyle w:val="47"/>
              <w:keepNext w:val="0"/>
              <w:keepLines w:val="0"/>
              <w:numPr>
                <w:ilvl w:val="0"/>
                <w:numId w:val="0"/>
              </w:numPr>
              <w:suppressLineNumbers w:val="0"/>
              <w:spacing w:before="0" w:beforeAutospacing="0" w:after="0" w:afterAutospacing="0" w:line="240" w:lineRule="auto"/>
              <w:ind w:left="0" w:leftChars="0" w:right="0"/>
              <w:rPr>
                <w:rFonts w:hint="default" w:ascii="仿宋" w:hAnsi="仿宋" w:eastAsia="仿宋" w:cs="仿宋"/>
                <w:b w:val="0"/>
                <w:bCs w:val="0"/>
                <w:spacing w:val="-3"/>
                <w:sz w:val="24"/>
                <w:szCs w:val="24"/>
                <w:highlight w:val="none"/>
                <w:rtl w:val="0"/>
                <w:cs w:val="0"/>
                <w:lang w:val="en-US" w:eastAsia="zh-CN"/>
              </w:rPr>
            </w:pPr>
            <w:r>
              <w:rPr>
                <w:rFonts w:hint="eastAsia" w:ascii="仿宋" w:hAnsi="仿宋" w:eastAsia="仿宋" w:cs="仿宋"/>
                <w:b w:val="0"/>
                <w:bCs w:val="0"/>
                <w:spacing w:val="-3"/>
                <w:sz w:val="24"/>
                <w:szCs w:val="24"/>
                <w:highlight w:val="none"/>
                <w:rtl w:val="0"/>
                <w:cs w:val="0"/>
                <w:lang w:val="en-US" w:eastAsia="zh-CN"/>
              </w:rPr>
              <w:t>3.授课资源丰富，并有辅助材料（PPT、代码库、数据集等）多语言支持（字幕、翻译资料）。</w:t>
            </w:r>
          </w:p>
          <w:p w14:paraId="75AA0119">
            <w:pPr>
              <w:pStyle w:val="47"/>
              <w:keepNext w:val="0"/>
              <w:keepLines w:val="0"/>
              <w:numPr>
                <w:ilvl w:val="0"/>
                <w:numId w:val="0"/>
              </w:numPr>
              <w:suppressLineNumbers w:val="0"/>
              <w:spacing w:before="0" w:beforeAutospacing="0" w:after="0" w:afterAutospacing="0" w:line="240" w:lineRule="auto"/>
              <w:ind w:left="0" w:leftChars="0" w:right="0"/>
              <w:rPr>
                <w:rFonts w:hint="default" w:ascii="仿宋" w:hAnsi="仿宋" w:eastAsia="仿宋" w:cs="仿宋"/>
                <w:b w:val="0"/>
                <w:bCs w:val="0"/>
                <w:spacing w:val="-3"/>
                <w:sz w:val="24"/>
                <w:szCs w:val="24"/>
                <w:highlight w:val="none"/>
                <w:rtl w:val="0"/>
                <w:cs w:val="0"/>
                <w:lang w:val="en-US" w:eastAsia="zh-CN"/>
              </w:rPr>
            </w:pPr>
            <w:r>
              <w:rPr>
                <w:rFonts w:hint="eastAsia" w:ascii="仿宋" w:hAnsi="仿宋" w:eastAsia="仿宋" w:cs="仿宋"/>
                <w:b w:val="0"/>
                <w:bCs w:val="0"/>
                <w:spacing w:val="-3"/>
                <w:sz w:val="24"/>
                <w:szCs w:val="24"/>
                <w:highlight w:val="none"/>
                <w:rtl w:val="0"/>
                <w:cs w:val="0"/>
                <w:lang w:val="en-US" w:eastAsia="zh-CN"/>
              </w:rPr>
              <w:t>以上</w:t>
            </w:r>
            <w:r>
              <w:rPr>
                <w:rFonts w:hint="default" w:ascii="仿宋" w:hAnsi="仿宋" w:eastAsia="仿宋" w:cs="仿宋"/>
                <w:b w:val="0"/>
                <w:bCs w:val="0"/>
                <w:spacing w:val="-3"/>
                <w:sz w:val="24"/>
                <w:szCs w:val="24"/>
                <w:highlight w:val="none"/>
                <w:rtl w:val="0"/>
                <w:cs w:val="0"/>
                <w:lang w:val="en-US" w:eastAsia="zh-CN"/>
              </w:rPr>
              <w:t>提供1项得</w:t>
            </w:r>
            <w:r>
              <w:rPr>
                <w:rFonts w:hint="eastAsia" w:ascii="仿宋" w:hAnsi="仿宋" w:eastAsia="仿宋" w:cs="仿宋"/>
                <w:b w:val="0"/>
                <w:bCs w:val="0"/>
                <w:spacing w:val="-3"/>
                <w:sz w:val="24"/>
                <w:szCs w:val="24"/>
                <w:highlight w:val="none"/>
                <w:rtl w:val="0"/>
                <w:cs w:val="0"/>
                <w:lang w:val="en-US" w:eastAsia="zh-CN"/>
              </w:rPr>
              <w:t>2</w:t>
            </w:r>
            <w:r>
              <w:rPr>
                <w:rFonts w:hint="default" w:ascii="仿宋" w:hAnsi="仿宋" w:eastAsia="仿宋" w:cs="仿宋"/>
                <w:b w:val="0"/>
                <w:bCs w:val="0"/>
                <w:spacing w:val="-3"/>
                <w:sz w:val="24"/>
                <w:szCs w:val="24"/>
                <w:highlight w:val="none"/>
                <w:rtl w:val="0"/>
                <w:cs w:val="0"/>
                <w:lang w:val="en-US" w:eastAsia="zh-CN"/>
              </w:rPr>
              <w:t>分，本项满分</w:t>
            </w:r>
            <w:r>
              <w:rPr>
                <w:rFonts w:hint="eastAsia" w:ascii="仿宋" w:hAnsi="仿宋" w:eastAsia="仿宋" w:cs="仿宋"/>
                <w:b w:val="0"/>
                <w:bCs w:val="0"/>
                <w:spacing w:val="-3"/>
                <w:sz w:val="24"/>
                <w:szCs w:val="24"/>
                <w:highlight w:val="none"/>
                <w:rtl w:val="0"/>
                <w:cs w:val="0"/>
                <w:lang w:val="en-US" w:eastAsia="zh-CN"/>
              </w:rPr>
              <w:t>6</w:t>
            </w:r>
            <w:r>
              <w:rPr>
                <w:rFonts w:hint="default" w:ascii="仿宋" w:hAnsi="仿宋" w:eastAsia="仿宋" w:cs="仿宋"/>
                <w:b w:val="0"/>
                <w:bCs w:val="0"/>
                <w:spacing w:val="-3"/>
                <w:sz w:val="24"/>
                <w:szCs w:val="24"/>
                <w:highlight w:val="none"/>
                <w:rtl w:val="0"/>
                <w:cs w:val="0"/>
                <w:lang w:val="en-US" w:eastAsia="zh-CN"/>
              </w:rPr>
              <w:t>分。未提供或不符合项目实际需求不得分。</w:t>
            </w:r>
          </w:p>
        </w:tc>
      </w:tr>
      <w:tr w14:paraId="497885D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362" w:hRule="atLeast"/>
          <w:jc w:val="center"/>
        </w:trPr>
        <w:tc>
          <w:tcPr>
            <w:tcW w:w="771" w:type="dxa"/>
            <w:tcBorders>
              <w:tl2br w:val="nil"/>
              <w:tr2bl w:val="nil"/>
            </w:tcBorders>
            <w:noWrap w:val="0"/>
            <w:vAlign w:val="center"/>
          </w:tcPr>
          <w:p w14:paraId="200DC5D3">
            <w:pPr>
              <w:spacing w:before="59" w:line="239" w:lineRule="auto"/>
              <w:jc w:val="center"/>
              <w:rPr>
                <w:rFonts w:hint="eastAsia" w:ascii="仿宋" w:hAnsi="仿宋" w:eastAsia="仿宋" w:cs="仿宋"/>
                <w:b w:val="0"/>
                <w:bCs w:val="0"/>
                <w:spacing w:val="-3"/>
                <w:sz w:val="24"/>
                <w:szCs w:val="24"/>
                <w:highlight w:val="none"/>
                <w:rtl w:val="0"/>
                <w:cs w:val="0"/>
                <w:lang w:val="en-US" w:eastAsia="zh-CN"/>
              </w:rPr>
            </w:pPr>
            <w:r>
              <w:rPr>
                <w:rFonts w:hint="eastAsia" w:ascii="仿宋" w:hAnsi="仿宋" w:eastAsia="仿宋" w:cs="仿宋"/>
                <w:b w:val="0"/>
                <w:bCs w:val="0"/>
                <w:spacing w:val="-3"/>
                <w:sz w:val="24"/>
                <w:szCs w:val="24"/>
                <w:highlight w:val="none"/>
                <w:rtl w:val="0"/>
                <w:cs w:val="0"/>
                <w:lang w:val="en-US" w:eastAsia="zh-CN"/>
              </w:rPr>
              <w:t>5</w:t>
            </w:r>
          </w:p>
        </w:tc>
        <w:tc>
          <w:tcPr>
            <w:tcW w:w="1295" w:type="dxa"/>
            <w:tcBorders>
              <w:tl2br w:val="nil"/>
              <w:tr2bl w:val="nil"/>
            </w:tcBorders>
            <w:noWrap w:val="0"/>
            <w:vAlign w:val="center"/>
          </w:tcPr>
          <w:p w14:paraId="7E0D04B9">
            <w:pPr>
              <w:spacing w:before="59" w:line="239" w:lineRule="auto"/>
              <w:jc w:val="center"/>
              <w:rPr>
                <w:rFonts w:hint="default" w:ascii="仿宋" w:hAnsi="仿宋" w:eastAsia="仿宋" w:cs="仿宋"/>
                <w:b w:val="0"/>
                <w:bCs w:val="0"/>
                <w:color w:val="auto"/>
                <w:spacing w:val="-3"/>
                <w:sz w:val="24"/>
                <w:szCs w:val="24"/>
                <w:highlight w:val="none"/>
                <w:rtl w:val="0"/>
                <w:cs w:val="0"/>
                <w:lang w:val="en-US" w:eastAsia="zh-CN"/>
              </w:rPr>
            </w:pPr>
            <w:r>
              <w:rPr>
                <w:rFonts w:hint="default" w:ascii="仿宋" w:hAnsi="仿宋" w:eastAsia="仿宋" w:cs="仿宋"/>
                <w:b w:val="0"/>
                <w:bCs w:val="0"/>
                <w:color w:val="auto"/>
                <w:spacing w:val="-3"/>
                <w:sz w:val="24"/>
                <w:szCs w:val="24"/>
                <w:highlight w:val="none"/>
                <w:rtl w:val="0"/>
                <w:cs w:val="0"/>
                <w:lang w:val="en-US" w:eastAsia="zh-CN"/>
              </w:rPr>
              <w:t>技术支持与体验</w:t>
            </w:r>
          </w:p>
        </w:tc>
        <w:tc>
          <w:tcPr>
            <w:tcW w:w="762" w:type="dxa"/>
            <w:tcBorders>
              <w:tl2br w:val="nil"/>
              <w:tr2bl w:val="nil"/>
            </w:tcBorders>
            <w:noWrap w:val="0"/>
            <w:vAlign w:val="center"/>
          </w:tcPr>
          <w:p w14:paraId="1EB1C848">
            <w:pPr>
              <w:spacing w:before="59" w:line="239" w:lineRule="auto"/>
              <w:jc w:val="center"/>
              <w:rPr>
                <w:rFonts w:hint="default" w:ascii="仿宋" w:hAnsi="仿宋" w:eastAsia="仿宋" w:cs="仿宋"/>
                <w:b w:val="0"/>
                <w:bCs w:val="0"/>
                <w:spacing w:val="-3"/>
                <w:sz w:val="24"/>
                <w:szCs w:val="24"/>
                <w:highlight w:val="none"/>
                <w:rtl w:val="0"/>
                <w:cs w:val="0"/>
                <w:lang w:val="en-US" w:eastAsia="zh-CN"/>
              </w:rPr>
            </w:pPr>
            <w:r>
              <w:rPr>
                <w:rFonts w:hint="eastAsia" w:ascii="仿宋" w:hAnsi="仿宋" w:eastAsia="仿宋" w:cs="仿宋"/>
                <w:b w:val="0"/>
                <w:bCs w:val="0"/>
                <w:spacing w:val="-3"/>
                <w:sz w:val="24"/>
                <w:szCs w:val="24"/>
                <w:highlight w:val="none"/>
                <w:rtl w:val="0"/>
                <w:cs w:val="0"/>
                <w:lang w:val="en-US" w:eastAsia="zh-CN"/>
              </w:rPr>
              <w:t>6分</w:t>
            </w:r>
          </w:p>
        </w:tc>
        <w:tc>
          <w:tcPr>
            <w:tcW w:w="6213" w:type="dxa"/>
            <w:tcBorders>
              <w:tl2br w:val="nil"/>
              <w:tr2bl w:val="nil"/>
            </w:tcBorders>
            <w:noWrap w:val="0"/>
            <w:vAlign w:val="center"/>
          </w:tcPr>
          <w:p w14:paraId="5B4D1A4D">
            <w:pPr>
              <w:pStyle w:val="47"/>
              <w:keepNext w:val="0"/>
              <w:keepLines w:val="0"/>
              <w:numPr>
                <w:ilvl w:val="0"/>
                <w:numId w:val="0"/>
              </w:numPr>
              <w:suppressLineNumbers w:val="0"/>
              <w:spacing w:before="0" w:beforeAutospacing="0" w:after="0" w:afterAutospacing="0" w:line="240" w:lineRule="auto"/>
              <w:ind w:left="0" w:leftChars="0" w:right="0"/>
              <w:rPr>
                <w:rFonts w:hint="eastAsia" w:ascii="仿宋" w:hAnsi="仿宋" w:eastAsia="仿宋" w:cs="仿宋"/>
                <w:b w:val="0"/>
                <w:bCs w:val="0"/>
                <w:spacing w:val="-3"/>
                <w:sz w:val="24"/>
                <w:szCs w:val="24"/>
                <w:highlight w:val="none"/>
                <w:rtl w:val="0"/>
                <w:cs w:val="0"/>
                <w:lang w:val="en-US" w:eastAsia="zh-CN"/>
              </w:rPr>
            </w:pPr>
            <w:r>
              <w:rPr>
                <w:rFonts w:hint="eastAsia" w:ascii="仿宋" w:hAnsi="仿宋" w:eastAsia="仿宋" w:cs="仿宋"/>
                <w:b w:val="0"/>
                <w:bCs w:val="0"/>
                <w:spacing w:val="-3"/>
                <w:sz w:val="24"/>
                <w:szCs w:val="24"/>
                <w:highlight w:val="none"/>
                <w:rtl w:val="0"/>
                <w:cs w:val="0"/>
                <w:lang w:val="en-US" w:eastAsia="zh-CN"/>
              </w:rPr>
              <w:t>为了满足需求参数要求供应商因该从平台稳定性、交互功能、从无障碍设计方面展开</w:t>
            </w:r>
          </w:p>
          <w:p w14:paraId="21D10667">
            <w:pPr>
              <w:pStyle w:val="47"/>
              <w:keepNext w:val="0"/>
              <w:keepLines w:val="0"/>
              <w:numPr>
                <w:ilvl w:val="0"/>
                <w:numId w:val="0"/>
              </w:numPr>
              <w:suppressLineNumbers w:val="0"/>
              <w:spacing w:before="0" w:beforeAutospacing="0" w:after="0" w:afterAutospacing="0" w:line="240" w:lineRule="auto"/>
              <w:ind w:left="0" w:leftChars="0" w:right="0"/>
              <w:rPr>
                <w:rFonts w:hint="eastAsia" w:ascii="仿宋" w:hAnsi="仿宋" w:eastAsia="仿宋" w:cs="仿宋"/>
                <w:b w:val="0"/>
                <w:bCs w:val="0"/>
                <w:spacing w:val="-3"/>
                <w:sz w:val="24"/>
                <w:szCs w:val="24"/>
                <w:highlight w:val="none"/>
                <w:rtl w:val="0"/>
                <w:cs w:val="0"/>
                <w:lang w:val="en-US" w:eastAsia="zh-CN"/>
              </w:rPr>
            </w:pPr>
            <w:r>
              <w:rPr>
                <w:rFonts w:hint="eastAsia" w:ascii="仿宋" w:hAnsi="仿宋" w:eastAsia="仿宋" w:cs="仿宋"/>
                <w:b w:val="0"/>
                <w:bCs w:val="0"/>
                <w:spacing w:val="-3"/>
                <w:sz w:val="24"/>
                <w:szCs w:val="24"/>
                <w:highlight w:val="none"/>
                <w:rtl w:val="0"/>
                <w:cs w:val="0"/>
                <w:lang w:val="en-US" w:eastAsia="zh-CN"/>
              </w:rPr>
              <w:t>1、</w:t>
            </w:r>
            <w:r>
              <w:rPr>
                <w:rFonts w:hint="default" w:ascii="仿宋" w:hAnsi="仿宋" w:eastAsia="仿宋" w:cs="仿宋"/>
                <w:b w:val="0"/>
                <w:bCs w:val="0"/>
                <w:spacing w:val="-3"/>
                <w:sz w:val="24"/>
                <w:szCs w:val="24"/>
                <w:highlight w:val="none"/>
                <w:rtl w:val="0"/>
                <w:cs w:val="0"/>
                <w:lang w:val="en-US" w:eastAsia="zh-CN"/>
              </w:rPr>
              <w:t>平台稳定性</w:t>
            </w:r>
            <w:r>
              <w:rPr>
                <w:rFonts w:hint="eastAsia" w:ascii="仿宋" w:hAnsi="仿宋" w:eastAsia="仿宋" w:cs="仿宋"/>
                <w:b w:val="0"/>
                <w:bCs w:val="0"/>
                <w:spacing w:val="-3"/>
                <w:sz w:val="24"/>
                <w:szCs w:val="24"/>
                <w:highlight w:val="none"/>
                <w:rtl w:val="0"/>
                <w:cs w:val="0"/>
                <w:lang w:val="en-US" w:eastAsia="zh-CN"/>
              </w:rPr>
              <w:t>：视频加载流畅度无卡顿、在高峰期时服务器负载能力、移动端适配（APP或网页响应速度）。</w:t>
            </w:r>
          </w:p>
          <w:p w14:paraId="521AEC1D">
            <w:pPr>
              <w:pStyle w:val="47"/>
              <w:keepNext w:val="0"/>
              <w:keepLines w:val="0"/>
              <w:numPr>
                <w:ilvl w:val="0"/>
                <w:numId w:val="0"/>
              </w:numPr>
              <w:suppressLineNumbers w:val="0"/>
              <w:spacing w:before="0" w:beforeAutospacing="0" w:after="0" w:afterAutospacing="0" w:line="240" w:lineRule="auto"/>
              <w:ind w:left="0" w:leftChars="0" w:right="0"/>
              <w:rPr>
                <w:rFonts w:hint="eastAsia" w:ascii="仿宋" w:hAnsi="仿宋" w:eastAsia="仿宋" w:cs="仿宋"/>
                <w:b w:val="0"/>
                <w:bCs w:val="0"/>
                <w:spacing w:val="-3"/>
                <w:sz w:val="24"/>
                <w:szCs w:val="24"/>
                <w:highlight w:val="none"/>
                <w:rtl w:val="0"/>
                <w:cs w:val="0"/>
                <w:lang w:val="en-US" w:eastAsia="zh-CN"/>
              </w:rPr>
            </w:pPr>
            <w:r>
              <w:rPr>
                <w:rFonts w:hint="eastAsia" w:ascii="仿宋" w:hAnsi="仿宋" w:eastAsia="仿宋" w:cs="仿宋"/>
                <w:b w:val="0"/>
                <w:bCs w:val="0"/>
                <w:spacing w:val="-3"/>
                <w:sz w:val="24"/>
                <w:szCs w:val="24"/>
                <w:highlight w:val="none"/>
                <w:rtl w:val="0"/>
                <w:cs w:val="0"/>
                <w:lang w:val="en-US" w:eastAsia="zh-CN"/>
              </w:rPr>
              <w:t>2、交互功能：是否支持笔记功能、进度跟踪、学习提醒；虚拟实验或模拟工具（如编程环境、3D模型）。</w:t>
            </w:r>
          </w:p>
          <w:p w14:paraId="28884842">
            <w:pPr>
              <w:pStyle w:val="47"/>
              <w:keepNext w:val="0"/>
              <w:keepLines w:val="0"/>
              <w:numPr>
                <w:ilvl w:val="0"/>
                <w:numId w:val="0"/>
              </w:numPr>
              <w:suppressLineNumbers w:val="0"/>
              <w:spacing w:before="0" w:beforeAutospacing="0" w:after="0" w:afterAutospacing="0" w:line="240" w:lineRule="auto"/>
              <w:ind w:left="0" w:leftChars="0" w:right="0"/>
              <w:rPr>
                <w:rFonts w:hint="default" w:ascii="仿宋" w:hAnsi="仿宋" w:eastAsia="仿宋" w:cs="仿宋"/>
                <w:b w:val="0"/>
                <w:bCs w:val="0"/>
                <w:spacing w:val="-3"/>
                <w:sz w:val="24"/>
                <w:szCs w:val="24"/>
                <w:highlight w:val="none"/>
                <w:rtl w:val="0"/>
                <w:cs w:val="0"/>
                <w:lang w:val="en-US" w:eastAsia="zh-CN"/>
              </w:rPr>
            </w:pPr>
            <w:r>
              <w:rPr>
                <w:rFonts w:hint="eastAsia" w:ascii="仿宋" w:hAnsi="仿宋" w:eastAsia="仿宋" w:cs="仿宋"/>
                <w:b w:val="0"/>
                <w:bCs w:val="0"/>
                <w:spacing w:val="-3"/>
                <w:sz w:val="24"/>
                <w:szCs w:val="24"/>
                <w:highlight w:val="none"/>
                <w:rtl w:val="0"/>
                <w:cs w:val="0"/>
                <w:lang w:val="en-US" w:eastAsia="zh-CN"/>
              </w:rPr>
              <w:t>以上要求提供的完整、切合要求的得6分，提供不全或偏离要求的3分，不提供不得分</w:t>
            </w:r>
          </w:p>
        </w:tc>
      </w:tr>
      <w:tr w14:paraId="0B1A7C9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98" w:hRule="atLeast"/>
          <w:jc w:val="center"/>
        </w:trPr>
        <w:tc>
          <w:tcPr>
            <w:tcW w:w="771" w:type="dxa"/>
            <w:tcBorders>
              <w:tl2br w:val="nil"/>
              <w:tr2bl w:val="nil"/>
            </w:tcBorders>
            <w:noWrap w:val="0"/>
            <w:vAlign w:val="center"/>
          </w:tcPr>
          <w:p w14:paraId="0B5C573C">
            <w:pPr>
              <w:spacing w:before="59" w:line="239" w:lineRule="auto"/>
              <w:jc w:val="center"/>
              <w:rPr>
                <w:rFonts w:hint="default" w:ascii="仿宋" w:hAnsi="仿宋" w:eastAsia="仿宋" w:cs="仿宋"/>
                <w:b w:val="0"/>
                <w:bCs w:val="0"/>
                <w:spacing w:val="-3"/>
                <w:sz w:val="24"/>
                <w:szCs w:val="24"/>
                <w:highlight w:val="none"/>
                <w:rtl w:val="0"/>
                <w:cs w:val="0"/>
                <w:lang w:val="en-US" w:eastAsia="zh-CN"/>
              </w:rPr>
            </w:pPr>
            <w:r>
              <w:rPr>
                <w:rFonts w:hint="eastAsia" w:ascii="仿宋" w:hAnsi="仿宋" w:eastAsia="仿宋" w:cs="仿宋"/>
                <w:b w:val="0"/>
                <w:bCs w:val="0"/>
                <w:spacing w:val="-3"/>
                <w:sz w:val="24"/>
                <w:szCs w:val="24"/>
                <w:highlight w:val="none"/>
                <w:rtl w:val="0"/>
                <w:cs w:val="0"/>
                <w:lang w:val="en-US" w:eastAsia="zh-CN"/>
              </w:rPr>
              <w:t>6</w:t>
            </w:r>
          </w:p>
        </w:tc>
        <w:tc>
          <w:tcPr>
            <w:tcW w:w="1295" w:type="dxa"/>
            <w:tcBorders>
              <w:tl2br w:val="nil"/>
              <w:tr2bl w:val="nil"/>
            </w:tcBorders>
            <w:noWrap w:val="0"/>
            <w:vAlign w:val="center"/>
          </w:tcPr>
          <w:p w14:paraId="4E1B649D">
            <w:pPr>
              <w:spacing w:before="59" w:line="239" w:lineRule="auto"/>
              <w:jc w:val="center"/>
              <w:rPr>
                <w:rFonts w:hint="eastAsia" w:ascii="仿宋" w:hAnsi="仿宋" w:eastAsia="仿宋" w:cs="仿宋"/>
                <w:b w:val="0"/>
                <w:bCs w:val="0"/>
                <w:color w:val="auto"/>
                <w:spacing w:val="-3"/>
                <w:sz w:val="24"/>
                <w:szCs w:val="24"/>
                <w:highlight w:val="none"/>
                <w:rtl w:val="0"/>
                <w:cs w:val="0"/>
                <w:lang w:val="en-US" w:eastAsia="zh-CN"/>
              </w:rPr>
            </w:pPr>
            <w:r>
              <w:rPr>
                <w:rFonts w:hint="eastAsia" w:ascii="仿宋" w:hAnsi="仿宋" w:eastAsia="仿宋" w:cs="仿宋"/>
                <w:b w:val="0"/>
                <w:bCs w:val="0"/>
                <w:color w:val="auto"/>
                <w:spacing w:val="-3"/>
                <w:sz w:val="24"/>
                <w:szCs w:val="24"/>
                <w:highlight w:val="none"/>
                <w:rtl w:val="0"/>
                <w:cs w:val="0"/>
                <w:lang w:val="en-US" w:eastAsia="zh-CN"/>
              </w:rPr>
              <w:t>课程建设整体设计、制作方案</w:t>
            </w:r>
          </w:p>
        </w:tc>
        <w:tc>
          <w:tcPr>
            <w:tcW w:w="762" w:type="dxa"/>
            <w:tcBorders>
              <w:tl2br w:val="nil"/>
              <w:tr2bl w:val="nil"/>
            </w:tcBorders>
            <w:noWrap w:val="0"/>
            <w:vAlign w:val="center"/>
          </w:tcPr>
          <w:p w14:paraId="2649719B">
            <w:pPr>
              <w:spacing w:before="59" w:line="239" w:lineRule="auto"/>
              <w:jc w:val="center"/>
              <w:rPr>
                <w:rFonts w:hint="default" w:ascii="仿宋" w:hAnsi="仿宋" w:eastAsia="仿宋" w:cs="仿宋"/>
                <w:b w:val="0"/>
                <w:bCs w:val="0"/>
                <w:spacing w:val="-3"/>
                <w:sz w:val="24"/>
                <w:szCs w:val="24"/>
                <w:highlight w:val="none"/>
                <w:rtl w:val="0"/>
                <w:cs w:val="0"/>
                <w:lang w:val="en-US" w:eastAsia="zh-CN"/>
              </w:rPr>
            </w:pPr>
            <w:r>
              <w:rPr>
                <w:rFonts w:hint="eastAsia" w:ascii="仿宋" w:hAnsi="仿宋" w:eastAsia="仿宋" w:cs="仿宋"/>
                <w:b w:val="0"/>
                <w:bCs w:val="0"/>
                <w:spacing w:val="-3"/>
                <w:sz w:val="24"/>
                <w:szCs w:val="24"/>
                <w:highlight w:val="none"/>
                <w:rtl w:val="0"/>
                <w:cs w:val="0"/>
                <w:lang w:val="en-US" w:eastAsia="zh-CN"/>
              </w:rPr>
              <w:t>7分</w:t>
            </w:r>
          </w:p>
        </w:tc>
        <w:tc>
          <w:tcPr>
            <w:tcW w:w="6213" w:type="dxa"/>
            <w:tcBorders>
              <w:tl2br w:val="nil"/>
              <w:tr2bl w:val="nil"/>
            </w:tcBorders>
            <w:noWrap w:val="0"/>
            <w:vAlign w:val="center"/>
          </w:tcPr>
          <w:p w14:paraId="6BF09F01">
            <w:pPr>
              <w:pStyle w:val="47"/>
              <w:keepNext w:val="0"/>
              <w:keepLines w:val="0"/>
              <w:numPr>
                <w:ilvl w:val="0"/>
                <w:numId w:val="0"/>
              </w:numPr>
              <w:suppressLineNumbers w:val="0"/>
              <w:spacing w:before="0" w:beforeAutospacing="0" w:after="0" w:afterAutospacing="0" w:line="240" w:lineRule="auto"/>
              <w:ind w:right="0" w:rightChars="0"/>
              <w:rPr>
                <w:rFonts w:hint="default" w:ascii="仿宋" w:hAnsi="仿宋" w:eastAsia="仿宋" w:cs="仿宋"/>
                <w:b w:val="0"/>
                <w:bCs w:val="0"/>
                <w:spacing w:val="-3"/>
                <w:sz w:val="24"/>
                <w:szCs w:val="24"/>
                <w:highlight w:val="none"/>
                <w:rtl w:val="0"/>
                <w:cs w:val="0"/>
                <w:lang w:val="en-US" w:eastAsia="zh-CN"/>
              </w:rPr>
            </w:pPr>
            <w:r>
              <w:rPr>
                <w:rFonts w:hint="default" w:ascii="仿宋" w:hAnsi="仿宋" w:eastAsia="仿宋" w:cs="仿宋"/>
                <w:b w:val="0"/>
                <w:bCs w:val="0"/>
                <w:spacing w:val="-3"/>
                <w:sz w:val="24"/>
                <w:szCs w:val="24"/>
                <w:highlight w:val="none"/>
                <w:rtl w:val="0"/>
                <w:cs w:val="0"/>
                <w:lang w:val="en-US" w:eastAsia="zh-CN"/>
              </w:rPr>
              <w:t>供应商针对本项目采购需求所提供的课程设计方案（</w:t>
            </w:r>
            <w:r>
              <w:rPr>
                <w:rFonts w:hint="eastAsia" w:ascii="仿宋" w:hAnsi="仿宋" w:eastAsia="仿宋" w:cs="仿宋"/>
                <w:b w:val="0"/>
                <w:bCs w:val="0"/>
                <w:spacing w:val="-3"/>
                <w:sz w:val="24"/>
                <w:szCs w:val="24"/>
                <w:highlight w:val="none"/>
                <w:rtl w:val="0"/>
                <w:cs w:val="0"/>
                <w:lang w:val="en-US" w:eastAsia="zh-CN"/>
              </w:rPr>
              <w:t>包括但不限于</w:t>
            </w:r>
            <w:r>
              <w:rPr>
                <w:rFonts w:hint="default" w:ascii="仿宋" w:hAnsi="仿宋" w:eastAsia="仿宋" w:cs="仿宋"/>
                <w:b w:val="0"/>
                <w:bCs w:val="0"/>
                <w:spacing w:val="-3"/>
                <w:sz w:val="24"/>
                <w:szCs w:val="24"/>
                <w:highlight w:val="none"/>
                <w:rtl w:val="0"/>
                <w:cs w:val="0"/>
                <w:lang w:val="en-US" w:eastAsia="zh-CN"/>
              </w:rPr>
              <w:t>课程背景、课程目标、课程内容与学时分配、课程结构、开发计划表、实施风险控制等内容）。提供的课程设计方案示例结构清晰、内容丰富、形式 新颖，完全符合项目需求得</w:t>
            </w:r>
            <w:r>
              <w:rPr>
                <w:rFonts w:hint="eastAsia" w:ascii="仿宋" w:hAnsi="仿宋" w:eastAsia="仿宋" w:cs="仿宋"/>
                <w:b w:val="0"/>
                <w:bCs w:val="0"/>
                <w:spacing w:val="-3"/>
                <w:sz w:val="24"/>
                <w:szCs w:val="24"/>
                <w:highlight w:val="none"/>
                <w:rtl w:val="0"/>
                <w:cs w:val="0"/>
                <w:lang w:val="en-US" w:eastAsia="zh-CN"/>
              </w:rPr>
              <w:t>7</w:t>
            </w:r>
            <w:r>
              <w:rPr>
                <w:rFonts w:hint="default" w:ascii="仿宋" w:hAnsi="仿宋" w:eastAsia="仿宋" w:cs="仿宋"/>
                <w:b w:val="0"/>
                <w:bCs w:val="0"/>
                <w:spacing w:val="-3"/>
                <w:sz w:val="24"/>
                <w:szCs w:val="24"/>
                <w:highlight w:val="none"/>
                <w:rtl w:val="0"/>
                <w:cs w:val="0"/>
                <w:lang w:val="en-US" w:eastAsia="zh-CN"/>
              </w:rPr>
              <w:t>分；提供的课程设计方案示例结构一般、内容一般、形式 一般，仅部分符合项目需求得</w:t>
            </w:r>
            <w:r>
              <w:rPr>
                <w:rFonts w:hint="eastAsia" w:ascii="仿宋" w:hAnsi="仿宋" w:eastAsia="仿宋" w:cs="仿宋"/>
                <w:b w:val="0"/>
                <w:bCs w:val="0"/>
                <w:spacing w:val="-3"/>
                <w:sz w:val="24"/>
                <w:szCs w:val="24"/>
                <w:highlight w:val="none"/>
                <w:rtl w:val="0"/>
                <w:cs w:val="0"/>
                <w:lang w:val="en-US" w:eastAsia="zh-CN"/>
              </w:rPr>
              <w:t>4</w:t>
            </w:r>
            <w:r>
              <w:rPr>
                <w:rFonts w:hint="default" w:ascii="仿宋" w:hAnsi="仿宋" w:eastAsia="仿宋" w:cs="仿宋"/>
                <w:b w:val="0"/>
                <w:bCs w:val="0"/>
                <w:spacing w:val="-3"/>
                <w:sz w:val="24"/>
                <w:szCs w:val="24"/>
                <w:highlight w:val="none"/>
                <w:rtl w:val="0"/>
                <w:cs w:val="0"/>
                <w:lang w:val="en-US" w:eastAsia="zh-CN"/>
              </w:rPr>
              <w:t>分；未提供或提供方案与本项目无关的，得0分。</w:t>
            </w:r>
          </w:p>
        </w:tc>
      </w:tr>
      <w:tr w14:paraId="5C94926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96" w:hRule="atLeast"/>
          <w:jc w:val="center"/>
        </w:trPr>
        <w:tc>
          <w:tcPr>
            <w:tcW w:w="771" w:type="dxa"/>
            <w:tcBorders>
              <w:tl2br w:val="nil"/>
              <w:tr2bl w:val="nil"/>
            </w:tcBorders>
            <w:noWrap w:val="0"/>
            <w:vAlign w:val="center"/>
          </w:tcPr>
          <w:p w14:paraId="53E1F427">
            <w:pPr>
              <w:spacing w:before="59" w:line="239" w:lineRule="auto"/>
              <w:jc w:val="center"/>
              <w:rPr>
                <w:rFonts w:hint="default" w:ascii="仿宋" w:hAnsi="仿宋" w:eastAsia="仿宋" w:cs="仿宋"/>
                <w:b w:val="0"/>
                <w:bCs w:val="0"/>
                <w:spacing w:val="-3"/>
                <w:sz w:val="24"/>
                <w:szCs w:val="24"/>
                <w:highlight w:val="none"/>
                <w:rtl w:val="0"/>
                <w:cs w:val="0"/>
                <w:lang w:val="en-US" w:eastAsia="zh-CN"/>
              </w:rPr>
            </w:pPr>
            <w:r>
              <w:rPr>
                <w:rFonts w:hint="eastAsia" w:ascii="仿宋" w:hAnsi="仿宋" w:eastAsia="仿宋" w:cs="仿宋"/>
                <w:b w:val="0"/>
                <w:bCs w:val="0"/>
                <w:spacing w:val="-3"/>
                <w:sz w:val="24"/>
                <w:szCs w:val="24"/>
                <w:highlight w:val="none"/>
                <w:rtl w:val="0"/>
                <w:cs w:val="0"/>
                <w:lang w:val="en-US" w:eastAsia="zh-CN"/>
              </w:rPr>
              <w:t>7</w:t>
            </w:r>
          </w:p>
        </w:tc>
        <w:tc>
          <w:tcPr>
            <w:tcW w:w="1295" w:type="dxa"/>
            <w:tcBorders>
              <w:tl2br w:val="nil"/>
              <w:tr2bl w:val="nil"/>
            </w:tcBorders>
            <w:noWrap w:val="0"/>
            <w:vAlign w:val="center"/>
          </w:tcPr>
          <w:p w14:paraId="0A215958">
            <w:pPr>
              <w:spacing w:before="59" w:line="239" w:lineRule="auto"/>
              <w:jc w:val="center"/>
              <w:rPr>
                <w:rFonts w:hint="default" w:ascii="仿宋" w:hAnsi="仿宋" w:eastAsia="仿宋" w:cs="仿宋"/>
                <w:b w:val="0"/>
                <w:bCs w:val="0"/>
                <w:spacing w:val="-3"/>
                <w:sz w:val="24"/>
                <w:szCs w:val="24"/>
                <w:highlight w:val="none"/>
                <w:rtl w:val="0"/>
                <w:cs w:val="0"/>
                <w:lang w:val="en-US" w:eastAsia="zh-CN"/>
              </w:rPr>
            </w:pPr>
            <w:r>
              <w:rPr>
                <w:rFonts w:hint="default" w:ascii="仿宋" w:hAnsi="仿宋" w:eastAsia="仿宋" w:cs="仿宋"/>
                <w:b w:val="0"/>
                <w:bCs w:val="0"/>
                <w:color w:val="auto"/>
                <w:spacing w:val="-3"/>
                <w:sz w:val="24"/>
                <w:szCs w:val="24"/>
                <w:highlight w:val="none"/>
                <w:rtl w:val="0"/>
                <w:cs w:val="0"/>
                <w:lang w:val="en-US" w:eastAsia="zh-CN"/>
              </w:rPr>
              <w:t>售后服务</w:t>
            </w:r>
          </w:p>
        </w:tc>
        <w:tc>
          <w:tcPr>
            <w:tcW w:w="762" w:type="dxa"/>
            <w:tcBorders>
              <w:tl2br w:val="nil"/>
              <w:tr2bl w:val="nil"/>
            </w:tcBorders>
            <w:noWrap w:val="0"/>
            <w:vAlign w:val="center"/>
          </w:tcPr>
          <w:p w14:paraId="503E7D92">
            <w:pPr>
              <w:spacing w:before="59" w:line="239" w:lineRule="auto"/>
              <w:jc w:val="center"/>
              <w:rPr>
                <w:rFonts w:hint="default" w:ascii="仿宋" w:hAnsi="仿宋" w:eastAsia="仿宋" w:cs="仿宋"/>
                <w:b w:val="0"/>
                <w:bCs w:val="0"/>
                <w:spacing w:val="-3"/>
                <w:sz w:val="24"/>
                <w:szCs w:val="24"/>
                <w:highlight w:val="none"/>
                <w:rtl w:val="0"/>
                <w:cs w:val="0"/>
                <w:lang w:val="en-US" w:eastAsia="zh-CN"/>
              </w:rPr>
            </w:pPr>
            <w:r>
              <w:rPr>
                <w:rFonts w:hint="eastAsia" w:ascii="仿宋" w:hAnsi="仿宋" w:eastAsia="仿宋" w:cs="仿宋"/>
                <w:b w:val="0"/>
                <w:bCs w:val="0"/>
                <w:spacing w:val="-3"/>
                <w:sz w:val="24"/>
                <w:szCs w:val="24"/>
                <w:highlight w:val="none"/>
                <w:rtl w:val="0"/>
                <w:cs w:val="0"/>
                <w:lang w:val="en-US" w:eastAsia="zh-CN"/>
              </w:rPr>
              <w:t>4</w:t>
            </w:r>
            <w:r>
              <w:rPr>
                <w:rFonts w:hint="default" w:ascii="仿宋" w:hAnsi="仿宋" w:eastAsia="仿宋" w:cs="仿宋"/>
                <w:b w:val="0"/>
                <w:bCs w:val="0"/>
                <w:spacing w:val="-3"/>
                <w:sz w:val="24"/>
                <w:szCs w:val="24"/>
                <w:highlight w:val="none"/>
                <w:rtl w:val="0"/>
                <w:cs w:val="0"/>
                <w:lang w:val="en-US" w:eastAsia="zh-CN"/>
              </w:rPr>
              <w:t>分</w:t>
            </w:r>
          </w:p>
        </w:tc>
        <w:tc>
          <w:tcPr>
            <w:tcW w:w="6213" w:type="dxa"/>
            <w:tcBorders>
              <w:tl2br w:val="nil"/>
              <w:tr2bl w:val="nil"/>
            </w:tcBorders>
            <w:noWrap w:val="0"/>
            <w:vAlign w:val="center"/>
          </w:tcPr>
          <w:p w14:paraId="4F201A0D">
            <w:pPr>
              <w:spacing w:before="59" w:line="240" w:lineRule="auto"/>
              <w:jc w:val="both"/>
              <w:rPr>
                <w:rFonts w:hint="default" w:ascii="仿宋" w:hAnsi="仿宋" w:eastAsia="仿宋" w:cs="仿宋"/>
                <w:b w:val="0"/>
                <w:bCs w:val="0"/>
                <w:spacing w:val="-3"/>
                <w:sz w:val="24"/>
                <w:szCs w:val="24"/>
                <w:highlight w:val="none"/>
                <w:rtl w:val="0"/>
                <w:cs w:val="0"/>
                <w:lang w:val="en-US" w:eastAsia="zh-CN"/>
              </w:rPr>
            </w:pPr>
            <w:r>
              <w:rPr>
                <w:rFonts w:hint="default" w:ascii="仿宋" w:hAnsi="仿宋" w:eastAsia="仿宋" w:cs="仿宋"/>
                <w:b w:val="0"/>
                <w:bCs w:val="0"/>
                <w:spacing w:val="-3"/>
                <w:sz w:val="24"/>
                <w:szCs w:val="24"/>
                <w:highlight w:val="none"/>
                <w:rtl w:val="0"/>
                <w:cs w:val="0"/>
                <w:lang w:val="en-US" w:eastAsia="zh-CN"/>
              </w:rPr>
              <w:t>1、根据供应商的质保承诺、售后服务体系、服务情况等，有后续功能定制开发的技术能力，参考其它相关行业功能并能够提出建设性建议，提供长期良好的本地化服务保障（提供本地化服务承诺书）。根据所提供内容评分，分以下三档打分：完全满足本项目采购需求得</w:t>
            </w:r>
            <w:r>
              <w:rPr>
                <w:rFonts w:hint="eastAsia" w:ascii="仿宋" w:hAnsi="仿宋" w:eastAsia="仿宋" w:cs="仿宋"/>
                <w:b w:val="0"/>
                <w:bCs w:val="0"/>
                <w:spacing w:val="-3"/>
                <w:sz w:val="24"/>
                <w:szCs w:val="24"/>
                <w:highlight w:val="none"/>
                <w:rtl w:val="0"/>
                <w:cs w:val="0"/>
                <w:lang w:val="en-US" w:eastAsia="zh-CN"/>
              </w:rPr>
              <w:t>4</w:t>
            </w:r>
            <w:r>
              <w:rPr>
                <w:rFonts w:hint="default" w:ascii="仿宋" w:hAnsi="仿宋" w:eastAsia="仿宋" w:cs="仿宋"/>
                <w:b w:val="0"/>
                <w:bCs w:val="0"/>
                <w:spacing w:val="-3"/>
                <w:sz w:val="24"/>
                <w:szCs w:val="24"/>
                <w:highlight w:val="none"/>
                <w:rtl w:val="0"/>
                <w:cs w:val="0"/>
                <w:lang w:val="en-US" w:eastAsia="zh-CN"/>
              </w:rPr>
              <w:t>分；不满足本项目采购需求得0分。</w:t>
            </w:r>
          </w:p>
        </w:tc>
      </w:tr>
      <w:tr w14:paraId="6612961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342" w:hRule="atLeast"/>
          <w:jc w:val="center"/>
        </w:trPr>
        <w:tc>
          <w:tcPr>
            <w:tcW w:w="771" w:type="dxa"/>
            <w:tcBorders>
              <w:tl2br w:val="nil"/>
              <w:tr2bl w:val="nil"/>
            </w:tcBorders>
            <w:noWrap w:val="0"/>
            <w:vAlign w:val="center"/>
          </w:tcPr>
          <w:p w14:paraId="3870D11B">
            <w:pPr>
              <w:spacing w:before="59" w:line="239" w:lineRule="auto"/>
              <w:jc w:val="center"/>
              <w:rPr>
                <w:rFonts w:hint="default" w:ascii="仿宋" w:hAnsi="仿宋" w:eastAsia="仿宋" w:cs="仿宋"/>
                <w:b w:val="0"/>
                <w:bCs w:val="0"/>
                <w:spacing w:val="-3"/>
                <w:sz w:val="24"/>
                <w:szCs w:val="24"/>
                <w:highlight w:val="none"/>
                <w:rtl w:val="0"/>
                <w:cs w:val="0"/>
                <w:lang w:val="en-US" w:eastAsia="zh-CN"/>
              </w:rPr>
            </w:pPr>
            <w:r>
              <w:rPr>
                <w:rFonts w:hint="eastAsia" w:ascii="仿宋" w:hAnsi="仿宋" w:eastAsia="仿宋" w:cs="仿宋"/>
                <w:b w:val="0"/>
                <w:bCs w:val="0"/>
                <w:spacing w:val="-3"/>
                <w:sz w:val="24"/>
                <w:szCs w:val="24"/>
                <w:highlight w:val="none"/>
                <w:rtl w:val="0"/>
                <w:cs w:val="0"/>
                <w:lang w:val="en-US" w:eastAsia="zh-CN"/>
              </w:rPr>
              <w:t>8</w:t>
            </w:r>
          </w:p>
        </w:tc>
        <w:tc>
          <w:tcPr>
            <w:tcW w:w="1295" w:type="dxa"/>
            <w:tcBorders>
              <w:tl2br w:val="nil"/>
              <w:tr2bl w:val="nil"/>
            </w:tcBorders>
            <w:noWrap w:val="0"/>
            <w:vAlign w:val="center"/>
          </w:tcPr>
          <w:p w14:paraId="6C73D7D0">
            <w:pPr>
              <w:spacing w:before="59" w:line="239" w:lineRule="auto"/>
              <w:jc w:val="center"/>
              <w:rPr>
                <w:rFonts w:hint="default" w:ascii="仿宋" w:hAnsi="仿宋" w:eastAsia="仿宋" w:cs="仿宋"/>
                <w:b w:val="0"/>
                <w:bCs w:val="0"/>
                <w:spacing w:val="-3"/>
                <w:sz w:val="24"/>
                <w:szCs w:val="24"/>
                <w:highlight w:val="none"/>
                <w:rtl w:val="0"/>
                <w:cs w:val="0"/>
                <w:lang w:val="en-US" w:eastAsia="zh-CN"/>
              </w:rPr>
            </w:pPr>
            <w:r>
              <w:rPr>
                <w:rFonts w:hint="default" w:ascii="仿宋" w:hAnsi="仿宋" w:eastAsia="仿宋" w:cs="仿宋"/>
                <w:b w:val="0"/>
                <w:bCs w:val="0"/>
                <w:spacing w:val="-3"/>
                <w:sz w:val="24"/>
                <w:szCs w:val="24"/>
                <w:highlight w:val="none"/>
                <w:rtl w:val="0"/>
                <w:cs w:val="0"/>
                <w:lang w:val="en-US" w:eastAsia="zh-CN"/>
              </w:rPr>
              <w:t>服务承诺</w:t>
            </w:r>
          </w:p>
        </w:tc>
        <w:tc>
          <w:tcPr>
            <w:tcW w:w="762" w:type="dxa"/>
            <w:tcBorders>
              <w:tl2br w:val="nil"/>
              <w:tr2bl w:val="nil"/>
            </w:tcBorders>
            <w:noWrap w:val="0"/>
            <w:vAlign w:val="center"/>
          </w:tcPr>
          <w:p w14:paraId="7E50E0F4">
            <w:pPr>
              <w:spacing w:before="59" w:line="239" w:lineRule="auto"/>
              <w:jc w:val="center"/>
              <w:rPr>
                <w:rFonts w:hint="default" w:ascii="仿宋" w:hAnsi="仿宋" w:eastAsia="仿宋" w:cs="仿宋"/>
                <w:b w:val="0"/>
                <w:bCs w:val="0"/>
                <w:spacing w:val="-3"/>
                <w:sz w:val="24"/>
                <w:szCs w:val="24"/>
                <w:highlight w:val="none"/>
                <w:rtl w:val="0"/>
                <w:cs w:val="0"/>
                <w:lang w:val="en-US" w:eastAsia="zh-CN"/>
              </w:rPr>
            </w:pPr>
            <w:r>
              <w:rPr>
                <w:rFonts w:hint="eastAsia" w:ascii="仿宋" w:hAnsi="仿宋" w:eastAsia="仿宋" w:cs="仿宋"/>
                <w:b w:val="0"/>
                <w:bCs w:val="0"/>
                <w:spacing w:val="-3"/>
                <w:sz w:val="24"/>
                <w:szCs w:val="24"/>
                <w:highlight w:val="none"/>
                <w:rtl w:val="0"/>
                <w:cs w:val="0"/>
                <w:lang w:val="en-US" w:eastAsia="zh-CN"/>
              </w:rPr>
              <w:t>3分</w:t>
            </w:r>
          </w:p>
        </w:tc>
        <w:tc>
          <w:tcPr>
            <w:tcW w:w="6213" w:type="dxa"/>
            <w:tcBorders>
              <w:tl2br w:val="nil"/>
              <w:tr2bl w:val="nil"/>
            </w:tcBorders>
            <w:noWrap w:val="0"/>
            <w:vAlign w:val="center"/>
          </w:tcPr>
          <w:p w14:paraId="42BACF63">
            <w:pPr>
              <w:spacing w:before="59" w:line="240" w:lineRule="auto"/>
              <w:jc w:val="both"/>
              <w:rPr>
                <w:rFonts w:hint="eastAsia" w:ascii="仿宋" w:hAnsi="仿宋" w:eastAsia="仿宋" w:cs="仿宋"/>
                <w:b/>
                <w:bCs/>
                <w:spacing w:val="-3"/>
                <w:sz w:val="24"/>
                <w:szCs w:val="24"/>
                <w:highlight w:val="none"/>
                <w:rtl w:val="0"/>
                <w:cs w:val="0"/>
                <w:lang w:val="en-US" w:eastAsia="zh-CN"/>
              </w:rPr>
            </w:pPr>
            <w:r>
              <w:rPr>
                <w:rFonts w:hint="eastAsia" w:ascii="仿宋" w:hAnsi="仿宋" w:eastAsia="仿宋" w:cs="仿宋"/>
                <w:b w:val="0"/>
                <w:bCs w:val="0"/>
                <w:spacing w:val="-3"/>
                <w:sz w:val="24"/>
                <w:szCs w:val="24"/>
                <w:highlight w:val="none"/>
                <w:rtl w:val="0"/>
                <w:cs w:val="0"/>
                <w:lang w:val="en-US" w:eastAsia="zh-CN"/>
              </w:rPr>
              <w:t>供应商根据项目实际需求，从招标人的角度及课程建设后期运营角度出发，做出的切实可行的服务承诺，最高得3分(提供具体承诺要符合本项目真实需求 ，否则不得分)</w:t>
            </w:r>
          </w:p>
        </w:tc>
      </w:tr>
    </w:tbl>
    <w:p w14:paraId="7D3C7C17">
      <w:pPr>
        <w:spacing w:line="240" w:lineRule="atLeast"/>
        <w:ind w:firstLine="2409" w:firstLineChars="500"/>
        <w:rPr>
          <w:rFonts w:hint="eastAsia" w:ascii="仿宋" w:hAnsi="仿宋" w:eastAsia="仿宋" w:cs="仿宋"/>
          <w:b/>
          <w:sz w:val="48"/>
          <w:szCs w:val="48"/>
        </w:rPr>
        <w:sectPr>
          <w:pgSz w:w="11907" w:h="16840"/>
          <w:pgMar w:top="1474" w:right="1814" w:bottom="1474" w:left="1814" w:header="851" w:footer="851" w:gutter="0"/>
          <w:pgBorders>
            <w:top w:val="none" w:sz="0" w:space="0"/>
            <w:left w:val="none" w:sz="0" w:space="0"/>
            <w:bottom w:val="none" w:sz="0" w:space="0"/>
            <w:right w:val="none" w:sz="0" w:space="0"/>
          </w:pgBorders>
          <w:pgNumType w:fmt="decimal"/>
          <w:cols w:space="720" w:num="1"/>
          <w:docGrid w:linePitch="462" w:charSpace="0"/>
        </w:sectPr>
      </w:pPr>
      <w:bookmarkStart w:id="1010" w:name="_GoBack"/>
      <w:bookmarkEnd w:id="1010"/>
    </w:p>
    <w:p w14:paraId="119E4FD7">
      <w:pPr>
        <w:spacing w:line="240" w:lineRule="atLeast"/>
        <w:ind w:firstLine="2409" w:firstLineChars="500"/>
        <w:rPr>
          <w:rFonts w:hint="eastAsia" w:ascii="仿宋" w:hAnsi="仿宋" w:eastAsia="仿宋" w:cs="仿宋"/>
          <w:b/>
          <w:sz w:val="48"/>
          <w:szCs w:val="48"/>
        </w:rPr>
      </w:pPr>
    </w:p>
    <w:p w14:paraId="3E3212A8">
      <w:pPr>
        <w:spacing w:line="240" w:lineRule="atLeast"/>
        <w:ind w:firstLine="2409" w:firstLineChars="500"/>
        <w:rPr>
          <w:rFonts w:hint="eastAsia" w:ascii="仿宋" w:hAnsi="仿宋" w:eastAsia="仿宋" w:cs="仿宋"/>
          <w:b/>
          <w:sz w:val="48"/>
          <w:szCs w:val="48"/>
        </w:rPr>
      </w:pPr>
    </w:p>
    <w:p w14:paraId="3CC2399F">
      <w:pPr>
        <w:spacing w:line="240" w:lineRule="atLeast"/>
        <w:ind w:firstLine="2409" w:firstLineChars="500"/>
        <w:rPr>
          <w:rFonts w:hint="eastAsia" w:ascii="仿宋" w:hAnsi="仿宋" w:eastAsia="仿宋" w:cs="仿宋"/>
          <w:b/>
          <w:sz w:val="48"/>
          <w:szCs w:val="48"/>
        </w:rPr>
      </w:pPr>
    </w:p>
    <w:p w14:paraId="33B22CA2">
      <w:pPr>
        <w:spacing w:line="240" w:lineRule="atLeast"/>
        <w:ind w:firstLine="2409" w:firstLineChars="500"/>
        <w:rPr>
          <w:rFonts w:hint="eastAsia" w:ascii="仿宋" w:hAnsi="仿宋" w:eastAsia="仿宋" w:cs="仿宋"/>
          <w:b/>
          <w:sz w:val="48"/>
          <w:szCs w:val="48"/>
        </w:rPr>
      </w:pPr>
    </w:p>
    <w:p w14:paraId="49CF1AC2">
      <w:pPr>
        <w:spacing w:line="240" w:lineRule="atLeast"/>
        <w:ind w:firstLine="2409" w:firstLineChars="500"/>
        <w:rPr>
          <w:rFonts w:hint="eastAsia" w:ascii="仿宋" w:hAnsi="仿宋" w:eastAsia="仿宋" w:cs="仿宋"/>
          <w:b/>
          <w:sz w:val="48"/>
          <w:szCs w:val="48"/>
        </w:rPr>
      </w:pPr>
    </w:p>
    <w:p w14:paraId="535803A1">
      <w:pPr>
        <w:spacing w:line="240" w:lineRule="atLeast"/>
        <w:ind w:firstLine="2409" w:firstLineChars="500"/>
        <w:rPr>
          <w:rFonts w:ascii="仿宋" w:hAnsi="仿宋" w:eastAsia="仿宋" w:cs="仿宋"/>
          <w:b/>
          <w:sz w:val="48"/>
          <w:szCs w:val="48"/>
        </w:rPr>
      </w:pPr>
      <w:r>
        <w:rPr>
          <w:rFonts w:hint="eastAsia" w:ascii="仿宋" w:hAnsi="仿宋" w:eastAsia="仿宋" w:cs="仿宋"/>
          <w:b/>
          <w:sz w:val="48"/>
          <w:szCs w:val="48"/>
        </w:rPr>
        <w:t>竞争性磋商文件</w:t>
      </w:r>
    </w:p>
    <w:p w14:paraId="2144246E">
      <w:pPr>
        <w:spacing w:line="240" w:lineRule="atLeast"/>
        <w:rPr>
          <w:rFonts w:ascii="仿宋" w:hAnsi="仿宋" w:eastAsia="仿宋" w:cs="仿宋"/>
          <w:b/>
          <w:sz w:val="44"/>
          <w:szCs w:val="44"/>
        </w:rPr>
      </w:pPr>
    </w:p>
    <w:p w14:paraId="12CA53FB">
      <w:pPr>
        <w:spacing w:line="240" w:lineRule="atLeast"/>
        <w:jc w:val="center"/>
        <w:rPr>
          <w:rFonts w:hint="default" w:ascii="仿宋" w:hAnsi="仿宋" w:eastAsia="仿宋" w:cs="仿宋"/>
          <w:b/>
          <w:sz w:val="36"/>
          <w:szCs w:val="36"/>
          <w:lang w:val="en-US" w:eastAsia="zh-CN"/>
        </w:rPr>
      </w:pPr>
      <w:r>
        <w:rPr>
          <w:rFonts w:hint="eastAsia" w:ascii="仿宋" w:hAnsi="仿宋" w:eastAsia="仿宋" w:cs="仿宋"/>
          <w:b/>
          <w:sz w:val="36"/>
          <w:szCs w:val="36"/>
          <w:lang w:val="en-US" w:eastAsia="zh-CN"/>
        </w:rPr>
        <w:t xml:space="preserve"> ZPDL（2025）023</w:t>
      </w:r>
    </w:p>
    <w:p w14:paraId="6FC6257B">
      <w:pPr>
        <w:spacing w:line="240" w:lineRule="atLeast"/>
        <w:jc w:val="center"/>
        <w:rPr>
          <w:rFonts w:ascii="仿宋" w:hAnsi="仿宋" w:eastAsia="仿宋" w:cs="仿宋"/>
          <w:b/>
          <w:sz w:val="48"/>
          <w:szCs w:val="48"/>
        </w:rPr>
      </w:pPr>
      <w:r>
        <w:rPr>
          <w:rFonts w:hint="eastAsia" w:ascii="仿宋" w:hAnsi="仿宋" w:eastAsia="仿宋" w:cs="仿宋"/>
          <w:b/>
          <w:sz w:val="36"/>
          <w:szCs w:val="36"/>
        </w:rPr>
        <w:t>（服务类-专门面向中小企业）</w:t>
      </w:r>
    </w:p>
    <w:p w14:paraId="09907D70">
      <w:pPr>
        <w:spacing w:line="240" w:lineRule="atLeast"/>
        <w:ind w:firstLine="3373" w:firstLineChars="700"/>
        <w:rPr>
          <w:rFonts w:ascii="仿宋" w:hAnsi="仿宋" w:eastAsia="仿宋" w:cs="仿宋"/>
          <w:b/>
          <w:sz w:val="48"/>
          <w:szCs w:val="48"/>
        </w:rPr>
      </w:pPr>
    </w:p>
    <w:p w14:paraId="1F27FA34">
      <w:pPr>
        <w:spacing w:line="240" w:lineRule="atLeast"/>
        <w:ind w:firstLine="3373" w:firstLineChars="700"/>
        <w:rPr>
          <w:rFonts w:ascii="仿宋" w:hAnsi="仿宋" w:eastAsia="仿宋" w:cs="仿宋"/>
          <w:b/>
          <w:sz w:val="48"/>
          <w:szCs w:val="48"/>
        </w:rPr>
      </w:pPr>
      <w:r>
        <w:rPr>
          <w:rFonts w:hint="eastAsia" w:ascii="仿宋" w:hAnsi="仿宋" w:eastAsia="仿宋" w:cs="仿宋"/>
          <w:b/>
          <w:sz w:val="48"/>
          <w:szCs w:val="48"/>
        </w:rPr>
        <w:t>第三册</w:t>
      </w:r>
    </w:p>
    <w:p w14:paraId="0ED13D96">
      <w:pPr>
        <w:rPr>
          <w:rFonts w:ascii="仿宋" w:hAnsi="仿宋" w:eastAsia="仿宋" w:cs="仿宋"/>
        </w:rPr>
      </w:pPr>
      <w:bookmarkStart w:id="540" w:name="_Toc6865"/>
      <w:bookmarkStart w:id="541" w:name="_Toc4796"/>
      <w:bookmarkStart w:id="542" w:name="_Toc10536"/>
      <w:bookmarkStart w:id="543" w:name="_Toc515647833"/>
      <w:bookmarkStart w:id="544" w:name="_Toc4800"/>
      <w:r>
        <w:rPr>
          <w:rFonts w:hint="eastAsia" w:ascii="仿宋" w:hAnsi="仿宋" w:eastAsia="仿宋" w:cs="仿宋"/>
        </w:rPr>
        <w:br w:type="page"/>
      </w:r>
    </w:p>
    <w:p w14:paraId="0E18D00C">
      <w:pPr>
        <w:sectPr>
          <w:pgSz w:w="11907" w:h="16840"/>
          <w:pgMar w:top="1474" w:right="1814" w:bottom="1474" w:left="1814" w:header="851" w:footer="851" w:gutter="0"/>
          <w:pgBorders>
            <w:top w:val="none" w:sz="0" w:space="0"/>
            <w:left w:val="none" w:sz="0" w:space="0"/>
            <w:bottom w:val="none" w:sz="0" w:space="0"/>
            <w:right w:val="none" w:sz="0" w:space="0"/>
          </w:pgBorders>
          <w:pgNumType w:fmt="decimal"/>
          <w:cols w:space="720" w:num="1"/>
          <w:docGrid w:linePitch="462" w:charSpace="0"/>
        </w:sectPr>
      </w:pPr>
    </w:p>
    <w:p w14:paraId="17C1018B">
      <w:pPr>
        <w:pStyle w:val="5"/>
        <w:tabs>
          <w:tab w:val="left" w:pos="0"/>
        </w:tabs>
        <w:spacing w:before="0" w:after="0" w:line="240" w:lineRule="auto"/>
        <w:rPr>
          <w:rFonts w:ascii="仿宋" w:hAnsi="仿宋" w:eastAsia="仿宋" w:cs="仿宋"/>
        </w:rPr>
      </w:pPr>
      <w:r>
        <w:rPr>
          <w:rFonts w:hint="eastAsia" w:ascii="仿宋" w:hAnsi="仿宋" w:eastAsia="仿宋" w:cs="仿宋"/>
        </w:rPr>
        <w:t>第7章 政府采购合同</w:t>
      </w:r>
      <w:bookmarkEnd w:id="539"/>
      <w:bookmarkEnd w:id="540"/>
      <w:bookmarkEnd w:id="541"/>
      <w:bookmarkEnd w:id="542"/>
      <w:bookmarkEnd w:id="543"/>
      <w:bookmarkEnd w:id="544"/>
      <w:bookmarkStart w:id="545" w:name="_Toc487900382"/>
      <w:bookmarkEnd w:id="545"/>
      <w:bookmarkStart w:id="546" w:name="_Toc216513788"/>
      <w:bookmarkEnd w:id="546"/>
      <w:bookmarkStart w:id="547" w:name="_Hlt487972895"/>
      <w:bookmarkEnd w:id="547"/>
    </w:p>
    <w:p w14:paraId="7B9B8231">
      <w:pPr>
        <w:rPr>
          <w:rFonts w:ascii="仿宋" w:hAnsi="仿宋" w:eastAsia="仿宋" w:cs="仿宋"/>
          <w:sz w:val="24"/>
          <w:u w:val="single"/>
        </w:rPr>
      </w:pPr>
      <w:r>
        <w:rPr>
          <w:rFonts w:hint="eastAsia" w:ascii="仿宋" w:hAnsi="仿宋" w:eastAsia="仿宋" w:cs="仿宋"/>
          <w:sz w:val="24"/>
        </w:rPr>
        <w:t>合同编号：</w:t>
      </w:r>
      <w:r>
        <w:rPr>
          <w:rFonts w:hint="eastAsia" w:ascii="仿宋" w:hAnsi="仿宋" w:eastAsia="仿宋" w:cs="仿宋"/>
          <w:sz w:val="24"/>
          <w:u w:val="single"/>
        </w:rPr>
        <w:t xml:space="preserve">           </w:t>
      </w:r>
    </w:p>
    <w:p w14:paraId="61E264F6">
      <w:pPr>
        <w:jc w:val="center"/>
        <w:rPr>
          <w:rFonts w:ascii="仿宋" w:hAnsi="仿宋" w:eastAsia="仿宋" w:cs="仿宋"/>
          <w:b/>
          <w:sz w:val="28"/>
          <w:szCs w:val="28"/>
        </w:rPr>
      </w:pPr>
    </w:p>
    <w:p w14:paraId="045300B8">
      <w:pPr>
        <w:jc w:val="center"/>
        <w:rPr>
          <w:rFonts w:ascii="仿宋" w:hAnsi="仿宋" w:eastAsia="仿宋" w:cs="仿宋"/>
          <w:b/>
          <w:sz w:val="28"/>
          <w:szCs w:val="28"/>
        </w:rPr>
      </w:pPr>
    </w:p>
    <w:p w14:paraId="52AC6D17">
      <w:pPr>
        <w:jc w:val="center"/>
        <w:rPr>
          <w:rFonts w:ascii="仿宋" w:hAnsi="仿宋" w:eastAsia="仿宋" w:cs="仿宋"/>
          <w:b/>
          <w:sz w:val="28"/>
          <w:szCs w:val="28"/>
        </w:rPr>
      </w:pPr>
    </w:p>
    <w:p w14:paraId="458A4DC2">
      <w:pPr>
        <w:jc w:val="center"/>
        <w:outlineLvl w:val="0"/>
        <w:rPr>
          <w:rFonts w:ascii="仿宋" w:hAnsi="仿宋" w:eastAsia="仿宋" w:cs="仿宋"/>
          <w:b/>
          <w:sz w:val="44"/>
          <w:szCs w:val="44"/>
        </w:rPr>
      </w:pPr>
      <w:bookmarkStart w:id="548" w:name="_Toc19964"/>
      <w:bookmarkStart w:id="549" w:name="_Toc20116"/>
      <w:r>
        <w:rPr>
          <w:rFonts w:hint="eastAsia" w:ascii="仿宋" w:hAnsi="仿宋" w:eastAsia="仿宋" w:cs="仿宋"/>
          <w:b/>
          <w:sz w:val="44"/>
          <w:szCs w:val="44"/>
        </w:rPr>
        <w:t>政府采购合同参考范本</w:t>
      </w:r>
      <w:bookmarkEnd w:id="548"/>
      <w:bookmarkEnd w:id="549"/>
    </w:p>
    <w:p w14:paraId="66329B97">
      <w:pPr>
        <w:jc w:val="center"/>
        <w:rPr>
          <w:rFonts w:ascii="仿宋" w:hAnsi="仿宋" w:eastAsia="仿宋" w:cs="仿宋"/>
          <w:b/>
          <w:sz w:val="24"/>
        </w:rPr>
      </w:pPr>
      <w:r>
        <w:rPr>
          <w:rFonts w:hint="eastAsia" w:ascii="仿宋" w:hAnsi="仿宋" w:eastAsia="仿宋" w:cs="仿宋"/>
          <w:b/>
          <w:sz w:val="24"/>
        </w:rPr>
        <w:t>（服务类）</w:t>
      </w:r>
    </w:p>
    <w:p w14:paraId="7FD09F48">
      <w:pPr>
        <w:pStyle w:val="35"/>
        <w:spacing w:line="400" w:lineRule="exact"/>
        <w:ind w:firstLine="0"/>
        <w:rPr>
          <w:rFonts w:ascii="仿宋" w:hAnsi="仿宋" w:eastAsia="仿宋" w:cs="仿宋"/>
          <w:szCs w:val="24"/>
        </w:rPr>
      </w:pPr>
    </w:p>
    <w:p w14:paraId="02555750">
      <w:pPr>
        <w:pStyle w:val="35"/>
        <w:spacing w:line="400" w:lineRule="exact"/>
        <w:ind w:firstLine="0"/>
        <w:rPr>
          <w:rFonts w:ascii="仿宋" w:hAnsi="仿宋" w:eastAsia="仿宋" w:cs="仿宋"/>
          <w:szCs w:val="24"/>
        </w:rPr>
      </w:pPr>
    </w:p>
    <w:p w14:paraId="0C9F0D5F">
      <w:pPr>
        <w:pStyle w:val="35"/>
        <w:spacing w:line="400" w:lineRule="exact"/>
        <w:ind w:firstLine="0"/>
        <w:rPr>
          <w:rFonts w:ascii="仿宋" w:hAnsi="仿宋" w:eastAsia="仿宋" w:cs="仿宋"/>
          <w:szCs w:val="24"/>
        </w:rPr>
      </w:pPr>
    </w:p>
    <w:p w14:paraId="61FC2970">
      <w:pPr>
        <w:pStyle w:val="35"/>
        <w:spacing w:line="400" w:lineRule="exact"/>
        <w:ind w:firstLine="0"/>
        <w:jc w:val="center"/>
        <w:outlineLvl w:val="0"/>
        <w:rPr>
          <w:rFonts w:ascii="仿宋" w:hAnsi="仿宋" w:eastAsia="仿宋" w:cs="仿宋"/>
          <w:b/>
          <w:szCs w:val="24"/>
        </w:rPr>
      </w:pPr>
      <w:bookmarkStart w:id="550" w:name="_Toc23301"/>
      <w:bookmarkStart w:id="551" w:name="_Toc565"/>
      <w:r>
        <w:rPr>
          <w:rFonts w:hint="eastAsia" w:ascii="仿宋" w:hAnsi="仿宋" w:eastAsia="仿宋" w:cs="仿宋"/>
          <w:b/>
          <w:szCs w:val="24"/>
        </w:rPr>
        <w:t>第一部分 合同书</w:t>
      </w:r>
      <w:bookmarkEnd w:id="550"/>
      <w:bookmarkEnd w:id="551"/>
    </w:p>
    <w:p w14:paraId="277A24B6">
      <w:pPr>
        <w:pStyle w:val="35"/>
        <w:spacing w:line="400" w:lineRule="exact"/>
        <w:ind w:firstLine="0"/>
        <w:rPr>
          <w:rFonts w:ascii="仿宋" w:hAnsi="仿宋" w:eastAsia="仿宋" w:cs="仿宋"/>
          <w:szCs w:val="24"/>
        </w:rPr>
      </w:pPr>
    </w:p>
    <w:p w14:paraId="600ED447">
      <w:pPr>
        <w:pStyle w:val="35"/>
        <w:spacing w:line="400" w:lineRule="exact"/>
        <w:ind w:firstLine="0"/>
        <w:rPr>
          <w:rFonts w:ascii="仿宋" w:hAnsi="仿宋" w:eastAsia="仿宋" w:cs="仿宋"/>
          <w:szCs w:val="24"/>
        </w:rPr>
      </w:pPr>
    </w:p>
    <w:p w14:paraId="6B2577B5">
      <w:pPr>
        <w:spacing w:before="120" w:line="400" w:lineRule="exact"/>
        <w:rPr>
          <w:rFonts w:ascii="仿宋" w:hAnsi="仿宋" w:eastAsia="仿宋" w:cs="仿宋"/>
          <w:sz w:val="24"/>
        </w:rPr>
      </w:pPr>
    </w:p>
    <w:p w14:paraId="6403966D">
      <w:pPr>
        <w:spacing w:before="120" w:line="400" w:lineRule="exact"/>
        <w:ind w:left="960"/>
        <w:rPr>
          <w:rFonts w:ascii="仿宋" w:hAnsi="仿宋" w:eastAsia="仿宋" w:cs="仿宋"/>
          <w:sz w:val="24"/>
        </w:rPr>
      </w:pPr>
      <w:r>
        <w:rPr>
          <w:rFonts w:hint="eastAsia" w:ascii="仿宋" w:hAnsi="仿宋" w:eastAsia="仿宋" w:cs="仿宋"/>
          <w:sz w:val="24"/>
        </w:rPr>
        <w:t>项目名称：</w:t>
      </w:r>
      <w:r>
        <w:rPr>
          <w:rFonts w:hint="eastAsia" w:ascii="仿宋" w:hAnsi="仿宋" w:eastAsia="仿宋" w:cs="仿宋"/>
          <w:sz w:val="24"/>
          <w:u w:val="single"/>
        </w:rPr>
        <w:t xml:space="preserve">                                   </w:t>
      </w:r>
    </w:p>
    <w:p w14:paraId="17F59A70">
      <w:pPr>
        <w:pStyle w:val="36"/>
        <w:spacing w:before="120" w:line="400" w:lineRule="exact"/>
        <w:rPr>
          <w:rFonts w:ascii="仿宋" w:hAnsi="仿宋" w:eastAsia="仿宋" w:cs="仿宋"/>
          <w:szCs w:val="24"/>
        </w:rPr>
      </w:pPr>
    </w:p>
    <w:p w14:paraId="2DA1E5BC">
      <w:pPr>
        <w:spacing w:line="400" w:lineRule="exact"/>
        <w:rPr>
          <w:rFonts w:ascii="仿宋" w:hAnsi="仿宋" w:eastAsia="仿宋" w:cs="仿宋"/>
        </w:rPr>
      </w:pPr>
    </w:p>
    <w:p w14:paraId="60917339">
      <w:pPr>
        <w:spacing w:before="120" w:line="400" w:lineRule="exact"/>
        <w:ind w:left="960"/>
        <w:rPr>
          <w:rFonts w:ascii="仿宋" w:hAnsi="仿宋" w:eastAsia="仿宋" w:cs="仿宋"/>
          <w:sz w:val="24"/>
          <w:u w:val="single"/>
        </w:rPr>
      </w:pPr>
      <w:r>
        <w:rPr>
          <w:rFonts w:hint="eastAsia" w:ascii="仿宋" w:hAnsi="仿宋" w:eastAsia="仿宋" w:cs="仿宋"/>
          <w:sz w:val="24"/>
        </w:rPr>
        <w:t>甲方：</w:t>
      </w:r>
      <w:r>
        <w:rPr>
          <w:rFonts w:hint="eastAsia" w:ascii="仿宋" w:hAnsi="仿宋" w:eastAsia="仿宋" w:cs="仿宋"/>
          <w:sz w:val="24"/>
          <w:u w:val="single"/>
        </w:rPr>
        <w:t xml:space="preserve">                                       </w:t>
      </w:r>
    </w:p>
    <w:p w14:paraId="15B1BA8A">
      <w:pPr>
        <w:spacing w:before="120" w:line="400" w:lineRule="exact"/>
        <w:rPr>
          <w:rFonts w:ascii="仿宋" w:hAnsi="仿宋" w:eastAsia="仿宋" w:cs="仿宋"/>
          <w:sz w:val="24"/>
        </w:rPr>
      </w:pPr>
    </w:p>
    <w:p w14:paraId="3A453245">
      <w:pPr>
        <w:spacing w:before="120" w:line="400" w:lineRule="exact"/>
        <w:ind w:left="960"/>
        <w:rPr>
          <w:rFonts w:ascii="仿宋" w:hAnsi="仿宋" w:eastAsia="仿宋" w:cs="仿宋"/>
          <w:sz w:val="24"/>
          <w:u w:val="single"/>
        </w:rPr>
      </w:pPr>
      <w:r>
        <w:rPr>
          <w:rFonts w:hint="eastAsia" w:ascii="仿宋" w:hAnsi="仿宋" w:eastAsia="仿宋" w:cs="仿宋"/>
          <w:sz w:val="24"/>
        </w:rPr>
        <w:t>乙方：</w:t>
      </w:r>
      <w:r>
        <w:rPr>
          <w:rFonts w:hint="eastAsia" w:ascii="仿宋" w:hAnsi="仿宋" w:eastAsia="仿宋" w:cs="仿宋"/>
          <w:sz w:val="24"/>
          <w:u w:val="single"/>
        </w:rPr>
        <w:t xml:space="preserve">                                       </w:t>
      </w:r>
    </w:p>
    <w:p w14:paraId="168C882B">
      <w:pPr>
        <w:spacing w:before="120" w:line="400" w:lineRule="exact"/>
        <w:rPr>
          <w:rFonts w:ascii="仿宋" w:hAnsi="仿宋" w:eastAsia="仿宋" w:cs="仿宋"/>
          <w:sz w:val="24"/>
        </w:rPr>
      </w:pPr>
    </w:p>
    <w:p w14:paraId="03063ABB">
      <w:pPr>
        <w:spacing w:before="120" w:line="400" w:lineRule="exact"/>
        <w:ind w:firstLine="960" w:firstLineChars="400"/>
        <w:rPr>
          <w:rFonts w:ascii="仿宋" w:hAnsi="仿宋" w:eastAsia="仿宋" w:cs="仿宋"/>
          <w:sz w:val="24"/>
          <w:u w:val="single"/>
        </w:rPr>
      </w:pPr>
      <w:r>
        <w:rPr>
          <w:rFonts w:hint="eastAsia" w:ascii="仿宋" w:hAnsi="仿宋" w:eastAsia="仿宋" w:cs="仿宋"/>
          <w:sz w:val="24"/>
        </w:rPr>
        <w:t>签订地：</w:t>
      </w:r>
      <w:r>
        <w:rPr>
          <w:rFonts w:hint="eastAsia" w:ascii="仿宋" w:hAnsi="仿宋" w:eastAsia="仿宋" w:cs="仿宋"/>
          <w:sz w:val="24"/>
          <w:u w:val="single"/>
        </w:rPr>
        <w:t xml:space="preserve">                                     </w:t>
      </w:r>
    </w:p>
    <w:p w14:paraId="65A501C1">
      <w:pPr>
        <w:spacing w:before="120" w:line="400" w:lineRule="exact"/>
        <w:rPr>
          <w:rFonts w:ascii="仿宋" w:hAnsi="仿宋" w:eastAsia="仿宋" w:cs="仿宋"/>
          <w:sz w:val="24"/>
        </w:rPr>
      </w:pPr>
    </w:p>
    <w:p w14:paraId="2FAF2826">
      <w:pPr>
        <w:spacing w:before="120" w:line="400" w:lineRule="exact"/>
        <w:ind w:firstLine="960" w:firstLineChars="400"/>
        <w:rPr>
          <w:rFonts w:ascii="仿宋" w:hAnsi="仿宋" w:eastAsia="仿宋" w:cs="仿宋"/>
          <w:sz w:val="24"/>
          <w:u w:val="single"/>
        </w:rPr>
      </w:pPr>
      <w:r>
        <w:rPr>
          <w:rFonts w:hint="eastAsia" w:ascii="仿宋" w:hAnsi="仿宋" w:eastAsia="仿宋" w:cs="仿宋"/>
          <w:sz w:val="24"/>
        </w:rPr>
        <w:t>签订日期：</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w:t>
      </w:r>
    </w:p>
    <w:p w14:paraId="57F4C9A3">
      <w:pPr>
        <w:autoSpaceDE w:val="0"/>
        <w:autoSpaceDN w:val="0"/>
        <w:adjustRightInd w:val="0"/>
        <w:spacing w:line="400" w:lineRule="exact"/>
        <w:ind w:firstLine="640"/>
        <w:jc w:val="center"/>
        <w:rPr>
          <w:rFonts w:ascii="仿宋" w:hAnsi="仿宋" w:eastAsia="仿宋" w:cs="仿宋"/>
          <w:sz w:val="24"/>
        </w:rPr>
        <w:sectPr>
          <w:pgSz w:w="11907" w:h="16840"/>
          <w:pgMar w:top="1474" w:right="1814" w:bottom="1474" w:left="1814" w:header="851" w:footer="851" w:gutter="0"/>
          <w:pgBorders>
            <w:top w:val="none" w:sz="0" w:space="0"/>
            <w:left w:val="none" w:sz="0" w:space="0"/>
            <w:bottom w:val="none" w:sz="0" w:space="0"/>
            <w:right w:val="none" w:sz="0" w:space="0"/>
          </w:pgBorders>
          <w:pgNumType w:fmt="decimal"/>
          <w:cols w:space="720" w:num="1"/>
          <w:docGrid w:linePitch="462" w:charSpace="0"/>
        </w:sectPr>
      </w:pPr>
    </w:p>
    <w:p w14:paraId="57F70CAF">
      <w:pPr>
        <w:spacing w:line="400" w:lineRule="exact"/>
        <w:ind w:firstLine="480" w:firstLineChars="200"/>
        <w:rPr>
          <w:rFonts w:ascii="仿宋" w:hAnsi="仿宋" w:eastAsia="仿宋" w:cs="仿宋"/>
          <w:sz w:val="24"/>
        </w:rPr>
      </w:pPr>
      <w:r>
        <w:rPr>
          <w:rFonts w:hint="eastAsia" w:ascii="仿宋" w:hAnsi="仿宋" w:eastAsia="仿宋" w:cs="仿宋"/>
          <w:sz w:val="24"/>
          <w:u w:val="single"/>
          <w:lang w:val="zh-CN"/>
        </w:rPr>
        <w:t xml:space="preserve">        </w:t>
      </w:r>
      <w:r>
        <w:rPr>
          <w:rFonts w:hint="eastAsia" w:ascii="仿宋" w:hAnsi="仿宋" w:eastAsia="仿宋" w:cs="仿宋"/>
          <w:sz w:val="24"/>
          <w:lang w:val="zh-CN"/>
        </w:rPr>
        <w:t>年</w:t>
      </w:r>
      <w:r>
        <w:rPr>
          <w:rFonts w:hint="eastAsia" w:ascii="仿宋" w:hAnsi="仿宋" w:eastAsia="仿宋" w:cs="仿宋"/>
          <w:sz w:val="24"/>
          <w:u w:val="single"/>
          <w:lang w:val="zh-CN"/>
        </w:rPr>
        <w:t xml:space="preserve">    </w:t>
      </w:r>
      <w:r>
        <w:rPr>
          <w:rFonts w:hint="eastAsia" w:ascii="仿宋" w:hAnsi="仿宋" w:eastAsia="仿宋" w:cs="仿宋"/>
          <w:sz w:val="24"/>
          <w:lang w:val="zh-CN"/>
        </w:rPr>
        <w:t>月</w:t>
      </w:r>
      <w:r>
        <w:rPr>
          <w:rFonts w:hint="eastAsia" w:ascii="仿宋" w:hAnsi="仿宋" w:eastAsia="仿宋" w:cs="仿宋"/>
          <w:sz w:val="24"/>
          <w:u w:val="single"/>
          <w:lang w:val="zh-CN"/>
        </w:rPr>
        <w:t xml:space="preserve">    </w:t>
      </w:r>
      <w:r>
        <w:rPr>
          <w:rFonts w:hint="eastAsia" w:ascii="仿宋" w:hAnsi="仿宋" w:eastAsia="仿宋" w:cs="仿宋"/>
          <w:sz w:val="24"/>
          <w:lang w:val="zh-CN"/>
        </w:rPr>
        <w:t>日</w:t>
      </w:r>
      <w:r>
        <w:rPr>
          <w:rFonts w:hint="eastAsia" w:ascii="仿宋" w:hAnsi="仿宋" w:eastAsia="仿宋" w:cs="仿宋"/>
          <w:sz w:val="24"/>
        </w:rPr>
        <w:t>，</w:t>
      </w:r>
      <w:r>
        <w:rPr>
          <w:rFonts w:hint="eastAsia" w:ascii="仿宋" w:hAnsi="仿宋" w:eastAsia="仿宋" w:cs="仿宋"/>
          <w:sz w:val="24"/>
          <w:u w:val="single"/>
        </w:rPr>
        <w:t xml:space="preserve">   （采购人名称）   </w:t>
      </w:r>
      <w:r>
        <w:rPr>
          <w:rFonts w:hint="eastAsia" w:ascii="仿宋" w:hAnsi="仿宋" w:eastAsia="仿宋" w:cs="仿宋"/>
          <w:sz w:val="24"/>
        </w:rPr>
        <w:t>以</w:t>
      </w:r>
      <w:r>
        <w:rPr>
          <w:rFonts w:hint="eastAsia" w:ascii="仿宋" w:hAnsi="仿宋" w:eastAsia="仿宋" w:cs="仿宋"/>
          <w:sz w:val="24"/>
          <w:u w:val="single"/>
        </w:rPr>
        <w:t xml:space="preserve">   （政府采购方式）  </w:t>
      </w:r>
      <w:r>
        <w:rPr>
          <w:rFonts w:hint="eastAsia" w:ascii="仿宋" w:hAnsi="仿宋" w:eastAsia="仿宋" w:cs="仿宋"/>
          <w:sz w:val="24"/>
        </w:rPr>
        <w:t>对</w:t>
      </w:r>
      <w:r>
        <w:rPr>
          <w:rFonts w:hint="eastAsia" w:ascii="仿宋" w:hAnsi="仿宋" w:eastAsia="仿宋" w:cs="仿宋"/>
          <w:sz w:val="24"/>
          <w:u w:val="single"/>
        </w:rPr>
        <w:t xml:space="preserve">   （同前页项目名称）   </w:t>
      </w:r>
      <w:r>
        <w:rPr>
          <w:rFonts w:hint="eastAsia" w:ascii="仿宋" w:hAnsi="仿宋" w:eastAsia="仿宋" w:cs="仿宋"/>
          <w:sz w:val="24"/>
        </w:rPr>
        <w:t>项目进行了采购。经</w:t>
      </w:r>
      <w:r>
        <w:rPr>
          <w:rFonts w:hint="eastAsia" w:ascii="仿宋" w:hAnsi="仿宋" w:eastAsia="仿宋" w:cs="仿宋"/>
          <w:sz w:val="24"/>
          <w:u w:val="single"/>
        </w:rPr>
        <w:t xml:space="preserve">   （相关评定主体名称）   </w:t>
      </w:r>
      <w:r>
        <w:rPr>
          <w:rFonts w:hint="eastAsia" w:ascii="仿宋" w:hAnsi="仿宋" w:eastAsia="仿宋" w:cs="仿宋"/>
          <w:sz w:val="24"/>
        </w:rPr>
        <w:t>评定，</w:t>
      </w:r>
      <w:r>
        <w:rPr>
          <w:rFonts w:hint="eastAsia" w:ascii="仿宋" w:hAnsi="仿宋" w:eastAsia="仿宋" w:cs="仿宋"/>
          <w:sz w:val="24"/>
          <w:u w:val="single"/>
        </w:rPr>
        <w:t xml:space="preserve">   （成交供应商名称） </w:t>
      </w:r>
      <w:r>
        <w:rPr>
          <w:rFonts w:hint="eastAsia" w:ascii="仿宋" w:hAnsi="仿宋" w:eastAsia="仿宋" w:cs="仿宋"/>
          <w:sz w:val="24"/>
        </w:rPr>
        <w:t>为该项目成交供应商。现于成交通知书发出之日起三十日内，按照采购文件确定的事项签订本合同。</w:t>
      </w:r>
    </w:p>
    <w:p w14:paraId="45647A47">
      <w:pPr>
        <w:spacing w:line="400" w:lineRule="exact"/>
        <w:ind w:firstLine="480" w:firstLineChars="200"/>
        <w:rPr>
          <w:rFonts w:ascii="仿宋" w:hAnsi="仿宋" w:eastAsia="仿宋" w:cs="仿宋"/>
          <w:sz w:val="24"/>
        </w:rPr>
      </w:pPr>
      <w:r>
        <w:rPr>
          <w:rFonts w:hint="eastAsia" w:ascii="仿宋" w:hAnsi="仿宋" w:eastAsia="仿宋" w:cs="仿宋"/>
          <w:sz w:val="24"/>
          <w:lang w:val="zh-CN"/>
        </w:rPr>
        <w:t>根据《中华人民共和国民法典》、《中华人民共和国政府采购法》等相关法律法规之规定，按照平等、自愿、公平和诚实信用的原则，经</w:t>
      </w:r>
      <w:r>
        <w:rPr>
          <w:rFonts w:hint="eastAsia" w:ascii="仿宋" w:hAnsi="仿宋" w:eastAsia="仿宋" w:cs="仿宋"/>
          <w:sz w:val="24"/>
          <w:u w:val="single"/>
        </w:rPr>
        <w:t xml:space="preserve">   （采购人名称）   </w:t>
      </w:r>
      <w:r>
        <w:rPr>
          <w:rFonts w:hint="eastAsia" w:ascii="仿宋" w:hAnsi="仿宋" w:eastAsia="仿宋" w:cs="仿宋"/>
          <w:sz w:val="24"/>
          <w:lang w:val="zh-CN"/>
        </w:rPr>
        <w:t>(以下简称：甲方)和</w:t>
      </w:r>
      <w:r>
        <w:rPr>
          <w:rFonts w:hint="eastAsia" w:ascii="仿宋" w:hAnsi="仿宋" w:eastAsia="仿宋" w:cs="仿宋"/>
          <w:sz w:val="24"/>
          <w:u w:val="single"/>
        </w:rPr>
        <w:t xml:space="preserve">   （成交供应商名称）   </w:t>
      </w:r>
      <w:r>
        <w:rPr>
          <w:rFonts w:hint="eastAsia" w:ascii="仿宋" w:hAnsi="仿宋" w:eastAsia="仿宋" w:cs="仿宋"/>
          <w:sz w:val="24"/>
          <w:lang w:val="zh-CN"/>
        </w:rPr>
        <w:t>(以下简称：乙方)协商一致，约定以下合同</w:t>
      </w:r>
      <w:r>
        <w:rPr>
          <w:rFonts w:hint="eastAsia" w:ascii="仿宋" w:hAnsi="仿宋" w:eastAsia="仿宋" w:cs="仿宋"/>
          <w:sz w:val="24"/>
        </w:rPr>
        <w:t>条款，以兹共同遵守、全面履行。</w:t>
      </w:r>
    </w:p>
    <w:p w14:paraId="044F3018">
      <w:pPr>
        <w:spacing w:line="400" w:lineRule="exact"/>
        <w:ind w:firstLine="482" w:firstLineChars="200"/>
        <w:outlineLvl w:val="1"/>
        <w:rPr>
          <w:rFonts w:ascii="仿宋" w:hAnsi="仿宋" w:eastAsia="仿宋" w:cs="仿宋"/>
          <w:sz w:val="24"/>
        </w:rPr>
      </w:pPr>
      <w:bookmarkStart w:id="552" w:name="_Toc23100"/>
      <w:bookmarkStart w:id="553" w:name="_Toc8106"/>
      <w:bookmarkStart w:id="554" w:name="_Toc5753"/>
      <w:bookmarkStart w:id="555" w:name="_Toc4675"/>
      <w:bookmarkStart w:id="556" w:name="_Toc32571"/>
      <w:bookmarkStart w:id="557" w:name="_Toc3665"/>
      <w:bookmarkStart w:id="558" w:name="_Toc20421"/>
      <w:bookmarkStart w:id="559" w:name="_Toc20566"/>
      <w:bookmarkStart w:id="560" w:name="_Toc28855"/>
      <w:bookmarkStart w:id="561" w:name="_Toc18383"/>
      <w:bookmarkStart w:id="562" w:name="_Toc19273"/>
      <w:bookmarkStart w:id="563" w:name="_Toc20041"/>
      <w:bookmarkStart w:id="564" w:name="_Toc1256"/>
      <w:bookmarkStart w:id="565" w:name="_Toc13594"/>
      <w:bookmarkStart w:id="566" w:name="_Toc15367"/>
      <w:r>
        <w:rPr>
          <w:rFonts w:hint="eastAsia" w:ascii="仿宋" w:hAnsi="仿宋" w:eastAsia="仿宋" w:cs="仿宋"/>
          <w:b/>
          <w:sz w:val="24"/>
        </w:rPr>
        <w:t>1.1 合同组成部分</w:t>
      </w:r>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p>
    <w:p w14:paraId="34ED4C52">
      <w:pPr>
        <w:spacing w:line="400" w:lineRule="exact"/>
        <w:ind w:firstLine="480" w:firstLineChars="200"/>
        <w:rPr>
          <w:rFonts w:ascii="仿宋" w:hAnsi="仿宋" w:eastAsia="仿宋" w:cs="仿宋"/>
          <w:sz w:val="24"/>
        </w:rPr>
      </w:pPr>
      <w:r>
        <w:rPr>
          <w:rFonts w:hint="eastAsia" w:ascii="仿宋" w:hAnsi="仿宋" w:eastAsia="仿宋" w:cs="仿宋"/>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16D38F3C">
      <w:pPr>
        <w:spacing w:line="400" w:lineRule="exact"/>
        <w:ind w:firstLine="480" w:firstLineChars="200"/>
        <w:rPr>
          <w:rFonts w:ascii="仿宋" w:hAnsi="仿宋" w:eastAsia="仿宋" w:cs="仿宋"/>
          <w:sz w:val="24"/>
        </w:rPr>
      </w:pPr>
      <w:r>
        <w:rPr>
          <w:rFonts w:hint="eastAsia" w:ascii="仿宋" w:hAnsi="仿宋" w:eastAsia="仿宋" w:cs="仿宋"/>
          <w:sz w:val="24"/>
        </w:rPr>
        <w:t>1.1.1 本合同及其补充合同、变更协议；</w:t>
      </w:r>
    </w:p>
    <w:p w14:paraId="7FDCC982">
      <w:pPr>
        <w:spacing w:line="400" w:lineRule="exact"/>
        <w:ind w:firstLine="480" w:firstLineChars="200"/>
        <w:rPr>
          <w:rFonts w:ascii="仿宋" w:hAnsi="仿宋" w:eastAsia="仿宋" w:cs="仿宋"/>
          <w:sz w:val="24"/>
        </w:rPr>
      </w:pPr>
      <w:r>
        <w:rPr>
          <w:rFonts w:hint="eastAsia" w:ascii="仿宋" w:hAnsi="仿宋" w:eastAsia="仿宋" w:cs="仿宋"/>
          <w:sz w:val="24"/>
        </w:rPr>
        <w:t>1.1.2 成交通知书；</w:t>
      </w:r>
    </w:p>
    <w:p w14:paraId="6E86F22D">
      <w:pPr>
        <w:spacing w:line="400" w:lineRule="exact"/>
        <w:ind w:firstLine="480" w:firstLineChars="200"/>
        <w:rPr>
          <w:rFonts w:ascii="仿宋" w:hAnsi="仿宋" w:eastAsia="仿宋" w:cs="仿宋"/>
          <w:sz w:val="24"/>
        </w:rPr>
      </w:pPr>
      <w:r>
        <w:rPr>
          <w:rFonts w:hint="eastAsia" w:ascii="仿宋" w:hAnsi="仿宋" w:eastAsia="仿宋" w:cs="仿宋"/>
          <w:sz w:val="24"/>
        </w:rPr>
        <w:t>1.1.3 磋商文件（含澄清或者说明文件）；</w:t>
      </w:r>
    </w:p>
    <w:p w14:paraId="44556B9E">
      <w:pPr>
        <w:spacing w:line="400" w:lineRule="exact"/>
        <w:ind w:firstLine="480" w:firstLineChars="200"/>
        <w:rPr>
          <w:rFonts w:ascii="仿宋" w:hAnsi="仿宋" w:eastAsia="仿宋" w:cs="仿宋"/>
          <w:sz w:val="24"/>
        </w:rPr>
      </w:pPr>
      <w:r>
        <w:rPr>
          <w:rFonts w:hint="eastAsia" w:ascii="仿宋" w:hAnsi="仿宋" w:eastAsia="仿宋" w:cs="仿宋"/>
          <w:sz w:val="24"/>
        </w:rPr>
        <w:t>1.1.4 磋商文件（含澄清或者修改文件）；</w:t>
      </w:r>
    </w:p>
    <w:p w14:paraId="47333E69">
      <w:pPr>
        <w:spacing w:line="400" w:lineRule="exact"/>
        <w:ind w:firstLine="480" w:firstLineChars="200"/>
        <w:rPr>
          <w:rFonts w:ascii="仿宋" w:hAnsi="仿宋" w:eastAsia="仿宋" w:cs="仿宋"/>
          <w:sz w:val="24"/>
        </w:rPr>
      </w:pPr>
      <w:r>
        <w:rPr>
          <w:rFonts w:hint="eastAsia" w:ascii="仿宋" w:hAnsi="仿宋" w:eastAsia="仿宋" w:cs="仿宋"/>
          <w:sz w:val="24"/>
        </w:rPr>
        <w:t>1.1.5 其他相关采购文件。</w:t>
      </w:r>
    </w:p>
    <w:p w14:paraId="1E17D289">
      <w:pPr>
        <w:spacing w:line="400" w:lineRule="exact"/>
        <w:ind w:firstLine="482" w:firstLineChars="200"/>
        <w:outlineLvl w:val="1"/>
        <w:rPr>
          <w:rFonts w:ascii="仿宋" w:hAnsi="仿宋" w:eastAsia="仿宋" w:cs="仿宋"/>
          <w:b/>
          <w:sz w:val="24"/>
        </w:rPr>
      </w:pPr>
      <w:bookmarkStart w:id="567" w:name="_Toc6313"/>
      <w:bookmarkStart w:id="568" w:name="_Toc2918"/>
      <w:bookmarkStart w:id="569" w:name="_Toc15104"/>
      <w:bookmarkStart w:id="570" w:name="_Toc7878"/>
      <w:bookmarkStart w:id="571" w:name="_Toc18585"/>
      <w:bookmarkStart w:id="572" w:name="_Toc23275"/>
      <w:bookmarkStart w:id="573" w:name="_Toc1090"/>
      <w:bookmarkStart w:id="574" w:name="_Toc6311"/>
      <w:bookmarkStart w:id="575" w:name="_Toc24493"/>
      <w:bookmarkStart w:id="576" w:name="_Toc15369"/>
      <w:bookmarkStart w:id="577" w:name="_Toc18571"/>
      <w:bookmarkStart w:id="578" w:name="_Toc538"/>
      <w:bookmarkStart w:id="579" w:name="_Toc27911"/>
      <w:bookmarkStart w:id="580" w:name="_Toc22185"/>
      <w:bookmarkStart w:id="581" w:name="_Toc6773"/>
      <w:bookmarkStart w:id="582" w:name="_Toc31498"/>
      <w:r>
        <w:rPr>
          <w:rFonts w:hint="eastAsia" w:ascii="仿宋" w:hAnsi="仿宋" w:eastAsia="仿宋" w:cs="仿宋"/>
          <w:b/>
          <w:sz w:val="24"/>
        </w:rPr>
        <w:t>1.2 标的</w:t>
      </w:r>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p>
    <w:p w14:paraId="5E3A6F9D">
      <w:pPr>
        <w:spacing w:line="400" w:lineRule="exact"/>
        <w:ind w:firstLine="480" w:firstLineChars="200"/>
        <w:rPr>
          <w:rFonts w:ascii="仿宋" w:hAnsi="仿宋" w:eastAsia="仿宋" w:cs="仿宋"/>
          <w:sz w:val="24"/>
          <w:u w:val="single"/>
        </w:rPr>
      </w:pPr>
      <w:r>
        <w:rPr>
          <w:rFonts w:hint="eastAsia" w:ascii="仿宋" w:hAnsi="仿宋" w:eastAsia="仿宋" w:cs="仿宋"/>
          <w:sz w:val="24"/>
        </w:rPr>
        <w:t>1.2.1 标的名称：</w:t>
      </w:r>
      <w:r>
        <w:rPr>
          <w:rFonts w:hint="eastAsia" w:ascii="仿宋" w:hAnsi="仿宋" w:eastAsia="仿宋" w:cs="仿宋"/>
          <w:sz w:val="24"/>
          <w:u w:val="single"/>
        </w:rPr>
        <w:t xml:space="preserve">                                                </w:t>
      </w:r>
      <w:r>
        <w:rPr>
          <w:rFonts w:hint="eastAsia" w:ascii="仿宋" w:hAnsi="仿宋" w:eastAsia="仿宋" w:cs="仿宋"/>
          <w:sz w:val="24"/>
        </w:rPr>
        <w:t>；</w:t>
      </w:r>
    </w:p>
    <w:p w14:paraId="13C8F3F8">
      <w:pPr>
        <w:spacing w:line="400" w:lineRule="exact"/>
        <w:ind w:firstLine="480" w:firstLineChars="200"/>
        <w:rPr>
          <w:rFonts w:ascii="仿宋" w:hAnsi="仿宋" w:eastAsia="仿宋" w:cs="仿宋"/>
          <w:sz w:val="24"/>
          <w:u w:val="single"/>
        </w:rPr>
      </w:pPr>
      <w:r>
        <w:rPr>
          <w:rFonts w:hint="eastAsia" w:ascii="仿宋" w:hAnsi="仿宋" w:eastAsia="仿宋" w:cs="仿宋"/>
          <w:sz w:val="24"/>
        </w:rPr>
        <w:t>1.2.2 标的数量：</w:t>
      </w:r>
      <w:r>
        <w:rPr>
          <w:rFonts w:hint="eastAsia" w:ascii="仿宋" w:hAnsi="仿宋" w:eastAsia="仿宋" w:cs="仿宋"/>
          <w:sz w:val="24"/>
          <w:u w:val="single"/>
        </w:rPr>
        <w:t xml:space="preserve">                                                </w:t>
      </w:r>
      <w:r>
        <w:rPr>
          <w:rFonts w:hint="eastAsia" w:ascii="仿宋" w:hAnsi="仿宋" w:eastAsia="仿宋" w:cs="仿宋"/>
          <w:sz w:val="24"/>
        </w:rPr>
        <w:t>；</w:t>
      </w:r>
    </w:p>
    <w:p w14:paraId="36FB45AD">
      <w:pPr>
        <w:spacing w:line="400" w:lineRule="exact"/>
        <w:ind w:firstLine="480" w:firstLineChars="200"/>
        <w:rPr>
          <w:rFonts w:ascii="仿宋" w:hAnsi="仿宋" w:eastAsia="仿宋" w:cs="仿宋"/>
          <w:sz w:val="24"/>
        </w:rPr>
      </w:pPr>
      <w:r>
        <w:rPr>
          <w:rFonts w:hint="eastAsia" w:ascii="仿宋" w:hAnsi="仿宋" w:eastAsia="仿宋" w:cs="仿宋"/>
          <w:sz w:val="24"/>
        </w:rPr>
        <w:t>1.2.3 标的质量：</w:t>
      </w:r>
      <w:r>
        <w:rPr>
          <w:rFonts w:hint="eastAsia" w:ascii="仿宋" w:hAnsi="仿宋" w:eastAsia="仿宋" w:cs="仿宋"/>
          <w:sz w:val="24"/>
          <w:u w:val="single"/>
        </w:rPr>
        <w:t xml:space="preserve">　　　　　　　　　                      　      </w:t>
      </w:r>
      <w:r>
        <w:rPr>
          <w:rFonts w:hint="eastAsia" w:ascii="仿宋" w:hAnsi="仿宋" w:eastAsia="仿宋" w:cs="仿宋"/>
          <w:sz w:val="24"/>
        </w:rPr>
        <w:t>。</w:t>
      </w:r>
    </w:p>
    <w:p w14:paraId="094AE30E">
      <w:pPr>
        <w:spacing w:line="400" w:lineRule="exact"/>
        <w:ind w:firstLine="482" w:firstLineChars="200"/>
        <w:outlineLvl w:val="1"/>
        <w:rPr>
          <w:rFonts w:ascii="仿宋" w:hAnsi="仿宋" w:eastAsia="仿宋" w:cs="仿宋"/>
          <w:b/>
          <w:sz w:val="24"/>
        </w:rPr>
      </w:pPr>
      <w:bookmarkStart w:id="583" w:name="_Toc4929"/>
      <w:bookmarkStart w:id="584" w:name="_Toc4932"/>
      <w:bookmarkStart w:id="585" w:name="_Toc21124"/>
      <w:bookmarkStart w:id="586" w:name="_Toc1386"/>
      <w:bookmarkStart w:id="587" w:name="_Toc23906"/>
      <w:bookmarkStart w:id="588" w:name="_Toc13512"/>
      <w:bookmarkStart w:id="589" w:name="_Toc10671"/>
      <w:bookmarkStart w:id="590" w:name="_Toc32314"/>
      <w:bookmarkStart w:id="591" w:name="_Toc19129"/>
      <w:bookmarkStart w:id="592" w:name="_Toc13554"/>
      <w:bookmarkStart w:id="593" w:name="_Toc13918"/>
      <w:bookmarkStart w:id="594" w:name="_Toc27077"/>
      <w:bookmarkStart w:id="595" w:name="_Toc5635"/>
      <w:bookmarkStart w:id="596" w:name="_Toc2888"/>
      <w:bookmarkStart w:id="597" w:name="_Toc17541"/>
      <w:bookmarkStart w:id="598" w:name="_Toc23026"/>
      <w:r>
        <w:rPr>
          <w:rFonts w:hint="eastAsia" w:ascii="仿宋" w:hAnsi="仿宋" w:eastAsia="仿宋" w:cs="仿宋"/>
          <w:b/>
          <w:sz w:val="24"/>
        </w:rPr>
        <w:t>1.3 价款</w:t>
      </w:r>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p>
    <w:p w14:paraId="29F9F86B">
      <w:pPr>
        <w:spacing w:line="400" w:lineRule="exact"/>
        <w:ind w:firstLine="480" w:firstLineChars="200"/>
        <w:rPr>
          <w:rFonts w:ascii="仿宋" w:hAnsi="仿宋" w:eastAsia="仿宋" w:cs="仿宋"/>
          <w:sz w:val="24"/>
        </w:rPr>
      </w:pPr>
      <w:r>
        <w:rPr>
          <w:rFonts w:hint="eastAsia" w:ascii="仿宋" w:hAnsi="仿宋" w:eastAsia="仿宋" w:cs="仿宋"/>
          <w:sz w:val="24"/>
        </w:rPr>
        <w:t>本合同总价为：￥</w:t>
      </w:r>
      <w:r>
        <w:rPr>
          <w:rFonts w:hint="eastAsia" w:ascii="仿宋" w:hAnsi="仿宋" w:eastAsia="仿宋" w:cs="仿宋"/>
          <w:sz w:val="24"/>
          <w:u w:val="single"/>
        </w:rPr>
        <w:t xml:space="preserve">           </w:t>
      </w:r>
      <w:r>
        <w:rPr>
          <w:rFonts w:hint="eastAsia" w:ascii="仿宋" w:hAnsi="仿宋" w:eastAsia="仿宋" w:cs="仿宋"/>
          <w:sz w:val="24"/>
        </w:rPr>
        <w:t>元（大写：</w:t>
      </w:r>
      <w:r>
        <w:rPr>
          <w:rFonts w:hint="eastAsia" w:ascii="仿宋" w:hAnsi="仿宋" w:eastAsia="仿宋" w:cs="仿宋"/>
          <w:sz w:val="24"/>
          <w:u w:val="single"/>
        </w:rPr>
        <w:t xml:space="preserve">                 </w:t>
      </w:r>
      <w:r>
        <w:rPr>
          <w:rFonts w:hint="eastAsia" w:ascii="仿宋" w:hAnsi="仿宋" w:eastAsia="仿宋" w:cs="仿宋"/>
          <w:sz w:val="24"/>
        </w:rPr>
        <w:t>元人民币）。</w:t>
      </w:r>
    </w:p>
    <w:p w14:paraId="02E1E3DC">
      <w:pPr>
        <w:spacing w:line="400" w:lineRule="exact"/>
        <w:ind w:firstLine="480" w:firstLineChars="200"/>
        <w:rPr>
          <w:rFonts w:ascii="仿宋" w:hAnsi="仿宋" w:eastAsia="仿宋" w:cs="仿宋"/>
          <w:sz w:val="24"/>
          <w:u w:val="single"/>
        </w:rPr>
      </w:pPr>
      <w:r>
        <w:rPr>
          <w:rFonts w:hint="eastAsia" w:ascii="仿宋" w:hAnsi="仿宋" w:eastAsia="仿宋" w:cs="仿宋"/>
          <w:sz w:val="24"/>
        </w:rPr>
        <w:t>分项价格：</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4B31DB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356590A">
            <w:pPr>
              <w:pStyle w:val="37"/>
              <w:spacing w:line="400" w:lineRule="exact"/>
              <w:jc w:val="center"/>
              <w:rPr>
                <w:rFonts w:ascii="仿宋" w:hAnsi="仿宋" w:eastAsia="仿宋" w:cs="仿宋"/>
                <w:kern w:val="2"/>
                <w:sz w:val="24"/>
                <w:szCs w:val="24"/>
              </w:rPr>
            </w:pPr>
            <w:r>
              <w:rPr>
                <w:rFonts w:hint="eastAsia" w:ascii="仿宋" w:hAnsi="仿宋" w:eastAsia="仿宋" w:cs="仿宋"/>
                <w:kern w:val="2"/>
                <w:sz w:val="24"/>
                <w:szCs w:val="24"/>
              </w:rPr>
              <w:t>序号</w:t>
            </w:r>
          </w:p>
        </w:tc>
        <w:tc>
          <w:tcPr>
            <w:tcW w:w="3402" w:type="dxa"/>
            <w:vAlign w:val="center"/>
          </w:tcPr>
          <w:p w14:paraId="15DD87D5">
            <w:pPr>
              <w:pStyle w:val="37"/>
              <w:spacing w:line="400" w:lineRule="exact"/>
              <w:ind w:firstLine="200"/>
              <w:jc w:val="center"/>
              <w:rPr>
                <w:rFonts w:ascii="仿宋" w:hAnsi="仿宋" w:eastAsia="仿宋" w:cs="仿宋"/>
                <w:kern w:val="2"/>
                <w:sz w:val="24"/>
                <w:szCs w:val="24"/>
              </w:rPr>
            </w:pPr>
            <w:r>
              <w:rPr>
                <w:rFonts w:hint="eastAsia" w:ascii="仿宋" w:hAnsi="仿宋" w:eastAsia="仿宋" w:cs="仿宋"/>
                <w:kern w:val="2"/>
                <w:sz w:val="24"/>
                <w:szCs w:val="24"/>
              </w:rPr>
              <w:t>分项名称</w:t>
            </w:r>
          </w:p>
        </w:tc>
        <w:tc>
          <w:tcPr>
            <w:tcW w:w="2552" w:type="dxa"/>
            <w:vAlign w:val="center"/>
          </w:tcPr>
          <w:p w14:paraId="18A2D5EC">
            <w:pPr>
              <w:pStyle w:val="37"/>
              <w:spacing w:line="400" w:lineRule="exact"/>
              <w:jc w:val="center"/>
              <w:rPr>
                <w:rFonts w:ascii="仿宋" w:hAnsi="仿宋" w:eastAsia="仿宋" w:cs="仿宋"/>
                <w:kern w:val="2"/>
                <w:sz w:val="24"/>
                <w:szCs w:val="24"/>
              </w:rPr>
            </w:pPr>
            <w:r>
              <w:rPr>
                <w:rFonts w:hint="eastAsia" w:ascii="仿宋" w:hAnsi="仿宋" w:eastAsia="仿宋" w:cs="仿宋"/>
                <w:kern w:val="2"/>
                <w:sz w:val="24"/>
                <w:szCs w:val="24"/>
              </w:rPr>
              <w:t>分项价格</w:t>
            </w:r>
          </w:p>
        </w:tc>
      </w:tr>
      <w:tr w14:paraId="34CBA7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D548490">
            <w:pPr>
              <w:pStyle w:val="37"/>
              <w:spacing w:line="400" w:lineRule="exact"/>
              <w:ind w:firstLine="200"/>
              <w:jc w:val="center"/>
              <w:rPr>
                <w:rFonts w:ascii="仿宋" w:hAnsi="仿宋" w:eastAsia="仿宋" w:cs="仿宋"/>
                <w:kern w:val="2"/>
                <w:sz w:val="24"/>
                <w:szCs w:val="24"/>
              </w:rPr>
            </w:pPr>
          </w:p>
        </w:tc>
        <w:tc>
          <w:tcPr>
            <w:tcW w:w="3402" w:type="dxa"/>
            <w:vAlign w:val="center"/>
          </w:tcPr>
          <w:p w14:paraId="30CE5FE8">
            <w:pPr>
              <w:pStyle w:val="37"/>
              <w:spacing w:line="400" w:lineRule="exact"/>
              <w:ind w:firstLine="200"/>
              <w:jc w:val="center"/>
              <w:rPr>
                <w:rFonts w:ascii="仿宋" w:hAnsi="仿宋" w:eastAsia="仿宋" w:cs="仿宋"/>
                <w:kern w:val="2"/>
                <w:sz w:val="24"/>
                <w:szCs w:val="24"/>
              </w:rPr>
            </w:pPr>
          </w:p>
        </w:tc>
        <w:tc>
          <w:tcPr>
            <w:tcW w:w="2552" w:type="dxa"/>
            <w:vAlign w:val="center"/>
          </w:tcPr>
          <w:p w14:paraId="232DF2B7">
            <w:pPr>
              <w:pStyle w:val="37"/>
              <w:spacing w:line="400" w:lineRule="exact"/>
              <w:ind w:firstLine="200"/>
              <w:jc w:val="center"/>
              <w:rPr>
                <w:rFonts w:ascii="仿宋" w:hAnsi="仿宋" w:eastAsia="仿宋" w:cs="仿宋"/>
                <w:kern w:val="2"/>
                <w:sz w:val="24"/>
                <w:szCs w:val="24"/>
              </w:rPr>
            </w:pPr>
          </w:p>
        </w:tc>
      </w:tr>
      <w:tr w14:paraId="18A88D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2744993">
            <w:pPr>
              <w:pStyle w:val="37"/>
              <w:spacing w:line="400" w:lineRule="exact"/>
              <w:ind w:firstLine="200"/>
              <w:jc w:val="center"/>
              <w:rPr>
                <w:rFonts w:ascii="仿宋" w:hAnsi="仿宋" w:eastAsia="仿宋" w:cs="仿宋"/>
                <w:kern w:val="2"/>
                <w:sz w:val="24"/>
                <w:szCs w:val="24"/>
              </w:rPr>
            </w:pPr>
          </w:p>
        </w:tc>
        <w:tc>
          <w:tcPr>
            <w:tcW w:w="3402" w:type="dxa"/>
            <w:vAlign w:val="center"/>
          </w:tcPr>
          <w:p w14:paraId="70FB42A4">
            <w:pPr>
              <w:pStyle w:val="37"/>
              <w:spacing w:line="400" w:lineRule="exact"/>
              <w:ind w:firstLine="200"/>
              <w:jc w:val="center"/>
              <w:rPr>
                <w:rFonts w:ascii="仿宋" w:hAnsi="仿宋" w:eastAsia="仿宋" w:cs="仿宋"/>
                <w:kern w:val="2"/>
                <w:sz w:val="24"/>
                <w:szCs w:val="24"/>
              </w:rPr>
            </w:pPr>
          </w:p>
        </w:tc>
        <w:tc>
          <w:tcPr>
            <w:tcW w:w="2552" w:type="dxa"/>
            <w:vAlign w:val="center"/>
          </w:tcPr>
          <w:p w14:paraId="08350FFB">
            <w:pPr>
              <w:pStyle w:val="37"/>
              <w:spacing w:line="400" w:lineRule="exact"/>
              <w:ind w:firstLine="200"/>
              <w:jc w:val="center"/>
              <w:rPr>
                <w:rFonts w:ascii="仿宋" w:hAnsi="仿宋" w:eastAsia="仿宋" w:cs="仿宋"/>
                <w:kern w:val="2"/>
                <w:sz w:val="24"/>
                <w:szCs w:val="24"/>
              </w:rPr>
            </w:pPr>
          </w:p>
        </w:tc>
      </w:tr>
      <w:tr w14:paraId="28381C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DFD1BD3">
            <w:pPr>
              <w:pStyle w:val="37"/>
              <w:spacing w:line="400" w:lineRule="exact"/>
              <w:ind w:firstLine="200"/>
              <w:jc w:val="center"/>
              <w:rPr>
                <w:rFonts w:ascii="仿宋" w:hAnsi="仿宋" w:eastAsia="仿宋" w:cs="仿宋"/>
                <w:kern w:val="2"/>
                <w:sz w:val="24"/>
                <w:szCs w:val="24"/>
              </w:rPr>
            </w:pPr>
          </w:p>
        </w:tc>
        <w:tc>
          <w:tcPr>
            <w:tcW w:w="3402" w:type="dxa"/>
            <w:vAlign w:val="center"/>
          </w:tcPr>
          <w:p w14:paraId="0B8B5CB8">
            <w:pPr>
              <w:pStyle w:val="37"/>
              <w:spacing w:line="400" w:lineRule="exact"/>
              <w:ind w:firstLine="200"/>
              <w:jc w:val="center"/>
              <w:rPr>
                <w:rFonts w:ascii="仿宋" w:hAnsi="仿宋" w:eastAsia="仿宋" w:cs="仿宋"/>
                <w:kern w:val="2"/>
                <w:sz w:val="24"/>
                <w:szCs w:val="24"/>
              </w:rPr>
            </w:pPr>
          </w:p>
        </w:tc>
        <w:tc>
          <w:tcPr>
            <w:tcW w:w="2552" w:type="dxa"/>
            <w:vAlign w:val="center"/>
          </w:tcPr>
          <w:p w14:paraId="64AD3C90">
            <w:pPr>
              <w:pStyle w:val="37"/>
              <w:spacing w:line="400" w:lineRule="exact"/>
              <w:ind w:firstLine="200"/>
              <w:jc w:val="center"/>
              <w:rPr>
                <w:rFonts w:ascii="仿宋" w:hAnsi="仿宋" w:eastAsia="仿宋" w:cs="仿宋"/>
                <w:kern w:val="2"/>
                <w:sz w:val="24"/>
                <w:szCs w:val="24"/>
              </w:rPr>
            </w:pPr>
          </w:p>
        </w:tc>
      </w:tr>
      <w:tr w14:paraId="3F077F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DD71C7E">
            <w:pPr>
              <w:pStyle w:val="37"/>
              <w:spacing w:line="400" w:lineRule="exact"/>
              <w:ind w:firstLine="200"/>
              <w:jc w:val="center"/>
              <w:rPr>
                <w:rFonts w:ascii="仿宋" w:hAnsi="仿宋" w:eastAsia="仿宋" w:cs="仿宋"/>
                <w:kern w:val="2"/>
                <w:sz w:val="24"/>
                <w:szCs w:val="24"/>
              </w:rPr>
            </w:pPr>
          </w:p>
        </w:tc>
        <w:tc>
          <w:tcPr>
            <w:tcW w:w="3402" w:type="dxa"/>
            <w:vAlign w:val="center"/>
          </w:tcPr>
          <w:p w14:paraId="38046577">
            <w:pPr>
              <w:pStyle w:val="37"/>
              <w:spacing w:line="400" w:lineRule="exact"/>
              <w:ind w:firstLine="200"/>
              <w:jc w:val="center"/>
              <w:rPr>
                <w:rFonts w:ascii="仿宋" w:hAnsi="仿宋" w:eastAsia="仿宋" w:cs="仿宋"/>
                <w:kern w:val="2"/>
                <w:sz w:val="24"/>
                <w:szCs w:val="24"/>
              </w:rPr>
            </w:pPr>
          </w:p>
        </w:tc>
        <w:tc>
          <w:tcPr>
            <w:tcW w:w="2552" w:type="dxa"/>
            <w:vAlign w:val="center"/>
          </w:tcPr>
          <w:p w14:paraId="2AF1EFBF">
            <w:pPr>
              <w:pStyle w:val="37"/>
              <w:spacing w:line="400" w:lineRule="exact"/>
              <w:ind w:firstLine="200"/>
              <w:jc w:val="center"/>
              <w:rPr>
                <w:rFonts w:ascii="仿宋" w:hAnsi="仿宋" w:eastAsia="仿宋" w:cs="仿宋"/>
                <w:kern w:val="2"/>
                <w:sz w:val="24"/>
                <w:szCs w:val="24"/>
              </w:rPr>
            </w:pPr>
          </w:p>
        </w:tc>
      </w:tr>
      <w:tr w14:paraId="5565AB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111B618D">
            <w:pPr>
              <w:pStyle w:val="37"/>
              <w:spacing w:line="400" w:lineRule="exact"/>
              <w:ind w:firstLine="200"/>
              <w:jc w:val="center"/>
              <w:rPr>
                <w:rFonts w:ascii="仿宋" w:hAnsi="仿宋" w:eastAsia="仿宋" w:cs="仿宋"/>
                <w:kern w:val="2"/>
                <w:sz w:val="24"/>
                <w:szCs w:val="24"/>
              </w:rPr>
            </w:pPr>
            <w:r>
              <w:rPr>
                <w:rFonts w:hint="eastAsia" w:ascii="仿宋" w:hAnsi="仿宋" w:eastAsia="仿宋" w:cs="仿宋"/>
                <w:kern w:val="2"/>
                <w:sz w:val="24"/>
                <w:szCs w:val="24"/>
              </w:rPr>
              <w:t>总价</w:t>
            </w:r>
          </w:p>
        </w:tc>
        <w:tc>
          <w:tcPr>
            <w:tcW w:w="2552" w:type="dxa"/>
            <w:vAlign w:val="center"/>
          </w:tcPr>
          <w:p w14:paraId="33F779BD">
            <w:pPr>
              <w:pStyle w:val="37"/>
              <w:spacing w:line="400" w:lineRule="exact"/>
              <w:ind w:firstLine="200"/>
              <w:jc w:val="center"/>
              <w:rPr>
                <w:rFonts w:ascii="仿宋" w:hAnsi="仿宋" w:eastAsia="仿宋" w:cs="仿宋"/>
                <w:kern w:val="2"/>
                <w:sz w:val="24"/>
                <w:szCs w:val="24"/>
              </w:rPr>
            </w:pPr>
          </w:p>
        </w:tc>
      </w:tr>
    </w:tbl>
    <w:p w14:paraId="0D43E663">
      <w:pPr>
        <w:spacing w:line="400" w:lineRule="exact"/>
        <w:ind w:firstLine="482" w:firstLineChars="200"/>
        <w:outlineLvl w:val="1"/>
        <w:rPr>
          <w:rFonts w:ascii="仿宋" w:hAnsi="仿宋" w:eastAsia="仿宋" w:cs="仿宋"/>
          <w:b/>
          <w:sz w:val="24"/>
        </w:rPr>
      </w:pPr>
      <w:bookmarkStart w:id="599" w:name="_Toc19221"/>
      <w:bookmarkStart w:id="600" w:name="_Toc19143"/>
      <w:bookmarkStart w:id="601" w:name="_Toc23005"/>
      <w:bookmarkStart w:id="602" w:name="_Toc8041"/>
      <w:bookmarkStart w:id="603" w:name="_Toc30158"/>
      <w:bookmarkStart w:id="604" w:name="_Toc30506"/>
      <w:bookmarkStart w:id="605" w:name="_Toc3654"/>
      <w:bookmarkStart w:id="606" w:name="_Toc23173"/>
      <w:bookmarkStart w:id="607" w:name="_Toc25910"/>
      <w:bookmarkStart w:id="608" w:name="_Toc32305"/>
      <w:bookmarkStart w:id="609" w:name="_Toc7832"/>
      <w:bookmarkStart w:id="610" w:name="_Toc17855"/>
      <w:bookmarkStart w:id="611" w:name="_Toc21059"/>
      <w:bookmarkStart w:id="612" w:name="_Toc26916"/>
      <w:bookmarkStart w:id="613" w:name="_Toc6998"/>
      <w:bookmarkStart w:id="614" w:name="_Toc14993"/>
      <w:r>
        <w:rPr>
          <w:rFonts w:hint="eastAsia" w:ascii="仿宋" w:hAnsi="仿宋" w:eastAsia="仿宋" w:cs="仿宋"/>
          <w:b/>
          <w:sz w:val="24"/>
        </w:rPr>
        <w:t>1.4 付款方式和发票开具方式</w:t>
      </w:r>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p>
    <w:p w14:paraId="6B922DF3">
      <w:pPr>
        <w:spacing w:line="400" w:lineRule="exact"/>
        <w:ind w:firstLine="480" w:firstLineChars="200"/>
        <w:rPr>
          <w:rFonts w:ascii="仿宋" w:hAnsi="仿宋" w:eastAsia="仿宋" w:cs="仿宋"/>
          <w:sz w:val="24"/>
        </w:rPr>
      </w:pPr>
      <w:r>
        <w:rPr>
          <w:rFonts w:hint="eastAsia" w:ascii="仿宋" w:hAnsi="仿宋" w:eastAsia="仿宋" w:cs="仿宋"/>
          <w:sz w:val="24"/>
        </w:rPr>
        <w:t>1.4.1付款方式：</w:t>
      </w:r>
      <w:r>
        <w:rPr>
          <w:rFonts w:hint="eastAsia" w:ascii="仿宋" w:hAnsi="仿宋" w:eastAsia="仿宋" w:cs="仿宋"/>
          <w:sz w:val="24"/>
          <w:u w:val="single"/>
        </w:rPr>
        <w:t xml:space="preserve">                                                </w:t>
      </w:r>
      <w:r>
        <w:rPr>
          <w:rFonts w:hint="eastAsia" w:ascii="仿宋" w:hAnsi="仿宋" w:eastAsia="仿宋" w:cs="仿宋"/>
          <w:sz w:val="24"/>
        </w:rPr>
        <w:t>；</w:t>
      </w:r>
    </w:p>
    <w:p w14:paraId="222383DC">
      <w:pPr>
        <w:spacing w:line="400" w:lineRule="exact"/>
        <w:ind w:firstLine="480" w:firstLineChars="200"/>
        <w:rPr>
          <w:rFonts w:ascii="仿宋" w:hAnsi="仿宋" w:eastAsia="仿宋" w:cs="仿宋"/>
          <w:sz w:val="24"/>
        </w:rPr>
      </w:pPr>
      <w:r>
        <w:rPr>
          <w:rFonts w:hint="eastAsia" w:ascii="仿宋" w:hAnsi="仿宋" w:eastAsia="仿宋" w:cs="仿宋"/>
          <w:sz w:val="24"/>
        </w:rPr>
        <w:t>1.4.2 发票开具方式：</w:t>
      </w:r>
      <w:r>
        <w:rPr>
          <w:rFonts w:hint="eastAsia" w:ascii="仿宋" w:hAnsi="仿宋" w:eastAsia="仿宋" w:cs="仿宋"/>
          <w:sz w:val="24"/>
          <w:u w:val="single"/>
        </w:rPr>
        <w:t xml:space="preserve">                                            </w:t>
      </w:r>
      <w:r>
        <w:rPr>
          <w:rFonts w:hint="eastAsia" w:ascii="仿宋" w:hAnsi="仿宋" w:eastAsia="仿宋" w:cs="仿宋"/>
          <w:sz w:val="24"/>
        </w:rPr>
        <w:t>。</w:t>
      </w:r>
    </w:p>
    <w:p w14:paraId="0FB73431">
      <w:pPr>
        <w:spacing w:line="400" w:lineRule="exact"/>
        <w:ind w:firstLine="482" w:firstLineChars="200"/>
        <w:outlineLvl w:val="1"/>
        <w:rPr>
          <w:rFonts w:ascii="仿宋" w:hAnsi="仿宋" w:eastAsia="仿宋" w:cs="仿宋"/>
          <w:b/>
          <w:sz w:val="24"/>
        </w:rPr>
      </w:pPr>
      <w:bookmarkStart w:id="615" w:name="_Toc31421"/>
      <w:bookmarkStart w:id="616" w:name="_Toc23903"/>
      <w:bookmarkStart w:id="617" w:name="_Toc3007"/>
      <w:bookmarkStart w:id="618" w:name="_Toc21606"/>
      <w:bookmarkStart w:id="619" w:name="_Toc4760"/>
      <w:bookmarkStart w:id="620" w:name="_Toc3625"/>
      <w:bookmarkStart w:id="621" w:name="_Toc28212"/>
      <w:bookmarkStart w:id="622" w:name="_Toc17889"/>
      <w:bookmarkStart w:id="623" w:name="_Toc32135"/>
      <w:bookmarkStart w:id="624" w:name="_Toc24233"/>
      <w:bookmarkStart w:id="625" w:name="_Toc4301"/>
      <w:bookmarkStart w:id="626" w:name="_Toc12261"/>
      <w:bookmarkStart w:id="627" w:name="_Toc8772"/>
      <w:bookmarkStart w:id="628" w:name="_Toc3251"/>
      <w:bookmarkStart w:id="629" w:name="_Toc7461"/>
      <w:bookmarkStart w:id="630" w:name="_Toc11108"/>
      <w:r>
        <w:rPr>
          <w:rFonts w:hint="eastAsia" w:ascii="仿宋" w:hAnsi="仿宋" w:eastAsia="仿宋" w:cs="仿宋"/>
          <w:b/>
          <w:sz w:val="24"/>
        </w:rPr>
        <w:t>1.5 履行期限、地点和方式</w:t>
      </w:r>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p>
    <w:p w14:paraId="142CE9AA">
      <w:pPr>
        <w:spacing w:line="400" w:lineRule="exact"/>
        <w:ind w:firstLine="480" w:firstLineChars="200"/>
        <w:rPr>
          <w:rFonts w:ascii="仿宋" w:hAnsi="仿宋" w:eastAsia="仿宋" w:cs="仿宋"/>
          <w:sz w:val="24"/>
          <w:u w:val="single"/>
        </w:rPr>
      </w:pPr>
      <w:r>
        <w:rPr>
          <w:rFonts w:hint="eastAsia" w:ascii="仿宋" w:hAnsi="仿宋" w:eastAsia="仿宋" w:cs="仿宋"/>
          <w:sz w:val="24"/>
        </w:rPr>
        <w:t>1.5.1 履行期限：</w:t>
      </w:r>
      <w:r>
        <w:rPr>
          <w:rFonts w:hint="eastAsia" w:ascii="仿宋" w:hAnsi="仿宋" w:eastAsia="仿宋" w:cs="仿宋"/>
          <w:sz w:val="24"/>
          <w:u w:val="single"/>
        </w:rPr>
        <w:t xml:space="preserve">                                                </w:t>
      </w:r>
      <w:r>
        <w:rPr>
          <w:rFonts w:hint="eastAsia" w:ascii="仿宋" w:hAnsi="仿宋" w:eastAsia="仿宋" w:cs="仿宋"/>
          <w:sz w:val="24"/>
        </w:rPr>
        <w:t>；</w:t>
      </w:r>
    </w:p>
    <w:p w14:paraId="4581EFAC">
      <w:pPr>
        <w:spacing w:line="400" w:lineRule="exact"/>
        <w:ind w:firstLine="480" w:firstLineChars="200"/>
        <w:rPr>
          <w:rFonts w:ascii="仿宋" w:hAnsi="仿宋" w:eastAsia="仿宋" w:cs="仿宋"/>
          <w:sz w:val="24"/>
        </w:rPr>
      </w:pPr>
      <w:r>
        <w:rPr>
          <w:rFonts w:hint="eastAsia" w:ascii="仿宋" w:hAnsi="仿宋" w:eastAsia="仿宋" w:cs="仿宋"/>
          <w:sz w:val="24"/>
        </w:rPr>
        <w:t>1.5.2 履行地点：</w:t>
      </w:r>
      <w:r>
        <w:rPr>
          <w:rFonts w:hint="eastAsia" w:ascii="仿宋" w:hAnsi="仿宋" w:eastAsia="仿宋" w:cs="仿宋"/>
          <w:sz w:val="24"/>
          <w:u w:val="single"/>
        </w:rPr>
        <w:t xml:space="preserve">                                                </w:t>
      </w:r>
      <w:r>
        <w:rPr>
          <w:rFonts w:hint="eastAsia" w:ascii="仿宋" w:hAnsi="仿宋" w:eastAsia="仿宋" w:cs="仿宋"/>
          <w:sz w:val="24"/>
        </w:rPr>
        <w:t>；</w:t>
      </w:r>
    </w:p>
    <w:p w14:paraId="2663285F">
      <w:pPr>
        <w:spacing w:line="400" w:lineRule="exact"/>
        <w:ind w:firstLine="480" w:firstLineChars="200"/>
        <w:rPr>
          <w:rFonts w:ascii="仿宋" w:hAnsi="仿宋" w:eastAsia="仿宋" w:cs="仿宋"/>
          <w:sz w:val="24"/>
        </w:rPr>
      </w:pPr>
      <w:r>
        <w:rPr>
          <w:rFonts w:hint="eastAsia" w:ascii="仿宋" w:hAnsi="仿宋" w:eastAsia="仿宋" w:cs="仿宋"/>
          <w:sz w:val="24"/>
        </w:rPr>
        <w:t>1.5.3 履行方式：</w:t>
      </w:r>
      <w:r>
        <w:rPr>
          <w:rFonts w:hint="eastAsia" w:ascii="仿宋" w:hAnsi="仿宋" w:eastAsia="仿宋" w:cs="仿宋"/>
          <w:sz w:val="24"/>
          <w:u w:val="single"/>
        </w:rPr>
        <w:t xml:space="preserve">　　　　　　　　　                      　      </w:t>
      </w:r>
      <w:r>
        <w:rPr>
          <w:rFonts w:hint="eastAsia" w:ascii="仿宋" w:hAnsi="仿宋" w:eastAsia="仿宋" w:cs="仿宋"/>
          <w:sz w:val="24"/>
        </w:rPr>
        <w:t>。</w:t>
      </w:r>
    </w:p>
    <w:p w14:paraId="4864D165">
      <w:pPr>
        <w:spacing w:line="400" w:lineRule="exact"/>
        <w:ind w:firstLine="482" w:firstLineChars="200"/>
        <w:outlineLvl w:val="1"/>
        <w:rPr>
          <w:rFonts w:ascii="仿宋" w:hAnsi="仿宋" w:eastAsia="仿宋" w:cs="仿宋"/>
          <w:sz w:val="24"/>
          <w:u w:val="single"/>
        </w:rPr>
      </w:pPr>
      <w:bookmarkStart w:id="631" w:name="_Toc16708"/>
      <w:bookmarkStart w:id="632" w:name="_Toc24662"/>
      <w:bookmarkStart w:id="633" w:name="_Toc3079"/>
      <w:bookmarkStart w:id="634" w:name="_Toc2375"/>
      <w:bookmarkStart w:id="635" w:name="_Toc5698"/>
      <w:bookmarkStart w:id="636" w:name="_Toc18326"/>
      <w:bookmarkStart w:id="637" w:name="_Toc5863"/>
      <w:bookmarkStart w:id="638" w:name="_Toc5418"/>
      <w:bookmarkStart w:id="639" w:name="_Toc27990"/>
      <w:bookmarkStart w:id="640" w:name="_Toc18474"/>
      <w:bookmarkStart w:id="641" w:name="_Toc10490"/>
      <w:bookmarkStart w:id="642" w:name="_Toc17443"/>
      <w:bookmarkStart w:id="643" w:name="_Toc12514"/>
      <w:bookmarkStart w:id="644" w:name="_Toc8586"/>
      <w:bookmarkStart w:id="645" w:name="_Toc3290"/>
      <w:r>
        <w:rPr>
          <w:rFonts w:hint="eastAsia" w:ascii="仿宋" w:hAnsi="仿宋" w:eastAsia="仿宋" w:cs="仿宋"/>
          <w:b/>
          <w:sz w:val="24"/>
        </w:rPr>
        <w:t>1.6 违约责任</w:t>
      </w:r>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p>
    <w:p w14:paraId="35C37F7F">
      <w:pPr>
        <w:spacing w:line="400" w:lineRule="exact"/>
        <w:ind w:firstLine="480" w:firstLineChars="200"/>
        <w:rPr>
          <w:rFonts w:ascii="仿宋" w:hAnsi="仿宋" w:eastAsia="仿宋" w:cs="仿宋"/>
          <w:sz w:val="24"/>
        </w:rPr>
      </w:pPr>
      <w:r>
        <w:rPr>
          <w:rFonts w:hint="eastAsia" w:ascii="仿宋" w:hAnsi="仿宋" w:eastAsia="仿宋" w:cs="仿宋"/>
          <w:sz w:val="24"/>
        </w:rPr>
        <w:t>1.6.1 除不可抗力外，如果乙方没有按照本合同约定的期限、地点和方式履行，那么甲方可要求乙方支付违约金，违约金按每迟延履行一日的应提供而未提供服务价格的</w:t>
      </w:r>
      <w:r>
        <w:rPr>
          <w:rFonts w:hint="eastAsia" w:ascii="仿宋" w:hAnsi="仿宋" w:eastAsia="仿宋" w:cs="仿宋"/>
          <w:sz w:val="24"/>
          <w:u w:val="single"/>
        </w:rPr>
        <w:t xml:space="preserve">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w:t>
      </w:r>
      <w:r>
        <w:rPr>
          <w:rFonts w:hint="eastAsia" w:ascii="仿宋" w:hAnsi="仿宋" w:eastAsia="仿宋" w:cs="仿宋"/>
          <w:sz w:val="24"/>
        </w:rPr>
        <w:t>%；迟延履行的违约金计算数额达到前述最高限额之日起，甲方有权在要求乙方支付违约金的同时，书面通知乙方解除本合同；</w:t>
      </w:r>
    </w:p>
    <w:p w14:paraId="38F1B7E9">
      <w:pPr>
        <w:spacing w:line="400" w:lineRule="exact"/>
        <w:ind w:firstLine="480" w:firstLineChars="200"/>
        <w:rPr>
          <w:rFonts w:ascii="仿宋" w:hAnsi="仿宋" w:eastAsia="仿宋" w:cs="仿宋"/>
          <w:sz w:val="24"/>
        </w:rPr>
      </w:pPr>
      <w:r>
        <w:rPr>
          <w:rFonts w:hint="eastAsia" w:ascii="仿宋" w:hAnsi="仿宋" w:eastAsia="仿宋" w:cs="仿宋"/>
          <w:sz w:val="24"/>
        </w:rPr>
        <w:t>1.6.2 除不可抗力外，如果甲方没有按照本合同约定的付款方式付款，那么乙方可要求甲方支付违约金，违约金按每迟延付款一日的应付而未付款的</w:t>
      </w:r>
      <w:r>
        <w:rPr>
          <w:rFonts w:hint="eastAsia" w:ascii="仿宋" w:hAnsi="仿宋" w:eastAsia="仿宋" w:cs="仿宋"/>
          <w:sz w:val="24"/>
          <w:u w:val="single"/>
        </w:rPr>
        <w:t xml:space="preserve">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w:t>
      </w:r>
      <w:r>
        <w:rPr>
          <w:rFonts w:hint="eastAsia" w:ascii="仿宋" w:hAnsi="仿宋" w:eastAsia="仿宋" w:cs="仿宋"/>
          <w:sz w:val="24"/>
        </w:rPr>
        <w:t>%；迟延付款的违约金计算数额达到前述最高限额之日起，乙方有权在要求甲方支付违约金的同时，书面通知甲方解除本合同；</w:t>
      </w:r>
    </w:p>
    <w:p w14:paraId="23766DE1">
      <w:pPr>
        <w:spacing w:line="400" w:lineRule="exact"/>
        <w:ind w:firstLine="480" w:firstLineChars="200"/>
        <w:rPr>
          <w:rFonts w:ascii="仿宋" w:hAnsi="仿宋" w:eastAsia="仿宋" w:cs="仿宋"/>
          <w:sz w:val="24"/>
        </w:rPr>
      </w:pPr>
      <w:r>
        <w:rPr>
          <w:rFonts w:hint="eastAsia" w:ascii="仿宋" w:hAnsi="仿宋" w:eastAsia="仿宋" w:cs="仿宋"/>
          <w:sz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6F689976">
      <w:pPr>
        <w:spacing w:line="400" w:lineRule="exact"/>
        <w:ind w:firstLine="480" w:firstLineChars="200"/>
        <w:rPr>
          <w:rFonts w:ascii="仿宋" w:hAnsi="仿宋" w:eastAsia="仿宋" w:cs="仿宋"/>
          <w:sz w:val="24"/>
        </w:rPr>
      </w:pPr>
      <w:r>
        <w:rPr>
          <w:rFonts w:hint="eastAsia" w:ascii="仿宋" w:hAnsi="仿宋" w:eastAsia="仿宋" w:cs="仿宋"/>
          <w:sz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5C9478E5">
      <w:pPr>
        <w:spacing w:line="400" w:lineRule="exact"/>
        <w:ind w:firstLine="480" w:firstLineChars="200"/>
        <w:rPr>
          <w:rFonts w:ascii="仿宋" w:hAnsi="仿宋" w:eastAsia="仿宋" w:cs="仿宋"/>
          <w:sz w:val="24"/>
        </w:rPr>
      </w:pPr>
      <w:r>
        <w:rPr>
          <w:rFonts w:hint="eastAsia" w:ascii="仿宋" w:hAnsi="仿宋" w:eastAsia="仿宋" w:cs="仿宋"/>
          <w:sz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02F7CBB3">
      <w:pPr>
        <w:spacing w:line="400" w:lineRule="exact"/>
        <w:ind w:firstLine="480" w:firstLineChars="200"/>
        <w:rPr>
          <w:rFonts w:ascii="仿宋" w:hAnsi="仿宋" w:eastAsia="仿宋" w:cs="仿宋"/>
          <w:sz w:val="24"/>
        </w:rPr>
      </w:pPr>
      <w:r>
        <w:rPr>
          <w:rFonts w:hint="eastAsia" w:ascii="仿宋" w:hAnsi="仿宋" w:eastAsia="仿宋" w:cs="仿宋"/>
          <w:sz w:val="24"/>
        </w:rPr>
        <w:t>1.6.6 如果出现政府采购监督管理部门在处理投诉事项期间，书面通知甲方暂停采购活动的情形，或者询问或质疑事项可能影响成交结果的，导致甲方中止履行合同的情形，均不视为甲方违约。</w:t>
      </w:r>
    </w:p>
    <w:p w14:paraId="49778AAA">
      <w:pPr>
        <w:spacing w:line="400" w:lineRule="exact"/>
        <w:ind w:firstLine="482" w:firstLineChars="200"/>
        <w:outlineLvl w:val="1"/>
        <w:rPr>
          <w:rFonts w:ascii="仿宋" w:hAnsi="仿宋" w:eastAsia="仿宋" w:cs="仿宋"/>
          <w:b/>
          <w:sz w:val="24"/>
        </w:rPr>
      </w:pPr>
      <w:bookmarkStart w:id="646" w:name="_Toc13358"/>
      <w:bookmarkStart w:id="647" w:name="_Toc3964"/>
      <w:bookmarkStart w:id="648" w:name="_Toc32454"/>
      <w:bookmarkStart w:id="649" w:name="_Toc9782"/>
      <w:bookmarkStart w:id="650" w:name="_Toc29659"/>
      <w:bookmarkStart w:id="651" w:name="_Toc4563"/>
      <w:bookmarkStart w:id="652" w:name="_Toc18683"/>
      <w:bookmarkStart w:id="653" w:name="_Toc4448"/>
      <w:bookmarkStart w:id="654" w:name="_Toc21818"/>
      <w:bookmarkStart w:id="655" w:name="_Toc26807"/>
      <w:bookmarkStart w:id="656" w:name="_Toc14940"/>
      <w:bookmarkStart w:id="657" w:name="_Toc23069"/>
      <w:bookmarkStart w:id="658" w:name="_Toc30329"/>
      <w:bookmarkStart w:id="659" w:name="_Toc13634"/>
      <w:bookmarkStart w:id="660" w:name="_Toc9497"/>
      <w:bookmarkStart w:id="661" w:name="_Toc12954"/>
      <w:r>
        <w:rPr>
          <w:rFonts w:hint="eastAsia" w:ascii="仿宋" w:hAnsi="仿宋" w:eastAsia="仿宋" w:cs="仿宋"/>
          <w:b/>
          <w:sz w:val="24"/>
        </w:rPr>
        <w:t>1.7 合同争议的解决</w:t>
      </w:r>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p>
    <w:p w14:paraId="398C16B2">
      <w:pPr>
        <w:spacing w:line="400" w:lineRule="exact"/>
        <w:ind w:firstLine="480" w:firstLineChars="200"/>
        <w:rPr>
          <w:rFonts w:ascii="仿宋" w:hAnsi="仿宋" w:eastAsia="仿宋" w:cs="仿宋"/>
          <w:sz w:val="24"/>
        </w:rPr>
      </w:pPr>
      <w:r>
        <w:rPr>
          <w:rFonts w:hint="eastAsia" w:ascii="仿宋" w:hAnsi="仿宋" w:eastAsia="仿宋" w:cs="仿宋"/>
          <w:sz w:val="24"/>
        </w:rPr>
        <w:t>本合同履行过程中发生的任何争议，双方当事人均可通过和解或者调解解决；不愿和解、调解或者和解、调解不成的，可以选择下列第</w:t>
      </w:r>
      <w:r>
        <w:rPr>
          <w:rFonts w:hint="eastAsia" w:ascii="仿宋" w:hAnsi="仿宋" w:eastAsia="仿宋" w:cs="仿宋"/>
          <w:sz w:val="24"/>
          <w:u w:val="single"/>
        </w:rPr>
        <w:t xml:space="preserve">    </w:t>
      </w:r>
      <w:r>
        <w:rPr>
          <w:rFonts w:hint="eastAsia" w:ascii="仿宋" w:hAnsi="仿宋" w:eastAsia="仿宋" w:cs="仿宋"/>
          <w:sz w:val="24"/>
        </w:rPr>
        <w:t>种方式解决：</w:t>
      </w:r>
    </w:p>
    <w:p w14:paraId="0C272DB6">
      <w:pPr>
        <w:spacing w:line="400" w:lineRule="exact"/>
        <w:ind w:firstLine="480" w:firstLineChars="200"/>
        <w:rPr>
          <w:rFonts w:ascii="仿宋" w:hAnsi="仿宋" w:eastAsia="仿宋" w:cs="仿宋"/>
          <w:sz w:val="24"/>
        </w:rPr>
      </w:pPr>
      <w:r>
        <w:rPr>
          <w:rFonts w:hint="eastAsia" w:ascii="仿宋" w:hAnsi="仿宋" w:eastAsia="仿宋" w:cs="仿宋"/>
          <w:sz w:val="24"/>
        </w:rPr>
        <w:t>1.7.1 将争议提交</w:t>
      </w:r>
      <w:r>
        <w:rPr>
          <w:rFonts w:hint="eastAsia" w:ascii="仿宋" w:hAnsi="仿宋" w:eastAsia="仿宋" w:cs="仿宋"/>
          <w:sz w:val="24"/>
          <w:u w:val="single"/>
        </w:rPr>
        <w:t xml:space="preserve">              </w:t>
      </w:r>
      <w:r>
        <w:rPr>
          <w:rFonts w:hint="eastAsia" w:ascii="仿宋" w:hAnsi="仿宋" w:eastAsia="仿宋" w:cs="仿宋"/>
          <w:sz w:val="24"/>
        </w:rPr>
        <w:t>仲裁委员会依申请仲裁时其现行有效的仲裁规则裁决；</w:t>
      </w:r>
    </w:p>
    <w:p w14:paraId="222DDE1D">
      <w:pPr>
        <w:spacing w:line="400" w:lineRule="exact"/>
        <w:ind w:firstLine="480" w:firstLineChars="200"/>
        <w:rPr>
          <w:rFonts w:ascii="仿宋" w:hAnsi="仿宋" w:eastAsia="仿宋" w:cs="仿宋"/>
          <w:sz w:val="24"/>
        </w:rPr>
      </w:pPr>
      <w:r>
        <w:rPr>
          <w:rFonts w:hint="eastAsia" w:ascii="仿宋" w:hAnsi="仿宋" w:eastAsia="仿宋" w:cs="仿宋"/>
          <w:sz w:val="24"/>
        </w:rPr>
        <w:t>1.7.2 向</w:t>
      </w:r>
      <w:r>
        <w:rPr>
          <w:rFonts w:hint="eastAsia" w:ascii="仿宋" w:hAnsi="仿宋" w:eastAsia="仿宋" w:cs="仿宋"/>
          <w:sz w:val="24"/>
          <w:u w:val="single"/>
        </w:rPr>
        <w:t xml:space="preserve">   （被告住所地、合同履行地、合同签订地、原告住所地、标的物所在地等与争议有实际联系的地点中选出的人民法院名称）    </w:t>
      </w:r>
      <w:r>
        <w:rPr>
          <w:rFonts w:hint="eastAsia" w:ascii="仿宋" w:hAnsi="仿宋" w:eastAsia="仿宋" w:cs="仿宋"/>
          <w:sz w:val="24"/>
        </w:rPr>
        <w:t>人民法院起诉。</w:t>
      </w:r>
    </w:p>
    <w:p w14:paraId="3ED66A95">
      <w:pPr>
        <w:spacing w:line="400" w:lineRule="exact"/>
        <w:ind w:firstLine="482" w:firstLineChars="200"/>
        <w:outlineLvl w:val="1"/>
        <w:rPr>
          <w:rFonts w:ascii="仿宋" w:hAnsi="仿宋" w:eastAsia="仿宋" w:cs="仿宋"/>
          <w:b/>
          <w:sz w:val="24"/>
        </w:rPr>
      </w:pPr>
      <w:bookmarkStart w:id="662" w:name="_Toc13186"/>
      <w:bookmarkStart w:id="663" w:name="_Toc6048"/>
      <w:bookmarkStart w:id="664" w:name="_Toc23784"/>
      <w:bookmarkStart w:id="665" w:name="_Toc1472"/>
      <w:bookmarkStart w:id="666" w:name="_Toc20743"/>
      <w:bookmarkStart w:id="667" w:name="_Toc6707"/>
      <w:bookmarkStart w:id="668" w:name="_Toc18071"/>
      <w:bookmarkStart w:id="669" w:name="_Toc32664"/>
      <w:bookmarkStart w:id="670" w:name="_Toc15827"/>
      <w:bookmarkStart w:id="671" w:name="_Toc26227"/>
      <w:bookmarkStart w:id="672" w:name="_Toc17508"/>
      <w:bookmarkStart w:id="673" w:name="_Toc16417"/>
      <w:bookmarkStart w:id="674" w:name="_Toc12273"/>
      <w:bookmarkStart w:id="675" w:name="_Toc1048"/>
      <w:bookmarkStart w:id="676" w:name="_Toc20156"/>
      <w:bookmarkStart w:id="677" w:name="_Toc13173"/>
      <w:r>
        <w:rPr>
          <w:rFonts w:hint="eastAsia" w:ascii="仿宋" w:hAnsi="仿宋" w:eastAsia="仿宋" w:cs="仿宋"/>
          <w:b/>
          <w:sz w:val="24"/>
        </w:rPr>
        <w:t>1.8 合同生效</w:t>
      </w:r>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p>
    <w:p w14:paraId="0CD618B7">
      <w:pPr>
        <w:spacing w:line="400" w:lineRule="exact"/>
        <w:ind w:firstLine="480" w:firstLineChars="200"/>
        <w:rPr>
          <w:rFonts w:ascii="仿宋" w:hAnsi="仿宋" w:eastAsia="仿宋" w:cs="仿宋"/>
          <w:b/>
          <w:sz w:val="24"/>
        </w:rPr>
      </w:pPr>
      <w:r>
        <w:rPr>
          <w:rFonts w:hint="eastAsia" w:ascii="仿宋" w:hAnsi="仿宋" w:eastAsia="仿宋" w:cs="仿宋"/>
          <w:sz w:val="24"/>
        </w:rPr>
        <w:t>本合同自双方当事人盖章或者签字时生效。</w:t>
      </w:r>
    </w:p>
    <w:p w14:paraId="6F17AEC7">
      <w:pPr>
        <w:autoSpaceDE w:val="0"/>
        <w:autoSpaceDN w:val="0"/>
        <w:adjustRightInd w:val="0"/>
        <w:spacing w:line="400" w:lineRule="exact"/>
        <w:rPr>
          <w:rFonts w:ascii="仿宋" w:hAnsi="仿宋" w:eastAsia="仿宋" w:cs="仿宋"/>
          <w:sz w:val="24"/>
          <w:lang w:val="zh-CN"/>
        </w:rPr>
      </w:pPr>
    </w:p>
    <w:p w14:paraId="0D2B967A">
      <w:pPr>
        <w:autoSpaceDE w:val="0"/>
        <w:autoSpaceDN w:val="0"/>
        <w:adjustRightInd w:val="0"/>
        <w:spacing w:line="400" w:lineRule="exact"/>
        <w:rPr>
          <w:rFonts w:ascii="仿宋" w:hAnsi="仿宋" w:eastAsia="仿宋" w:cs="仿宋"/>
          <w:sz w:val="24"/>
          <w:lang w:val="zh-CN"/>
        </w:rPr>
      </w:pPr>
      <w:r>
        <w:rPr>
          <w:rFonts w:hint="eastAsia" w:ascii="仿宋" w:hAnsi="仿宋" w:eastAsia="仿宋" w:cs="仿宋"/>
          <w:b/>
          <w:sz w:val="24"/>
          <w:lang w:val="zh-CN"/>
        </w:rPr>
        <w:t>甲方</w:t>
      </w:r>
      <w:r>
        <w:rPr>
          <w:rFonts w:hint="eastAsia" w:ascii="仿宋" w:hAnsi="仿宋" w:eastAsia="仿宋" w:cs="仿宋"/>
          <w:sz w:val="24"/>
          <w:lang w:val="zh-CN"/>
        </w:rPr>
        <w:t xml:space="preserve">：                             </w:t>
      </w:r>
      <w:r>
        <w:rPr>
          <w:rFonts w:hint="eastAsia" w:ascii="仿宋" w:hAnsi="仿宋" w:eastAsia="仿宋" w:cs="仿宋"/>
          <w:b/>
          <w:sz w:val="24"/>
          <w:lang w:val="zh-CN"/>
        </w:rPr>
        <w:t xml:space="preserve">      乙方</w:t>
      </w:r>
      <w:r>
        <w:rPr>
          <w:rFonts w:hint="eastAsia" w:ascii="仿宋" w:hAnsi="仿宋" w:eastAsia="仿宋" w:cs="仿宋"/>
          <w:sz w:val="24"/>
          <w:lang w:val="zh-CN"/>
        </w:rPr>
        <w:t>：</w:t>
      </w:r>
    </w:p>
    <w:p w14:paraId="6080CF8D">
      <w:pPr>
        <w:autoSpaceDE w:val="0"/>
        <w:autoSpaceDN w:val="0"/>
        <w:adjustRightInd w:val="0"/>
        <w:spacing w:line="400" w:lineRule="exact"/>
        <w:rPr>
          <w:rFonts w:ascii="仿宋" w:hAnsi="仿宋" w:eastAsia="仿宋" w:cs="仿宋"/>
          <w:sz w:val="24"/>
          <w:lang w:val="zh-CN"/>
        </w:rPr>
      </w:pPr>
      <w:r>
        <w:rPr>
          <w:rFonts w:hint="eastAsia" w:ascii="仿宋" w:hAnsi="仿宋" w:eastAsia="仿宋" w:cs="仿宋"/>
          <w:sz w:val="24"/>
          <w:lang w:val="zh-CN"/>
        </w:rPr>
        <w:t>统一社会信用代码：                        统一社会信用代码或身份证号码：</w:t>
      </w:r>
    </w:p>
    <w:p w14:paraId="568BC2B2">
      <w:pPr>
        <w:autoSpaceDE w:val="0"/>
        <w:autoSpaceDN w:val="0"/>
        <w:adjustRightInd w:val="0"/>
        <w:spacing w:line="400" w:lineRule="exact"/>
        <w:rPr>
          <w:rFonts w:ascii="仿宋" w:hAnsi="仿宋" w:eastAsia="仿宋" w:cs="仿宋"/>
          <w:sz w:val="24"/>
          <w:lang w:val="zh-CN"/>
        </w:rPr>
      </w:pPr>
    </w:p>
    <w:p w14:paraId="4C400C08">
      <w:pPr>
        <w:autoSpaceDE w:val="0"/>
        <w:autoSpaceDN w:val="0"/>
        <w:adjustRightInd w:val="0"/>
        <w:spacing w:line="400" w:lineRule="exact"/>
        <w:rPr>
          <w:rFonts w:ascii="仿宋" w:hAnsi="仿宋" w:eastAsia="仿宋" w:cs="仿宋"/>
          <w:sz w:val="24"/>
          <w:lang w:val="zh-CN"/>
        </w:rPr>
      </w:pPr>
      <w:r>
        <w:rPr>
          <w:rFonts w:hint="eastAsia" w:ascii="仿宋" w:hAnsi="仿宋" w:eastAsia="仿宋" w:cs="仿宋"/>
          <w:sz w:val="24"/>
          <w:lang w:val="zh-CN"/>
        </w:rPr>
        <w:t>住所：                                   住所：</w:t>
      </w:r>
    </w:p>
    <w:p w14:paraId="4E5E8D5D">
      <w:pPr>
        <w:autoSpaceDE w:val="0"/>
        <w:autoSpaceDN w:val="0"/>
        <w:adjustRightInd w:val="0"/>
        <w:spacing w:line="400" w:lineRule="exact"/>
        <w:rPr>
          <w:rFonts w:ascii="仿宋" w:hAnsi="仿宋" w:eastAsia="仿宋" w:cs="仿宋"/>
          <w:sz w:val="24"/>
          <w:lang w:val="zh-CN"/>
        </w:rPr>
      </w:pPr>
      <w:r>
        <w:rPr>
          <w:rFonts w:hint="eastAsia" w:ascii="仿宋" w:hAnsi="仿宋" w:eastAsia="仿宋" w:cs="仿宋"/>
          <w:sz w:val="24"/>
          <w:lang w:val="zh-CN"/>
        </w:rPr>
        <w:t>法定代表人或                             法定代表人</w:t>
      </w:r>
    </w:p>
    <w:p w14:paraId="16BD7837">
      <w:pPr>
        <w:autoSpaceDE w:val="0"/>
        <w:autoSpaceDN w:val="0"/>
        <w:adjustRightInd w:val="0"/>
        <w:spacing w:line="400" w:lineRule="exact"/>
        <w:rPr>
          <w:rFonts w:ascii="仿宋" w:hAnsi="仿宋" w:eastAsia="仿宋" w:cs="仿宋"/>
          <w:sz w:val="24"/>
          <w:lang w:val="zh-CN"/>
        </w:rPr>
      </w:pPr>
      <w:r>
        <w:rPr>
          <w:rFonts w:hint="eastAsia" w:ascii="仿宋" w:hAnsi="仿宋" w:eastAsia="仿宋" w:cs="仿宋"/>
          <w:sz w:val="24"/>
          <w:lang w:val="zh-CN"/>
        </w:rPr>
        <w:t xml:space="preserve">授权代表（签字）：                        或授权代表（签字）: </w:t>
      </w:r>
    </w:p>
    <w:p w14:paraId="4523678D">
      <w:pPr>
        <w:autoSpaceDE w:val="0"/>
        <w:autoSpaceDN w:val="0"/>
        <w:adjustRightInd w:val="0"/>
        <w:spacing w:line="400" w:lineRule="exact"/>
        <w:rPr>
          <w:rFonts w:ascii="仿宋" w:hAnsi="仿宋" w:eastAsia="仿宋" w:cs="仿宋"/>
          <w:sz w:val="24"/>
          <w:lang w:val="zh-CN"/>
        </w:rPr>
      </w:pPr>
      <w:r>
        <w:rPr>
          <w:rFonts w:hint="eastAsia" w:ascii="仿宋" w:hAnsi="仿宋" w:eastAsia="仿宋" w:cs="仿宋"/>
          <w:sz w:val="24"/>
          <w:lang w:val="zh-CN"/>
        </w:rPr>
        <w:t>联系人：                                 联系人：</w:t>
      </w:r>
    </w:p>
    <w:p w14:paraId="1B388947">
      <w:pPr>
        <w:autoSpaceDE w:val="0"/>
        <w:autoSpaceDN w:val="0"/>
        <w:adjustRightInd w:val="0"/>
        <w:spacing w:line="400" w:lineRule="exact"/>
        <w:rPr>
          <w:rFonts w:ascii="仿宋" w:hAnsi="仿宋" w:eastAsia="仿宋" w:cs="仿宋"/>
          <w:sz w:val="24"/>
          <w:lang w:val="zh-CN"/>
        </w:rPr>
      </w:pPr>
      <w:r>
        <w:rPr>
          <w:rFonts w:hint="eastAsia" w:ascii="仿宋" w:hAnsi="仿宋" w:eastAsia="仿宋" w:cs="仿宋"/>
          <w:sz w:val="24"/>
          <w:lang w:val="zh-CN"/>
        </w:rPr>
        <w:t>约定送达地址：                           约定送达地址：</w:t>
      </w:r>
    </w:p>
    <w:p w14:paraId="181427E1">
      <w:pPr>
        <w:autoSpaceDE w:val="0"/>
        <w:autoSpaceDN w:val="0"/>
        <w:adjustRightInd w:val="0"/>
        <w:spacing w:line="400" w:lineRule="exact"/>
        <w:rPr>
          <w:rFonts w:ascii="仿宋" w:hAnsi="仿宋" w:eastAsia="仿宋" w:cs="仿宋"/>
          <w:sz w:val="24"/>
          <w:lang w:val="zh-CN"/>
        </w:rPr>
      </w:pPr>
      <w:r>
        <w:rPr>
          <w:rFonts w:hint="eastAsia" w:ascii="仿宋" w:hAnsi="仿宋" w:eastAsia="仿宋" w:cs="仿宋"/>
          <w:sz w:val="24"/>
          <w:lang w:val="zh-CN"/>
        </w:rPr>
        <w:t>邮政编码：                               邮政编码：</w:t>
      </w:r>
    </w:p>
    <w:p w14:paraId="28CA5BC1">
      <w:pPr>
        <w:autoSpaceDE w:val="0"/>
        <w:autoSpaceDN w:val="0"/>
        <w:adjustRightInd w:val="0"/>
        <w:spacing w:line="400" w:lineRule="exact"/>
        <w:rPr>
          <w:rFonts w:ascii="仿宋" w:hAnsi="仿宋" w:eastAsia="仿宋" w:cs="仿宋"/>
          <w:sz w:val="24"/>
          <w:lang w:val="zh-CN"/>
        </w:rPr>
      </w:pPr>
      <w:r>
        <w:rPr>
          <w:rFonts w:hint="eastAsia" w:ascii="仿宋" w:hAnsi="仿宋" w:eastAsia="仿宋" w:cs="仿宋"/>
          <w:sz w:val="24"/>
          <w:lang w:val="zh-CN"/>
        </w:rPr>
        <w:t xml:space="preserve">电话:                                    电话: </w:t>
      </w:r>
    </w:p>
    <w:p w14:paraId="3E833F84">
      <w:pPr>
        <w:autoSpaceDE w:val="0"/>
        <w:autoSpaceDN w:val="0"/>
        <w:adjustRightInd w:val="0"/>
        <w:spacing w:line="400" w:lineRule="exact"/>
        <w:rPr>
          <w:rFonts w:ascii="仿宋" w:hAnsi="仿宋" w:eastAsia="仿宋" w:cs="仿宋"/>
          <w:sz w:val="24"/>
          <w:lang w:val="zh-CN"/>
        </w:rPr>
      </w:pPr>
      <w:r>
        <w:rPr>
          <w:rFonts w:hint="eastAsia" w:ascii="仿宋" w:hAnsi="仿宋" w:eastAsia="仿宋" w:cs="仿宋"/>
          <w:sz w:val="24"/>
          <w:lang w:val="zh-CN"/>
        </w:rPr>
        <w:t>传真:                                    传真:</w:t>
      </w:r>
    </w:p>
    <w:p w14:paraId="62647D77">
      <w:pPr>
        <w:autoSpaceDE w:val="0"/>
        <w:autoSpaceDN w:val="0"/>
        <w:adjustRightInd w:val="0"/>
        <w:spacing w:line="400" w:lineRule="exact"/>
        <w:rPr>
          <w:rFonts w:ascii="仿宋" w:hAnsi="仿宋" w:eastAsia="仿宋" w:cs="仿宋"/>
          <w:sz w:val="24"/>
        </w:rPr>
      </w:pPr>
      <w:r>
        <w:rPr>
          <w:rFonts w:hint="eastAsia" w:ascii="仿宋" w:hAnsi="仿宋" w:eastAsia="仿宋" w:cs="仿宋"/>
          <w:sz w:val="24"/>
          <w:lang w:val="zh-CN"/>
        </w:rPr>
        <w:t>电子邮箱：                               电子邮箱：</w:t>
      </w:r>
    </w:p>
    <w:p w14:paraId="22315907">
      <w:pPr>
        <w:autoSpaceDE w:val="0"/>
        <w:autoSpaceDN w:val="0"/>
        <w:adjustRightInd w:val="0"/>
        <w:spacing w:line="400" w:lineRule="exact"/>
        <w:rPr>
          <w:rFonts w:ascii="仿宋" w:hAnsi="仿宋" w:eastAsia="仿宋" w:cs="仿宋"/>
          <w:sz w:val="24"/>
        </w:rPr>
      </w:pPr>
      <w:r>
        <w:rPr>
          <w:rFonts w:hint="eastAsia" w:ascii="仿宋" w:hAnsi="仿宋" w:eastAsia="仿宋" w:cs="仿宋"/>
          <w:sz w:val="24"/>
        </w:rPr>
        <w:t xml:space="preserve">开户银行：                               开户银行： </w:t>
      </w:r>
    </w:p>
    <w:p w14:paraId="0BF14993">
      <w:pPr>
        <w:autoSpaceDE w:val="0"/>
        <w:autoSpaceDN w:val="0"/>
        <w:adjustRightInd w:val="0"/>
        <w:spacing w:line="400" w:lineRule="exact"/>
        <w:rPr>
          <w:rFonts w:ascii="仿宋" w:hAnsi="仿宋" w:eastAsia="仿宋" w:cs="仿宋"/>
          <w:sz w:val="24"/>
        </w:rPr>
      </w:pPr>
      <w:r>
        <w:rPr>
          <w:rFonts w:hint="eastAsia" w:ascii="仿宋" w:hAnsi="仿宋" w:eastAsia="仿宋" w:cs="仿宋"/>
          <w:sz w:val="24"/>
        </w:rPr>
        <w:t xml:space="preserve">开户名称：                               开户名称： </w:t>
      </w:r>
    </w:p>
    <w:p w14:paraId="7051835D">
      <w:pPr>
        <w:autoSpaceDE w:val="0"/>
        <w:autoSpaceDN w:val="0"/>
        <w:adjustRightInd w:val="0"/>
        <w:spacing w:line="400" w:lineRule="exact"/>
        <w:rPr>
          <w:rFonts w:ascii="仿宋" w:hAnsi="仿宋" w:eastAsia="仿宋" w:cs="仿宋"/>
          <w:sz w:val="24"/>
        </w:rPr>
      </w:pPr>
      <w:r>
        <w:rPr>
          <w:rFonts w:hint="eastAsia" w:ascii="仿宋" w:hAnsi="仿宋" w:eastAsia="仿宋" w:cs="仿宋"/>
          <w:sz w:val="24"/>
        </w:rPr>
        <w:t>开户账号：</w:t>
      </w:r>
      <w:r>
        <w:rPr>
          <w:rFonts w:hint="eastAsia" w:ascii="仿宋" w:hAnsi="仿宋" w:eastAsia="仿宋" w:cs="仿宋"/>
          <w:sz w:val="24"/>
          <w:lang w:val="zh-CN"/>
        </w:rPr>
        <w:t xml:space="preserve">                               </w:t>
      </w:r>
      <w:r>
        <w:rPr>
          <w:rFonts w:hint="eastAsia" w:ascii="仿宋" w:hAnsi="仿宋" w:eastAsia="仿宋" w:cs="仿宋"/>
          <w:sz w:val="24"/>
        </w:rPr>
        <w:t>开户账号：</w:t>
      </w:r>
    </w:p>
    <w:p w14:paraId="64634B22">
      <w:pPr>
        <w:rPr>
          <w:rFonts w:ascii="仿宋" w:hAnsi="仿宋" w:eastAsia="仿宋" w:cs="仿宋"/>
          <w:sz w:val="24"/>
        </w:rPr>
      </w:pPr>
      <w:r>
        <w:rPr>
          <w:rFonts w:hint="eastAsia" w:ascii="仿宋" w:hAnsi="仿宋" w:eastAsia="仿宋" w:cs="仿宋"/>
          <w:sz w:val="24"/>
        </w:rPr>
        <w:br w:type="page"/>
      </w:r>
    </w:p>
    <w:p w14:paraId="62F6F8C3">
      <w:pPr>
        <w:pStyle w:val="9"/>
      </w:pPr>
    </w:p>
    <w:p w14:paraId="1E9A33CA">
      <w:pPr>
        <w:pStyle w:val="35"/>
        <w:spacing w:line="400" w:lineRule="exact"/>
        <w:ind w:firstLine="0"/>
        <w:jc w:val="center"/>
        <w:outlineLvl w:val="0"/>
        <w:rPr>
          <w:rFonts w:ascii="仿宋" w:hAnsi="仿宋" w:eastAsia="仿宋" w:cs="仿宋"/>
          <w:b/>
          <w:szCs w:val="24"/>
        </w:rPr>
      </w:pPr>
      <w:bookmarkStart w:id="678" w:name="_Toc24240"/>
      <w:bookmarkStart w:id="679" w:name="_Toc331685783"/>
      <w:bookmarkStart w:id="680" w:name="_Toc9527"/>
      <w:r>
        <w:rPr>
          <w:rFonts w:hint="eastAsia" w:ascii="仿宋" w:hAnsi="仿宋" w:eastAsia="仿宋" w:cs="仿宋"/>
          <w:b/>
          <w:szCs w:val="24"/>
        </w:rPr>
        <w:t>第二部分 合同一般条款</w:t>
      </w:r>
      <w:bookmarkEnd w:id="678"/>
      <w:bookmarkEnd w:id="679"/>
      <w:bookmarkEnd w:id="680"/>
    </w:p>
    <w:p w14:paraId="66E6D957">
      <w:pPr>
        <w:spacing w:line="400" w:lineRule="exact"/>
        <w:ind w:firstLine="482" w:firstLineChars="200"/>
        <w:outlineLvl w:val="1"/>
        <w:rPr>
          <w:rFonts w:ascii="仿宋" w:hAnsi="仿宋" w:eastAsia="仿宋" w:cs="仿宋"/>
          <w:b/>
          <w:sz w:val="24"/>
        </w:rPr>
      </w:pPr>
      <w:bookmarkStart w:id="681" w:name="_Ref467379214"/>
      <w:bookmarkStart w:id="682" w:name="_Toc10827"/>
      <w:bookmarkStart w:id="683" w:name="_Toc259093669"/>
      <w:bookmarkStart w:id="684" w:name="_Toc5228"/>
      <w:bookmarkStart w:id="685" w:name="_Toc31297"/>
      <w:bookmarkStart w:id="686" w:name="_Ref467379225"/>
      <w:bookmarkStart w:id="687" w:name="_Toc13941"/>
      <w:bookmarkStart w:id="688" w:name="_Ref467379109"/>
      <w:bookmarkStart w:id="689" w:name="_Ref467378463"/>
      <w:bookmarkStart w:id="690" w:name="_Ref467379195"/>
      <w:bookmarkStart w:id="691" w:name="_Toc19680"/>
      <w:bookmarkStart w:id="692" w:name="_Toc21058"/>
      <w:bookmarkStart w:id="693" w:name="_Toc29024"/>
      <w:bookmarkStart w:id="694" w:name="_Ref467378404"/>
      <w:bookmarkStart w:id="695" w:name="_Toc4990"/>
      <w:bookmarkStart w:id="696" w:name="_Toc487900349"/>
      <w:bookmarkStart w:id="697" w:name="_Toc17704"/>
      <w:bookmarkStart w:id="698" w:name="_Toc25079"/>
      <w:bookmarkStart w:id="699" w:name="_Ref467379101"/>
      <w:bookmarkStart w:id="700" w:name="_Toc279701240"/>
      <w:bookmarkStart w:id="701" w:name="_Ref467378499"/>
      <w:bookmarkStart w:id="702" w:name="_Toc28701"/>
      <w:bookmarkStart w:id="703" w:name="_Toc5117"/>
      <w:bookmarkStart w:id="704" w:name="_Toc9585"/>
      <w:bookmarkStart w:id="705" w:name="_Ref467379205"/>
      <w:bookmarkStart w:id="706" w:name="_Ref467379094"/>
      <w:bookmarkStart w:id="707" w:name="_Toc29074"/>
      <w:bookmarkStart w:id="708" w:name="_Toc14021"/>
      <w:bookmarkStart w:id="709" w:name="_Toc16934"/>
      <w:r>
        <w:rPr>
          <w:rFonts w:hint="eastAsia" w:ascii="仿宋" w:hAnsi="仿宋" w:eastAsia="仿宋" w:cs="仿宋"/>
          <w:b/>
          <w:sz w:val="24"/>
        </w:rPr>
        <w:t>2.1 定义</w:t>
      </w:r>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p>
    <w:p w14:paraId="5A65D3D6">
      <w:pPr>
        <w:spacing w:line="400" w:lineRule="exact"/>
        <w:ind w:firstLine="480" w:firstLineChars="200"/>
        <w:rPr>
          <w:rFonts w:ascii="仿宋" w:hAnsi="仿宋" w:eastAsia="仿宋" w:cs="仿宋"/>
          <w:sz w:val="24"/>
        </w:rPr>
      </w:pPr>
      <w:r>
        <w:rPr>
          <w:rFonts w:hint="eastAsia" w:ascii="仿宋" w:hAnsi="仿宋" w:eastAsia="仿宋" w:cs="仿宋"/>
          <w:sz w:val="24"/>
        </w:rPr>
        <w:t>本合同中的下列词语应按以下内容进行解释：</w:t>
      </w:r>
    </w:p>
    <w:p w14:paraId="55A47A3E">
      <w:pPr>
        <w:spacing w:line="400" w:lineRule="exact"/>
        <w:ind w:firstLine="480" w:firstLineChars="200"/>
        <w:rPr>
          <w:rFonts w:ascii="仿宋" w:hAnsi="仿宋" w:eastAsia="仿宋" w:cs="仿宋"/>
          <w:sz w:val="24"/>
        </w:rPr>
      </w:pPr>
      <w:r>
        <w:rPr>
          <w:rFonts w:hint="eastAsia" w:ascii="仿宋" w:hAnsi="仿宋" w:eastAsia="仿宋" w:cs="仿宋"/>
          <w:sz w:val="24"/>
        </w:rPr>
        <w:t>2.1.1 “合同”系指采购人和成交供应商签订的载明双方当事人所达成的协议，并包括所有的附件、附录和构成合同的其他文件。</w:t>
      </w:r>
    </w:p>
    <w:p w14:paraId="2610DECC">
      <w:pPr>
        <w:spacing w:line="400" w:lineRule="exact"/>
        <w:ind w:firstLine="480" w:firstLineChars="200"/>
        <w:rPr>
          <w:rFonts w:ascii="仿宋" w:hAnsi="仿宋" w:eastAsia="仿宋" w:cs="仿宋"/>
          <w:sz w:val="24"/>
        </w:rPr>
      </w:pPr>
      <w:r>
        <w:rPr>
          <w:rFonts w:hint="eastAsia" w:ascii="仿宋" w:hAnsi="仿宋" w:eastAsia="仿宋" w:cs="仿宋"/>
          <w:sz w:val="24"/>
        </w:rPr>
        <w:t>2.1.2 “合同价”系指根据合同约定，成交供应商在完全履行合同义务后，采购人应支付给成交供应商的价格。</w:t>
      </w:r>
    </w:p>
    <w:p w14:paraId="31EF3F32">
      <w:pPr>
        <w:spacing w:line="400" w:lineRule="exact"/>
        <w:ind w:firstLine="480" w:firstLineChars="200"/>
        <w:rPr>
          <w:rFonts w:ascii="仿宋" w:hAnsi="仿宋" w:eastAsia="仿宋" w:cs="仿宋"/>
          <w:sz w:val="24"/>
        </w:rPr>
      </w:pPr>
      <w:r>
        <w:rPr>
          <w:rFonts w:hint="eastAsia" w:ascii="仿宋" w:hAnsi="仿宋" w:eastAsia="仿宋" w:cs="仿宋"/>
          <w:sz w:val="24"/>
        </w:rPr>
        <w:t>2.1.3 “服务”系指成交供应商根据合同约定应向采购人履行的除货物和工程以外的其他政府采购对象，包括采购人自身需要的服务和向社会公众提供的公共服务。</w:t>
      </w:r>
    </w:p>
    <w:p w14:paraId="326855B2">
      <w:pPr>
        <w:spacing w:line="400" w:lineRule="exact"/>
        <w:ind w:firstLine="480" w:firstLineChars="200"/>
        <w:rPr>
          <w:rFonts w:ascii="仿宋" w:hAnsi="仿宋" w:eastAsia="仿宋" w:cs="仿宋"/>
          <w:sz w:val="24"/>
        </w:rPr>
      </w:pPr>
      <w:bookmarkStart w:id="710" w:name="_Ref467378840"/>
      <w:r>
        <w:rPr>
          <w:rFonts w:hint="eastAsia" w:ascii="仿宋" w:hAnsi="仿宋" w:eastAsia="仿宋" w:cs="仿宋"/>
          <w:sz w:val="24"/>
        </w:rPr>
        <w:t>2.1.4 “甲方”系指与成交供应商签署合同的采购人</w:t>
      </w:r>
      <w:bookmarkEnd w:id="710"/>
      <w:r>
        <w:rPr>
          <w:rFonts w:hint="eastAsia" w:ascii="仿宋" w:hAnsi="仿宋" w:eastAsia="仿宋" w:cs="仿宋"/>
          <w:sz w:val="24"/>
        </w:rPr>
        <w:t>；采购人委托采购代理机构代表其与乙方签订合同的，采购人的授权委托书作为合同附件。</w:t>
      </w:r>
    </w:p>
    <w:p w14:paraId="5265084E">
      <w:pPr>
        <w:spacing w:line="400" w:lineRule="exact"/>
        <w:ind w:firstLine="480" w:firstLineChars="200"/>
        <w:rPr>
          <w:rFonts w:ascii="仿宋" w:hAnsi="仿宋" w:eastAsia="仿宋" w:cs="仿宋"/>
          <w:sz w:val="24"/>
        </w:rPr>
      </w:pPr>
      <w:bookmarkStart w:id="711" w:name="_Ref467379400"/>
      <w:r>
        <w:rPr>
          <w:rFonts w:hint="eastAsia" w:ascii="仿宋" w:hAnsi="仿宋" w:eastAsia="仿宋" w:cs="仿宋"/>
          <w:sz w:val="24"/>
        </w:rPr>
        <w:t>2.1.5 “乙方”系指根据合同约定提供服务的成交供应商</w:t>
      </w:r>
      <w:bookmarkEnd w:id="711"/>
      <w:r>
        <w:rPr>
          <w:rFonts w:hint="eastAsia" w:ascii="仿宋" w:hAnsi="仿宋" w:eastAsia="仿宋" w:cs="仿宋"/>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31A93F21">
      <w:pPr>
        <w:spacing w:line="400" w:lineRule="exact"/>
        <w:ind w:firstLine="480" w:firstLineChars="200"/>
        <w:rPr>
          <w:rFonts w:ascii="仿宋" w:hAnsi="仿宋" w:eastAsia="仿宋" w:cs="仿宋"/>
          <w:sz w:val="24"/>
        </w:rPr>
      </w:pPr>
      <w:bookmarkStart w:id="712" w:name="_Ref467379436"/>
      <w:r>
        <w:rPr>
          <w:rFonts w:hint="eastAsia" w:ascii="仿宋" w:hAnsi="仿宋" w:eastAsia="仿宋" w:cs="仿宋"/>
          <w:sz w:val="24"/>
        </w:rPr>
        <w:t>2.1.6 “现场”系指合同约定提供服务的地点。</w:t>
      </w:r>
      <w:bookmarkEnd w:id="712"/>
    </w:p>
    <w:p w14:paraId="7D2D4929">
      <w:pPr>
        <w:spacing w:line="400" w:lineRule="exact"/>
        <w:ind w:firstLine="482" w:firstLineChars="200"/>
        <w:outlineLvl w:val="1"/>
        <w:rPr>
          <w:rFonts w:ascii="仿宋" w:hAnsi="仿宋" w:eastAsia="仿宋" w:cs="仿宋"/>
          <w:b/>
          <w:sz w:val="24"/>
        </w:rPr>
      </w:pPr>
      <w:bookmarkStart w:id="713" w:name="_Toc3769"/>
      <w:bookmarkStart w:id="714" w:name="_Toc7411"/>
      <w:bookmarkStart w:id="715" w:name="_Toc10249"/>
      <w:bookmarkStart w:id="716" w:name="_Toc259093670"/>
      <w:bookmarkStart w:id="717" w:name="_Toc6001"/>
      <w:bookmarkStart w:id="718" w:name="_Toc16752"/>
      <w:bookmarkStart w:id="719" w:name="_Toc487900350"/>
      <w:bookmarkStart w:id="720" w:name="_Toc279701241"/>
      <w:bookmarkStart w:id="721" w:name="_Toc19539"/>
      <w:bookmarkStart w:id="722" w:name="_Toc8861"/>
      <w:bookmarkStart w:id="723" w:name="_Toc31402"/>
      <w:bookmarkStart w:id="724" w:name="_Toc28811"/>
      <w:bookmarkStart w:id="725" w:name="_Toc25980"/>
      <w:bookmarkStart w:id="726" w:name="_Toc15954"/>
      <w:bookmarkStart w:id="727" w:name="_Toc22493"/>
      <w:bookmarkStart w:id="728" w:name="_Toc15686"/>
      <w:bookmarkStart w:id="729" w:name="_Toc21068"/>
      <w:bookmarkStart w:id="730" w:name="_Toc24501"/>
      <w:bookmarkStart w:id="731" w:name="_Toc23289"/>
      <w:r>
        <w:rPr>
          <w:rFonts w:hint="eastAsia" w:ascii="仿宋" w:hAnsi="仿宋" w:eastAsia="仿宋" w:cs="仿宋"/>
          <w:b/>
          <w:sz w:val="24"/>
        </w:rPr>
        <w:t>2.2 技术规范</w:t>
      </w:r>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p>
    <w:p w14:paraId="6A771EF7">
      <w:pPr>
        <w:spacing w:line="400" w:lineRule="exact"/>
        <w:ind w:firstLine="480" w:firstLineChars="200"/>
        <w:rPr>
          <w:rFonts w:ascii="仿宋" w:hAnsi="仿宋" w:eastAsia="仿宋" w:cs="仿宋"/>
          <w:sz w:val="24"/>
        </w:rPr>
      </w:pPr>
      <w:r>
        <w:rPr>
          <w:rFonts w:hint="eastAsia" w:ascii="仿宋" w:hAnsi="仿宋" w:eastAsia="仿宋" w:cs="仿宋"/>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40CF085E">
      <w:pPr>
        <w:spacing w:line="400" w:lineRule="exact"/>
        <w:ind w:firstLine="482" w:firstLineChars="200"/>
        <w:outlineLvl w:val="1"/>
        <w:rPr>
          <w:rFonts w:ascii="仿宋" w:hAnsi="仿宋" w:eastAsia="仿宋" w:cs="仿宋"/>
          <w:b/>
          <w:sz w:val="24"/>
        </w:rPr>
      </w:pPr>
      <w:bookmarkStart w:id="732" w:name="_Toc9578"/>
      <w:bookmarkStart w:id="733" w:name="_Toc9161"/>
      <w:bookmarkStart w:id="734" w:name="_Toc8378"/>
      <w:bookmarkStart w:id="735" w:name="_Toc31307"/>
      <w:bookmarkStart w:id="736" w:name="_Toc259093671"/>
      <w:bookmarkStart w:id="737" w:name="_Toc24660"/>
      <w:bookmarkStart w:id="738" w:name="_Toc12727"/>
      <w:bookmarkStart w:id="739" w:name="_Toc22416"/>
      <w:bookmarkStart w:id="740" w:name="_Toc13673"/>
      <w:bookmarkStart w:id="741" w:name="_Toc4133"/>
      <w:bookmarkStart w:id="742" w:name="_Toc30138"/>
      <w:bookmarkStart w:id="743" w:name="_Toc27945"/>
      <w:bookmarkStart w:id="744" w:name="_Toc12881"/>
      <w:bookmarkStart w:id="745" w:name="_Toc279701242"/>
      <w:bookmarkStart w:id="746" w:name="_Toc487900351"/>
      <w:bookmarkStart w:id="747" w:name="_Toc7280"/>
      <w:bookmarkStart w:id="748" w:name="_Toc12412"/>
      <w:bookmarkStart w:id="749" w:name="_Toc1059"/>
      <w:bookmarkStart w:id="750" w:name="_Toc32402"/>
      <w:r>
        <w:rPr>
          <w:rFonts w:hint="eastAsia" w:ascii="仿宋" w:hAnsi="仿宋" w:eastAsia="仿宋" w:cs="仿宋"/>
          <w:b/>
          <w:sz w:val="24"/>
        </w:rPr>
        <w:t>2.3 知识产权</w:t>
      </w:r>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p>
    <w:p w14:paraId="1CAD0FA1">
      <w:pPr>
        <w:spacing w:line="400" w:lineRule="exact"/>
        <w:ind w:firstLine="480" w:firstLineChars="200"/>
        <w:rPr>
          <w:rFonts w:ascii="仿宋" w:hAnsi="仿宋" w:eastAsia="仿宋" w:cs="仿宋"/>
          <w:sz w:val="24"/>
        </w:rPr>
      </w:pPr>
      <w:r>
        <w:rPr>
          <w:rFonts w:hint="eastAsia" w:ascii="仿宋" w:hAnsi="仿宋" w:eastAsia="仿宋" w:cs="仿宋"/>
          <w:sz w:val="24"/>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57D680F9">
      <w:pPr>
        <w:spacing w:line="400" w:lineRule="exact"/>
        <w:ind w:firstLine="480" w:firstLineChars="200"/>
        <w:rPr>
          <w:rFonts w:ascii="仿宋" w:hAnsi="仿宋" w:eastAsia="仿宋" w:cs="仿宋"/>
          <w:sz w:val="24"/>
        </w:rPr>
      </w:pPr>
      <w:r>
        <w:rPr>
          <w:rFonts w:hint="eastAsia" w:ascii="仿宋" w:hAnsi="仿宋" w:eastAsia="仿宋" w:cs="仿宋"/>
          <w:sz w:val="24"/>
        </w:rPr>
        <w:t>2.3.2 合同涉及技术成果的归属和收益的分成办法的，详见</w:t>
      </w:r>
      <w:r>
        <w:rPr>
          <w:rFonts w:hint="eastAsia" w:ascii="仿宋" w:hAnsi="仿宋" w:eastAsia="仿宋" w:cs="仿宋"/>
          <w:b/>
          <w:i/>
          <w:sz w:val="24"/>
          <w:u w:val="single"/>
        </w:rPr>
        <w:t>合同专用条款</w:t>
      </w:r>
      <w:r>
        <w:rPr>
          <w:rFonts w:hint="eastAsia" w:ascii="仿宋" w:hAnsi="仿宋" w:eastAsia="仿宋" w:cs="仿宋"/>
          <w:sz w:val="24"/>
        </w:rPr>
        <w:t>。</w:t>
      </w:r>
    </w:p>
    <w:p w14:paraId="0D745D1E">
      <w:pPr>
        <w:spacing w:line="400" w:lineRule="exact"/>
        <w:ind w:firstLine="482" w:firstLineChars="200"/>
        <w:outlineLvl w:val="1"/>
        <w:rPr>
          <w:rFonts w:ascii="仿宋" w:hAnsi="仿宋" w:eastAsia="仿宋" w:cs="仿宋"/>
          <w:b/>
          <w:sz w:val="24"/>
        </w:rPr>
      </w:pPr>
      <w:bookmarkStart w:id="751" w:name="_Toc30894"/>
      <w:r>
        <w:rPr>
          <w:rFonts w:hint="eastAsia" w:ascii="仿宋" w:hAnsi="仿宋" w:eastAsia="仿宋" w:cs="仿宋"/>
          <w:b/>
          <w:sz w:val="24"/>
        </w:rPr>
        <w:t>2.4 履约检查和问题反馈</w:t>
      </w:r>
      <w:bookmarkEnd w:id="751"/>
    </w:p>
    <w:p w14:paraId="2B538B48">
      <w:pPr>
        <w:spacing w:line="400" w:lineRule="exact"/>
        <w:ind w:firstLine="480" w:firstLineChars="200"/>
        <w:rPr>
          <w:rFonts w:ascii="仿宋" w:hAnsi="仿宋" w:eastAsia="仿宋" w:cs="仿宋"/>
          <w:sz w:val="24"/>
        </w:rPr>
      </w:pPr>
      <w:bookmarkStart w:id="752" w:name="_Ref467379657"/>
      <w:r>
        <w:rPr>
          <w:rFonts w:hint="eastAsia" w:ascii="仿宋" w:hAnsi="仿宋" w:eastAsia="仿宋" w:cs="仿宋"/>
          <w:sz w:val="24"/>
        </w:rPr>
        <w:t>2.4.1</w:t>
      </w:r>
      <w:bookmarkEnd w:id="752"/>
      <w:bookmarkStart w:id="753" w:name="_Toc186431854"/>
      <w:bookmarkStart w:id="754" w:name="_Toc487900357"/>
      <w:bookmarkStart w:id="755" w:name="_Toc279701247"/>
      <w:bookmarkStart w:id="756" w:name="_Ref467379793"/>
      <w:bookmarkStart w:id="757" w:name="_Toc259093676"/>
      <w:bookmarkStart w:id="758" w:name="_Ref467379807"/>
      <w:r>
        <w:rPr>
          <w:rFonts w:hint="eastAsia" w:ascii="仿宋" w:hAnsi="仿宋" w:eastAsia="仿宋" w:cs="仿宋"/>
          <w:sz w:val="24"/>
        </w:rPr>
        <w:t>甲方有权在其认为必要时，对乙方是否能够按照合同约定提供服务进行履约检查，以确保乙方所提供的服务能够依约满足甲方之项目需求，但不得因履约检查妨碍乙方的正常工作，乙方应予积极配合；</w:t>
      </w:r>
    </w:p>
    <w:p w14:paraId="7955858A">
      <w:pPr>
        <w:spacing w:line="400" w:lineRule="exact"/>
        <w:ind w:firstLine="480" w:firstLineChars="200"/>
        <w:rPr>
          <w:rFonts w:ascii="仿宋" w:hAnsi="仿宋" w:eastAsia="仿宋" w:cs="仿宋"/>
          <w:sz w:val="24"/>
        </w:rPr>
      </w:pPr>
      <w:r>
        <w:rPr>
          <w:rFonts w:hint="eastAsia" w:ascii="仿宋" w:hAnsi="仿宋" w:eastAsia="仿宋" w:cs="仿宋"/>
          <w:sz w:val="24"/>
        </w:rPr>
        <w:t>2.4.2 合同履行期间，甲方有权将履行过程中出现的问题反馈给乙方，双方当事人应以书面形式约定需要完善和改进的内容</w:t>
      </w:r>
      <w:bookmarkEnd w:id="753"/>
      <w:bookmarkStart w:id="759" w:name="_Toc186431855"/>
      <w:r>
        <w:rPr>
          <w:rFonts w:hint="eastAsia" w:ascii="仿宋" w:hAnsi="仿宋" w:eastAsia="仿宋" w:cs="仿宋"/>
          <w:sz w:val="24"/>
        </w:rPr>
        <w:t>。</w:t>
      </w:r>
    </w:p>
    <w:bookmarkEnd w:id="759"/>
    <w:p w14:paraId="2AB6A378">
      <w:pPr>
        <w:spacing w:line="400" w:lineRule="exact"/>
        <w:ind w:firstLine="482" w:firstLineChars="200"/>
        <w:outlineLvl w:val="1"/>
        <w:rPr>
          <w:rFonts w:ascii="仿宋" w:hAnsi="仿宋" w:eastAsia="仿宋" w:cs="仿宋"/>
          <w:b/>
          <w:sz w:val="24"/>
        </w:rPr>
      </w:pPr>
      <w:bookmarkStart w:id="760" w:name="_Toc20061"/>
      <w:bookmarkStart w:id="761" w:name="_Toc31494"/>
      <w:bookmarkStart w:id="762" w:name="_Toc32670"/>
      <w:bookmarkStart w:id="763" w:name="_Toc4237"/>
      <w:bookmarkStart w:id="764" w:name="_Toc22011"/>
      <w:bookmarkStart w:id="765" w:name="_Toc28361"/>
      <w:bookmarkStart w:id="766" w:name="_Toc31233"/>
      <w:bookmarkStart w:id="767" w:name="_Toc32043"/>
      <w:bookmarkStart w:id="768" w:name="_Toc12450"/>
      <w:bookmarkStart w:id="769" w:name="_Toc26555"/>
      <w:bookmarkStart w:id="770" w:name="_Toc15447"/>
      <w:bookmarkStart w:id="771" w:name="_Toc15567"/>
      <w:bookmarkStart w:id="772" w:name="_Toc6504"/>
      <w:bookmarkStart w:id="773" w:name="_Toc21474"/>
      <w:bookmarkStart w:id="774" w:name="_Toc16045"/>
      <w:bookmarkStart w:id="775" w:name="_Toc28557"/>
      <w:r>
        <w:rPr>
          <w:rFonts w:hint="eastAsia" w:ascii="仿宋" w:hAnsi="仿宋" w:eastAsia="仿宋" w:cs="仿宋"/>
          <w:b/>
          <w:sz w:val="24"/>
        </w:rPr>
        <w:t>2.5 结算方式和付款条件</w:t>
      </w:r>
      <w:bookmarkEnd w:id="754"/>
      <w:bookmarkEnd w:id="755"/>
      <w:bookmarkEnd w:id="756"/>
      <w:bookmarkEnd w:id="757"/>
      <w:bookmarkEnd w:id="758"/>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p>
    <w:p w14:paraId="669801D1">
      <w:pPr>
        <w:spacing w:line="400" w:lineRule="exact"/>
        <w:ind w:firstLine="480" w:firstLineChars="200"/>
        <w:rPr>
          <w:rFonts w:ascii="仿宋" w:hAnsi="仿宋" w:eastAsia="仿宋" w:cs="仿宋"/>
          <w:sz w:val="24"/>
        </w:rPr>
      </w:pPr>
      <w:r>
        <w:rPr>
          <w:rFonts w:hint="eastAsia" w:ascii="仿宋" w:hAnsi="仿宋" w:eastAsia="仿宋" w:cs="仿宋"/>
          <w:sz w:val="24"/>
        </w:rPr>
        <w:t>详见</w:t>
      </w:r>
      <w:r>
        <w:rPr>
          <w:rFonts w:hint="eastAsia" w:ascii="仿宋" w:hAnsi="仿宋" w:eastAsia="仿宋" w:cs="仿宋"/>
          <w:b/>
          <w:i/>
          <w:sz w:val="24"/>
          <w:u w:val="single"/>
        </w:rPr>
        <w:t>合同专用条款</w:t>
      </w:r>
      <w:r>
        <w:rPr>
          <w:rFonts w:hint="eastAsia" w:ascii="仿宋" w:hAnsi="仿宋" w:eastAsia="仿宋" w:cs="仿宋"/>
          <w:sz w:val="24"/>
        </w:rPr>
        <w:t>。</w:t>
      </w:r>
    </w:p>
    <w:p w14:paraId="6E736539">
      <w:pPr>
        <w:spacing w:line="400" w:lineRule="exact"/>
        <w:ind w:firstLine="482" w:firstLineChars="200"/>
        <w:outlineLvl w:val="1"/>
        <w:rPr>
          <w:rFonts w:ascii="仿宋" w:hAnsi="仿宋" w:eastAsia="仿宋" w:cs="仿宋"/>
          <w:b/>
          <w:sz w:val="24"/>
        </w:rPr>
      </w:pPr>
      <w:bookmarkStart w:id="776" w:name="_Ref467379863"/>
      <w:bookmarkStart w:id="777" w:name="_Toc279701248"/>
      <w:bookmarkStart w:id="778" w:name="_Ref467379923"/>
      <w:bookmarkStart w:id="779" w:name="_Toc259093677"/>
      <w:bookmarkStart w:id="780" w:name="_Toc487900358"/>
      <w:bookmarkStart w:id="781" w:name="_Ref467379852"/>
      <w:bookmarkStart w:id="782" w:name="_Toc18186"/>
      <w:bookmarkStart w:id="783" w:name="_Toc19435"/>
      <w:bookmarkStart w:id="784" w:name="_Toc13467"/>
      <w:bookmarkStart w:id="785" w:name="_Toc20627"/>
      <w:bookmarkStart w:id="786" w:name="_Toc31145"/>
      <w:bookmarkStart w:id="787" w:name="_Toc23530"/>
      <w:bookmarkStart w:id="788" w:name="_Toc29402"/>
      <w:bookmarkStart w:id="789" w:name="_Toc25982"/>
      <w:bookmarkStart w:id="790" w:name="_Toc23122"/>
      <w:bookmarkStart w:id="791" w:name="_Toc3982"/>
      <w:bookmarkStart w:id="792" w:name="_Toc23050"/>
      <w:bookmarkStart w:id="793" w:name="_Toc30507"/>
      <w:bookmarkStart w:id="794" w:name="_Toc16163"/>
      <w:bookmarkStart w:id="795" w:name="_Toc9514"/>
      <w:bookmarkStart w:id="796" w:name="_Toc18990"/>
      <w:bookmarkStart w:id="797" w:name="_Toc13154"/>
      <w:r>
        <w:rPr>
          <w:rFonts w:hint="eastAsia" w:ascii="仿宋" w:hAnsi="仿宋" w:eastAsia="仿宋" w:cs="仿宋"/>
          <w:b/>
          <w:sz w:val="24"/>
        </w:rPr>
        <w:t>2.6 技术资料</w:t>
      </w:r>
      <w:bookmarkEnd w:id="776"/>
      <w:bookmarkEnd w:id="777"/>
      <w:bookmarkEnd w:id="778"/>
      <w:bookmarkEnd w:id="779"/>
      <w:bookmarkEnd w:id="780"/>
      <w:bookmarkEnd w:id="781"/>
      <w:r>
        <w:rPr>
          <w:rFonts w:hint="eastAsia" w:ascii="仿宋" w:hAnsi="仿宋" w:eastAsia="仿宋" w:cs="仿宋"/>
          <w:b/>
          <w:sz w:val="24"/>
        </w:rPr>
        <w:t>和保密义务</w:t>
      </w:r>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p>
    <w:p w14:paraId="21379080">
      <w:pPr>
        <w:spacing w:line="400" w:lineRule="exact"/>
        <w:ind w:firstLine="480" w:firstLineChars="200"/>
        <w:rPr>
          <w:rFonts w:ascii="仿宋" w:hAnsi="仿宋" w:eastAsia="仿宋" w:cs="仿宋"/>
          <w:sz w:val="24"/>
        </w:rPr>
      </w:pPr>
      <w:r>
        <w:rPr>
          <w:rFonts w:hint="eastAsia" w:ascii="仿宋" w:hAnsi="仿宋" w:eastAsia="仿宋" w:cs="仿宋"/>
          <w:sz w:val="24"/>
        </w:rPr>
        <w:t>2.6.1 乙方有权依据合同约定和项目需要，向甲方了解有关情况，调阅有关资料等，甲方应予积极配合；</w:t>
      </w:r>
    </w:p>
    <w:p w14:paraId="400C226C">
      <w:pPr>
        <w:spacing w:line="400" w:lineRule="exact"/>
        <w:ind w:firstLine="480" w:firstLineChars="200"/>
        <w:rPr>
          <w:rFonts w:ascii="仿宋" w:hAnsi="仿宋" w:eastAsia="仿宋" w:cs="仿宋"/>
          <w:sz w:val="24"/>
        </w:rPr>
      </w:pPr>
      <w:r>
        <w:rPr>
          <w:rFonts w:hint="eastAsia" w:ascii="仿宋" w:hAnsi="仿宋" w:eastAsia="仿宋" w:cs="仿宋"/>
          <w:sz w:val="24"/>
        </w:rPr>
        <w:t>2.6.2 乙方有义务妥善保管和保护由甲方提供的前款信息和资料等；</w:t>
      </w:r>
    </w:p>
    <w:p w14:paraId="43051958">
      <w:pPr>
        <w:spacing w:line="400" w:lineRule="exact"/>
        <w:ind w:firstLine="480" w:firstLineChars="200"/>
        <w:rPr>
          <w:rFonts w:ascii="仿宋" w:hAnsi="仿宋" w:eastAsia="仿宋" w:cs="仿宋"/>
          <w:sz w:val="24"/>
        </w:rPr>
      </w:pPr>
      <w:r>
        <w:rPr>
          <w:rFonts w:hint="eastAsia" w:ascii="仿宋" w:hAnsi="仿宋" w:eastAsia="仿宋" w:cs="仿宋"/>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520E65E8">
      <w:pPr>
        <w:spacing w:line="400" w:lineRule="exact"/>
        <w:ind w:firstLine="482" w:firstLineChars="200"/>
        <w:outlineLvl w:val="1"/>
        <w:rPr>
          <w:rFonts w:ascii="仿宋" w:hAnsi="仿宋" w:eastAsia="仿宋" w:cs="仿宋"/>
          <w:b/>
          <w:sz w:val="24"/>
        </w:rPr>
      </w:pPr>
      <w:bookmarkStart w:id="798" w:name="_Toc24552"/>
      <w:bookmarkStart w:id="799" w:name="_Toc15010"/>
      <w:bookmarkStart w:id="800" w:name="_Toc18372"/>
      <w:bookmarkStart w:id="801" w:name="_Toc339"/>
      <w:bookmarkStart w:id="802" w:name="_Toc13112"/>
      <w:bookmarkStart w:id="803" w:name="_Toc32183"/>
      <w:bookmarkStart w:id="804" w:name="_Toc19069"/>
      <w:bookmarkStart w:id="805" w:name="_Toc1948"/>
      <w:bookmarkStart w:id="806" w:name="_Toc30162"/>
      <w:bookmarkStart w:id="807" w:name="_Toc22614"/>
      <w:bookmarkStart w:id="808" w:name="_Toc20114"/>
      <w:bookmarkStart w:id="809" w:name="_Toc1851"/>
      <w:bookmarkStart w:id="810" w:name="_Toc259093681"/>
      <w:bookmarkStart w:id="811" w:name="_Toc487900362"/>
      <w:bookmarkStart w:id="812" w:name="_Toc279701252"/>
      <w:r>
        <w:rPr>
          <w:rFonts w:hint="eastAsia" w:ascii="仿宋" w:hAnsi="仿宋" w:eastAsia="仿宋" w:cs="仿宋"/>
          <w:b/>
          <w:sz w:val="24"/>
        </w:rPr>
        <w:t>2.7 质量保证</w:t>
      </w:r>
      <w:bookmarkEnd w:id="798"/>
      <w:bookmarkEnd w:id="799"/>
      <w:bookmarkEnd w:id="800"/>
      <w:bookmarkEnd w:id="801"/>
      <w:bookmarkEnd w:id="802"/>
      <w:bookmarkEnd w:id="803"/>
      <w:bookmarkEnd w:id="804"/>
      <w:bookmarkEnd w:id="805"/>
      <w:bookmarkEnd w:id="806"/>
      <w:bookmarkEnd w:id="807"/>
      <w:bookmarkEnd w:id="808"/>
      <w:bookmarkEnd w:id="809"/>
    </w:p>
    <w:p w14:paraId="0D22AE7A">
      <w:pPr>
        <w:spacing w:line="400" w:lineRule="exact"/>
        <w:ind w:firstLine="480" w:firstLineChars="200"/>
        <w:rPr>
          <w:rFonts w:ascii="仿宋" w:hAnsi="仿宋" w:eastAsia="仿宋" w:cs="仿宋"/>
          <w:sz w:val="24"/>
        </w:rPr>
      </w:pPr>
      <w:r>
        <w:rPr>
          <w:rFonts w:hint="eastAsia" w:ascii="仿宋" w:hAnsi="仿宋" w:eastAsia="仿宋" w:cs="仿宋"/>
          <w:sz w:val="24"/>
        </w:rPr>
        <w:t>2.7.1 乙方应建立和完善履行合同的内部质量保证体系，并提供相关内部规章制度给甲方，以便甲方进行监督检查；</w:t>
      </w:r>
    </w:p>
    <w:p w14:paraId="34855E1C">
      <w:pPr>
        <w:spacing w:line="400" w:lineRule="exact"/>
        <w:ind w:firstLine="480" w:firstLineChars="200"/>
        <w:rPr>
          <w:rFonts w:ascii="仿宋" w:hAnsi="仿宋" w:eastAsia="仿宋" w:cs="仿宋"/>
          <w:sz w:val="24"/>
        </w:rPr>
      </w:pPr>
      <w:r>
        <w:rPr>
          <w:rFonts w:hint="eastAsia" w:ascii="仿宋" w:hAnsi="仿宋" w:eastAsia="仿宋" w:cs="仿宋"/>
          <w:sz w:val="24"/>
        </w:rPr>
        <w:t>2.7.2 乙方应保证履行合同的人员数量和素质、软件和硬件设备的配置、场地、环境和设施等满足全面履行合同的要求，并应接受甲方的监督检查。</w:t>
      </w:r>
    </w:p>
    <w:p w14:paraId="49D2C824">
      <w:pPr>
        <w:spacing w:line="400" w:lineRule="exact"/>
        <w:ind w:firstLine="482" w:firstLineChars="200"/>
        <w:outlineLvl w:val="1"/>
        <w:rPr>
          <w:rFonts w:ascii="仿宋" w:hAnsi="仿宋" w:eastAsia="仿宋" w:cs="仿宋"/>
          <w:b/>
          <w:sz w:val="24"/>
        </w:rPr>
      </w:pPr>
      <w:bookmarkStart w:id="813" w:name="_Toc11034"/>
      <w:bookmarkStart w:id="814" w:name="_Toc14323"/>
      <w:bookmarkStart w:id="815" w:name="_Toc1263"/>
      <w:bookmarkStart w:id="816" w:name="_Toc11272"/>
      <w:bookmarkStart w:id="817" w:name="_Toc28170"/>
      <w:bookmarkStart w:id="818" w:name="_Toc22198"/>
      <w:bookmarkStart w:id="819" w:name="_Toc32424"/>
      <w:bookmarkStart w:id="820" w:name="_Toc10485"/>
      <w:bookmarkStart w:id="821" w:name="_Toc10063"/>
      <w:bookmarkStart w:id="822" w:name="_Toc22267"/>
      <w:bookmarkStart w:id="823" w:name="_Toc8481"/>
      <w:bookmarkStart w:id="824" w:name="_Toc7710"/>
      <w:r>
        <w:rPr>
          <w:rFonts w:hint="eastAsia" w:ascii="仿宋" w:hAnsi="仿宋" w:eastAsia="仿宋" w:cs="仿宋"/>
          <w:b/>
          <w:sz w:val="24"/>
        </w:rPr>
        <w:t>2.8 延迟</w:t>
      </w:r>
      <w:bookmarkEnd w:id="810"/>
      <w:bookmarkEnd w:id="811"/>
      <w:bookmarkEnd w:id="812"/>
      <w:r>
        <w:rPr>
          <w:rFonts w:hint="eastAsia" w:ascii="仿宋" w:hAnsi="仿宋" w:eastAsia="仿宋" w:cs="仿宋"/>
          <w:b/>
          <w:sz w:val="24"/>
        </w:rPr>
        <w:t>履行</w:t>
      </w:r>
      <w:bookmarkEnd w:id="813"/>
      <w:bookmarkEnd w:id="814"/>
      <w:bookmarkEnd w:id="815"/>
      <w:bookmarkEnd w:id="816"/>
      <w:bookmarkEnd w:id="817"/>
      <w:bookmarkEnd w:id="818"/>
      <w:bookmarkEnd w:id="819"/>
      <w:bookmarkEnd w:id="820"/>
      <w:bookmarkEnd w:id="821"/>
      <w:bookmarkEnd w:id="822"/>
      <w:bookmarkEnd w:id="823"/>
      <w:bookmarkEnd w:id="824"/>
    </w:p>
    <w:p w14:paraId="67C9F763">
      <w:pPr>
        <w:spacing w:line="400" w:lineRule="exact"/>
        <w:ind w:firstLine="480" w:firstLineChars="200"/>
        <w:rPr>
          <w:rFonts w:ascii="仿宋" w:hAnsi="仿宋" w:eastAsia="仿宋" w:cs="仿宋"/>
          <w:sz w:val="24"/>
        </w:rPr>
      </w:pPr>
      <w:r>
        <w:rPr>
          <w:rFonts w:hint="eastAsia" w:ascii="仿宋" w:hAnsi="仿宋" w:eastAsia="仿宋" w:cs="仿宋"/>
          <w:sz w:val="24"/>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63F663B2">
      <w:pPr>
        <w:spacing w:line="400" w:lineRule="exact"/>
        <w:ind w:firstLine="482" w:firstLineChars="200"/>
        <w:outlineLvl w:val="1"/>
        <w:rPr>
          <w:rFonts w:ascii="仿宋" w:hAnsi="仿宋" w:eastAsia="仿宋" w:cs="仿宋"/>
          <w:b/>
          <w:sz w:val="24"/>
        </w:rPr>
      </w:pPr>
      <w:bookmarkStart w:id="825" w:name="_Toc28758"/>
      <w:bookmarkStart w:id="826" w:name="_Toc10611"/>
      <w:bookmarkStart w:id="827" w:name="_Toc10750"/>
      <w:bookmarkStart w:id="828" w:name="_Toc27101"/>
      <w:bookmarkStart w:id="829" w:name="_Toc12112"/>
      <w:bookmarkStart w:id="830" w:name="_Toc3810"/>
      <w:bookmarkStart w:id="831" w:name="_Toc25613"/>
      <w:bookmarkStart w:id="832" w:name="_Toc28004"/>
      <w:bookmarkStart w:id="833" w:name="_Toc13769"/>
      <w:bookmarkStart w:id="834" w:name="_Toc20254"/>
      <w:bookmarkStart w:id="835" w:name="_Toc12190"/>
      <w:bookmarkStart w:id="836" w:name="_Toc3758"/>
      <w:bookmarkStart w:id="837" w:name="_Toc487900364"/>
      <w:bookmarkStart w:id="838" w:name="_Toc259093683"/>
      <w:bookmarkStart w:id="839" w:name="_Toc279701254"/>
      <w:bookmarkStart w:id="840" w:name="_Ref467378121"/>
      <w:r>
        <w:rPr>
          <w:rFonts w:hint="eastAsia" w:ascii="仿宋" w:hAnsi="仿宋" w:eastAsia="仿宋" w:cs="仿宋"/>
          <w:b/>
          <w:sz w:val="24"/>
        </w:rPr>
        <w:t>2.9 合同变更</w:t>
      </w:r>
      <w:bookmarkEnd w:id="825"/>
      <w:bookmarkEnd w:id="826"/>
      <w:bookmarkEnd w:id="827"/>
      <w:bookmarkEnd w:id="828"/>
      <w:bookmarkEnd w:id="829"/>
      <w:bookmarkEnd w:id="830"/>
      <w:bookmarkEnd w:id="831"/>
      <w:bookmarkEnd w:id="832"/>
      <w:bookmarkEnd w:id="833"/>
      <w:bookmarkEnd w:id="834"/>
      <w:bookmarkEnd w:id="835"/>
      <w:bookmarkEnd w:id="836"/>
    </w:p>
    <w:p w14:paraId="187A4794">
      <w:pPr>
        <w:spacing w:line="400" w:lineRule="exact"/>
        <w:ind w:firstLine="480" w:firstLineChars="200"/>
        <w:rPr>
          <w:rFonts w:ascii="仿宋" w:hAnsi="仿宋" w:eastAsia="仿宋" w:cs="仿宋"/>
          <w:sz w:val="24"/>
        </w:rPr>
      </w:pPr>
      <w:r>
        <w:rPr>
          <w:rFonts w:hint="eastAsia" w:ascii="仿宋" w:hAnsi="仿宋" w:eastAsia="仿宋" w:cs="仿宋"/>
          <w:sz w:val="24"/>
        </w:rPr>
        <w:t>2.9.1 双方当事人协商一致，可以签订书面补充合同的形式变更合同，但不得违背采购文件确定的事项，且如果系追加与合同标的相同的服务的，那么所有补充合同的采购金额不得超过原合同价的10%；</w:t>
      </w:r>
    </w:p>
    <w:p w14:paraId="3B8A3D7C">
      <w:pPr>
        <w:spacing w:line="400" w:lineRule="exact"/>
        <w:ind w:firstLine="480" w:firstLineChars="200"/>
        <w:rPr>
          <w:rFonts w:ascii="仿宋" w:hAnsi="仿宋" w:eastAsia="仿宋" w:cs="仿宋"/>
          <w:sz w:val="24"/>
        </w:rPr>
      </w:pPr>
      <w:r>
        <w:rPr>
          <w:rFonts w:hint="eastAsia" w:ascii="仿宋" w:hAnsi="仿宋" w:eastAsia="仿宋" w:cs="仿宋"/>
          <w:sz w:val="24"/>
        </w:rPr>
        <w:t>2.9.2 合同继续履行将损害国家利益和社会公共利益的，双方当事人应当以书面形式变更合同。有过错的一方应当承担赔偿责任，双方当事人都有过错的，各自承担相应的责任。</w:t>
      </w:r>
      <w:bookmarkStart w:id="841" w:name="_Toc487900369"/>
      <w:bookmarkStart w:id="842" w:name="_Toc259093688"/>
      <w:bookmarkStart w:id="843" w:name="_Toc279701259"/>
    </w:p>
    <w:p w14:paraId="1629F7D3">
      <w:pPr>
        <w:spacing w:line="400" w:lineRule="exact"/>
        <w:ind w:firstLine="482" w:firstLineChars="200"/>
        <w:outlineLvl w:val="1"/>
        <w:rPr>
          <w:rFonts w:ascii="仿宋" w:hAnsi="仿宋" w:eastAsia="仿宋" w:cs="仿宋"/>
          <w:b/>
          <w:sz w:val="24"/>
        </w:rPr>
      </w:pPr>
      <w:bookmarkStart w:id="844" w:name="_Toc42"/>
      <w:bookmarkStart w:id="845" w:name="_Toc10663"/>
      <w:bookmarkStart w:id="846" w:name="_Toc28640"/>
      <w:bookmarkStart w:id="847" w:name="_Toc26689"/>
      <w:bookmarkStart w:id="848" w:name="_Toc30446"/>
      <w:bookmarkStart w:id="849" w:name="_Toc18298"/>
      <w:bookmarkStart w:id="850" w:name="_Toc21830"/>
      <w:bookmarkStart w:id="851" w:name="_Toc17116"/>
      <w:bookmarkStart w:id="852" w:name="_Toc25814"/>
      <w:bookmarkStart w:id="853" w:name="_Toc24271"/>
      <w:bookmarkStart w:id="854" w:name="_Toc14972"/>
      <w:bookmarkStart w:id="855" w:name="_Toc6424"/>
      <w:bookmarkStart w:id="856" w:name="_Toc23368"/>
      <w:bookmarkStart w:id="857" w:name="_Toc6143"/>
      <w:bookmarkStart w:id="858" w:name="_Toc4195"/>
      <w:bookmarkStart w:id="859" w:name="_Toc8222"/>
      <w:r>
        <w:rPr>
          <w:rFonts w:hint="eastAsia" w:ascii="仿宋" w:hAnsi="仿宋" w:eastAsia="仿宋" w:cs="仿宋"/>
          <w:b/>
          <w:sz w:val="24"/>
        </w:rPr>
        <w:t>2.10 合同转让</w:t>
      </w:r>
      <w:bookmarkEnd w:id="841"/>
      <w:bookmarkEnd w:id="842"/>
      <w:bookmarkEnd w:id="843"/>
      <w:r>
        <w:rPr>
          <w:rFonts w:hint="eastAsia" w:ascii="仿宋" w:hAnsi="仿宋" w:eastAsia="仿宋" w:cs="仿宋"/>
          <w:b/>
          <w:sz w:val="24"/>
        </w:rPr>
        <w:t>和分包</w:t>
      </w:r>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p>
    <w:p w14:paraId="734C400A">
      <w:pPr>
        <w:spacing w:line="400" w:lineRule="exact"/>
        <w:ind w:firstLine="480" w:firstLineChars="200"/>
        <w:rPr>
          <w:rFonts w:ascii="仿宋" w:hAnsi="仿宋" w:eastAsia="仿宋" w:cs="仿宋"/>
          <w:sz w:val="24"/>
        </w:rPr>
      </w:pPr>
      <w:r>
        <w:rPr>
          <w:rFonts w:hint="eastAsia" w:ascii="仿宋" w:hAnsi="仿宋" w:eastAsia="仿宋" w:cs="仿宋"/>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0D4B976F">
      <w:pPr>
        <w:spacing w:line="400" w:lineRule="exact"/>
        <w:ind w:firstLine="482" w:firstLineChars="200"/>
        <w:outlineLvl w:val="1"/>
        <w:rPr>
          <w:rFonts w:ascii="仿宋" w:hAnsi="仿宋" w:eastAsia="仿宋" w:cs="仿宋"/>
          <w:b/>
          <w:sz w:val="24"/>
        </w:rPr>
      </w:pPr>
      <w:bookmarkStart w:id="860" w:name="_Toc31065"/>
      <w:bookmarkStart w:id="861" w:name="_Toc4720"/>
      <w:bookmarkStart w:id="862" w:name="_Toc15171"/>
      <w:bookmarkStart w:id="863" w:name="_Toc26633"/>
      <w:bookmarkStart w:id="864" w:name="_Toc9705"/>
      <w:bookmarkStart w:id="865" w:name="_Toc30847"/>
      <w:bookmarkStart w:id="866" w:name="_Toc23855"/>
      <w:bookmarkStart w:id="867" w:name="_Toc32494"/>
      <w:bookmarkStart w:id="868" w:name="_Toc25571"/>
      <w:bookmarkStart w:id="869" w:name="_Toc10912"/>
      <w:bookmarkStart w:id="870" w:name="_Toc9462"/>
      <w:bookmarkStart w:id="871" w:name="_Toc8431"/>
      <w:bookmarkStart w:id="872" w:name="_Toc32622"/>
      <w:bookmarkStart w:id="873" w:name="_Toc10203"/>
      <w:bookmarkStart w:id="874" w:name="_Toc24708"/>
      <w:bookmarkStart w:id="875" w:name="_Toc14371"/>
      <w:r>
        <w:rPr>
          <w:rFonts w:hint="eastAsia" w:ascii="仿宋" w:hAnsi="仿宋" w:eastAsia="仿宋" w:cs="仿宋"/>
          <w:b/>
          <w:sz w:val="24"/>
        </w:rPr>
        <w:t>2.11 不可抗力</w:t>
      </w:r>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p>
    <w:p w14:paraId="0D176DB0">
      <w:pPr>
        <w:spacing w:line="400" w:lineRule="exact"/>
        <w:ind w:firstLine="480" w:firstLineChars="200"/>
        <w:rPr>
          <w:rFonts w:ascii="仿宋" w:hAnsi="仿宋" w:eastAsia="仿宋" w:cs="仿宋"/>
          <w:sz w:val="24"/>
        </w:rPr>
      </w:pPr>
      <w:r>
        <w:rPr>
          <w:rFonts w:hint="eastAsia" w:ascii="仿宋" w:hAnsi="仿宋" w:eastAsia="仿宋" w:cs="仿宋"/>
          <w:sz w:val="24"/>
        </w:rPr>
        <w:t>2.11.1如果任何一方遭遇法律规定的不可抗力，致使合同履行受阻时，履行合同的期限应予延长，延长的期限应相当于不可抗力所影响的时间；</w:t>
      </w:r>
    </w:p>
    <w:p w14:paraId="592AB3FD">
      <w:pPr>
        <w:spacing w:line="400" w:lineRule="exact"/>
        <w:ind w:firstLine="480" w:firstLineChars="200"/>
        <w:rPr>
          <w:rFonts w:ascii="仿宋" w:hAnsi="仿宋" w:eastAsia="仿宋" w:cs="仿宋"/>
          <w:sz w:val="24"/>
        </w:rPr>
      </w:pPr>
      <w:r>
        <w:rPr>
          <w:rFonts w:hint="eastAsia" w:ascii="仿宋" w:hAnsi="仿宋" w:eastAsia="仿宋" w:cs="仿宋"/>
          <w:sz w:val="24"/>
        </w:rPr>
        <w:t>2.11.2 因不可抗力致使不能实现合同目的的，当事人可以解除合同；</w:t>
      </w:r>
    </w:p>
    <w:p w14:paraId="4A95E0D6">
      <w:pPr>
        <w:spacing w:line="400" w:lineRule="exact"/>
        <w:ind w:firstLine="480" w:firstLineChars="200"/>
        <w:rPr>
          <w:rFonts w:ascii="仿宋" w:hAnsi="仿宋" w:eastAsia="仿宋" w:cs="仿宋"/>
          <w:sz w:val="24"/>
        </w:rPr>
      </w:pPr>
      <w:r>
        <w:rPr>
          <w:rFonts w:hint="eastAsia" w:ascii="仿宋" w:hAnsi="仿宋" w:eastAsia="仿宋" w:cs="仿宋"/>
          <w:sz w:val="24"/>
        </w:rPr>
        <w:t>2.11.3 因不可抗力致使合同有变更必要的，双方当事人应在</w:t>
      </w:r>
      <w:r>
        <w:rPr>
          <w:rFonts w:hint="eastAsia" w:ascii="仿宋" w:hAnsi="仿宋" w:eastAsia="仿宋" w:cs="仿宋"/>
          <w:b/>
          <w:i/>
          <w:sz w:val="24"/>
          <w:u w:val="single"/>
        </w:rPr>
        <w:t>合同专用条款</w:t>
      </w:r>
      <w:r>
        <w:rPr>
          <w:rFonts w:hint="eastAsia" w:ascii="仿宋" w:hAnsi="仿宋" w:eastAsia="仿宋" w:cs="仿宋"/>
          <w:sz w:val="24"/>
        </w:rPr>
        <w:t>约定时间内以书面形式变更合同；</w:t>
      </w:r>
    </w:p>
    <w:p w14:paraId="65D1BBD6">
      <w:pPr>
        <w:spacing w:line="400" w:lineRule="exact"/>
        <w:ind w:firstLine="480" w:firstLineChars="200"/>
        <w:rPr>
          <w:rFonts w:ascii="仿宋" w:hAnsi="仿宋" w:eastAsia="仿宋" w:cs="仿宋"/>
          <w:sz w:val="24"/>
        </w:rPr>
      </w:pPr>
      <w:r>
        <w:rPr>
          <w:rFonts w:hint="eastAsia" w:ascii="仿宋" w:hAnsi="仿宋" w:eastAsia="仿宋" w:cs="仿宋"/>
          <w:sz w:val="24"/>
        </w:rPr>
        <w:t>2.11.4受不可抗力影响的一方在不可抗力发生后，应在</w:t>
      </w:r>
      <w:r>
        <w:rPr>
          <w:rFonts w:hint="eastAsia" w:ascii="仿宋" w:hAnsi="仿宋" w:eastAsia="仿宋" w:cs="仿宋"/>
          <w:b/>
          <w:i/>
          <w:sz w:val="24"/>
          <w:u w:val="single"/>
        </w:rPr>
        <w:t>合同专用条款</w:t>
      </w:r>
      <w:r>
        <w:rPr>
          <w:rFonts w:hint="eastAsia" w:ascii="仿宋" w:hAnsi="仿宋" w:eastAsia="仿宋" w:cs="仿宋"/>
          <w:sz w:val="24"/>
        </w:rPr>
        <w:t>约定时间内以书面形式通知对方当事人，并在</w:t>
      </w:r>
      <w:r>
        <w:rPr>
          <w:rFonts w:hint="eastAsia" w:ascii="仿宋" w:hAnsi="仿宋" w:eastAsia="仿宋" w:cs="仿宋"/>
          <w:b/>
          <w:i/>
          <w:sz w:val="24"/>
          <w:u w:val="single"/>
        </w:rPr>
        <w:t>合同专用条款</w:t>
      </w:r>
      <w:r>
        <w:rPr>
          <w:rFonts w:hint="eastAsia" w:ascii="仿宋" w:hAnsi="仿宋" w:eastAsia="仿宋" w:cs="仿宋"/>
          <w:sz w:val="24"/>
        </w:rPr>
        <w:t>约定时间内，将有关部门出具的证明文件送达对方当事人。</w:t>
      </w:r>
    </w:p>
    <w:p w14:paraId="1A85F573">
      <w:pPr>
        <w:spacing w:line="400" w:lineRule="exact"/>
        <w:ind w:firstLine="482" w:firstLineChars="200"/>
        <w:outlineLvl w:val="1"/>
        <w:rPr>
          <w:rFonts w:ascii="仿宋" w:hAnsi="仿宋" w:eastAsia="仿宋" w:cs="仿宋"/>
          <w:b/>
          <w:sz w:val="24"/>
        </w:rPr>
      </w:pPr>
      <w:bookmarkStart w:id="876" w:name="_Toc14370"/>
      <w:bookmarkStart w:id="877" w:name="_Toc219"/>
      <w:bookmarkStart w:id="878" w:name="_Toc279701255"/>
      <w:bookmarkStart w:id="879" w:name="_Toc24465"/>
      <w:bookmarkStart w:id="880" w:name="_Toc25783"/>
      <w:bookmarkStart w:id="881" w:name="_Toc15000"/>
      <w:bookmarkStart w:id="882" w:name="_Toc32181"/>
      <w:bookmarkStart w:id="883" w:name="_Toc23373"/>
      <w:bookmarkStart w:id="884" w:name="_Toc17127"/>
      <w:bookmarkStart w:id="885" w:name="_Toc6743"/>
      <w:bookmarkStart w:id="886" w:name="_Toc12690"/>
      <w:bookmarkStart w:id="887" w:name="_Toc3156"/>
      <w:bookmarkStart w:id="888" w:name="_Toc1959"/>
      <w:bookmarkStart w:id="889" w:name="_Toc3638"/>
      <w:bookmarkStart w:id="890" w:name="_Toc11275"/>
      <w:bookmarkStart w:id="891" w:name="_Toc23854"/>
      <w:bookmarkStart w:id="892" w:name="_Toc259093684"/>
      <w:bookmarkStart w:id="893" w:name="_Toc487900365"/>
      <w:bookmarkStart w:id="894" w:name="_Toc14115"/>
      <w:r>
        <w:rPr>
          <w:rFonts w:hint="eastAsia" w:ascii="仿宋" w:hAnsi="仿宋" w:eastAsia="仿宋" w:cs="仿宋"/>
          <w:b/>
          <w:sz w:val="24"/>
        </w:rPr>
        <w:t>2.12 税费</w:t>
      </w:r>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p>
    <w:p w14:paraId="5D054DD6">
      <w:pPr>
        <w:spacing w:line="400" w:lineRule="exact"/>
        <w:ind w:firstLine="480" w:firstLineChars="200"/>
        <w:rPr>
          <w:rFonts w:ascii="仿宋" w:hAnsi="仿宋" w:eastAsia="仿宋" w:cs="仿宋"/>
          <w:sz w:val="24"/>
        </w:rPr>
      </w:pPr>
      <w:r>
        <w:rPr>
          <w:rFonts w:hint="eastAsia" w:ascii="仿宋" w:hAnsi="仿宋" w:eastAsia="仿宋" w:cs="仿宋"/>
          <w:sz w:val="24"/>
        </w:rPr>
        <w:t>与合同有关的一切税费，均按照中华人民共和国法律的相关规定缴纳。</w:t>
      </w:r>
    </w:p>
    <w:p w14:paraId="63433D96">
      <w:pPr>
        <w:spacing w:line="400" w:lineRule="exact"/>
        <w:ind w:firstLine="482" w:firstLineChars="200"/>
        <w:outlineLvl w:val="1"/>
        <w:rPr>
          <w:rFonts w:ascii="仿宋" w:hAnsi="仿宋" w:eastAsia="仿宋" w:cs="仿宋"/>
          <w:b/>
          <w:sz w:val="24"/>
        </w:rPr>
      </w:pPr>
      <w:bookmarkStart w:id="895" w:name="_Toc30105"/>
      <w:bookmarkStart w:id="896" w:name="_Toc19880"/>
      <w:bookmarkStart w:id="897" w:name="_Toc31237"/>
      <w:bookmarkStart w:id="898" w:name="_Toc26883"/>
      <w:bookmarkStart w:id="899" w:name="_Toc15966"/>
      <w:bookmarkStart w:id="900" w:name="_Toc279701258"/>
      <w:bookmarkStart w:id="901" w:name="_Toc487900368"/>
      <w:bookmarkStart w:id="902" w:name="_Toc3759"/>
      <w:bookmarkStart w:id="903" w:name="_Toc10398"/>
      <w:bookmarkStart w:id="904" w:name="_Toc5894"/>
      <w:bookmarkStart w:id="905" w:name="_Toc14494"/>
      <w:bookmarkStart w:id="906" w:name="_Toc12415"/>
      <w:bookmarkStart w:id="907" w:name="_Toc14814"/>
      <w:bookmarkStart w:id="908" w:name="_Toc7315"/>
      <w:bookmarkStart w:id="909" w:name="_Toc27492"/>
      <w:bookmarkStart w:id="910" w:name="_Toc259093687"/>
      <w:bookmarkStart w:id="911" w:name="_Toc4896"/>
      <w:bookmarkStart w:id="912" w:name="_Toc24809"/>
      <w:bookmarkStart w:id="913" w:name="_Toc25525"/>
      <w:r>
        <w:rPr>
          <w:rFonts w:hint="eastAsia" w:ascii="仿宋" w:hAnsi="仿宋" w:eastAsia="仿宋" w:cs="仿宋"/>
          <w:b/>
          <w:sz w:val="24"/>
        </w:rPr>
        <w:t>2.13 乙方破产</w:t>
      </w:r>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p>
    <w:p w14:paraId="65604954">
      <w:pPr>
        <w:spacing w:line="400" w:lineRule="exact"/>
        <w:ind w:firstLine="480" w:firstLineChars="200"/>
        <w:rPr>
          <w:rFonts w:ascii="仿宋" w:hAnsi="仿宋" w:eastAsia="仿宋" w:cs="仿宋"/>
          <w:sz w:val="24"/>
        </w:rPr>
      </w:pPr>
      <w:r>
        <w:rPr>
          <w:rFonts w:hint="eastAsia" w:ascii="仿宋" w:hAnsi="仿宋" w:eastAsia="仿宋" w:cs="仿宋"/>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0F3A8FF8">
      <w:pPr>
        <w:spacing w:line="400" w:lineRule="exact"/>
        <w:ind w:firstLine="482" w:firstLineChars="200"/>
        <w:outlineLvl w:val="1"/>
        <w:rPr>
          <w:rFonts w:ascii="仿宋" w:hAnsi="仿宋" w:eastAsia="仿宋" w:cs="仿宋"/>
          <w:b/>
          <w:sz w:val="24"/>
        </w:rPr>
      </w:pPr>
      <w:bookmarkStart w:id="914" w:name="_Toc25092"/>
      <w:bookmarkStart w:id="915" w:name="_Toc1123"/>
      <w:bookmarkStart w:id="916" w:name="_Toc1675"/>
      <w:bookmarkStart w:id="917" w:name="_Toc4845"/>
      <w:bookmarkStart w:id="918" w:name="_Toc18650"/>
      <w:bookmarkStart w:id="919" w:name="_Toc8069"/>
      <w:bookmarkStart w:id="920" w:name="_Toc15650"/>
      <w:bookmarkStart w:id="921" w:name="_Toc23323"/>
      <w:bookmarkStart w:id="922" w:name="_Toc6032"/>
      <w:bookmarkStart w:id="923" w:name="_Toc13023"/>
      <w:bookmarkStart w:id="924" w:name="_Toc31298"/>
      <w:bookmarkStart w:id="925" w:name="_Toc26320"/>
      <w:bookmarkStart w:id="926" w:name="_Toc16867"/>
      <w:bookmarkStart w:id="927" w:name="_Toc2016"/>
      <w:r>
        <w:rPr>
          <w:rFonts w:hint="eastAsia" w:ascii="仿宋" w:hAnsi="仿宋" w:eastAsia="仿宋" w:cs="仿宋"/>
          <w:b/>
          <w:sz w:val="24"/>
        </w:rPr>
        <w:t>2.14 合同中止、终止</w:t>
      </w:r>
      <w:bookmarkEnd w:id="914"/>
      <w:bookmarkEnd w:id="915"/>
      <w:bookmarkEnd w:id="916"/>
      <w:bookmarkEnd w:id="917"/>
      <w:bookmarkEnd w:id="918"/>
      <w:bookmarkEnd w:id="919"/>
      <w:bookmarkEnd w:id="920"/>
      <w:bookmarkEnd w:id="921"/>
      <w:bookmarkEnd w:id="922"/>
      <w:bookmarkEnd w:id="923"/>
      <w:bookmarkEnd w:id="924"/>
      <w:bookmarkEnd w:id="925"/>
      <w:bookmarkEnd w:id="926"/>
      <w:bookmarkEnd w:id="927"/>
    </w:p>
    <w:p w14:paraId="70DC3651">
      <w:pPr>
        <w:spacing w:line="400" w:lineRule="exact"/>
        <w:ind w:firstLine="480" w:firstLineChars="200"/>
        <w:rPr>
          <w:rFonts w:ascii="仿宋" w:hAnsi="仿宋" w:eastAsia="仿宋" w:cs="仿宋"/>
          <w:sz w:val="24"/>
        </w:rPr>
      </w:pPr>
      <w:r>
        <w:rPr>
          <w:rFonts w:hint="eastAsia" w:ascii="仿宋" w:hAnsi="仿宋" w:eastAsia="仿宋" w:cs="仿宋"/>
          <w:sz w:val="24"/>
        </w:rPr>
        <w:t>2.14.1 双方当事人不得擅自中止或者终止合同；</w:t>
      </w:r>
    </w:p>
    <w:p w14:paraId="1E464B98">
      <w:pPr>
        <w:spacing w:line="400" w:lineRule="exact"/>
        <w:ind w:firstLine="480" w:firstLineChars="200"/>
        <w:rPr>
          <w:rFonts w:ascii="仿宋" w:hAnsi="仿宋" w:eastAsia="仿宋" w:cs="仿宋"/>
          <w:sz w:val="24"/>
        </w:rPr>
      </w:pPr>
      <w:r>
        <w:rPr>
          <w:rFonts w:hint="eastAsia" w:ascii="仿宋" w:hAnsi="仿宋" w:eastAsia="仿宋" w:cs="仿宋"/>
          <w:sz w:val="24"/>
        </w:rPr>
        <w:t>2.14.2合同继续履行将损害国家利益和社会公共利益的，双方当事人应当中止或者终止合同。有过错的一方应当承担赔偿责任，双方当事人都有过错的，各自承担相应的责任。</w:t>
      </w:r>
    </w:p>
    <w:p w14:paraId="177FB629">
      <w:pPr>
        <w:spacing w:line="400" w:lineRule="exact"/>
        <w:ind w:firstLine="482" w:firstLineChars="200"/>
        <w:outlineLvl w:val="1"/>
        <w:rPr>
          <w:rFonts w:ascii="仿宋" w:hAnsi="仿宋" w:eastAsia="仿宋" w:cs="仿宋"/>
          <w:b/>
          <w:sz w:val="24"/>
        </w:rPr>
      </w:pPr>
      <w:bookmarkStart w:id="928" w:name="_Toc31348"/>
      <w:bookmarkStart w:id="929" w:name="_Toc16529"/>
      <w:bookmarkStart w:id="930" w:name="_Toc14653"/>
      <w:bookmarkStart w:id="931" w:name="_Toc12981"/>
      <w:bookmarkStart w:id="932" w:name="_Toc295"/>
      <w:bookmarkStart w:id="933" w:name="_Toc1969"/>
      <w:bookmarkStart w:id="934" w:name="_Toc22475"/>
      <w:bookmarkStart w:id="935" w:name="_Toc17363"/>
      <w:bookmarkStart w:id="936" w:name="_Toc25815"/>
      <w:bookmarkStart w:id="937" w:name="_Toc30002"/>
      <w:bookmarkStart w:id="938" w:name="_Toc12473"/>
      <w:bookmarkStart w:id="939" w:name="_Toc22355"/>
      <w:bookmarkStart w:id="940" w:name="_Toc25753"/>
      <w:bookmarkStart w:id="941" w:name="_Toc14525"/>
      <w:r>
        <w:rPr>
          <w:rFonts w:hint="eastAsia" w:ascii="仿宋" w:hAnsi="仿宋" w:eastAsia="仿宋" w:cs="仿宋"/>
          <w:b/>
          <w:sz w:val="24"/>
        </w:rPr>
        <w:t>2.15 检验和验收</w:t>
      </w:r>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p>
    <w:p w14:paraId="7B2E21A4">
      <w:pPr>
        <w:tabs>
          <w:tab w:val="left" w:pos="360"/>
          <w:tab w:val="left" w:pos="540"/>
          <w:tab w:val="left" w:pos="1080"/>
        </w:tabs>
        <w:spacing w:line="400" w:lineRule="exact"/>
        <w:ind w:firstLine="480" w:firstLineChars="200"/>
        <w:rPr>
          <w:rFonts w:ascii="仿宋" w:hAnsi="仿宋" w:eastAsia="仿宋" w:cs="仿宋"/>
          <w:sz w:val="24"/>
        </w:rPr>
      </w:pPr>
      <w:r>
        <w:rPr>
          <w:rFonts w:hint="eastAsia" w:ascii="仿宋" w:hAnsi="仿宋" w:eastAsia="仿宋" w:cs="仿宋"/>
          <w:sz w:val="24"/>
        </w:rPr>
        <w:t>2.15.1 乙方按照</w:t>
      </w:r>
      <w:r>
        <w:rPr>
          <w:rFonts w:hint="eastAsia" w:ascii="仿宋" w:hAnsi="仿宋" w:eastAsia="仿宋" w:cs="仿宋"/>
          <w:b/>
          <w:i/>
          <w:sz w:val="24"/>
          <w:u w:val="single"/>
        </w:rPr>
        <w:t>合同专用条款</w:t>
      </w:r>
      <w:r>
        <w:rPr>
          <w:rFonts w:hint="eastAsia" w:ascii="仿宋" w:hAnsi="仿宋" w:eastAsia="仿宋" w:cs="仿宋"/>
          <w:sz w:val="24"/>
        </w:rPr>
        <w:t>的约定，定期提交服务报告，甲方按照</w:t>
      </w:r>
      <w:r>
        <w:rPr>
          <w:rFonts w:hint="eastAsia" w:ascii="仿宋" w:hAnsi="仿宋" w:eastAsia="仿宋" w:cs="仿宋"/>
          <w:b/>
          <w:i/>
          <w:sz w:val="24"/>
          <w:u w:val="single"/>
        </w:rPr>
        <w:t>合同专用条款</w:t>
      </w:r>
      <w:r>
        <w:rPr>
          <w:rFonts w:hint="eastAsia" w:ascii="仿宋" w:hAnsi="仿宋" w:eastAsia="仿宋" w:cs="仿宋"/>
          <w:sz w:val="24"/>
        </w:rPr>
        <w:t>的约定进行定期验收；</w:t>
      </w:r>
    </w:p>
    <w:p w14:paraId="1D855323">
      <w:pPr>
        <w:tabs>
          <w:tab w:val="left" w:pos="360"/>
          <w:tab w:val="left" w:pos="540"/>
          <w:tab w:val="left" w:pos="1080"/>
        </w:tabs>
        <w:spacing w:line="400" w:lineRule="exact"/>
        <w:ind w:firstLine="480" w:firstLineChars="200"/>
        <w:rPr>
          <w:rFonts w:ascii="仿宋" w:hAnsi="仿宋" w:eastAsia="仿宋" w:cs="仿宋"/>
          <w:sz w:val="24"/>
        </w:rPr>
      </w:pPr>
      <w:r>
        <w:rPr>
          <w:rFonts w:hint="eastAsia" w:ascii="仿宋" w:hAnsi="仿宋" w:eastAsia="仿宋" w:cs="仿宋"/>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7EEF53C7">
      <w:pPr>
        <w:tabs>
          <w:tab w:val="left" w:pos="360"/>
          <w:tab w:val="left" w:pos="540"/>
          <w:tab w:val="left" w:pos="1080"/>
        </w:tabs>
        <w:spacing w:line="400" w:lineRule="exact"/>
        <w:ind w:firstLine="480" w:firstLineChars="200"/>
        <w:rPr>
          <w:rFonts w:ascii="仿宋" w:hAnsi="仿宋" w:eastAsia="仿宋" w:cs="仿宋"/>
          <w:sz w:val="24"/>
        </w:rPr>
      </w:pPr>
      <w:r>
        <w:rPr>
          <w:rFonts w:hint="eastAsia" w:ascii="仿宋" w:hAnsi="仿宋" w:eastAsia="仿宋" w:cs="仿宋"/>
          <w:sz w:val="24"/>
        </w:rPr>
        <w:t>2.15.3 检验和验收标准、程序等具体内容以及前述验收书的效力详见</w:t>
      </w:r>
      <w:r>
        <w:rPr>
          <w:rFonts w:hint="eastAsia" w:ascii="仿宋" w:hAnsi="仿宋" w:eastAsia="仿宋" w:cs="仿宋"/>
          <w:b/>
          <w:i/>
          <w:sz w:val="24"/>
          <w:u w:val="single"/>
        </w:rPr>
        <w:t>合同专用条款</w:t>
      </w:r>
      <w:r>
        <w:rPr>
          <w:rFonts w:hint="eastAsia" w:ascii="仿宋" w:hAnsi="仿宋" w:eastAsia="仿宋" w:cs="仿宋"/>
          <w:i/>
          <w:sz w:val="24"/>
        </w:rPr>
        <w:t>。</w:t>
      </w:r>
    </w:p>
    <w:bookmarkEnd w:id="837"/>
    <w:bookmarkEnd w:id="838"/>
    <w:bookmarkEnd w:id="839"/>
    <w:bookmarkEnd w:id="840"/>
    <w:p w14:paraId="394B306B">
      <w:pPr>
        <w:spacing w:line="400" w:lineRule="exact"/>
        <w:ind w:firstLine="482" w:firstLineChars="200"/>
        <w:outlineLvl w:val="1"/>
        <w:rPr>
          <w:rFonts w:ascii="仿宋" w:hAnsi="仿宋" w:eastAsia="仿宋" w:cs="仿宋"/>
          <w:b/>
          <w:sz w:val="24"/>
        </w:rPr>
      </w:pPr>
      <w:bookmarkStart w:id="942" w:name="_Toc279701261"/>
      <w:bookmarkStart w:id="943" w:name="_Toc259093690"/>
      <w:bookmarkStart w:id="944" w:name="_Toc487900371"/>
      <w:bookmarkStart w:id="945" w:name="_Toc9808"/>
      <w:bookmarkStart w:id="946" w:name="_Toc10525"/>
      <w:bookmarkStart w:id="947" w:name="_Toc22987"/>
      <w:bookmarkStart w:id="948" w:name="_Toc3309"/>
      <w:bookmarkStart w:id="949" w:name="_Toc12666"/>
      <w:bookmarkStart w:id="950" w:name="_Toc2308"/>
      <w:bookmarkStart w:id="951" w:name="_Toc166"/>
      <w:bookmarkStart w:id="952" w:name="_Toc10819"/>
      <w:bookmarkStart w:id="953" w:name="_Toc13486"/>
      <w:bookmarkStart w:id="954" w:name="_Toc13544"/>
      <w:bookmarkStart w:id="955" w:name="_Toc29667"/>
      <w:bookmarkStart w:id="956" w:name="_Toc26095"/>
      <w:bookmarkStart w:id="957" w:name="_Toc6307"/>
      <w:bookmarkStart w:id="958" w:name="_Toc1691"/>
      <w:bookmarkStart w:id="959" w:name="_Toc31892"/>
      <w:bookmarkStart w:id="960" w:name="_Toc25198"/>
      <w:r>
        <w:rPr>
          <w:rFonts w:hint="eastAsia" w:ascii="仿宋" w:hAnsi="仿宋" w:eastAsia="仿宋" w:cs="仿宋"/>
          <w:b/>
          <w:sz w:val="24"/>
        </w:rPr>
        <w:t>2.16 通知</w:t>
      </w:r>
      <w:bookmarkEnd w:id="942"/>
      <w:bookmarkEnd w:id="943"/>
      <w:bookmarkEnd w:id="944"/>
      <w:r>
        <w:rPr>
          <w:rFonts w:hint="eastAsia" w:ascii="仿宋" w:hAnsi="仿宋" w:eastAsia="仿宋" w:cs="仿宋"/>
          <w:b/>
          <w:sz w:val="24"/>
        </w:rPr>
        <w:t>和送达</w:t>
      </w:r>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bookmarkEnd w:id="960"/>
    </w:p>
    <w:p w14:paraId="76DC6D35">
      <w:pPr>
        <w:spacing w:line="400" w:lineRule="exact"/>
        <w:ind w:firstLine="480" w:firstLineChars="200"/>
        <w:rPr>
          <w:rFonts w:ascii="仿宋" w:hAnsi="仿宋" w:eastAsia="仿宋" w:cs="仿宋"/>
          <w:sz w:val="24"/>
        </w:rPr>
      </w:pPr>
      <w:bookmarkStart w:id="961" w:name="_Toc29220"/>
      <w:bookmarkStart w:id="962" w:name="_Toc7073"/>
      <w:bookmarkStart w:id="963" w:name="_Toc279701262"/>
      <w:bookmarkStart w:id="964" w:name="_Toc259093691"/>
      <w:bookmarkStart w:id="965" w:name="_Toc487900372"/>
      <w:r>
        <w:rPr>
          <w:rFonts w:hint="eastAsia" w:ascii="仿宋" w:hAnsi="仿宋" w:eastAsia="仿宋" w:cs="仿宋"/>
          <w:sz w:val="24"/>
        </w:rPr>
        <w:t>2.16.1 任何一方因履行合同而以合同第一部分尾部所列明的</w:t>
      </w:r>
      <w:r>
        <w:rPr>
          <w:rFonts w:hint="eastAsia" w:ascii="仿宋" w:hAnsi="仿宋" w:eastAsia="仿宋" w:cs="仿宋"/>
          <w:sz w:val="24"/>
          <w:u w:val="single"/>
        </w:rPr>
        <w:t xml:space="preserve">          </w:t>
      </w:r>
      <w:r>
        <w:rPr>
          <w:rFonts w:hint="eastAsia" w:ascii="仿宋" w:hAnsi="仿宋" w:eastAsia="仿宋" w:cs="仿宋"/>
          <w:sz w:val="24"/>
        </w:rPr>
        <w:t>发出的所有通知、文件、材料，均视为已向对方当事人送达；任何一方变更上述送达方式或者地址的，应于</w:t>
      </w:r>
      <w:r>
        <w:rPr>
          <w:rFonts w:hint="eastAsia" w:ascii="仿宋" w:hAnsi="仿宋" w:eastAsia="仿宋" w:cs="仿宋"/>
          <w:sz w:val="24"/>
          <w:u w:val="single"/>
        </w:rPr>
        <w:t xml:space="preserve">   </w:t>
      </w:r>
      <w:r>
        <w:rPr>
          <w:rFonts w:hint="eastAsia" w:ascii="仿宋" w:hAnsi="仿宋" w:eastAsia="仿宋" w:cs="仿宋"/>
          <w:sz w:val="24"/>
        </w:rPr>
        <w:t>个工作日内书面通知对方当事人，在对方当事人收到有关变更通知之前，变更前的约定送达方式或者地址仍视为有效。</w:t>
      </w:r>
      <w:bookmarkEnd w:id="961"/>
      <w:bookmarkEnd w:id="962"/>
    </w:p>
    <w:p w14:paraId="64DEDFBB">
      <w:pPr>
        <w:spacing w:line="400" w:lineRule="exact"/>
        <w:ind w:firstLine="480" w:firstLineChars="200"/>
        <w:rPr>
          <w:rFonts w:ascii="仿宋" w:hAnsi="仿宋" w:eastAsia="仿宋" w:cs="仿宋"/>
          <w:sz w:val="24"/>
        </w:rPr>
      </w:pPr>
      <w:bookmarkStart w:id="966" w:name="_Toc27674"/>
      <w:bookmarkStart w:id="967" w:name="_Toc18401"/>
      <w:r>
        <w:rPr>
          <w:rFonts w:hint="eastAsia" w:ascii="仿宋" w:hAnsi="仿宋" w:eastAsia="仿宋" w:cs="仿宋"/>
          <w:sz w:val="24"/>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966"/>
      <w:bookmarkEnd w:id="967"/>
    </w:p>
    <w:bookmarkEnd w:id="963"/>
    <w:bookmarkEnd w:id="964"/>
    <w:bookmarkEnd w:id="965"/>
    <w:p w14:paraId="67FD72E4">
      <w:pPr>
        <w:spacing w:line="400" w:lineRule="exact"/>
        <w:ind w:firstLine="482" w:firstLineChars="200"/>
        <w:outlineLvl w:val="1"/>
        <w:rPr>
          <w:rFonts w:ascii="仿宋" w:hAnsi="仿宋" w:eastAsia="仿宋" w:cs="仿宋"/>
          <w:b/>
          <w:sz w:val="24"/>
        </w:rPr>
      </w:pPr>
      <w:bookmarkStart w:id="968" w:name="_Toc18929"/>
      <w:bookmarkStart w:id="969" w:name="_Toc1846"/>
      <w:bookmarkStart w:id="970" w:name="_Toc7739"/>
      <w:bookmarkStart w:id="971" w:name="_Toc259093692"/>
      <w:bookmarkStart w:id="972" w:name="_Toc12254"/>
      <w:bookmarkStart w:id="973" w:name="_Toc556"/>
      <w:bookmarkStart w:id="974" w:name="_Toc279701263"/>
      <w:bookmarkStart w:id="975" w:name="_Toc10103"/>
      <w:bookmarkStart w:id="976" w:name="_Toc27644"/>
      <w:bookmarkStart w:id="977" w:name="_Toc31615"/>
      <w:bookmarkStart w:id="978" w:name="_Toc18708"/>
      <w:bookmarkStart w:id="979" w:name="_Toc4407"/>
      <w:bookmarkStart w:id="980" w:name="_Toc13433"/>
      <w:bookmarkStart w:id="981" w:name="_Toc16009"/>
      <w:bookmarkStart w:id="982" w:name="_Toc5063"/>
      <w:bookmarkStart w:id="983" w:name="_Toc20808"/>
      <w:bookmarkStart w:id="984" w:name="_Toc28906"/>
      <w:bookmarkStart w:id="985" w:name="_Toc487900373"/>
      <w:bookmarkStart w:id="986" w:name="_Toc18906"/>
      <w:r>
        <w:rPr>
          <w:rFonts w:hint="eastAsia" w:ascii="仿宋" w:hAnsi="仿宋" w:eastAsia="仿宋" w:cs="仿宋"/>
          <w:b/>
          <w:sz w:val="24"/>
        </w:rPr>
        <w:t>2.17 合同使用的文字和适用的法律</w:t>
      </w:r>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p>
    <w:p w14:paraId="525E4A40">
      <w:pPr>
        <w:spacing w:line="400" w:lineRule="exact"/>
        <w:ind w:firstLine="480" w:firstLineChars="200"/>
        <w:rPr>
          <w:rFonts w:ascii="仿宋" w:hAnsi="仿宋" w:eastAsia="仿宋" w:cs="仿宋"/>
          <w:sz w:val="24"/>
        </w:rPr>
      </w:pPr>
      <w:r>
        <w:rPr>
          <w:rFonts w:hint="eastAsia" w:ascii="仿宋" w:hAnsi="仿宋" w:eastAsia="仿宋" w:cs="仿宋"/>
          <w:sz w:val="24"/>
        </w:rPr>
        <w:t>2.17.1 合同使用汉语书就、变更和解释；</w:t>
      </w:r>
    </w:p>
    <w:p w14:paraId="37D2D4BF">
      <w:pPr>
        <w:spacing w:line="400" w:lineRule="exact"/>
        <w:ind w:firstLine="480" w:firstLineChars="200"/>
        <w:rPr>
          <w:rFonts w:ascii="仿宋" w:hAnsi="仿宋" w:eastAsia="仿宋" w:cs="仿宋"/>
          <w:sz w:val="24"/>
        </w:rPr>
      </w:pPr>
      <w:r>
        <w:rPr>
          <w:rFonts w:hint="eastAsia" w:ascii="仿宋" w:hAnsi="仿宋" w:eastAsia="仿宋" w:cs="仿宋"/>
          <w:sz w:val="24"/>
        </w:rPr>
        <w:t>2.17.2 合同适用中华人民共和国法律。</w:t>
      </w:r>
    </w:p>
    <w:p w14:paraId="15773401">
      <w:pPr>
        <w:spacing w:line="400" w:lineRule="exact"/>
        <w:ind w:firstLine="482" w:firstLineChars="200"/>
        <w:outlineLvl w:val="1"/>
        <w:rPr>
          <w:rFonts w:ascii="仿宋" w:hAnsi="仿宋" w:eastAsia="仿宋" w:cs="仿宋"/>
          <w:b/>
          <w:sz w:val="24"/>
        </w:rPr>
      </w:pPr>
      <w:bookmarkStart w:id="987" w:name="_Toc13680"/>
      <w:bookmarkStart w:id="988" w:name="_Toc32540"/>
      <w:bookmarkStart w:id="989" w:name="_Toc20271"/>
      <w:bookmarkStart w:id="990" w:name="_Toc7323"/>
      <w:bookmarkStart w:id="991" w:name="_Toc27127"/>
      <w:bookmarkStart w:id="992" w:name="_Toc22266"/>
      <w:bookmarkStart w:id="993" w:name="_Toc20559"/>
      <w:bookmarkStart w:id="994" w:name="_Toc32512"/>
      <w:bookmarkStart w:id="995" w:name="_Toc27403"/>
      <w:bookmarkStart w:id="996" w:name="_Toc30312"/>
      <w:bookmarkStart w:id="997" w:name="_Toc26691"/>
      <w:bookmarkStart w:id="998" w:name="_Toc30096"/>
      <w:bookmarkStart w:id="999" w:name="_Toc18902"/>
      <w:bookmarkStart w:id="1000" w:name="_Toc1492"/>
      <w:bookmarkStart w:id="1001" w:name="_Toc15033"/>
      <w:bookmarkStart w:id="1002" w:name="_Toc279701264"/>
      <w:bookmarkStart w:id="1003" w:name="_Toc259093693"/>
      <w:bookmarkStart w:id="1004" w:name="_Toc31884"/>
      <w:bookmarkStart w:id="1005" w:name="_Toc487900374"/>
      <w:r>
        <w:rPr>
          <w:rFonts w:hint="eastAsia" w:ascii="仿宋" w:hAnsi="仿宋" w:eastAsia="仿宋" w:cs="仿宋"/>
          <w:b/>
          <w:sz w:val="24"/>
        </w:rPr>
        <w:t>2.18 履约保证金</w:t>
      </w:r>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p>
    <w:p w14:paraId="3B7813E3">
      <w:pPr>
        <w:spacing w:line="400" w:lineRule="exact"/>
        <w:ind w:firstLine="480" w:firstLineChars="200"/>
        <w:rPr>
          <w:rFonts w:ascii="仿宋" w:hAnsi="仿宋" w:eastAsia="仿宋" w:cs="仿宋"/>
          <w:sz w:val="24"/>
        </w:rPr>
      </w:pPr>
      <w:r>
        <w:rPr>
          <w:rFonts w:hint="eastAsia" w:ascii="仿宋" w:hAnsi="仿宋" w:eastAsia="仿宋" w:cs="仿宋"/>
          <w:sz w:val="24"/>
        </w:rPr>
        <w:t>2.18.1 采购文件要求乙方提交履约保证金的，乙方应按</w:t>
      </w:r>
      <w:r>
        <w:rPr>
          <w:rFonts w:hint="eastAsia" w:ascii="仿宋" w:hAnsi="仿宋" w:eastAsia="仿宋" w:cs="仿宋"/>
          <w:b/>
          <w:i/>
          <w:sz w:val="24"/>
          <w:u w:val="single"/>
        </w:rPr>
        <w:t>合同专用条款</w:t>
      </w:r>
      <w:r>
        <w:rPr>
          <w:rFonts w:hint="eastAsia" w:ascii="仿宋" w:hAnsi="仿宋" w:eastAsia="仿宋" w:cs="仿宋"/>
          <w:sz w:val="24"/>
        </w:rPr>
        <w:t>约定的方式，以支票、汇票、本票或者金融机构、担保机构出具的保函等非现金形式，提交不超过合同价10%的履约保证金；</w:t>
      </w:r>
    </w:p>
    <w:p w14:paraId="301CC5C1">
      <w:pPr>
        <w:spacing w:line="400" w:lineRule="exact"/>
        <w:ind w:firstLine="480" w:firstLineChars="200"/>
        <w:rPr>
          <w:rFonts w:ascii="仿宋" w:hAnsi="仿宋" w:eastAsia="仿宋" w:cs="仿宋"/>
          <w:sz w:val="24"/>
        </w:rPr>
      </w:pPr>
      <w:r>
        <w:rPr>
          <w:rFonts w:hint="eastAsia" w:ascii="仿宋" w:hAnsi="仿宋" w:eastAsia="仿宋" w:cs="仿宋"/>
          <w:sz w:val="24"/>
        </w:rPr>
        <w:t>2.18.2 履约保证金在</w:t>
      </w:r>
      <w:r>
        <w:rPr>
          <w:rFonts w:hint="eastAsia" w:ascii="仿宋" w:hAnsi="仿宋" w:eastAsia="仿宋" w:cs="仿宋"/>
          <w:b/>
          <w:i/>
          <w:sz w:val="24"/>
          <w:u w:val="single"/>
        </w:rPr>
        <w:t>合同专用条款</w:t>
      </w:r>
      <w:r>
        <w:rPr>
          <w:rFonts w:hint="eastAsia" w:ascii="仿宋" w:hAnsi="仿宋" w:eastAsia="仿宋" w:cs="仿宋"/>
          <w:sz w:val="24"/>
        </w:rPr>
        <w:t>约定期间内不予退还或者应完全有效，前述约定期间届满之日</w:t>
      </w:r>
      <w:r>
        <w:rPr>
          <w:rFonts w:hint="eastAsia" w:ascii="仿宋" w:hAnsi="仿宋" w:eastAsia="仿宋" w:cs="仿宋"/>
          <w:sz w:val="24"/>
          <w:highlight w:val="none"/>
        </w:rPr>
        <w:t>起</w:t>
      </w:r>
      <w:r>
        <w:rPr>
          <w:rFonts w:hint="eastAsia" w:ascii="仿宋" w:hAnsi="仿宋" w:eastAsia="仿宋" w:cs="仿宋"/>
          <w:sz w:val="24"/>
          <w:u w:val="single"/>
        </w:rPr>
        <w:t xml:space="preserve">    </w:t>
      </w:r>
      <w:r>
        <w:rPr>
          <w:rFonts w:hint="eastAsia" w:ascii="仿宋" w:hAnsi="仿宋" w:eastAsia="仿宋" w:cs="仿宋"/>
          <w:sz w:val="24"/>
        </w:rPr>
        <w:t>个工作日内，甲方应将履约保证金退还乙方；</w:t>
      </w:r>
    </w:p>
    <w:p w14:paraId="71AF06E7">
      <w:pPr>
        <w:spacing w:line="400" w:lineRule="exact"/>
        <w:ind w:firstLine="480" w:firstLineChars="200"/>
        <w:rPr>
          <w:rFonts w:ascii="仿宋" w:hAnsi="仿宋" w:eastAsia="仿宋" w:cs="仿宋"/>
          <w:sz w:val="24"/>
        </w:rPr>
      </w:pPr>
      <w:r>
        <w:rPr>
          <w:rFonts w:hint="eastAsia" w:ascii="仿宋" w:hAnsi="仿宋" w:eastAsia="仿宋" w:cs="仿宋"/>
          <w:sz w:val="24"/>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1005"/>
    <w:p w14:paraId="22C69A4F">
      <w:pPr>
        <w:spacing w:line="400" w:lineRule="exact"/>
        <w:ind w:firstLine="482" w:firstLineChars="200"/>
        <w:outlineLvl w:val="1"/>
        <w:rPr>
          <w:rFonts w:ascii="仿宋" w:hAnsi="仿宋" w:eastAsia="仿宋" w:cs="仿宋"/>
          <w:b/>
          <w:sz w:val="24"/>
        </w:rPr>
      </w:pPr>
      <w:bookmarkStart w:id="1006" w:name="_Toc17313"/>
      <w:r>
        <w:rPr>
          <w:rFonts w:hint="eastAsia" w:ascii="仿宋" w:hAnsi="仿宋" w:eastAsia="仿宋" w:cs="仿宋"/>
          <w:b/>
          <w:sz w:val="24"/>
        </w:rPr>
        <w:t>2.19 合同份数</w:t>
      </w:r>
      <w:bookmarkEnd w:id="1006"/>
    </w:p>
    <w:p w14:paraId="47EC04F9">
      <w:pPr>
        <w:spacing w:line="400" w:lineRule="exact"/>
        <w:ind w:firstLine="480" w:firstLineChars="200"/>
        <w:rPr>
          <w:rFonts w:ascii="仿宋" w:hAnsi="仿宋" w:eastAsia="仿宋" w:cs="仿宋"/>
          <w:sz w:val="24"/>
        </w:rPr>
      </w:pPr>
      <w:r>
        <w:rPr>
          <w:rFonts w:hint="eastAsia" w:ascii="仿宋" w:hAnsi="仿宋" w:eastAsia="仿宋" w:cs="仿宋"/>
          <w:sz w:val="24"/>
        </w:rPr>
        <w:t>合同份数按</w:t>
      </w:r>
      <w:r>
        <w:rPr>
          <w:rFonts w:hint="eastAsia" w:ascii="仿宋" w:hAnsi="仿宋" w:eastAsia="仿宋" w:cs="仿宋"/>
          <w:b/>
          <w:i/>
          <w:sz w:val="24"/>
          <w:u w:val="single"/>
        </w:rPr>
        <w:t>合同专用条款</w:t>
      </w:r>
      <w:r>
        <w:rPr>
          <w:rFonts w:hint="eastAsia" w:ascii="仿宋" w:hAnsi="仿宋" w:eastAsia="仿宋" w:cs="仿宋"/>
          <w:sz w:val="24"/>
        </w:rPr>
        <w:t>规定，每份均具有同等法律效力。</w:t>
      </w:r>
      <w:bookmarkStart w:id="1007" w:name="_Toc331685784"/>
    </w:p>
    <w:p w14:paraId="3F9418D8">
      <w:pPr>
        <w:spacing w:line="400" w:lineRule="exact"/>
        <w:ind w:firstLine="422" w:firstLineChars="200"/>
        <w:outlineLvl w:val="0"/>
        <w:rPr>
          <w:rFonts w:ascii="仿宋" w:hAnsi="仿宋" w:eastAsia="仿宋" w:cs="仿宋"/>
          <w:b/>
        </w:rPr>
      </w:pPr>
      <w:bookmarkStart w:id="1008" w:name="_Toc7421"/>
      <w:bookmarkStart w:id="1009" w:name="_Toc29326"/>
      <w:r>
        <w:rPr>
          <w:rFonts w:hint="eastAsia" w:ascii="仿宋" w:hAnsi="仿宋" w:eastAsia="仿宋" w:cs="仿宋"/>
          <w:b/>
        </w:rPr>
        <w:t>第三部分  合同专用条款</w:t>
      </w:r>
      <w:bookmarkEnd w:id="1007"/>
      <w:bookmarkEnd w:id="1008"/>
      <w:bookmarkEnd w:id="1009"/>
    </w:p>
    <w:p w14:paraId="2919C29D">
      <w:pPr>
        <w:spacing w:line="400" w:lineRule="exact"/>
        <w:ind w:firstLine="480" w:firstLineChars="200"/>
        <w:rPr>
          <w:rFonts w:ascii="仿宋" w:hAnsi="仿宋" w:eastAsia="仿宋" w:cs="仿宋"/>
          <w:sz w:val="24"/>
        </w:rPr>
      </w:pPr>
      <w:r>
        <w:rPr>
          <w:rFonts w:hint="eastAsia" w:ascii="仿宋" w:hAnsi="仿宋" w:eastAsia="仿宋" w:cs="仿宋"/>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23"/>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01"/>
        <w:gridCol w:w="7633"/>
      </w:tblGrid>
      <w:tr w14:paraId="7AC88E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01" w:type="dxa"/>
            <w:tcBorders>
              <w:left w:val="single" w:color="auto" w:sz="4" w:space="0"/>
            </w:tcBorders>
            <w:vAlign w:val="center"/>
          </w:tcPr>
          <w:p w14:paraId="204A9D2D">
            <w:pPr>
              <w:spacing w:line="400" w:lineRule="exact"/>
              <w:jc w:val="center"/>
              <w:rPr>
                <w:rFonts w:ascii="仿宋" w:hAnsi="仿宋" w:eastAsia="仿宋" w:cs="仿宋"/>
                <w:b/>
                <w:sz w:val="24"/>
              </w:rPr>
            </w:pPr>
            <w:r>
              <w:rPr>
                <w:rFonts w:hint="eastAsia" w:ascii="仿宋" w:hAnsi="仿宋" w:eastAsia="仿宋" w:cs="仿宋"/>
                <w:b/>
                <w:sz w:val="24"/>
              </w:rPr>
              <w:t>条款号</w:t>
            </w:r>
          </w:p>
        </w:tc>
        <w:tc>
          <w:tcPr>
            <w:tcW w:w="7633" w:type="dxa"/>
            <w:vAlign w:val="center"/>
          </w:tcPr>
          <w:p w14:paraId="004D81BC">
            <w:pPr>
              <w:spacing w:line="400" w:lineRule="exact"/>
              <w:jc w:val="center"/>
              <w:rPr>
                <w:rFonts w:ascii="仿宋" w:hAnsi="仿宋" w:eastAsia="仿宋" w:cs="仿宋"/>
                <w:b/>
                <w:sz w:val="24"/>
              </w:rPr>
            </w:pPr>
            <w:r>
              <w:rPr>
                <w:rFonts w:hint="eastAsia" w:ascii="仿宋" w:hAnsi="仿宋" w:eastAsia="仿宋" w:cs="仿宋"/>
                <w:b/>
                <w:sz w:val="24"/>
              </w:rPr>
              <w:t>约定内容</w:t>
            </w:r>
          </w:p>
        </w:tc>
      </w:tr>
      <w:tr w14:paraId="2F24A7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01" w:type="dxa"/>
            <w:tcBorders>
              <w:left w:val="single" w:color="auto" w:sz="4" w:space="0"/>
            </w:tcBorders>
            <w:vAlign w:val="center"/>
          </w:tcPr>
          <w:p w14:paraId="40450DCE">
            <w:pPr>
              <w:spacing w:line="400" w:lineRule="exact"/>
              <w:rPr>
                <w:rFonts w:ascii="仿宋" w:hAnsi="仿宋" w:eastAsia="仿宋" w:cs="仿宋"/>
                <w:sz w:val="24"/>
              </w:rPr>
            </w:pPr>
          </w:p>
        </w:tc>
        <w:tc>
          <w:tcPr>
            <w:tcW w:w="7633" w:type="dxa"/>
            <w:vAlign w:val="center"/>
          </w:tcPr>
          <w:p w14:paraId="4FFC6888">
            <w:pPr>
              <w:spacing w:line="400" w:lineRule="exact"/>
              <w:rPr>
                <w:rFonts w:ascii="仿宋" w:hAnsi="仿宋" w:eastAsia="仿宋" w:cs="仿宋"/>
                <w:sz w:val="24"/>
              </w:rPr>
            </w:pPr>
          </w:p>
        </w:tc>
      </w:tr>
      <w:tr w14:paraId="3DA441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3EE7BC98">
            <w:pPr>
              <w:spacing w:line="400" w:lineRule="exact"/>
              <w:rPr>
                <w:rFonts w:ascii="仿宋" w:hAnsi="仿宋" w:eastAsia="仿宋" w:cs="仿宋"/>
                <w:sz w:val="24"/>
              </w:rPr>
            </w:pPr>
          </w:p>
        </w:tc>
        <w:tc>
          <w:tcPr>
            <w:tcW w:w="7633" w:type="dxa"/>
            <w:vAlign w:val="center"/>
          </w:tcPr>
          <w:p w14:paraId="33D1864F">
            <w:pPr>
              <w:spacing w:line="400" w:lineRule="exact"/>
              <w:rPr>
                <w:rFonts w:ascii="仿宋" w:hAnsi="仿宋" w:eastAsia="仿宋" w:cs="仿宋"/>
                <w:sz w:val="24"/>
              </w:rPr>
            </w:pPr>
          </w:p>
        </w:tc>
      </w:tr>
      <w:tr w14:paraId="7F751E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5B152851">
            <w:pPr>
              <w:spacing w:line="400" w:lineRule="exact"/>
              <w:rPr>
                <w:rFonts w:ascii="仿宋" w:hAnsi="仿宋" w:eastAsia="仿宋" w:cs="仿宋"/>
                <w:sz w:val="24"/>
              </w:rPr>
            </w:pPr>
          </w:p>
        </w:tc>
        <w:tc>
          <w:tcPr>
            <w:tcW w:w="7633" w:type="dxa"/>
            <w:vAlign w:val="center"/>
          </w:tcPr>
          <w:p w14:paraId="112F6899">
            <w:pPr>
              <w:spacing w:line="400" w:lineRule="exact"/>
              <w:rPr>
                <w:rFonts w:ascii="仿宋" w:hAnsi="仿宋" w:eastAsia="仿宋" w:cs="仿宋"/>
                <w:sz w:val="24"/>
              </w:rPr>
            </w:pPr>
          </w:p>
        </w:tc>
      </w:tr>
      <w:tr w14:paraId="12FEEA7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377F6D6A">
            <w:pPr>
              <w:spacing w:line="400" w:lineRule="exact"/>
              <w:rPr>
                <w:rFonts w:ascii="仿宋" w:hAnsi="仿宋" w:eastAsia="仿宋" w:cs="仿宋"/>
                <w:sz w:val="24"/>
              </w:rPr>
            </w:pPr>
          </w:p>
        </w:tc>
        <w:tc>
          <w:tcPr>
            <w:tcW w:w="7633" w:type="dxa"/>
            <w:vAlign w:val="center"/>
          </w:tcPr>
          <w:p w14:paraId="3898E0E6">
            <w:pPr>
              <w:spacing w:line="400" w:lineRule="exact"/>
              <w:rPr>
                <w:rFonts w:ascii="仿宋" w:hAnsi="仿宋" w:eastAsia="仿宋" w:cs="仿宋"/>
                <w:sz w:val="24"/>
              </w:rPr>
            </w:pPr>
          </w:p>
        </w:tc>
      </w:tr>
      <w:tr w14:paraId="4DEECB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5C2953A4">
            <w:pPr>
              <w:spacing w:line="400" w:lineRule="exact"/>
              <w:rPr>
                <w:rFonts w:ascii="仿宋" w:hAnsi="仿宋" w:eastAsia="仿宋" w:cs="仿宋"/>
                <w:sz w:val="24"/>
              </w:rPr>
            </w:pPr>
          </w:p>
        </w:tc>
        <w:tc>
          <w:tcPr>
            <w:tcW w:w="7633" w:type="dxa"/>
            <w:vAlign w:val="center"/>
          </w:tcPr>
          <w:p w14:paraId="16413FE8">
            <w:pPr>
              <w:spacing w:line="400" w:lineRule="exact"/>
              <w:rPr>
                <w:rFonts w:ascii="仿宋" w:hAnsi="仿宋" w:eastAsia="仿宋" w:cs="仿宋"/>
                <w:sz w:val="24"/>
                <w:u w:val="single"/>
              </w:rPr>
            </w:pPr>
          </w:p>
        </w:tc>
      </w:tr>
      <w:tr w14:paraId="1392AF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277D6A0D">
            <w:pPr>
              <w:spacing w:line="400" w:lineRule="exact"/>
              <w:rPr>
                <w:rFonts w:ascii="仿宋" w:hAnsi="仿宋" w:eastAsia="仿宋" w:cs="仿宋"/>
                <w:sz w:val="24"/>
              </w:rPr>
            </w:pPr>
          </w:p>
        </w:tc>
        <w:tc>
          <w:tcPr>
            <w:tcW w:w="7633" w:type="dxa"/>
            <w:vAlign w:val="center"/>
          </w:tcPr>
          <w:p w14:paraId="65A0904C">
            <w:pPr>
              <w:spacing w:line="400" w:lineRule="exact"/>
              <w:rPr>
                <w:rFonts w:ascii="仿宋" w:hAnsi="仿宋" w:eastAsia="仿宋" w:cs="仿宋"/>
                <w:sz w:val="24"/>
              </w:rPr>
            </w:pPr>
          </w:p>
        </w:tc>
      </w:tr>
      <w:tr w14:paraId="543720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5E905D87">
            <w:pPr>
              <w:spacing w:line="400" w:lineRule="exact"/>
              <w:rPr>
                <w:rFonts w:ascii="仿宋" w:hAnsi="仿宋" w:eastAsia="仿宋" w:cs="仿宋"/>
                <w:sz w:val="24"/>
              </w:rPr>
            </w:pPr>
          </w:p>
        </w:tc>
        <w:tc>
          <w:tcPr>
            <w:tcW w:w="7633" w:type="dxa"/>
            <w:vAlign w:val="center"/>
          </w:tcPr>
          <w:p w14:paraId="714CA8C0">
            <w:pPr>
              <w:spacing w:line="400" w:lineRule="exact"/>
              <w:rPr>
                <w:rFonts w:ascii="仿宋" w:hAnsi="仿宋" w:eastAsia="仿宋" w:cs="仿宋"/>
                <w:sz w:val="24"/>
                <w:u w:val="single"/>
              </w:rPr>
            </w:pPr>
          </w:p>
        </w:tc>
      </w:tr>
      <w:tr w14:paraId="2DB38D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10A36AC5">
            <w:pPr>
              <w:spacing w:line="400" w:lineRule="exact"/>
              <w:rPr>
                <w:rFonts w:ascii="仿宋" w:hAnsi="仿宋" w:eastAsia="仿宋" w:cs="仿宋"/>
                <w:sz w:val="24"/>
              </w:rPr>
            </w:pPr>
          </w:p>
        </w:tc>
        <w:tc>
          <w:tcPr>
            <w:tcW w:w="7633" w:type="dxa"/>
            <w:vAlign w:val="center"/>
          </w:tcPr>
          <w:p w14:paraId="22920D37">
            <w:pPr>
              <w:spacing w:line="400" w:lineRule="exact"/>
              <w:rPr>
                <w:rFonts w:ascii="仿宋" w:hAnsi="仿宋" w:eastAsia="仿宋" w:cs="仿宋"/>
                <w:sz w:val="24"/>
              </w:rPr>
            </w:pPr>
          </w:p>
        </w:tc>
      </w:tr>
      <w:tr w14:paraId="4CA5A2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2F35052A">
            <w:pPr>
              <w:spacing w:line="400" w:lineRule="exact"/>
              <w:rPr>
                <w:rFonts w:ascii="仿宋" w:hAnsi="仿宋" w:eastAsia="仿宋" w:cs="仿宋"/>
                <w:sz w:val="24"/>
              </w:rPr>
            </w:pPr>
          </w:p>
        </w:tc>
        <w:tc>
          <w:tcPr>
            <w:tcW w:w="7633" w:type="dxa"/>
            <w:vAlign w:val="center"/>
          </w:tcPr>
          <w:p w14:paraId="4EA82BBE">
            <w:pPr>
              <w:spacing w:line="400" w:lineRule="exact"/>
              <w:rPr>
                <w:rFonts w:ascii="仿宋" w:hAnsi="仿宋" w:eastAsia="仿宋" w:cs="仿宋"/>
                <w:sz w:val="24"/>
              </w:rPr>
            </w:pPr>
          </w:p>
        </w:tc>
      </w:tr>
      <w:tr w14:paraId="595CD7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54C38A6C">
            <w:pPr>
              <w:spacing w:line="400" w:lineRule="exact"/>
              <w:rPr>
                <w:rFonts w:ascii="仿宋" w:hAnsi="仿宋" w:eastAsia="仿宋" w:cs="仿宋"/>
                <w:sz w:val="24"/>
              </w:rPr>
            </w:pPr>
          </w:p>
        </w:tc>
        <w:tc>
          <w:tcPr>
            <w:tcW w:w="7633" w:type="dxa"/>
            <w:vAlign w:val="center"/>
          </w:tcPr>
          <w:p w14:paraId="61DAA429">
            <w:pPr>
              <w:spacing w:line="400" w:lineRule="exact"/>
              <w:rPr>
                <w:rFonts w:ascii="仿宋" w:hAnsi="仿宋" w:eastAsia="仿宋" w:cs="仿宋"/>
                <w:sz w:val="24"/>
              </w:rPr>
            </w:pPr>
          </w:p>
        </w:tc>
      </w:tr>
      <w:tr w14:paraId="0F8153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61103874">
            <w:pPr>
              <w:spacing w:line="400" w:lineRule="exact"/>
              <w:rPr>
                <w:rFonts w:ascii="仿宋" w:hAnsi="仿宋" w:eastAsia="仿宋" w:cs="仿宋"/>
                <w:sz w:val="24"/>
              </w:rPr>
            </w:pPr>
          </w:p>
        </w:tc>
        <w:tc>
          <w:tcPr>
            <w:tcW w:w="7633" w:type="dxa"/>
            <w:vAlign w:val="center"/>
          </w:tcPr>
          <w:p w14:paraId="76D489D5">
            <w:pPr>
              <w:spacing w:line="400" w:lineRule="exact"/>
              <w:rPr>
                <w:rFonts w:ascii="仿宋" w:hAnsi="仿宋" w:eastAsia="仿宋" w:cs="仿宋"/>
                <w:sz w:val="24"/>
              </w:rPr>
            </w:pPr>
          </w:p>
        </w:tc>
      </w:tr>
      <w:tr w14:paraId="3672C5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66D20E37">
            <w:pPr>
              <w:spacing w:line="400" w:lineRule="exact"/>
              <w:rPr>
                <w:rFonts w:ascii="仿宋" w:hAnsi="仿宋" w:eastAsia="仿宋" w:cs="仿宋"/>
                <w:sz w:val="24"/>
              </w:rPr>
            </w:pPr>
          </w:p>
        </w:tc>
        <w:tc>
          <w:tcPr>
            <w:tcW w:w="7633" w:type="dxa"/>
            <w:vAlign w:val="center"/>
          </w:tcPr>
          <w:p w14:paraId="12A579E1">
            <w:pPr>
              <w:spacing w:line="400" w:lineRule="exact"/>
              <w:rPr>
                <w:rFonts w:ascii="仿宋" w:hAnsi="仿宋" w:eastAsia="仿宋" w:cs="仿宋"/>
                <w:sz w:val="24"/>
              </w:rPr>
            </w:pPr>
          </w:p>
        </w:tc>
      </w:tr>
    </w:tbl>
    <w:p w14:paraId="23F05596">
      <w:pPr>
        <w:spacing w:after="156" w:line="400" w:lineRule="exact"/>
        <w:ind w:firstLine="480"/>
        <w:rPr>
          <w:rFonts w:ascii="仿宋" w:hAnsi="仿宋" w:eastAsia="仿宋" w:cs="仿宋"/>
        </w:rPr>
      </w:pPr>
    </w:p>
    <w:p w14:paraId="0C57F45C">
      <w:pPr>
        <w:rPr>
          <w:rFonts w:ascii="仿宋" w:hAnsi="仿宋" w:eastAsia="仿宋" w:cs="仿宋"/>
        </w:rPr>
      </w:pPr>
    </w:p>
    <w:p w14:paraId="6A4ED746"/>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8BEA3780-A245-4EEC-95D2-9F080DBE1499}"/>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Light">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embedRegular r:id="rId2" w:fontKey="{B48DE0A4-FF01-471F-8FD8-C7A9FC610F9C}"/>
  </w:font>
  <w:font w:name="仿宋">
    <w:panose1 w:val="02010609060101010101"/>
    <w:charset w:val="86"/>
    <w:family w:val="auto"/>
    <w:pitch w:val="default"/>
    <w:sig w:usb0="800002BF" w:usb1="38CF7CFA" w:usb2="00000016" w:usb3="00000000" w:csb0="00040001" w:csb1="00000000"/>
    <w:embedRegular r:id="rId3" w:fontKey="{8D52A2A4-5CC2-42FB-8C55-4674BC14CAB0}"/>
  </w:font>
  <w:font w:name="华文楷体">
    <w:altName w:val="宋体"/>
    <w:panose1 w:val="02010600040101010101"/>
    <w:charset w:val="86"/>
    <w:family w:val="auto"/>
    <w:pitch w:val="default"/>
    <w:sig w:usb0="00000000" w:usb1="00000000" w:usb2="00000000" w:usb3="00000000" w:csb0="0004009F" w:csb1="DFD70000"/>
  </w:font>
  <w:font w:name="Verdana">
    <w:panose1 w:val="020B0604030504040204"/>
    <w:charset w:val="00"/>
    <w:family w:val="swiss"/>
    <w:pitch w:val="default"/>
    <w:sig w:usb0="A00006FF" w:usb1="4000205B" w:usb2="00000010" w:usb3="00000000" w:csb0="2000019F" w:csb1="00000000"/>
  </w:font>
  <w:font w:name="方正仿宋_GBK">
    <w:panose1 w:val="02000000000000000000"/>
    <w:charset w:val="86"/>
    <w:family w:val="auto"/>
    <w:pitch w:val="default"/>
    <w:sig w:usb0="A00002BF" w:usb1="38CF7CFA" w:usb2="00082016" w:usb3="00000000" w:csb0="00040001" w:csb1="00000000"/>
    <w:embedRegular r:id="rId4" w:fontKey="{1E58D867-F7B4-45B7-9B99-3DF53043F045}"/>
  </w:font>
  <w:font w:name="楷体">
    <w:panose1 w:val="02010609060101010101"/>
    <w:charset w:val="86"/>
    <w:family w:val="modern"/>
    <w:pitch w:val="default"/>
    <w:sig w:usb0="800002BF" w:usb1="38CF7CFA" w:usb2="00000016" w:usb3="00000000" w:csb0="00040001" w:csb1="00000000"/>
    <w:embedRegular r:id="rId5" w:fontKey="{C0B7EC6A-EDA2-437C-8187-25952B381A99}"/>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F73238">
    <w:pPr>
      <w:pStyle w:val="3"/>
      <w:ind w:right="360"/>
      <w:jc w:val="center"/>
      <w:rPr>
        <w:color w:val="FF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E9DA54">
    <w:pPr>
      <w:pStyle w:val="3"/>
      <w:ind w:right="360"/>
      <w:jc w:val="center"/>
      <w:rPr>
        <w:color w:val="FF000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350089">
    <w:pPr>
      <w:pStyle w:val="3"/>
      <w:ind w:right="360"/>
      <w:jc w:val="center"/>
      <w:rPr>
        <w:color w:val="FF0000"/>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7D98D2">
                          <w:pPr>
                            <w:pStyle w:val="3"/>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477D98D2">
                    <w:pPr>
                      <w:pStyle w:val="3"/>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E7A6B0">
    <w:pPr>
      <w:tabs>
        <w:tab w:val="center" w:pos="4153"/>
        <w:tab w:val="right" w:pos="8306"/>
      </w:tabs>
      <w:ind w:right="360"/>
      <w:jc w:val="both"/>
      <w:rPr>
        <w:rFonts w:hint="eastAsia"/>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A6F51A">
                          <w:pPr>
                            <w:pStyle w:val="3"/>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11A6F51A">
                    <w:pPr>
                      <w:pStyle w:val="3"/>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9D8193">
    <w:pPr>
      <w:pStyle w:val="3"/>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DCC529F">
                          <w:pPr>
                            <w:pStyle w:val="3"/>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0DCC529F">
                    <w:pPr>
                      <w:pStyle w:val="3"/>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F18CA4">
    <w:pPr>
      <w:pStyle w:val="3"/>
      <w:jc w:val="cente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1B8BDD1">
                          <w:pPr>
                            <w:pStyle w:val="3"/>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01B8BDD1">
                    <w:pPr>
                      <w:pStyle w:val="3"/>
                    </w:pPr>
                    <w:r>
                      <w:fldChar w:fldCharType="begin"/>
                    </w:r>
                    <w:r>
                      <w:instrText xml:space="preserve"> PAGE  \* MERGEFORMAT </w:instrText>
                    </w:r>
                    <w:r>
                      <w:fldChar w:fldCharType="separate"/>
                    </w:r>
                    <w:r>
                      <w:t>54</w:t>
                    </w:r>
                    <w:r>
                      <w:fldChar w:fldCharType="end"/>
                    </w:r>
                  </w:p>
                </w:txbxContent>
              </v:textbox>
            </v:shape>
          </w:pict>
        </mc:Fallback>
      </mc:AlternateContent>
    </w:r>
  </w:p>
  <w:p w14:paraId="12FCFF24">
    <w:pPr>
      <w:pStyle w:val="3"/>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5C1A35"/>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6BBDF01"/>
    <w:multiLevelType w:val="singleLevel"/>
    <w:tmpl w:val="A6BBDF01"/>
    <w:lvl w:ilvl="0" w:tentative="0">
      <w:start w:val="3"/>
      <w:numFmt w:val="chineseCounting"/>
      <w:suff w:val="nothing"/>
      <w:lvlText w:val="%1、"/>
      <w:lvlJc w:val="left"/>
      <w:rPr>
        <w:rFonts w:hint="eastAsia"/>
      </w:rPr>
    </w:lvl>
  </w:abstractNum>
  <w:abstractNum w:abstractNumId="1">
    <w:nsid w:val="AC0018D7"/>
    <w:multiLevelType w:val="singleLevel"/>
    <w:tmpl w:val="AC0018D7"/>
    <w:lvl w:ilvl="0" w:tentative="0">
      <w:start w:val="1"/>
      <w:numFmt w:val="decimal"/>
      <w:suff w:val="space"/>
      <w:lvlText w:val="%1."/>
      <w:lvlJc w:val="left"/>
    </w:lvl>
  </w:abstractNum>
  <w:abstractNum w:abstractNumId="2">
    <w:nsid w:val="D4F06988"/>
    <w:multiLevelType w:val="multilevel"/>
    <w:tmpl w:val="D4F06988"/>
    <w:lvl w:ilvl="0" w:tentative="0">
      <w:start w:val="18"/>
      <w:numFmt w:val="decimal"/>
      <w:lvlText w:val="%1."/>
      <w:lvlJc w:val="left"/>
    </w:lvl>
    <w:lvl w:ilvl="1" w:tentative="0">
      <w:start w:val="1"/>
      <w:numFmt w:val="decimal"/>
      <w:lvlText w:val="%1.%2"/>
      <w:lvlJc w:val="left"/>
      <w:pPr>
        <w:tabs>
          <w:tab w:val="left" w:pos="312"/>
        </w:tabs>
        <w:ind w:left="0" w:firstLine="0"/>
      </w:pPr>
      <w:rPr>
        <w:rFonts w:hint="default"/>
      </w:rPr>
    </w:lvl>
    <w:lvl w:ilvl="2" w:tentative="0">
      <w:start w:val="1"/>
      <w:numFmt w:val="decimal"/>
      <w:lvlText w:val="%1.%2.%3"/>
      <w:lvlJc w:val="left"/>
      <w:pPr>
        <w:tabs>
          <w:tab w:val="left" w:pos="312"/>
        </w:tabs>
        <w:ind w:left="0" w:firstLine="0"/>
      </w:pPr>
      <w:rPr>
        <w:rFonts w:hint="default"/>
      </w:rPr>
    </w:lvl>
    <w:lvl w:ilvl="3" w:tentative="0">
      <w:start w:val="1"/>
      <w:numFmt w:val="decimal"/>
      <w:lvlText w:val="%1.%2.%3.%4"/>
      <w:lvlJc w:val="left"/>
      <w:pPr>
        <w:tabs>
          <w:tab w:val="left" w:pos="312"/>
        </w:tabs>
        <w:ind w:left="0" w:firstLine="0"/>
      </w:pPr>
      <w:rPr>
        <w:rFonts w:hint="default"/>
      </w:rPr>
    </w:lvl>
    <w:lvl w:ilvl="4" w:tentative="0">
      <w:start w:val="1"/>
      <w:numFmt w:val="decimal"/>
      <w:lvlText w:val="%1.%2.%3.%4.%5"/>
      <w:lvlJc w:val="left"/>
      <w:pPr>
        <w:tabs>
          <w:tab w:val="left" w:pos="312"/>
        </w:tabs>
        <w:ind w:left="0" w:firstLine="0"/>
      </w:pPr>
      <w:rPr>
        <w:rFonts w:hint="default"/>
      </w:rPr>
    </w:lvl>
    <w:lvl w:ilvl="5" w:tentative="0">
      <w:start w:val="1"/>
      <w:numFmt w:val="decimal"/>
      <w:lvlText w:val="%1.%2.%3.%4.%5.%6"/>
      <w:lvlJc w:val="left"/>
      <w:pPr>
        <w:tabs>
          <w:tab w:val="left" w:pos="312"/>
        </w:tabs>
        <w:ind w:left="0" w:firstLine="0"/>
      </w:pPr>
      <w:rPr>
        <w:rFonts w:hint="default"/>
      </w:rPr>
    </w:lvl>
    <w:lvl w:ilvl="6" w:tentative="0">
      <w:start w:val="1"/>
      <w:numFmt w:val="decimal"/>
      <w:lvlText w:val="%1.%2.%3.%4.%5.%6.%7"/>
      <w:lvlJc w:val="left"/>
      <w:pPr>
        <w:tabs>
          <w:tab w:val="left" w:pos="312"/>
        </w:tabs>
        <w:ind w:left="0" w:firstLine="0"/>
      </w:pPr>
      <w:rPr>
        <w:rFonts w:hint="default"/>
      </w:rPr>
    </w:lvl>
    <w:lvl w:ilvl="7" w:tentative="0">
      <w:start w:val="1"/>
      <w:numFmt w:val="decimal"/>
      <w:lvlText w:val="%1.%2.%3.%4.%5.%6.%7.%8"/>
      <w:lvlJc w:val="left"/>
      <w:pPr>
        <w:tabs>
          <w:tab w:val="left" w:pos="312"/>
        </w:tabs>
        <w:ind w:left="0" w:firstLine="0"/>
      </w:pPr>
      <w:rPr>
        <w:rFonts w:hint="default"/>
      </w:rPr>
    </w:lvl>
    <w:lvl w:ilvl="8" w:tentative="0">
      <w:start w:val="1"/>
      <w:numFmt w:val="decimal"/>
      <w:lvlText w:val="%1.%2.%3.%4.%5.%6.%7.%8.%9"/>
      <w:lvlJc w:val="left"/>
      <w:pPr>
        <w:tabs>
          <w:tab w:val="left" w:pos="312"/>
        </w:tabs>
        <w:ind w:left="0" w:firstLine="0"/>
      </w:pPr>
      <w:rPr>
        <w:rFonts w:hint="default"/>
      </w:rPr>
    </w:lvl>
  </w:abstractNum>
  <w:abstractNum w:abstractNumId="3">
    <w:nsid w:val="F52CC76B"/>
    <w:multiLevelType w:val="singleLevel"/>
    <w:tmpl w:val="F52CC76B"/>
    <w:lvl w:ilvl="0" w:tentative="0">
      <w:start w:val="2"/>
      <w:numFmt w:val="decimal"/>
      <w:suff w:val="nothing"/>
      <w:lvlText w:val="%1、"/>
      <w:lvlJc w:val="left"/>
    </w:lvl>
  </w:abstractNum>
  <w:abstractNum w:abstractNumId="4">
    <w:nsid w:val="00000002"/>
    <w:multiLevelType w:val="singleLevel"/>
    <w:tmpl w:val="00000002"/>
    <w:lvl w:ilvl="0" w:tentative="0">
      <w:start w:val="2"/>
      <w:numFmt w:val="decimal"/>
      <w:suff w:val="nothing"/>
      <w:lvlText w:val="%1、"/>
      <w:lvlJc w:val="left"/>
    </w:lvl>
  </w:abstractNum>
  <w:abstractNum w:abstractNumId="5">
    <w:nsid w:val="085E3118"/>
    <w:multiLevelType w:val="singleLevel"/>
    <w:tmpl w:val="085E3118"/>
    <w:lvl w:ilvl="0" w:tentative="0">
      <w:start w:val="1"/>
      <w:numFmt w:val="decimal"/>
      <w:lvlText w:val="%1."/>
      <w:lvlJc w:val="left"/>
      <w:pPr>
        <w:tabs>
          <w:tab w:val="left" w:pos="312"/>
        </w:tabs>
      </w:pPr>
    </w:lvl>
  </w:abstractNum>
  <w:abstractNum w:abstractNumId="6">
    <w:nsid w:val="0C02CDE8"/>
    <w:multiLevelType w:val="singleLevel"/>
    <w:tmpl w:val="0C02CDE8"/>
    <w:lvl w:ilvl="0" w:tentative="0">
      <w:start w:val="1"/>
      <w:numFmt w:val="chineseCounting"/>
      <w:suff w:val="nothing"/>
      <w:lvlText w:val="（%1）"/>
      <w:lvlJc w:val="left"/>
      <w:rPr>
        <w:rFonts w:hint="eastAsia"/>
      </w:rPr>
    </w:lvl>
  </w:abstractNum>
  <w:abstractNum w:abstractNumId="7">
    <w:nsid w:val="155E6A8F"/>
    <w:multiLevelType w:val="multilevel"/>
    <w:tmpl w:val="155E6A8F"/>
    <w:lvl w:ilvl="0" w:tentative="0">
      <w:start w:val="1"/>
      <w:numFmt w:val="decimal"/>
      <w:lvlText w:val="（%1）"/>
      <w:lvlJc w:val="left"/>
      <w:pPr>
        <w:tabs>
          <w:tab w:val="left" w:pos="1571"/>
        </w:tabs>
        <w:ind w:left="1571" w:hanging="720"/>
      </w:pPr>
      <w:rPr>
        <w:rFonts w:hint="default" w:ascii="仿宋_GB2312" w:hAnsi="宋体" w:eastAsia="仿宋_GB2312" w:cs="Times New Roman"/>
        <w:b/>
        <w:bCs/>
      </w:rPr>
    </w:lvl>
    <w:lvl w:ilvl="1" w:tentative="0">
      <w:start w:val="1"/>
      <w:numFmt w:val="lowerLetter"/>
      <w:lvlText w:val="%2)"/>
      <w:lvlJc w:val="left"/>
      <w:pPr>
        <w:tabs>
          <w:tab w:val="left" w:pos="1739"/>
        </w:tabs>
        <w:ind w:left="1739" w:hanging="420"/>
      </w:pPr>
    </w:lvl>
    <w:lvl w:ilvl="2" w:tentative="0">
      <w:start w:val="1"/>
      <w:numFmt w:val="lowerRoman"/>
      <w:lvlText w:val="%3."/>
      <w:lvlJc w:val="right"/>
      <w:pPr>
        <w:tabs>
          <w:tab w:val="left" w:pos="2159"/>
        </w:tabs>
        <w:ind w:left="2159" w:hanging="420"/>
      </w:pPr>
    </w:lvl>
    <w:lvl w:ilvl="3" w:tentative="0">
      <w:start w:val="1"/>
      <w:numFmt w:val="decimal"/>
      <w:lvlText w:val="%4."/>
      <w:lvlJc w:val="left"/>
      <w:pPr>
        <w:tabs>
          <w:tab w:val="left" w:pos="2579"/>
        </w:tabs>
        <w:ind w:left="2579" w:hanging="420"/>
      </w:pPr>
    </w:lvl>
    <w:lvl w:ilvl="4" w:tentative="0">
      <w:start w:val="1"/>
      <w:numFmt w:val="lowerLetter"/>
      <w:lvlText w:val="%5)"/>
      <w:lvlJc w:val="left"/>
      <w:pPr>
        <w:tabs>
          <w:tab w:val="left" w:pos="2999"/>
        </w:tabs>
        <w:ind w:left="2999" w:hanging="420"/>
      </w:pPr>
    </w:lvl>
    <w:lvl w:ilvl="5" w:tentative="0">
      <w:start w:val="1"/>
      <w:numFmt w:val="lowerRoman"/>
      <w:lvlText w:val="%6."/>
      <w:lvlJc w:val="right"/>
      <w:pPr>
        <w:tabs>
          <w:tab w:val="left" w:pos="3419"/>
        </w:tabs>
        <w:ind w:left="3419" w:hanging="420"/>
      </w:pPr>
    </w:lvl>
    <w:lvl w:ilvl="6" w:tentative="0">
      <w:start w:val="1"/>
      <w:numFmt w:val="decimal"/>
      <w:lvlText w:val="%7."/>
      <w:lvlJc w:val="left"/>
      <w:pPr>
        <w:tabs>
          <w:tab w:val="left" w:pos="3839"/>
        </w:tabs>
        <w:ind w:left="3839" w:hanging="420"/>
      </w:pPr>
    </w:lvl>
    <w:lvl w:ilvl="7" w:tentative="0">
      <w:start w:val="1"/>
      <w:numFmt w:val="lowerLetter"/>
      <w:lvlText w:val="%8)"/>
      <w:lvlJc w:val="left"/>
      <w:pPr>
        <w:tabs>
          <w:tab w:val="left" w:pos="4259"/>
        </w:tabs>
        <w:ind w:left="4259" w:hanging="420"/>
      </w:pPr>
    </w:lvl>
    <w:lvl w:ilvl="8" w:tentative="0">
      <w:start w:val="1"/>
      <w:numFmt w:val="lowerRoman"/>
      <w:lvlText w:val="%9."/>
      <w:lvlJc w:val="right"/>
      <w:pPr>
        <w:tabs>
          <w:tab w:val="left" w:pos="4679"/>
        </w:tabs>
        <w:ind w:left="4679" w:hanging="420"/>
      </w:pPr>
    </w:lvl>
  </w:abstractNum>
  <w:abstractNum w:abstractNumId="8">
    <w:nsid w:val="25E9131D"/>
    <w:multiLevelType w:val="multilevel"/>
    <w:tmpl w:val="25E9131D"/>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900"/>
        </w:tabs>
        <w:ind w:left="900" w:hanging="900"/>
      </w:pPr>
      <w:rPr>
        <w:rFonts w:hint="eastAsia"/>
      </w:rPr>
    </w:lvl>
    <w:lvl w:ilvl="2" w:tentative="0">
      <w:start w:val="1"/>
      <w:numFmt w:val="decimal"/>
      <w:lvlText w:val="%1.%2.%3"/>
      <w:lvlJc w:val="left"/>
      <w:pPr>
        <w:tabs>
          <w:tab w:val="left" w:pos="900"/>
        </w:tabs>
        <w:ind w:left="90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9">
    <w:nsid w:val="48BFA080"/>
    <w:multiLevelType w:val="singleLevel"/>
    <w:tmpl w:val="48BFA080"/>
    <w:lvl w:ilvl="0" w:tentative="0">
      <w:start w:val="1"/>
      <w:numFmt w:val="decimal"/>
      <w:suff w:val="nothing"/>
      <w:lvlText w:val="（%1）"/>
      <w:lvlJc w:val="left"/>
    </w:lvl>
  </w:abstractNum>
  <w:abstractNum w:abstractNumId="10">
    <w:nsid w:val="6381869E"/>
    <w:multiLevelType w:val="singleLevel"/>
    <w:tmpl w:val="6381869E"/>
    <w:lvl w:ilvl="0" w:tentative="0">
      <w:start w:val="1"/>
      <w:numFmt w:val="decimal"/>
      <w:lvlText w:val="%1."/>
      <w:lvlJc w:val="left"/>
      <w:pPr>
        <w:tabs>
          <w:tab w:val="left" w:pos="312"/>
        </w:tabs>
      </w:pPr>
    </w:lvl>
  </w:abstractNum>
  <w:num w:numId="1">
    <w:abstractNumId w:val="8"/>
  </w:num>
  <w:num w:numId="2">
    <w:abstractNumId w:val="2"/>
  </w:num>
  <w:num w:numId="3">
    <w:abstractNumId w:val="7"/>
  </w:num>
  <w:num w:numId="4">
    <w:abstractNumId w:val="4"/>
  </w:num>
  <w:num w:numId="5">
    <w:abstractNumId w:val="6"/>
  </w:num>
  <w:num w:numId="6">
    <w:abstractNumId w:val="9"/>
  </w:num>
  <w:num w:numId="7">
    <w:abstractNumId w:val="0"/>
  </w:num>
  <w:num w:numId="8">
    <w:abstractNumId w:val="1"/>
  </w:num>
  <w:num w:numId="9">
    <w:abstractNumId w:val="10"/>
  </w:num>
  <w:num w:numId="10">
    <w:abstractNumId w:val="5"/>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JmNTU1Y2IwZDg4OTQ3YmIwNjg5NThmMDA5OGYwYWIifQ=="/>
  </w:docVars>
  <w:rsids>
    <w:rsidRoot w:val="3B1E18E8"/>
    <w:rsid w:val="0002561E"/>
    <w:rsid w:val="00054792"/>
    <w:rsid w:val="001A25EE"/>
    <w:rsid w:val="002A0E31"/>
    <w:rsid w:val="00355AA0"/>
    <w:rsid w:val="00404A3D"/>
    <w:rsid w:val="00483F16"/>
    <w:rsid w:val="00641062"/>
    <w:rsid w:val="006E0B5E"/>
    <w:rsid w:val="00A25B25"/>
    <w:rsid w:val="00A91176"/>
    <w:rsid w:val="00B93F2F"/>
    <w:rsid w:val="00BF5DD1"/>
    <w:rsid w:val="00C12DE3"/>
    <w:rsid w:val="00FF0E03"/>
    <w:rsid w:val="01205D5C"/>
    <w:rsid w:val="01362446"/>
    <w:rsid w:val="01633E9B"/>
    <w:rsid w:val="016C0FA1"/>
    <w:rsid w:val="016C2D4F"/>
    <w:rsid w:val="01883901"/>
    <w:rsid w:val="01BD35AB"/>
    <w:rsid w:val="01EB5C67"/>
    <w:rsid w:val="02073C59"/>
    <w:rsid w:val="020C4532"/>
    <w:rsid w:val="02182ED7"/>
    <w:rsid w:val="021A6C4F"/>
    <w:rsid w:val="02301FCF"/>
    <w:rsid w:val="02315D47"/>
    <w:rsid w:val="028440C8"/>
    <w:rsid w:val="02A604E3"/>
    <w:rsid w:val="02B65F1A"/>
    <w:rsid w:val="03600D18"/>
    <w:rsid w:val="036208AE"/>
    <w:rsid w:val="0365214C"/>
    <w:rsid w:val="03724869"/>
    <w:rsid w:val="037405E1"/>
    <w:rsid w:val="03D35307"/>
    <w:rsid w:val="03D8291E"/>
    <w:rsid w:val="03F37758"/>
    <w:rsid w:val="04051239"/>
    <w:rsid w:val="040C6A6B"/>
    <w:rsid w:val="043769F9"/>
    <w:rsid w:val="04620439"/>
    <w:rsid w:val="047012BB"/>
    <w:rsid w:val="048A6214"/>
    <w:rsid w:val="04D1736D"/>
    <w:rsid w:val="04D94B9F"/>
    <w:rsid w:val="04DC01EC"/>
    <w:rsid w:val="051A6F66"/>
    <w:rsid w:val="054364BD"/>
    <w:rsid w:val="05746676"/>
    <w:rsid w:val="05D12EE5"/>
    <w:rsid w:val="05D53D21"/>
    <w:rsid w:val="05D76C05"/>
    <w:rsid w:val="05E51322"/>
    <w:rsid w:val="05FE4192"/>
    <w:rsid w:val="061C01D5"/>
    <w:rsid w:val="064C4E8D"/>
    <w:rsid w:val="06517727"/>
    <w:rsid w:val="06A107D5"/>
    <w:rsid w:val="06D575E9"/>
    <w:rsid w:val="06DD2385"/>
    <w:rsid w:val="0716646B"/>
    <w:rsid w:val="07232140"/>
    <w:rsid w:val="07242CB8"/>
    <w:rsid w:val="073D0CEA"/>
    <w:rsid w:val="07FB6BDB"/>
    <w:rsid w:val="086302CF"/>
    <w:rsid w:val="0866308B"/>
    <w:rsid w:val="08687FE8"/>
    <w:rsid w:val="086E3851"/>
    <w:rsid w:val="08817DDB"/>
    <w:rsid w:val="0882554E"/>
    <w:rsid w:val="088A6E93"/>
    <w:rsid w:val="089A4646"/>
    <w:rsid w:val="089F5E5A"/>
    <w:rsid w:val="08B24A6E"/>
    <w:rsid w:val="08CE2541"/>
    <w:rsid w:val="08EE4992"/>
    <w:rsid w:val="08F655F4"/>
    <w:rsid w:val="09242161"/>
    <w:rsid w:val="096133B5"/>
    <w:rsid w:val="09616F12"/>
    <w:rsid w:val="09774987"/>
    <w:rsid w:val="099077F7"/>
    <w:rsid w:val="09B96D4E"/>
    <w:rsid w:val="09D27E0F"/>
    <w:rsid w:val="09DE67B4"/>
    <w:rsid w:val="0A002BCE"/>
    <w:rsid w:val="0A03621B"/>
    <w:rsid w:val="0A3960E0"/>
    <w:rsid w:val="0A5D3B7D"/>
    <w:rsid w:val="0A6D7B38"/>
    <w:rsid w:val="0AB539B9"/>
    <w:rsid w:val="0B04224A"/>
    <w:rsid w:val="0B100BEF"/>
    <w:rsid w:val="0B293A5F"/>
    <w:rsid w:val="0BA8707A"/>
    <w:rsid w:val="0BCA5242"/>
    <w:rsid w:val="0C05627A"/>
    <w:rsid w:val="0C1741FF"/>
    <w:rsid w:val="0C322DE7"/>
    <w:rsid w:val="0C5478CE"/>
    <w:rsid w:val="0CCC323C"/>
    <w:rsid w:val="0D0A2128"/>
    <w:rsid w:val="0D2941EA"/>
    <w:rsid w:val="0D570D57"/>
    <w:rsid w:val="0D921D8F"/>
    <w:rsid w:val="0D976A32"/>
    <w:rsid w:val="0D9F26FE"/>
    <w:rsid w:val="0DB8556E"/>
    <w:rsid w:val="0DC36AB9"/>
    <w:rsid w:val="0DDE3227"/>
    <w:rsid w:val="0DEC7C45"/>
    <w:rsid w:val="0DF40F78"/>
    <w:rsid w:val="0E176739"/>
    <w:rsid w:val="0E320E7D"/>
    <w:rsid w:val="0E56100F"/>
    <w:rsid w:val="0E855450"/>
    <w:rsid w:val="0E92554F"/>
    <w:rsid w:val="0EA24254"/>
    <w:rsid w:val="0EA87B12"/>
    <w:rsid w:val="0EBA21C5"/>
    <w:rsid w:val="0EF065A2"/>
    <w:rsid w:val="0F07055B"/>
    <w:rsid w:val="0F0E2233"/>
    <w:rsid w:val="0F19203C"/>
    <w:rsid w:val="0F2017B1"/>
    <w:rsid w:val="0F5D63CD"/>
    <w:rsid w:val="0F8971C2"/>
    <w:rsid w:val="0FCB1589"/>
    <w:rsid w:val="0FF34186"/>
    <w:rsid w:val="1017657C"/>
    <w:rsid w:val="102471B1"/>
    <w:rsid w:val="102B64CB"/>
    <w:rsid w:val="106317C1"/>
    <w:rsid w:val="107E65FB"/>
    <w:rsid w:val="10853E2D"/>
    <w:rsid w:val="10BD632E"/>
    <w:rsid w:val="10CF355A"/>
    <w:rsid w:val="10D40911"/>
    <w:rsid w:val="10D80401"/>
    <w:rsid w:val="10DB1C3E"/>
    <w:rsid w:val="11292A0B"/>
    <w:rsid w:val="115A0E16"/>
    <w:rsid w:val="116E48C1"/>
    <w:rsid w:val="11904838"/>
    <w:rsid w:val="11A20BB7"/>
    <w:rsid w:val="1218482D"/>
    <w:rsid w:val="125910CE"/>
    <w:rsid w:val="125B4B29"/>
    <w:rsid w:val="12760D9C"/>
    <w:rsid w:val="127759F8"/>
    <w:rsid w:val="12923849"/>
    <w:rsid w:val="12D06EB6"/>
    <w:rsid w:val="12F1200F"/>
    <w:rsid w:val="12FC7CAB"/>
    <w:rsid w:val="130628D8"/>
    <w:rsid w:val="131E7C21"/>
    <w:rsid w:val="134D0507"/>
    <w:rsid w:val="13785584"/>
    <w:rsid w:val="137C0231"/>
    <w:rsid w:val="137D2B9A"/>
    <w:rsid w:val="13873A19"/>
    <w:rsid w:val="1388538A"/>
    <w:rsid w:val="139C3D51"/>
    <w:rsid w:val="139D323C"/>
    <w:rsid w:val="13B16CE7"/>
    <w:rsid w:val="13CC328E"/>
    <w:rsid w:val="13D1738A"/>
    <w:rsid w:val="13E9022F"/>
    <w:rsid w:val="1433594E"/>
    <w:rsid w:val="14872861"/>
    <w:rsid w:val="14B22D17"/>
    <w:rsid w:val="14D56A06"/>
    <w:rsid w:val="14EA24B1"/>
    <w:rsid w:val="14EC447B"/>
    <w:rsid w:val="14F93DED"/>
    <w:rsid w:val="15000793"/>
    <w:rsid w:val="150D43F1"/>
    <w:rsid w:val="1528122B"/>
    <w:rsid w:val="1548601E"/>
    <w:rsid w:val="15567B46"/>
    <w:rsid w:val="155838BF"/>
    <w:rsid w:val="15695999"/>
    <w:rsid w:val="15C745A0"/>
    <w:rsid w:val="15F1161D"/>
    <w:rsid w:val="1606331B"/>
    <w:rsid w:val="1614075E"/>
    <w:rsid w:val="163A3CBA"/>
    <w:rsid w:val="16704C38"/>
    <w:rsid w:val="16A86180"/>
    <w:rsid w:val="16CB1E6E"/>
    <w:rsid w:val="16D11209"/>
    <w:rsid w:val="1706559C"/>
    <w:rsid w:val="17231CAA"/>
    <w:rsid w:val="177B7D38"/>
    <w:rsid w:val="177C13BA"/>
    <w:rsid w:val="17A56B63"/>
    <w:rsid w:val="17CD3A26"/>
    <w:rsid w:val="17E23913"/>
    <w:rsid w:val="17E3570D"/>
    <w:rsid w:val="18117D55"/>
    <w:rsid w:val="182650A5"/>
    <w:rsid w:val="183D0B4A"/>
    <w:rsid w:val="1867206B"/>
    <w:rsid w:val="18784278"/>
    <w:rsid w:val="18910E95"/>
    <w:rsid w:val="189C1D14"/>
    <w:rsid w:val="189E3EE7"/>
    <w:rsid w:val="18A117E9"/>
    <w:rsid w:val="196012C3"/>
    <w:rsid w:val="1977008B"/>
    <w:rsid w:val="199E46AC"/>
    <w:rsid w:val="19CB1F6E"/>
    <w:rsid w:val="19CF1C75"/>
    <w:rsid w:val="1A2D0355"/>
    <w:rsid w:val="1A312930"/>
    <w:rsid w:val="1A613215"/>
    <w:rsid w:val="1A6C3968"/>
    <w:rsid w:val="1A7A6085"/>
    <w:rsid w:val="1A8707A2"/>
    <w:rsid w:val="1A9F789A"/>
    <w:rsid w:val="1B6C00C4"/>
    <w:rsid w:val="1B9C027D"/>
    <w:rsid w:val="1BB151A3"/>
    <w:rsid w:val="1BB26287"/>
    <w:rsid w:val="1BD21EF1"/>
    <w:rsid w:val="1BDB6FF7"/>
    <w:rsid w:val="1BDC1436"/>
    <w:rsid w:val="1BEC2FB3"/>
    <w:rsid w:val="1C24274C"/>
    <w:rsid w:val="1C393D1E"/>
    <w:rsid w:val="1C431A2A"/>
    <w:rsid w:val="1C8E6D34"/>
    <w:rsid w:val="1CD37CCF"/>
    <w:rsid w:val="1CE27F12"/>
    <w:rsid w:val="1CFC5477"/>
    <w:rsid w:val="1D3C1D18"/>
    <w:rsid w:val="1D3F5364"/>
    <w:rsid w:val="1D532BBD"/>
    <w:rsid w:val="1D70551D"/>
    <w:rsid w:val="1D750D86"/>
    <w:rsid w:val="1DA5166B"/>
    <w:rsid w:val="1DCB1032"/>
    <w:rsid w:val="1DFE0D7B"/>
    <w:rsid w:val="1E05210A"/>
    <w:rsid w:val="1E0A3BC4"/>
    <w:rsid w:val="1E270855"/>
    <w:rsid w:val="1E3173A3"/>
    <w:rsid w:val="1E636E30"/>
    <w:rsid w:val="1E8E0351"/>
    <w:rsid w:val="1E960FB4"/>
    <w:rsid w:val="1EB83620"/>
    <w:rsid w:val="1EC06022"/>
    <w:rsid w:val="1EE6018D"/>
    <w:rsid w:val="1F2B3DF2"/>
    <w:rsid w:val="1F5E41C7"/>
    <w:rsid w:val="1F680BA2"/>
    <w:rsid w:val="1F6E788A"/>
    <w:rsid w:val="1F8F25D3"/>
    <w:rsid w:val="1FBF453A"/>
    <w:rsid w:val="1FC07128"/>
    <w:rsid w:val="1FD9384E"/>
    <w:rsid w:val="1FDE5618"/>
    <w:rsid w:val="20280331"/>
    <w:rsid w:val="204038CD"/>
    <w:rsid w:val="20582329"/>
    <w:rsid w:val="205D622D"/>
    <w:rsid w:val="20631369"/>
    <w:rsid w:val="20B01F94"/>
    <w:rsid w:val="210C1A01"/>
    <w:rsid w:val="214271D1"/>
    <w:rsid w:val="2144119B"/>
    <w:rsid w:val="21645399"/>
    <w:rsid w:val="21787096"/>
    <w:rsid w:val="217F5372"/>
    <w:rsid w:val="21893052"/>
    <w:rsid w:val="21921F06"/>
    <w:rsid w:val="21B4151C"/>
    <w:rsid w:val="21BF6A73"/>
    <w:rsid w:val="21E85FCA"/>
    <w:rsid w:val="22192627"/>
    <w:rsid w:val="22482FE8"/>
    <w:rsid w:val="225F35EB"/>
    <w:rsid w:val="226A2833"/>
    <w:rsid w:val="22717D6E"/>
    <w:rsid w:val="22745F50"/>
    <w:rsid w:val="227930C6"/>
    <w:rsid w:val="22877591"/>
    <w:rsid w:val="22B81E40"/>
    <w:rsid w:val="22D80AB8"/>
    <w:rsid w:val="22F15352"/>
    <w:rsid w:val="22F56BF1"/>
    <w:rsid w:val="22F8223D"/>
    <w:rsid w:val="231C2516"/>
    <w:rsid w:val="23337719"/>
    <w:rsid w:val="237C4C1C"/>
    <w:rsid w:val="239161EE"/>
    <w:rsid w:val="23A75A11"/>
    <w:rsid w:val="23C81D7C"/>
    <w:rsid w:val="23C9141B"/>
    <w:rsid w:val="23D36806"/>
    <w:rsid w:val="23D5432C"/>
    <w:rsid w:val="23E640F3"/>
    <w:rsid w:val="23E6478B"/>
    <w:rsid w:val="23ED78C8"/>
    <w:rsid w:val="2426102C"/>
    <w:rsid w:val="24284DA4"/>
    <w:rsid w:val="245B6F27"/>
    <w:rsid w:val="247D50F0"/>
    <w:rsid w:val="24A24B56"/>
    <w:rsid w:val="24C04FDC"/>
    <w:rsid w:val="24E63EB9"/>
    <w:rsid w:val="24FB4266"/>
    <w:rsid w:val="25034EC9"/>
    <w:rsid w:val="250A26FB"/>
    <w:rsid w:val="258232B0"/>
    <w:rsid w:val="25BC1FFF"/>
    <w:rsid w:val="25C7239A"/>
    <w:rsid w:val="25E62821"/>
    <w:rsid w:val="25F3318F"/>
    <w:rsid w:val="26166AAD"/>
    <w:rsid w:val="269663E1"/>
    <w:rsid w:val="26AD77E2"/>
    <w:rsid w:val="26C24472"/>
    <w:rsid w:val="26D5436F"/>
    <w:rsid w:val="26EA00EF"/>
    <w:rsid w:val="27070CA1"/>
    <w:rsid w:val="27277595"/>
    <w:rsid w:val="272A0E33"/>
    <w:rsid w:val="27495009"/>
    <w:rsid w:val="275814FC"/>
    <w:rsid w:val="27971AD4"/>
    <w:rsid w:val="27B16E5E"/>
    <w:rsid w:val="27B5694E"/>
    <w:rsid w:val="27D56FF1"/>
    <w:rsid w:val="27EB2370"/>
    <w:rsid w:val="27ED7569"/>
    <w:rsid w:val="27F54F9D"/>
    <w:rsid w:val="28013942"/>
    <w:rsid w:val="28173165"/>
    <w:rsid w:val="283A50A6"/>
    <w:rsid w:val="283D6944"/>
    <w:rsid w:val="28481571"/>
    <w:rsid w:val="285C326E"/>
    <w:rsid w:val="287560DE"/>
    <w:rsid w:val="28846321"/>
    <w:rsid w:val="28882051"/>
    <w:rsid w:val="288F3285"/>
    <w:rsid w:val="28A864B3"/>
    <w:rsid w:val="28C36E49"/>
    <w:rsid w:val="28C65486"/>
    <w:rsid w:val="28CF10C4"/>
    <w:rsid w:val="28E219C5"/>
    <w:rsid w:val="28F60FCD"/>
    <w:rsid w:val="28F95AFE"/>
    <w:rsid w:val="292C0E92"/>
    <w:rsid w:val="29510D58"/>
    <w:rsid w:val="29533260"/>
    <w:rsid w:val="296D5007"/>
    <w:rsid w:val="297445E7"/>
    <w:rsid w:val="2976268C"/>
    <w:rsid w:val="29842A7C"/>
    <w:rsid w:val="29D81A29"/>
    <w:rsid w:val="29EC6874"/>
    <w:rsid w:val="2A007C29"/>
    <w:rsid w:val="2A351767"/>
    <w:rsid w:val="2A497822"/>
    <w:rsid w:val="2A77438F"/>
    <w:rsid w:val="2A790107"/>
    <w:rsid w:val="2AA131BA"/>
    <w:rsid w:val="2AD03A9F"/>
    <w:rsid w:val="2AFE23BA"/>
    <w:rsid w:val="2B2365B7"/>
    <w:rsid w:val="2B2D0EF2"/>
    <w:rsid w:val="2B77216D"/>
    <w:rsid w:val="2BA27778"/>
    <w:rsid w:val="2BA32F62"/>
    <w:rsid w:val="2BC03B14"/>
    <w:rsid w:val="2BC453B2"/>
    <w:rsid w:val="2BC76C50"/>
    <w:rsid w:val="2BD80E5D"/>
    <w:rsid w:val="2BFC4E6B"/>
    <w:rsid w:val="2C063C1D"/>
    <w:rsid w:val="2C22657D"/>
    <w:rsid w:val="2C520C10"/>
    <w:rsid w:val="2C66290D"/>
    <w:rsid w:val="2C974875"/>
    <w:rsid w:val="2CC570ED"/>
    <w:rsid w:val="2CD71115"/>
    <w:rsid w:val="2CDC497D"/>
    <w:rsid w:val="2CF41CC7"/>
    <w:rsid w:val="2D0839C4"/>
    <w:rsid w:val="2D114BC3"/>
    <w:rsid w:val="2D216834"/>
    <w:rsid w:val="2D4B565F"/>
    <w:rsid w:val="2D6C3F53"/>
    <w:rsid w:val="2D7E3C87"/>
    <w:rsid w:val="2D811081"/>
    <w:rsid w:val="2DA2405D"/>
    <w:rsid w:val="2DA74F8B"/>
    <w:rsid w:val="2DC6791F"/>
    <w:rsid w:val="2DD7176F"/>
    <w:rsid w:val="2DF53F49"/>
    <w:rsid w:val="2DFE0923"/>
    <w:rsid w:val="2E026666"/>
    <w:rsid w:val="2E076CF7"/>
    <w:rsid w:val="2E245633"/>
    <w:rsid w:val="2E717862"/>
    <w:rsid w:val="2EBE4DDD"/>
    <w:rsid w:val="2EC1207D"/>
    <w:rsid w:val="2EE23DA1"/>
    <w:rsid w:val="2F10090E"/>
    <w:rsid w:val="2F106B60"/>
    <w:rsid w:val="2F374F90"/>
    <w:rsid w:val="2F540F97"/>
    <w:rsid w:val="2FCE3DFD"/>
    <w:rsid w:val="2FE853E7"/>
    <w:rsid w:val="2FF40230"/>
    <w:rsid w:val="2FF64EFC"/>
    <w:rsid w:val="30017308"/>
    <w:rsid w:val="30162F85"/>
    <w:rsid w:val="30172966"/>
    <w:rsid w:val="301806DD"/>
    <w:rsid w:val="302428C3"/>
    <w:rsid w:val="305667F5"/>
    <w:rsid w:val="30640F12"/>
    <w:rsid w:val="30705B08"/>
    <w:rsid w:val="30716683"/>
    <w:rsid w:val="307355F9"/>
    <w:rsid w:val="30843362"/>
    <w:rsid w:val="30890978"/>
    <w:rsid w:val="30937A49"/>
    <w:rsid w:val="309A0DD7"/>
    <w:rsid w:val="30A21A3A"/>
    <w:rsid w:val="30BF7238"/>
    <w:rsid w:val="30EF067B"/>
    <w:rsid w:val="31085D41"/>
    <w:rsid w:val="3152520E"/>
    <w:rsid w:val="31532D34"/>
    <w:rsid w:val="316D029A"/>
    <w:rsid w:val="318D4498"/>
    <w:rsid w:val="319A0963"/>
    <w:rsid w:val="31A159D2"/>
    <w:rsid w:val="31F84007"/>
    <w:rsid w:val="32090F69"/>
    <w:rsid w:val="321E77E6"/>
    <w:rsid w:val="32235200"/>
    <w:rsid w:val="322B3587"/>
    <w:rsid w:val="32472899"/>
    <w:rsid w:val="32511832"/>
    <w:rsid w:val="327F64D7"/>
    <w:rsid w:val="32A93554"/>
    <w:rsid w:val="32C1089D"/>
    <w:rsid w:val="32DF0D23"/>
    <w:rsid w:val="32ED1692"/>
    <w:rsid w:val="32F32A21"/>
    <w:rsid w:val="33114C55"/>
    <w:rsid w:val="337A2D7B"/>
    <w:rsid w:val="33C8566C"/>
    <w:rsid w:val="33D43615"/>
    <w:rsid w:val="33F10239"/>
    <w:rsid w:val="33F46B2D"/>
    <w:rsid w:val="33F86541"/>
    <w:rsid w:val="34036C94"/>
    <w:rsid w:val="343926B5"/>
    <w:rsid w:val="3445105A"/>
    <w:rsid w:val="344955F9"/>
    <w:rsid w:val="34675474"/>
    <w:rsid w:val="34831B82"/>
    <w:rsid w:val="34A9783B"/>
    <w:rsid w:val="34B47F8E"/>
    <w:rsid w:val="34B85CD0"/>
    <w:rsid w:val="34C63AEA"/>
    <w:rsid w:val="34E00D83"/>
    <w:rsid w:val="34EC3BCC"/>
    <w:rsid w:val="34FA3BF3"/>
    <w:rsid w:val="34FD7B87"/>
    <w:rsid w:val="351849C1"/>
    <w:rsid w:val="352537B4"/>
    <w:rsid w:val="352C5D76"/>
    <w:rsid w:val="354D466A"/>
    <w:rsid w:val="356E2833"/>
    <w:rsid w:val="35725E7F"/>
    <w:rsid w:val="35775243"/>
    <w:rsid w:val="357F059C"/>
    <w:rsid w:val="35B5220F"/>
    <w:rsid w:val="35C42453"/>
    <w:rsid w:val="35C80195"/>
    <w:rsid w:val="35EF5721"/>
    <w:rsid w:val="365437D6"/>
    <w:rsid w:val="36586B29"/>
    <w:rsid w:val="366F1126"/>
    <w:rsid w:val="36730100"/>
    <w:rsid w:val="36826596"/>
    <w:rsid w:val="36963DEF"/>
    <w:rsid w:val="36D30B9F"/>
    <w:rsid w:val="37147F51"/>
    <w:rsid w:val="372E2279"/>
    <w:rsid w:val="37A10C9D"/>
    <w:rsid w:val="37C93D50"/>
    <w:rsid w:val="37F25055"/>
    <w:rsid w:val="3805122C"/>
    <w:rsid w:val="386C3059"/>
    <w:rsid w:val="387C7014"/>
    <w:rsid w:val="38B93DC5"/>
    <w:rsid w:val="38DD3F57"/>
    <w:rsid w:val="38F372D7"/>
    <w:rsid w:val="39007C46"/>
    <w:rsid w:val="39045B31"/>
    <w:rsid w:val="3914549F"/>
    <w:rsid w:val="39254400"/>
    <w:rsid w:val="398443D3"/>
    <w:rsid w:val="39D52E80"/>
    <w:rsid w:val="39E60BE9"/>
    <w:rsid w:val="3A59760D"/>
    <w:rsid w:val="3A8F1281"/>
    <w:rsid w:val="3A937C54"/>
    <w:rsid w:val="3AA52853"/>
    <w:rsid w:val="3AA765CB"/>
    <w:rsid w:val="3AC52EF5"/>
    <w:rsid w:val="3B1E18E8"/>
    <w:rsid w:val="3B7B35B3"/>
    <w:rsid w:val="3B9240C1"/>
    <w:rsid w:val="3B9603ED"/>
    <w:rsid w:val="3B993002"/>
    <w:rsid w:val="3B9C3C56"/>
    <w:rsid w:val="3BAA13E4"/>
    <w:rsid w:val="3BE21884"/>
    <w:rsid w:val="3BF03748"/>
    <w:rsid w:val="3BF21AC7"/>
    <w:rsid w:val="3C063E66"/>
    <w:rsid w:val="3C5462DE"/>
    <w:rsid w:val="3C5938F5"/>
    <w:rsid w:val="3C642299"/>
    <w:rsid w:val="3C6978B0"/>
    <w:rsid w:val="3C8A7F52"/>
    <w:rsid w:val="3CB11983"/>
    <w:rsid w:val="3CD45671"/>
    <w:rsid w:val="3CDB255C"/>
    <w:rsid w:val="3CFC726D"/>
    <w:rsid w:val="3D2F53CF"/>
    <w:rsid w:val="3D37175C"/>
    <w:rsid w:val="3D714C6E"/>
    <w:rsid w:val="3D841B08"/>
    <w:rsid w:val="3DCB0822"/>
    <w:rsid w:val="3DE11DF4"/>
    <w:rsid w:val="3DF77869"/>
    <w:rsid w:val="3E2B1CC9"/>
    <w:rsid w:val="3E3A1504"/>
    <w:rsid w:val="3E3F4D6C"/>
    <w:rsid w:val="3E497999"/>
    <w:rsid w:val="3E4C3EF2"/>
    <w:rsid w:val="3E506F79"/>
    <w:rsid w:val="3E8310FD"/>
    <w:rsid w:val="3EF773F5"/>
    <w:rsid w:val="3F277CDA"/>
    <w:rsid w:val="3F3D78A6"/>
    <w:rsid w:val="3F4A1C1A"/>
    <w:rsid w:val="3F615369"/>
    <w:rsid w:val="3F6D76B7"/>
    <w:rsid w:val="3F9B2476"/>
    <w:rsid w:val="3FA70E1B"/>
    <w:rsid w:val="3FB84DD6"/>
    <w:rsid w:val="403B1563"/>
    <w:rsid w:val="40414DCB"/>
    <w:rsid w:val="4047615A"/>
    <w:rsid w:val="40493C80"/>
    <w:rsid w:val="40517064"/>
    <w:rsid w:val="406D0AD2"/>
    <w:rsid w:val="40B84D47"/>
    <w:rsid w:val="40CE4185"/>
    <w:rsid w:val="41285B73"/>
    <w:rsid w:val="41341BC4"/>
    <w:rsid w:val="41486798"/>
    <w:rsid w:val="414D77A0"/>
    <w:rsid w:val="417E62D1"/>
    <w:rsid w:val="41B80DD2"/>
    <w:rsid w:val="41D61543"/>
    <w:rsid w:val="41ED7D93"/>
    <w:rsid w:val="42054F71"/>
    <w:rsid w:val="42097B6B"/>
    <w:rsid w:val="423D7815"/>
    <w:rsid w:val="425B7C9B"/>
    <w:rsid w:val="42612179"/>
    <w:rsid w:val="42674891"/>
    <w:rsid w:val="4283714A"/>
    <w:rsid w:val="42937435"/>
    <w:rsid w:val="429E3A97"/>
    <w:rsid w:val="42A745B8"/>
    <w:rsid w:val="42B81384"/>
    <w:rsid w:val="42C90BE5"/>
    <w:rsid w:val="4326474D"/>
    <w:rsid w:val="43525C46"/>
    <w:rsid w:val="43650DD1"/>
    <w:rsid w:val="43752EA3"/>
    <w:rsid w:val="439E2535"/>
    <w:rsid w:val="43AE09CA"/>
    <w:rsid w:val="43BD0C0D"/>
    <w:rsid w:val="43EF2D90"/>
    <w:rsid w:val="44315157"/>
    <w:rsid w:val="443D58AA"/>
    <w:rsid w:val="44586B88"/>
    <w:rsid w:val="445B0426"/>
    <w:rsid w:val="44615A3C"/>
    <w:rsid w:val="446B68BB"/>
    <w:rsid w:val="446C618F"/>
    <w:rsid w:val="447C2876"/>
    <w:rsid w:val="448E4357"/>
    <w:rsid w:val="44C85ABB"/>
    <w:rsid w:val="44F87A23"/>
    <w:rsid w:val="45156827"/>
    <w:rsid w:val="45561319"/>
    <w:rsid w:val="45580986"/>
    <w:rsid w:val="45723C79"/>
    <w:rsid w:val="45740942"/>
    <w:rsid w:val="457B2B2E"/>
    <w:rsid w:val="457C68A6"/>
    <w:rsid w:val="45806396"/>
    <w:rsid w:val="45941E41"/>
    <w:rsid w:val="45EA1A61"/>
    <w:rsid w:val="45EF7078"/>
    <w:rsid w:val="46493A41"/>
    <w:rsid w:val="46514114"/>
    <w:rsid w:val="46584C1D"/>
    <w:rsid w:val="467F664E"/>
    <w:rsid w:val="469D6BD4"/>
    <w:rsid w:val="46B502C1"/>
    <w:rsid w:val="46B8390E"/>
    <w:rsid w:val="46C95B1B"/>
    <w:rsid w:val="46D83FB0"/>
    <w:rsid w:val="46DA1AD6"/>
    <w:rsid w:val="472114B3"/>
    <w:rsid w:val="47262F6D"/>
    <w:rsid w:val="472F4B0C"/>
    <w:rsid w:val="47346DDD"/>
    <w:rsid w:val="47355483"/>
    <w:rsid w:val="473D3E13"/>
    <w:rsid w:val="4743767B"/>
    <w:rsid w:val="474A6C5C"/>
    <w:rsid w:val="475F1FDB"/>
    <w:rsid w:val="47655843"/>
    <w:rsid w:val="47863A0C"/>
    <w:rsid w:val="47D91D8D"/>
    <w:rsid w:val="47DB3351"/>
    <w:rsid w:val="47EC1AC1"/>
    <w:rsid w:val="480D7C89"/>
    <w:rsid w:val="482F213F"/>
    <w:rsid w:val="483D21EE"/>
    <w:rsid w:val="48671147"/>
    <w:rsid w:val="487815A6"/>
    <w:rsid w:val="48855A71"/>
    <w:rsid w:val="48873598"/>
    <w:rsid w:val="48965ED0"/>
    <w:rsid w:val="48ED5C06"/>
    <w:rsid w:val="49261002"/>
    <w:rsid w:val="49380D36"/>
    <w:rsid w:val="493D1042"/>
    <w:rsid w:val="4948431D"/>
    <w:rsid w:val="498D72D3"/>
    <w:rsid w:val="49BA799D"/>
    <w:rsid w:val="49BC1967"/>
    <w:rsid w:val="49FE3D2D"/>
    <w:rsid w:val="4A317C5F"/>
    <w:rsid w:val="4A3E0354"/>
    <w:rsid w:val="4A507291"/>
    <w:rsid w:val="4A6C6EE9"/>
    <w:rsid w:val="4A770F9B"/>
    <w:rsid w:val="4A873D23"/>
    <w:rsid w:val="4AAA7A11"/>
    <w:rsid w:val="4AC46D25"/>
    <w:rsid w:val="4AC960E9"/>
    <w:rsid w:val="4ACA1E61"/>
    <w:rsid w:val="4AD02C1E"/>
    <w:rsid w:val="4B441C14"/>
    <w:rsid w:val="4B6422B6"/>
    <w:rsid w:val="4B814C16"/>
    <w:rsid w:val="4BCE4E1C"/>
    <w:rsid w:val="4BD9235C"/>
    <w:rsid w:val="4BEB208F"/>
    <w:rsid w:val="4C035E32"/>
    <w:rsid w:val="4C1625CF"/>
    <w:rsid w:val="4C1635B0"/>
    <w:rsid w:val="4C415502"/>
    <w:rsid w:val="4CBE77A4"/>
    <w:rsid w:val="4CC21042"/>
    <w:rsid w:val="4D8B7B25"/>
    <w:rsid w:val="4D8D597A"/>
    <w:rsid w:val="4D8D78A2"/>
    <w:rsid w:val="4DAB7D28"/>
    <w:rsid w:val="4DAE15C6"/>
    <w:rsid w:val="4DBF37D4"/>
    <w:rsid w:val="4DCB3F26"/>
    <w:rsid w:val="4DD3727F"/>
    <w:rsid w:val="4E766588"/>
    <w:rsid w:val="4E86609F"/>
    <w:rsid w:val="4EB8094F"/>
    <w:rsid w:val="4EDD2163"/>
    <w:rsid w:val="4EEC05F8"/>
    <w:rsid w:val="4F1B712F"/>
    <w:rsid w:val="4F2C10AC"/>
    <w:rsid w:val="4F512B51"/>
    <w:rsid w:val="4F583EE0"/>
    <w:rsid w:val="4F6C34E7"/>
    <w:rsid w:val="4F874E3D"/>
    <w:rsid w:val="4F8B7E11"/>
    <w:rsid w:val="4F8C3B89"/>
    <w:rsid w:val="4FA17635"/>
    <w:rsid w:val="4FF43C08"/>
    <w:rsid w:val="4FF83AC3"/>
    <w:rsid w:val="503A35E5"/>
    <w:rsid w:val="506568B4"/>
    <w:rsid w:val="5066262C"/>
    <w:rsid w:val="508A043A"/>
    <w:rsid w:val="508E6A75"/>
    <w:rsid w:val="50C8299F"/>
    <w:rsid w:val="50E43686"/>
    <w:rsid w:val="50E772C9"/>
    <w:rsid w:val="50E83041"/>
    <w:rsid w:val="50FC31A2"/>
    <w:rsid w:val="512F2A1E"/>
    <w:rsid w:val="514C35D0"/>
    <w:rsid w:val="516847FB"/>
    <w:rsid w:val="516A1CA8"/>
    <w:rsid w:val="517F39A6"/>
    <w:rsid w:val="519311FF"/>
    <w:rsid w:val="51AE428B"/>
    <w:rsid w:val="51C21AE4"/>
    <w:rsid w:val="51C969CF"/>
    <w:rsid w:val="51DD691E"/>
    <w:rsid w:val="51EB4B97"/>
    <w:rsid w:val="52195BA8"/>
    <w:rsid w:val="521D4F6D"/>
    <w:rsid w:val="524D2DD7"/>
    <w:rsid w:val="52552958"/>
    <w:rsid w:val="526B3F2A"/>
    <w:rsid w:val="5271251E"/>
    <w:rsid w:val="527C7EE5"/>
    <w:rsid w:val="5288688A"/>
    <w:rsid w:val="52A37D0F"/>
    <w:rsid w:val="52C673B2"/>
    <w:rsid w:val="52E00CEC"/>
    <w:rsid w:val="52E02222"/>
    <w:rsid w:val="52E15F9A"/>
    <w:rsid w:val="531243A6"/>
    <w:rsid w:val="534A1D91"/>
    <w:rsid w:val="53560736"/>
    <w:rsid w:val="535E583D"/>
    <w:rsid w:val="53A21694"/>
    <w:rsid w:val="53A5346C"/>
    <w:rsid w:val="53BD2563"/>
    <w:rsid w:val="53C71634"/>
    <w:rsid w:val="53CD0DF1"/>
    <w:rsid w:val="53D0673A"/>
    <w:rsid w:val="53D63625"/>
    <w:rsid w:val="541D74A6"/>
    <w:rsid w:val="5438608E"/>
    <w:rsid w:val="54696247"/>
    <w:rsid w:val="549C486F"/>
    <w:rsid w:val="54A35BFD"/>
    <w:rsid w:val="54D20290"/>
    <w:rsid w:val="54E56216"/>
    <w:rsid w:val="55121A93"/>
    <w:rsid w:val="55376345"/>
    <w:rsid w:val="55592760"/>
    <w:rsid w:val="55766E6E"/>
    <w:rsid w:val="5579695E"/>
    <w:rsid w:val="557F21C6"/>
    <w:rsid w:val="5588094F"/>
    <w:rsid w:val="559519EA"/>
    <w:rsid w:val="55A44AD6"/>
    <w:rsid w:val="55AD03B6"/>
    <w:rsid w:val="55DE6347"/>
    <w:rsid w:val="56551179"/>
    <w:rsid w:val="565B2794"/>
    <w:rsid w:val="56884C68"/>
    <w:rsid w:val="569021B1"/>
    <w:rsid w:val="56955A19"/>
    <w:rsid w:val="56A8574D"/>
    <w:rsid w:val="56B45E9F"/>
    <w:rsid w:val="56CA56C3"/>
    <w:rsid w:val="56D45023"/>
    <w:rsid w:val="56D46542"/>
    <w:rsid w:val="56D55E16"/>
    <w:rsid w:val="574134AB"/>
    <w:rsid w:val="57476D14"/>
    <w:rsid w:val="57482A8C"/>
    <w:rsid w:val="57677782"/>
    <w:rsid w:val="578C2978"/>
    <w:rsid w:val="57C617BF"/>
    <w:rsid w:val="57E83927"/>
    <w:rsid w:val="57F4051E"/>
    <w:rsid w:val="58160494"/>
    <w:rsid w:val="58445001"/>
    <w:rsid w:val="588673C8"/>
    <w:rsid w:val="588900DA"/>
    <w:rsid w:val="58B43D65"/>
    <w:rsid w:val="58BB659D"/>
    <w:rsid w:val="58BF0B2C"/>
    <w:rsid w:val="58DA7713"/>
    <w:rsid w:val="58FE78A6"/>
    <w:rsid w:val="59036C6A"/>
    <w:rsid w:val="591A3FB4"/>
    <w:rsid w:val="594F1EAF"/>
    <w:rsid w:val="595B6AA6"/>
    <w:rsid w:val="5988716F"/>
    <w:rsid w:val="599E6993"/>
    <w:rsid w:val="59F36CDF"/>
    <w:rsid w:val="5A3410A5"/>
    <w:rsid w:val="5A455DA9"/>
    <w:rsid w:val="5A827E7F"/>
    <w:rsid w:val="5AAB7126"/>
    <w:rsid w:val="5ABD72ED"/>
    <w:rsid w:val="5ACB1A0A"/>
    <w:rsid w:val="5AE14D89"/>
    <w:rsid w:val="5AEA3429"/>
    <w:rsid w:val="5B221D5B"/>
    <w:rsid w:val="5B590DC3"/>
    <w:rsid w:val="5B882C6A"/>
    <w:rsid w:val="5BEC1C38"/>
    <w:rsid w:val="5C1967A5"/>
    <w:rsid w:val="5C700ABB"/>
    <w:rsid w:val="5C7165E1"/>
    <w:rsid w:val="5C7A36E7"/>
    <w:rsid w:val="5CC76201"/>
    <w:rsid w:val="5CCC1A69"/>
    <w:rsid w:val="5D283143"/>
    <w:rsid w:val="5D535CE6"/>
    <w:rsid w:val="5D7243BE"/>
    <w:rsid w:val="5D79574D"/>
    <w:rsid w:val="5D8C1853"/>
    <w:rsid w:val="5DD9443E"/>
    <w:rsid w:val="5DFE3EA4"/>
    <w:rsid w:val="5E021BE6"/>
    <w:rsid w:val="5E2E29DB"/>
    <w:rsid w:val="5E566A23"/>
    <w:rsid w:val="5E5920D0"/>
    <w:rsid w:val="5E736640"/>
    <w:rsid w:val="5E753952"/>
    <w:rsid w:val="5E826883"/>
    <w:rsid w:val="5E8B0D68"/>
    <w:rsid w:val="5E960581"/>
    <w:rsid w:val="5EC155FD"/>
    <w:rsid w:val="5F096FA4"/>
    <w:rsid w:val="5F742670"/>
    <w:rsid w:val="5F835998"/>
    <w:rsid w:val="5FAA6EC2"/>
    <w:rsid w:val="5FBA204D"/>
    <w:rsid w:val="5FC8476A"/>
    <w:rsid w:val="5FCB36A7"/>
    <w:rsid w:val="5FED1C0E"/>
    <w:rsid w:val="5FF94923"/>
    <w:rsid w:val="60002155"/>
    <w:rsid w:val="600532C8"/>
    <w:rsid w:val="60107EBF"/>
    <w:rsid w:val="601C5401"/>
    <w:rsid w:val="60A9459B"/>
    <w:rsid w:val="60AC408B"/>
    <w:rsid w:val="610F0176"/>
    <w:rsid w:val="61251748"/>
    <w:rsid w:val="61273712"/>
    <w:rsid w:val="61306A6A"/>
    <w:rsid w:val="614B11AE"/>
    <w:rsid w:val="6155027F"/>
    <w:rsid w:val="615A5895"/>
    <w:rsid w:val="615B1878"/>
    <w:rsid w:val="617309B0"/>
    <w:rsid w:val="61BF7DEE"/>
    <w:rsid w:val="61ED6B42"/>
    <w:rsid w:val="61F77588"/>
    <w:rsid w:val="62076E81"/>
    <w:rsid w:val="626B1375"/>
    <w:rsid w:val="62A72D5C"/>
    <w:rsid w:val="62B47227"/>
    <w:rsid w:val="62C16B6E"/>
    <w:rsid w:val="631A1780"/>
    <w:rsid w:val="635051A2"/>
    <w:rsid w:val="6377272F"/>
    <w:rsid w:val="63780255"/>
    <w:rsid w:val="63864720"/>
    <w:rsid w:val="63A159FD"/>
    <w:rsid w:val="63CB65D6"/>
    <w:rsid w:val="6428276D"/>
    <w:rsid w:val="646D58E0"/>
    <w:rsid w:val="647A1DAB"/>
    <w:rsid w:val="648570CD"/>
    <w:rsid w:val="64D12312"/>
    <w:rsid w:val="64D51542"/>
    <w:rsid w:val="64DB0A9B"/>
    <w:rsid w:val="64EA5182"/>
    <w:rsid w:val="64EA6F30"/>
    <w:rsid w:val="650224CC"/>
    <w:rsid w:val="651D7306"/>
    <w:rsid w:val="652C7549"/>
    <w:rsid w:val="65556AA0"/>
    <w:rsid w:val="657455CC"/>
    <w:rsid w:val="659550EE"/>
    <w:rsid w:val="65A90B99"/>
    <w:rsid w:val="65BD63F3"/>
    <w:rsid w:val="65C14135"/>
    <w:rsid w:val="65D8322D"/>
    <w:rsid w:val="65E16585"/>
    <w:rsid w:val="65E332B4"/>
    <w:rsid w:val="65E676F8"/>
    <w:rsid w:val="65ED6CD8"/>
    <w:rsid w:val="65F52031"/>
    <w:rsid w:val="66482160"/>
    <w:rsid w:val="66485DC8"/>
    <w:rsid w:val="66772A46"/>
    <w:rsid w:val="66B21CD0"/>
    <w:rsid w:val="66E0683D"/>
    <w:rsid w:val="67140294"/>
    <w:rsid w:val="67876CB8"/>
    <w:rsid w:val="67BC5B41"/>
    <w:rsid w:val="67E45EB9"/>
    <w:rsid w:val="67F71596"/>
    <w:rsid w:val="68112A26"/>
    <w:rsid w:val="681542C4"/>
    <w:rsid w:val="68680898"/>
    <w:rsid w:val="68815DFE"/>
    <w:rsid w:val="68AA7102"/>
    <w:rsid w:val="68F31CF1"/>
    <w:rsid w:val="691C78D4"/>
    <w:rsid w:val="692F0B47"/>
    <w:rsid w:val="69614164"/>
    <w:rsid w:val="69674FF3"/>
    <w:rsid w:val="696B349F"/>
    <w:rsid w:val="696E6382"/>
    <w:rsid w:val="697414BE"/>
    <w:rsid w:val="69FD3262"/>
    <w:rsid w:val="6A3A2708"/>
    <w:rsid w:val="6A507835"/>
    <w:rsid w:val="6A633A0D"/>
    <w:rsid w:val="6A771266"/>
    <w:rsid w:val="6ACA583A"/>
    <w:rsid w:val="6ADE7537"/>
    <w:rsid w:val="6AEB3A02"/>
    <w:rsid w:val="6AEF704E"/>
    <w:rsid w:val="6B0070F2"/>
    <w:rsid w:val="6B10611C"/>
    <w:rsid w:val="6B347157"/>
    <w:rsid w:val="6B4F6BF6"/>
    <w:rsid w:val="6B6C069F"/>
    <w:rsid w:val="6B7D0AFE"/>
    <w:rsid w:val="6B8F0831"/>
    <w:rsid w:val="6B9A1601"/>
    <w:rsid w:val="6BA3557B"/>
    <w:rsid w:val="6BC524A5"/>
    <w:rsid w:val="6BE40B7D"/>
    <w:rsid w:val="6C44161C"/>
    <w:rsid w:val="6C4433CA"/>
    <w:rsid w:val="6C5A2BED"/>
    <w:rsid w:val="6C731F01"/>
    <w:rsid w:val="6C783074"/>
    <w:rsid w:val="6C7D4877"/>
    <w:rsid w:val="6C8D4D71"/>
    <w:rsid w:val="6CAB3449"/>
    <w:rsid w:val="6CBE13CE"/>
    <w:rsid w:val="6CD209D6"/>
    <w:rsid w:val="6CDA1881"/>
    <w:rsid w:val="6D1A505C"/>
    <w:rsid w:val="6D6F1D44"/>
    <w:rsid w:val="6D884082"/>
    <w:rsid w:val="6DA87988"/>
    <w:rsid w:val="6DC42A14"/>
    <w:rsid w:val="6DF64B98"/>
    <w:rsid w:val="6E1A38C9"/>
    <w:rsid w:val="6E6E472E"/>
    <w:rsid w:val="6E82642B"/>
    <w:rsid w:val="6E8B1784"/>
    <w:rsid w:val="6E985C4F"/>
    <w:rsid w:val="6EC54393"/>
    <w:rsid w:val="6EE175F6"/>
    <w:rsid w:val="6F1572A0"/>
    <w:rsid w:val="6F1E6154"/>
    <w:rsid w:val="6F9836F2"/>
    <w:rsid w:val="6FC50568"/>
    <w:rsid w:val="70090BB2"/>
    <w:rsid w:val="700E61C9"/>
    <w:rsid w:val="70251764"/>
    <w:rsid w:val="7055204A"/>
    <w:rsid w:val="70953098"/>
    <w:rsid w:val="70AB3A18"/>
    <w:rsid w:val="70B623BC"/>
    <w:rsid w:val="70BA00FF"/>
    <w:rsid w:val="70DC62C7"/>
    <w:rsid w:val="70F42ADA"/>
    <w:rsid w:val="71347EB1"/>
    <w:rsid w:val="713A2FED"/>
    <w:rsid w:val="715045BF"/>
    <w:rsid w:val="715E72BC"/>
    <w:rsid w:val="71A8111C"/>
    <w:rsid w:val="71AB5C99"/>
    <w:rsid w:val="72005FE5"/>
    <w:rsid w:val="72255A4C"/>
    <w:rsid w:val="7226425A"/>
    <w:rsid w:val="725400DF"/>
    <w:rsid w:val="72671BC0"/>
    <w:rsid w:val="727644F9"/>
    <w:rsid w:val="728C5ACB"/>
    <w:rsid w:val="72BD5C84"/>
    <w:rsid w:val="72DF35AE"/>
    <w:rsid w:val="72F53670"/>
    <w:rsid w:val="72F84F0E"/>
    <w:rsid w:val="72FB3233"/>
    <w:rsid w:val="7315161C"/>
    <w:rsid w:val="736B56E0"/>
    <w:rsid w:val="736D3206"/>
    <w:rsid w:val="73724CC1"/>
    <w:rsid w:val="73C50D7E"/>
    <w:rsid w:val="745B39A7"/>
    <w:rsid w:val="74675EA7"/>
    <w:rsid w:val="74837A66"/>
    <w:rsid w:val="748A428C"/>
    <w:rsid w:val="7496678D"/>
    <w:rsid w:val="74B12817"/>
    <w:rsid w:val="74C15D9A"/>
    <w:rsid w:val="74C222BF"/>
    <w:rsid w:val="74C27582"/>
    <w:rsid w:val="74F56D07"/>
    <w:rsid w:val="74F82FA3"/>
    <w:rsid w:val="750C7E26"/>
    <w:rsid w:val="752913AF"/>
    <w:rsid w:val="754E7067"/>
    <w:rsid w:val="755E374E"/>
    <w:rsid w:val="75862CA5"/>
    <w:rsid w:val="759A04FF"/>
    <w:rsid w:val="75D91027"/>
    <w:rsid w:val="75DD751C"/>
    <w:rsid w:val="75E56547"/>
    <w:rsid w:val="76360227"/>
    <w:rsid w:val="76A62EE0"/>
    <w:rsid w:val="76BA0E58"/>
    <w:rsid w:val="76C70E7F"/>
    <w:rsid w:val="76C92E49"/>
    <w:rsid w:val="76CA1150"/>
    <w:rsid w:val="76D637B8"/>
    <w:rsid w:val="76D741B2"/>
    <w:rsid w:val="76E23F0B"/>
    <w:rsid w:val="76E557A9"/>
    <w:rsid w:val="77065E4C"/>
    <w:rsid w:val="772462D2"/>
    <w:rsid w:val="77383B2B"/>
    <w:rsid w:val="77440722"/>
    <w:rsid w:val="77764653"/>
    <w:rsid w:val="77D221D2"/>
    <w:rsid w:val="784C0F35"/>
    <w:rsid w:val="78852DA0"/>
    <w:rsid w:val="789631FF"/>
    <w:rsid w:val="78A23952"/>
    <w:rsid w:val="78A31478"/>
    <w:rsid w:val="78A3591C"/>
    <w:rsid w:val="78B6564F"/>
    <w:rsid w:val="78E977D3"/>
    <w:rsid w:val="78FA19E0"/>
    <w:rsid w:val="790A599B"/>
    <w:rsid w:val="79142376"/>
    <w:rsid w:val="794E5888"/>
    <w:rsid w:val="797D616D"/>
    <w:rsid w:val="79B24069"/>
    <w:rsid w:val="79C124FE"/>
    <w:rsid w:val="79D42231"/>
    <w:rsid w:val="79EC6B75"/>
    <w:rsid w:val="79FE1376"/>
    <w:rsid w:val="7A37456E"/>
    <w:rsid w:val="7A401675"/>
    <w:rsid w:val="7A772BBC"/>
    <w:rsid w:val="7A85352B"/>
    <w:rsid w:val="7ABB6F4D"/>
    <w:rsid w:val="7ABE4C8F"/>
    <w:rsid w:val="7ACF0A8A"/>
    <w:rsid w:val="7AD63D87"/>
    <w:rsid w:val="7B166879"/>
    <w:rsid w:val="7B385861"/>
    <w:rsid w:val="7B3B62E0"/>
    <w:rsid w:val="7B4707E1"/>
    <w:rsid w:val="7B89704B"/>
    <w:rsid w:val="7B937ECA"/>
    <w:rsid w:val="7C29438A"/>
    <w:rsid w:val="7C345209"/>
    <w:rsid w:val="7C6B6751"/>
    <w:rsid w:val="7C8F243F"/>
    <w:rsid w:val="7C9E6B26"/>
    <w:rsid w:val="7CA83501"/>
    <w:rsid w:val="7CC3658D"/>
    <w:rsid w:val="7CD82038"/>
    <w:rsid w:val="7CEA3B1A"/>
    <w:rsid w:val="7CF624BE"/>
    <w:rsid w:val="7D142945"/>
    <w:rsid w:val="7D292894"/>
    <w:rsid w:val="7D4476CE"/>
    <w:rsid w:val="7D491FD6"/>
    <w:rsid w:val="7D761851"/>
    <w:rsid w:val="7D8F646F"/>
    <w:rsid w:val="7DD95881"/>
    <w:rsid w:val="7E1A042F"/>
    <w:rsid w:val="7E290672"/>
    <w:rsid w:val="7E33504C"/>
    <w:rsid w:val="7E5971A9"/>
    <w:rsid w:val="7E692AF8"/>
    <w:rsid w:val="7E884D12"/>
    <w:rsid w:val="7EA85A3A"/>
    <w:rsid w:val="7EDA1D53"/>
    <w:rsid w:val="7EE66563"/>
    <w:rsid w:val="7EF02F3D"/>
    <w:rsid w:val="7F280929"/>
    <w:rsid w:val="7F2D5F40"/>
    <w:rsid w:val="7F8E2E82"/>
    <w:rsid w:val="7F8F09A8"/>
    <w:rsid w:val="7F9959ED"/>
    <w:rsid w:val="7FD34D39"/>
    <w:rsid w:val="7FD840FD"/>
    <w:rsid w:val="7FF60A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iPriority="9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qFormat="1" w:unhideWhenUsed="0" w:uiPriority="99"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49"/>
    <w:autoRedefine/>
    <w:qFormat/>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6">
    <w:name w:val="heading 2"/>
    <w:basedOn w:val="1"/>
    <w:next w:val="1"/>
    <w:autoRedefine/>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7">
    <w:name w:val="heading 3"/>
    <w:basedOn w:val="1"/>
    <w:next w:val="1"/>
    <w:autoRedefine/>
    <w:qFormat/>
    <w:uiPriority w:val="0"/>
    <w:pPr>
      <w:keepNext/>
      <w:keepLines/>
      <w:autoSpaceDE w:val="0"/>
      <w:autoSpaceDN w:val="0"/>
      <w:adjustRightInd w:val="0"/>
      <w:spacing w:before="360" w:after="120"/>
      <w:jc w:val="left"/>
      <w:outlineLvl w:val="2"/>
    </w:pPr>
    <w:rPr>
      <w:rFonts w:ascii="宋体"/>
      <w:b/>
      <w:kern w:val="0"/>
      <w:sz w:val="24"/>
      <w:szCs w:val="20"/>
      <w:u w:val="single"/>
    </w:rPr>
  </w:style>
  <w:style w:type="paragraph" w:styleId="8">
    <w:name w:val="heading 4"/>
    <w:basedOn w:val="1"/>
    <w:next w:val="1"/>
    <w:semiHidden/>
    <w:unhideWhenUsed/>
    <w:qFormat/>
    <w:uiPriority w:val="0"/>
    <w:pPr>
      <w:keepNext/>
      <w:keepLines/>
      <w:spacing w:before="40" w:line="377" w:lineRule="auto"/>
      <w:jc w:val="left"/>
      <w:outlineLvl w:val="3"/>
    </w:pPr>
    <w:rPr>
      <w:rFonts w:ascii="等线 Light" w:hAnsi="等线 Light" w:eastAsia="宋体" w:cs="Times New Roman"/>
      <w:b/>
      <w:bCs/>
      <w:sz w:val="28"/>
      <w:szCs w:val="28"/>
    </w:rPr>
  </w:style>
  <w:style w:type="character" w:default="1" w:styleId="25">
    <w:name w:val="Default Paragraph Font"/>
    <w:autoRedefine/>
    <w:semiHidden/>
    <w:unhideWhenUsed/>
    <w:qFormat/>
    <w:uiPriority w:val="1"/>
  </w:style>
  <w:style w:type="table" w:default="1" w:styleId="23">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next w:val="3"/>
    <w:autoRedefine/>
    <w:qFormat/>
    <w:uiPriority w:val="0"/>
    <w:pPr>
      <w:tabs>
        <w:tab w:val="left" w:pos="567"/>
      </w:tabs>
      <w:spacing w:before="120" w:line="22" w:lineRule="atLeast"/>
    </w:pPr>
    <w:rPr>
      <w:rFonts w:ascii="宋体" w:hAnsi="宋体"/>
      <w:sz w:val="24"/>
    </w:rPr>
  </w:style>
  <w:style w:type="paragraph" w:styleId="3">
    <w:name w:val="footer"/>
    <w:basedOn w:val="1"/>
    <w:next w:val="4"/>
    <w:autoRedefine/>
    <w:qFormat/>
    <w:uiPriority w:val="99"/>
    <w:pPr>
      <w:tabs>
        <w:tab w:val="center" w:pos="4153"/>
        <w:tab w:val="right" w:pos="8306"/>
      </w:tabs>
      <w:autoSpaceDE w:val="0"/>
      <w:autoSpaceDN w:val="0"/>
      <w:adjustRightInd w:val="0"/>
      <w:snapToGrid w:val="0"/>
      <w:jc w:val="left"/>
    </w:pPr>
    <w:rPr>
      <w:rFonts w:ascii="宋体"/>
      <w:kern w:val="0"/>
      <w:sz w:val="18"/>
      <w:szCs w:val="20"/>
    </w:rPr>
  </w:style>
  <w:style w:type="paragraph" w:styleId="4">
    <w:name w:val="index 5"/>
    <w:basedOn w:val="1"/>
    <w:next w:val="1"/>
    <w:qFormat/>
    <w:uiPriority w:val="0"/>
    <w:pPr>
      <w:ind w:left="1680"/>
    </w:pPr>
  </w:style>
  <w:style w:type="paragraph" w:styleId="9">
    <w:name w:val="Normal Indent"/>
    <w:basedOn w:val="1"/>
    <w:next w:val="1"/>
    <w:autoRedefine/>
    <w:qFormat/>
    <w:uiPriority w:val="0"/>
    <w:pPr>
      <w:autoSpaceDE w:val="0"/>
      <w:autoSpaceDN w:val="0"/>
      <w:adjustRightInd w:val="0"/>
      <w:ind w:firstLine="420"/>
      <w:jc w:val="left"/>
    </w:pPr>
    <w:rPr>
      <w:rFonts w:ascii="宋体"/>
      <w:kern w:val="0"/>
      <w:sz w:val="24"/>
      <w:szCs w:val="20"/>
    </w:rPr>
  </w:style>
  <w:style w:type="paragraph" w:styleId="10">
    <w:name w:val="toa heading"/>
    <w:basedOn w:val="1"/>
    <w:next w:val="1"/>
    <w:autoRedefine/>
    <w:qFormat/>
    <w:uiPriority w:val="0"/>
    <w:pPr>
      <w:spacing w:before="120"/>
    </w:pPr>
    <w:rPr>
      <w:rFonts w:ascii="Cambria" w:hAnsi="Cambria"/>
      <w:sz w:val="24"/>
    </w:rPr>
  </w:style>
  <w:style w:type="paragraph" w:styleId="11">
    <w:name w:val="annotation text"/>
    <w:basedOn w:val="1"/>
    <w:autoRedefine/>
    <w:qFormat/>
    <w:uiPriority w:val="0"/>
    <w:pPr>
      <w:jc w:val="left"/>
    </w:pPr>
  </w:style>
  <w:style w:type="paragraph" w:styleId="12">
    <w:name w:val="Body Text Indent"/>
    <w:basedOn w:val="1"/>
    <w:autoRedefine/>
    <w:qFormat/>
    <w:uiPriority w:val="0"/>
    <w:pPr>
      <w:spacing w:line="360" w:lineRule="auto"/>
      <w:ind w:firstLine="570"/>
    </w:pPr>
    <w:rPr>
      <w:sz w:val="24"/>
    </w:rPr>
  </w:style>
  <w:style w:type="paragraph" w:styleId="13">
    <w:name w:val="Plain Text"/>
    <w:basedOn w:val="1"/>
    <w:autoRedefine/>
    <w:qFormat/>
    <w:uiPriority w:val="0"/>
    <w:rPr>
      <w:rFonts w:ascii="宋体" w:hAnsi="Courier New"/>
      <w:szCs w:val="20"/>
    </w:rPr>
  </w:style>
  <w:style w:type="paragraph" w:styleId="14">
    <w:name w:val="header"/>
    <w:basedOn w:val="1"/>
    <w:autoRedefine/>
    <w:qFormat/>
    <w:uiPriority w:val="99"/>
    <w:pPr>
      <w:pBdr>
        <w:bottom w:val="single" w:color="auto" w:sz="6" w:space="1"/>
      </w:pBdr>
      <w:tabs>
        <w:tab w:val="center" w:pos="4153"/>
        <w:tab w:val="right" w:pos="8306"/>
      </w:tabs>
      <w:snapToGrid w:val="0"/>
      <w:jc w:val="center"/>
    </w:pPr>
    <w:rPr>
      <w:sz w:val="18"/>
      <w:szCs w:val="18"/>
    </w:rPr>
  </w:style>
  <w:style w:type="paragraph" w:styleId="15">
    <w:name w:val="toc 1"/>
    <w:basedOn w:val="1"/>
    <w:next w:val="1"/>
    <w:autoRedefine/>
    <w:qFormat/>
    <w:uiPriority w:val="39"/>
  </w:style>
  <w:style w:type="paragraph" w:styleId="16">
    <w:name w:val="footnote text"/>
    <w:basedOn w:val="1"/>
    <w:next w:val="2"/>
    <w:autoRedefine/>
    <w:qFormat/>
    <w:uiPriority w:val="0"/>
    <w:pPr>
      <w:snapToGrid w:val="0"/>
      <w:jc w:val="left"/>
    </w:pPr>
    <w:rPr>
      <w:sz w:val="18"/>
    </w:rPr>
  </w:style>
  <w:style w:type="paragraph" w:styleId="17">
    <w:name w:val="Body Text Indent 3"/>
    <w:basedOn w:val="1"/>
    <w:autoRedefine/>
    <w:qFormat/>
    <w:uiPriority w:val="0"/>
    <w:pPr>
      <w:autoSpaceDE w:val="0"/>
      <w:autoSpaceDN w:val="0"/>
      <w:adjustRightInd w:val="0"/>
      <w:spacing w:before="120" w:line="22" w:lineRule="atLeast"/>
      <w:ind w:left="720" w:firstLine="480"/>
      <w:jc w:val="left"/>
    </w:pPr>
    <w:rPr>
      <w:rFonts w:ascii="宋体"/>
      <w:kern w:val="0"/>
      <w:sz w:val="24"/>
      <w:szCs w:val="20"/>
    </w:rPr>
  </w:style>
  <w:style w:type="paragraph" w:styleId="18">
    <w:name w:val="Normal (Web)"/>
    <w:basedOn w:val="1"/>
    <w:next w:val="19"/>
    <w:autoRedefine/>
    <w:unhideWhenUsed/>
    <w:qFormat/>
    <w:uiPriority w:val="99"/>
    <w:pPr>
      <w:spacing w:before="0" w:beforeAutospacing="1" w:after="0" w:afterAutospacing="1"/>
      <w:ind w:left="0" w:right="0"/>
      <w:jc w:val="left"/>
    </w:pPr>
    <w:rPr>
      <w:kern w:val="0"/>
      <w:sz w:val="24"/>
      <w:lang w:val="en-US" w:eastAsia="zh-CN" w:bidi="ar"/>
    </w:rPr>
  </w:style>
  <w:style w:type="paragraph" w:customStyle="1" w:styleId="19">
    <w:name w:val="目录 41"/>
    <w:next w:val="1"/>
    <w:autoRedefine/>
    <w:qFormat/>
    <w:uiPriority w:val="0"/>
    <w:pPr>
      <w:wordWrap w:val="0"/>
      <w:ind w:left="1275"/>
      <w:jc w:val="both"/>
    </w:pPr>
    <w:rPr>
      <w:rFonts w:ascii="Times New Roman" w:hAnsi="Times New Roman" w:eastAsia="宋体" w:cs="Times New Roman"/>
      <w:sz w:val="21"/>
      <w:lang w:val="en-US" w:eastAsia="zh-CN" w:bidi="ar-SA"/>
    </w:rPr>
  </w:style>
  <w:style w:type="paragraph" w:styleId="20">
    <w:name w:val="Title"/>
    <w:basedOn w:val="1"/>
    <w:autoRedefine/>
    <w:qFormat/>
    <w:uiPriority w:val="0"/>
    <w:pPr>
      <w:spacing w:before="240" w:after="60"/>
      <w:jc w:val="center"/>
      <w:outlineLvl w:val="0"/>
    </w:pPr>
    <w:rPr>
      <w:rFonts w:ascii="Arial" w:hAnsi="Arial" w:cs="Arial"/>
      <w:b/>
      <w:bCs/>
      <w:sz w:val="32"/>
      <w:szCs w:val="32"/>
    </w:rPr>
  </w:style>
  <w:style w:type="paragraph" w:styleId="21">
    <w:name w:val="Body Text First Indent"/>
    <w:basedOn w:val="2"/>
    <w:next w:val="1"/>
    <w:autoRedefine/>
    <w:qFormat/>
    <w:uiPriority w:val="0"/>
    <w:pPr>
      <w:widowControl/>
      <w:spacing w:line="312" w:lineRule="auto"/>
      <w:ind w:firstLine="420" w:firstLineChars="100"/>
    </w:pPr>
    <w:rPr>
      <w:rFonts w:hint="eastAsia" w:ascii="微软雅黑" w:hAnsi="微软雅黑" w:eastAsia="微软雅黑" w:cs="微软雅黑"/>
      <w:szCs w:val="21"/>
    </w:rPr>
  </w:style>
  <w:style w:type="paragraph" w:styleId="22">
    <w:name w:val="Body Text First Indent 2"/>
    <w:basedOn w:val="12"/>
    <w:autoRedefine/>
    <w:qFormat/>
    <w:uiPriority w:val="0"/>
    <w:pPr>
      <w:ind w:firstLine="420" w:firstLineChars="200"/>
    </w:pPr>
  </w:style>
  <w:style w:type="table" w:styleId="24">
    <w:name w:val="Table Grid"/>
    <w:basedOn w:val="23"/>
    <w:autoRedefine/>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Strong"/>
    <w:basedOn w:val="25"/>
    <w:autoRedefine/>
    <w:qFormat/>
    <w:uiPriority w:val="0"/>
    <w:rPr>
      <w:b/>
      <w:bCs/>
    </w:rPr>
  </w:style>
  <w:style w:type="character" w:styleId="27">
    <w:name w:val="page number"/>
    <w:basedOn w:val="25"/>
    <w:autoRedefine/>
    <w:qFormat/>
    <w:uiPriority w:val="0"/>
  </w:style>
  <w:style w:type="character" w:styleId="28">
    <w:name w:val="annotation reference"/>
    <w:basedOn w:val="25"/>
    <w:autoRedefine/>
    <w:qFormat/>
    <w:uiPriority w:val="0"/>
    <w:rPr>
      <w:sz w:val="21"/>
      <w:szCs w:val="21"/>
    </w:rPr>
  </w:style>
  <w:style w:type="paragraph" w:styleId="29">
    <w:name w:val="Quote"/>
    <w:next w:val="1"/>
    <w:autoRedefine/>
    <w:qFormat/>
    <w:uiPriority w:val="99"/>
    <w:pPr>
      <w:widowControl w:val="0"/>
      <w:jc w:val="both"/>
    </w:pPr>
    <w:rPr>
      <w:rFonts w:ascii="Calibri" w:hAnsi="Calibri" w:eastAsia="宋体" w:cs="Calibri"/>
      <w:i/>
      <w:iCs/>
      <w:color w:val="000000"/>
      <w:kern w:val="2"/>
      <w:sz w:val="22"/>
      <w:szCs w:val="22"/>
      <w:lang w:val="en-US" w:eastAsia="zh-CN" w:bidi="ar-SA"/>
    </w:rPr>
  </w:style>
  <w:style w:type="paragraph" w:customStyle="1" w:styleId="30">
    <w:name w:val="index heading1"/>
    <w:basedOn w:val="2"/>
    <w:next w:val="13"/>
    <w:autoRedefine/>
    <w:qFormat/>
    <w:uiPriority w:val="0"/>
    <w:pPr>
      <w:ind w:firstLine="1124" w:firstLineChars="200"/>
    </w:pPr>
    <w:rPr>
      <w:rFonts w:ascii="Arial" w:hAnsi="Arial" w:cs="Arial"/>
      <w:b/>
      <w:bCs/>
      <w:sz w:val="32"/>
    </w:rPr>
  </w:style>
  <w:style w:type="paragraph" w:customStyle="1" w:styleId="31">
    <w:name w:val="WPSOffice手动目录 1"/>
    <w:autoRedefine/>
    <w:qFormat/>
    <w:uiPriority w:val="0"/>
    <w:rPr>
      <w:rFonts w:asciiTheme="minorHAnsi" w:hAnsiTheme="minorHAnsi" w:eastAsiaTheme="minorEastAsia" w:cstheme="minorBidi"/>
      <w:lang w:val="en-US" w:eastAsia="zh-CN" w:bidi="ar-SA"/>
    </w:rPr>
  </w:style>
  <w:style w:type="paragraph" w:customStyle="1" w:styleId="32">
    <w:name w:val="Default"/>
    <w:autoRedefine/>
    <w:qFormat/>
    <w:uiPriority w:val="0"/>
    <w:pPr>
      <w:widowControl w:val="0"/>
      <w:autoSpaceDE w:val="0"/>
      <w:autoSpaceDN w:val="0"/>
    </w:pPr>
    <w:rPr>
      <w:rFonts w:ascii="宋体" w:hAnsi="Times New Roman" w:eastAsia="宋体" w:cs="宋体"/>
      <w:color w:val="000000"/>
      <w:sz w:val="24"/>
      <w:szCs w:val="24"/>
      <w:lang w:val="en-US" w:eastAsia="zh-CN" w:bidi="ar-SA"/>
    </w:rPr>
  </w:style>
  <w:style w:type="paragraph" w:customStyle="1" w:styleId="33">
    <w:name w:val="列出段落1"/>
    <w:basedOn w:val="1"/>
    <w:autoRedefine/>
    <w:qFormat/>
    <w:uiPriority w:val="34"/>
    <w:pPr>
      <w:widowControl/>
      <w:ind w:firstLine="420" w:firstLineChars="200"/>
      <w:jc w:val="left"/>
    </w:pPr>
    <w:rPr>
      <w:kern w:val="0"/>
      <w:sz w:val="24"/>
    </w:rPr>
  </w:style>
  <w:style w:type="paragraph" w:customStyle="1" w:styleId="34">
    <w:name w:val="Table Paragraph"/>
    <w:basedOn w:val="1"/>
    <w:autoRedefine/>
    <w:qFormat/>
    <w:uiPriority w:val="1"/>
    <w:rPr>
      <w:rFonts w:ascii="宋体" w:hAnsi="宋体" w:cs="宋体"/>
      <w:lang w:val="zh-CN" w:bidi="zh-CN"/>
    </w:rPr>
  </w:style>
  <w:style w:type="paragraph" w:customStyle="1" w:styleId="35">
    <w:name w:val="正文缩进1"/>
    <w:basedOn w:val="1"/>
    <w:autoRedefine/>
    <w:qFormat/>
    <w:uiPriority w:val="0"/>
    <w:pPr>
      <w:autoSpaceDE w:val="0"/>
      <w:autoSpaceDN w:val="0"/>
      <w:adjustRightInd w:val="0"/>
      <w:ind w:firstLine="420"/>
      <w:jc w:val="left"/>
    </w:pPr>
    <w:rPr>
      <w:rFonts w:ascii="宋体"/>
      <w:kern w:val="0"/>
      <w:sz w:val="24"/>
      <w:szCs w:val="20"/>
    </w:rPr>
  </w:style>
  <w:style w:type="paragraph" w:customStyle="1" w:styleId="36">
    <w:name w:val="索引 11"/>
    <w:basedOn w:val="1"/>
    <w:next w:val="1"/>
    <w:autoRedefine/>
    <w:qFormat/>
    <w:uiPriority w:val="0"/>
    <w:pPr>
      <w:spacing w:line="360" w:lineRule="auto"/>
    </w:pPr>
    <w:rPr>
      <w:rFonts w:ascii="仿宋_GB2312" w:eastAsia="仿宋_GB2312"/>
      <w:sz w:val="24"/>
      <w:szCs w:val="20"/>
    </w:rPr>
  </w:style>
  <w:style w:type="paragraph" w:customStyle="1" w:styleId="37">
    <w:name w:val="纯文本1"/>
    <w:basedOn w:val="1"/>
    <w:autoRedefine/>
    <w:qFormat/>
    <w:uiPriority w:val="0"/>
    <w:rPr>
      <w:rFonts w:ascii="宋体" w:hAnsi="Courier New"/>
      <w:kern w:val="0"/>
      <w:sz w:val="20"/>
      <w:szCs w:val="20"/>
    </w:rPr>
  </w:style>
  <w:style w:type="paragraph" w:customStyle="1" w:styleId="38">
    <w:name w:val="列表段落1"/>
    <w:basedOn w:val="1"/>
    <w:autoRedefine/>
    <w:qFormat/>
    <w:uiPriority w:val="0"/>
    <w:pPr>
      <w:ind w:firstLine="420" w:firstLineChars="200"/>
    </w:pPr>
    <w:rPr>
      <w:rFonts w:hint="eastAsia" w:ascii="宋体" w:hAnsi="Calibri"/>
      <w:szCs w:val="21"/>
    </w:rPr>
  </w:style>
  <w:style w:type="paragraph" w:customStyle="1" w:styleId="39">
    <w:name w:val="index 11"/>
    <w:basedOn w:val="1"/>
    <w:next w:val="1"/>
    <w:autoRedefine/>
    <w:qFormat/>
    <w:uiPriority w:val="0"/>
  </w:style>
  <w:style w:type="paragraph" w:customStyle="1" w:styleId="40">
    <w:name w:val="表"/>
    <w:basedOn w:val="1"/>
    <w:autoRedefine/>
    <w:qFormat/>
    <w:uiPriority w:val="0"/>
    <w:pPr>
      <w:ind w:firstLine="0" w:firstLineChars="0"/>
      <w:jc w:val="center"/>
    </w:pPr>
  </w:style>
  <w:style w:type="paragraph" w:customStyle="1" w:styleId="41">
    <w:name w:val="Heading 6"/>
    <w:basedOn w:val="1"/>
    <w:autoRedefine/>
    <w:qFormat/>
    <w:uiPriority w:val="1"/>
    <w:pPr>
      <w:ind w:left="950" w:hanging="363"/>
      <w:outlineLvl w:val="6"/>
    </w:pPr>
    <w:rPr>
      <w:b/>
      <w:bCs/>
      <w:sz w:val="24"/>
      <w:szCs w:val="24"/>
    </w:rPr>
  </w:style>
  <w:style w:type="paragraph" w:styleId="42">
    <w:name w:val="List Paragraph"/>
    <w:basedOn w:val="1"/>
    <w:autoRedefine/>
    <w:qFormat/>
    <w:uiPriority w:val="1"/>
    <w:pPr>
      <w:ind w:left="107" w:firstLine="480"/>
    </w:pPr>
  </w:style>
  <w:style w:type="paragraph" w:customStyle="1" w:styleId="43">
    <w:name w:val="Table Text"/>
    <w:basedOn w:val="1"/>
    <w:autoRedefine/>
    <w:semiHidden/>
    <w:qFormat/>
    <w:uiPriority w:val="0"/>
    <w:rPr>
      <w:rFonts w:ascii="宋体" w:hAnsi="宋体" w:eastAsia="宋体" w:cs="宋体"/>
      <w:sz w:val="24"/>
      <w:szCs w:val="24"/>
      <w:lang w:val="en-US" w:eastAsia="en-US" w:bidi="ar-SA"/>
    </w:rPr>
  </w:style>
  <w:style w:type="table" w:customStyle="1" w:styleId="44">
    <w:name w:val="Table Normal"/>
    <w:autoRedefine/>
    <w:semiHidden/>
    <w:unhideWhenUsed/>
    <w:qFormat/>
    <w:uiPriority w:val="0"/>
    <w:tblPr>
      <w:tblCellMar>
        <w:top w:w="0" w:type="dxa"/>
        <w:left w:w="0" w:type="dxa"/>
        <w:bottom w:w="0" w:type="dxa"/>
        <w:right w:w="0" w:type="dxa"/>
      </w:tblCellMar>
    </w:tblPr>
  </w:style>
  <w:style w:type="paragraph" w:customStyle="1" w:styleId="45">
    <w:name w:val="Normal"/>
    <w:autoRedefine/>
    <w:qFormat/>
    <w:uiPriority w:val="0"/>
    <w:rPr>
      <w:rFonts w:ascii="Times New Roman" w:hAnsi="Times New Roman" w:eastAsia="Times New Roman" w:cs="Times New Roman"/>
      <w:sz w:val="24"/>
      <w:szCs w:val="24"/>
      <w:lang w:val="en-US" w:eastAsia="zh-CN" w:bidi="ar-SA"/>
    </w:rPr>
  </w:style>
  <w:style w:type="paragraph" w:customStyle="1" w:styleId="46">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47">
    <w:name w:val="样式 样式 样式 左侧:  2 字符1 + 首行缩进:  2 字符1 + 首行缩进:  2 字符"/>
    <w:basedOn w:val="1"/>
    <w:autoRedefine/>
    <w:qFormat/>
    <w:uiPriority w:val="0"/>
    <w:pPr>
      <w:widowControl/>
      <w:adjustRightInd w:val="0"/>
      <w:spacing w:before="60" w:after="120" w:line="440" w:lineRule="atLeast"/>
      <w:ind w:firstLine="480"/>
      <w:textAlignment w:val="baseline"/>
    </w:pPr>
    <w:rPr>
      <w:rFonts w:ascii="Times New Roman" w:hAnsi="Times New Roman" w:cs="Times New Roman"/>
      <w:sz w:val="24"/>
    </w:rPr>
  </w:style>
  <w:style w:type="character" w:customStyle="1" w:styleId="48">
    <w:name w:val="Char"/>
    <w:qFormat/>
    <w:uiPriority w:val="0"/>
    <w:rPr>
      <w:b/>
      <w:kern w:val="44"/>
      <w:sz w:val="44"/>
    </w:rPr>
  </w:style>
  <w:style w:type="character" w:customStyle="1" w:styleId="49">
    <w:name w:val="标题 1 字符"/>
    <w:basedOn w:val="25"/>
    <w:link w:val="5"/>
    <w:qFormat/>
    <w:uiPriority w:val="0"/>
    <w:rPr>
      <w:rFonts w:ascii="宋体"/>
      <w:b/>
      <w:kern w:val="44"/>
      <w:sz w:val="32"/>
      <w:szCs w:val="20"/>
    </w:rPr>
  </w:style>
  <w:style w:type="paragraph" w:customStyle="1" w:styleId="50">
    <w:name w:val="DAS正文"/>
    <w:basedOn w:val="1"/>
    <w:autoRedefine/>
    <w:qFormat/>
    <w:uiPriority w:val="0"/>
    <w:pPr>
      <w:ind w:right="181" w:firstLine="480" w:firstLineChars="200"/>
    </w:pPr>
    <w:rPr>
      <w:rFonts w:ascii="Verdana" w:hAnsi="Verdana"/>
    </w:rPr>
  </w:style>
</w:styles>
</file>

<file path=word/_rels/document.xml.rels><?xml version="1.0" encoding="UTF-8" standalone="yes"?>
<Relationships xmlns="http://schemas.openxmlformats.org/package/2006/relationships"><Relationship Id="rId9" Type="http://schemas.openxmlformats.org/officeDocument/2006/relationships/footer" Target="footer6.xml"/><Relationship Id="rId8" Type="http://schemas.openxmlformats.org/officeDocument/2006/relationships/footer" Target="footer5.xml"/><Relationship Id="rId7" Type="http://schemas.openxmlformats.org/officeDocument/2006/relationships/header" Target="header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119</Pages>
  <Words>18517</Words>
  <Characters>19559</Characters>
  <Lines>315</Lines>
  <Paragraphs>88</Paragraphs>
  <TotalTime>26</TotalTime>
  <ScaleCrop>false</ScaleCrop>
  <LinksUpToDate>false</LinksUpToDate>
  <CharactersWithSpaces>22352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2022-05-25T12:29:00Z</dcterms:created>
  <dc:creator>赵睿 19999458925</dc:creator>
  <cp:lastModifiedBy>　</cp:lastModifiedBy>
  <cp:lastPrinted>2024-12-10T11:33:00Z</cp:lastPrinted>
  <dcterms:modified xsi:type="dcterms:W3CDTF">2025-04-08T10:33:51Z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2FB8DFA143C94F0595CF808217D92EA5_13</vt:lpwstr>
  </property>
  <property fmtid="{D5CDD505-2E9C-101B-9397-08002B2CF9AE}" pid="4" name="KSOTemplateDocerSaveRecord">
    <vt:lpwstr>eyJoZGlkIjoiYTRkZjIxZWQ3NjdmMDljOWZhZGMyZTFmZGZmYmZhYTgiLCJ1c2VySWQiOiIzMjk3NzU2ODcifQ==</vt:lpwstr>
  </property>
</Properties>
</file>