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176C1C">
      <w:pPr>
        <w:tabs>
          <w:tab w:val="left" w:pos="1134"/>
          <w:tab w:val="left" w:pos="5481"/>
          <w:tab w:val="left" w:pos="5859"/>
        </w:tabs>
        <w:ind w:left="-199" w:leftChars="-95" w:firstLine="0" w:firstLineChars="0"/>
        <w:jc w:val="center"/>
        <w:rPr>
          <w:rFonts w:hint="eastAsia" w:ascii="宋体" w:hAnsi="宋体" w:eastAsia="宋体" w:cs="宋体"/>
          <w:b/>
          <w:bCs/>
          <w:color w:val="auto"/>
          <w:sz w:val="48"/>
          <w:szCs w:val="48"/>
          <w:highlight w:val="none"/>
        </w:rPr>
      </w:pPr>
    </w:p>
    <w:p w14:paraId="7A5D433D">
      <w:pPr>
        <w:tabs>
          <w:tab w:val="left" w:pos="1134"/>
          <w:tab w:val="left" w:pos="5160"/>
        </w:tabs>
        <w:jc w:val="center"/>
        <w:rPr>
          <w:rFonts w:hint="eastAsia" w:ascii="宋体" w:hAnsi="宋体" w:eastAsia="宋体" w:cs="宋体"/>
          <w:b/>
          <w:bCs/>
          <w:color w:val="auto"/>
          <w:sz w:val="112"/>
          <w:szCs w:val="112"/>
          <w:highlight w:val="none"/>
          <w:lang w:val="en-US" w:eastAsia="zh-CN"/>
        </w:rPr>
      </w:pPr>
      <w:r>
        <w:rPr>
          <w:rFonts w:hint="eastAsia" w:ascii="宋体" w:hAnsi="宋体" w:eastAsia="宋体" w:cs="宋体"/>
          <w:b/>
          <w:bCs/>
          <w:i w:val="0"/>
          <w:iCs w:val="0"/>
          <w:caps w:val="0"/>
          <w:color w:val="000000"/>
          <w:spacing w:val="0"/>
          <w:sz w:val="40"/>
          <w:szCs w:val="40"/>
        </w:rPr>
        <w:t>乌鲁木齐市公安局公交地铁治安管理支队（公交地铁治安管理分局）公交线路协管服务项目</w:t>
      </w:r>
      <w:r>
        <w:rPr>
          <w:rFonts w:hint="eastAsia" w:ascii="宋体" w:hAnsi="宋体" w:eastAsia="宋体" w:cs="宋体"/>
          <w:b/>
          <w:bCs/>
          <w:i w:val="0"/>
          <w:iCs w:val="0"/>
          <w:caps w:val="0"/>
          <w:color w:val="000000"/>
          <w:spacing w:val="0"/>
          <w:sz w:val="40"/>
          <w:szCs w:val="40"/>
          <w:lang w:eastAsia="zh-CN"/>
        </w:rPr>
        <w:t>（二次）</w:t>
      </w:r>
    </w:p>
    <w:p w14:paraId="2BBFA10E">
      <w:pPr>
        <w:tabs>
          <w:tab w:val="left" w:pos="1134"/>
          <w:tab w:val="left" w:pos="5481"/>
          <w:tab w:val="left" w:pos="5859"/>
        </w:tabs>
        <w:jc w:val="center"/>
        <w:rPr>
          <w:rFonts w:hint="eastAsia" w:ascii="宋体" w:hAnsi="宋体" w:eastAsia="宋体" w:cs="宋体"/>
          <w:b/>
          <w:bCs/>
          <w:color w:val="auto"/>
          <w:sz w:val="84"/>
          <w:szCs w:val="84"/>
          <w:highlight w:val="none"/>
          <w:lang w:val="en-US" w:eastAsia="zh-CN"/>
        </w:rPr>
      </w:pPr>
    </w:p>
    <w:p w14:paraId="29505227">
      <w:pPr>
        <w:tabs>
          <w:tab w:val="left" w:pos="1134"/>
          <w:tab w:val="left" w:pos="5481"/>
          <w:tab w:val="left" w:pos="5859"/>
        </w:tabs>
        <w:jc w:val="both"/>
        <w:rPr>
          <w:rFonts w:hint="eastAsia" w:ascii="宋体" w:hAnsi="宋体" w:eastAsia="宋体" w:cs="宋体"/>
          <w:b/>
          <w:bCs/>
          <w:color w:val="auto"/>
          <w:sz w:val="84"/>
          <w:szCs w:val="84"/>
          <w:highlight w:val="none"/>
          <w:lang w:val="en-US" w:eastAsia="zh-CN"/>
        </w:rPr>
      </w:pPr>
    </w:p>
    <w:p w14:paraId="2C91DAA0">
      <w:pPr>
        <w:tabs>
          <w:tab w:val="left" w:pos="1134"/>
          <w:tab w:val="left" w:pos="5481"/>
          <w:tab w:val="left" w:pos="5859"/>
        </w:tabs>
        <w:jc w:val="center"/>
        <w:rPr>
          <w:rFonts w:hint="eastAsia" w:ascii="宋体" w:hAnsi="宋体" w:eastAsia="宋体" w:cs="宋体"/>
          <w:b/>
          <w:bCs/>
          <w:color w:val="auto"/>
          <w:sz w:val="84"/>
          <w:szCs w:val="84"/>
          <w:highlight w:val="none"/>
          <w:lang w:eastAsia="zh-CN"/>
        </w:rPr>
      </w:pPr>
      <w:r>
        <w:rPr>
          <w:rFonts w:hint="eastAsia" w:ascii="宋体" w:hAnsi="宋体" w:eastAsia="宋体" w:cs="宋体"/>
          <w:b/>
          <w:bCs/>
          <w:color w:val="auto"/>
          <w:sz w:val="84"/>
          <w:szCs w:val="84"/>
          <w:highlight w:val="none"/>
          <w:lang w:val="en-US" w:eastAsia="zh-CN"/>
        </w:rPr>
        <w:t>招标文件</w:t>
      </w:r>
    </w:p>
    <w:p w14:paraId="652187AD">
      <w:pPr>
        <w:tabs>
          <w:tab w:val="left" w:pos="1134"/>
          <w:tab w:val="left" w:pos="5481"/>
          <w:tab w:val="left" w:pos="5859"/>
        </w:tabs>
        <w:jc w:val="center"/>
        <w:rPr>
          <w:rFonts w:hint="eastAsia" w:ascii="宋体" w:hAnsi="宋体" w:eastAsia="宋体" w:cs="宋体"/>
          <w:b/>
          <w:color w:val="auto"/>
          <w:sz w:val="32"/>
          <w:szCs w:val="32"/>
          <w:highlight w:val="none"/>
        </w:rPr>
      </w:pPr>
    </w:p>
    <w:p w14:paraId="3AE513B7">
      <w:pPr>
        <w:rPr>
          <w:rFonts w:hint="eastAsia" w:ascii="宋体" w:hAnsi="宋体" w:eastAsia="宋体" w:cs="宋体"/>
          <w:color w:val="auto"/>
          <w:sz w:val="32"/>
          <w:szCs w:val="32"/>
          <w:highlight w:val="none"/>
        </w:rPr>
      </w:pPr>
      <w:bookmarkStart w:id="0" w:name="EB6899ae5d34c74b11b8bf0f5b6fa18add"/>
      <w:bookmarkEnd w:id="0"/>
    </w:p>
    <w:p w14:paraId="60D73839">
      <w:pPr>
        <w:rPr>
          <w:rFonts w:hint="eastAsia" w:ascii="宋体" w:hAnsi="宋体" w:eastAsia="宋体" w:cs="宋体"/>
          <w:color w:val="auto"/>
          <w:sz w:val="32"/>
          <w:szCs w:val="32"/>
          <w:highlight w:val="none"/>
        </w:rPr>
      </w:pPr>
    </w:p>
    <w:p w14:paraId="19513050">
      <w:pPr>
        <w:rPr>
          <w:rFonts w:hint="eastAsia" w:ascii="宋体" w:hAnsi="宋体" w:eastAsia="宋体" w:cs="宋体"/>
          <w:color w:val="auto"/>
          <w:sz w:val="32"/>
          <w:szCs w:val="32"/>
          <w:highlight w:val="none"/>
        </w:rPr>
      </w:pPr>
    </w:p>
    <w:p w14:paraId="5683553B">
      <w:pPr>
        <w:rPr>
          <w:rFonts w:hint="eastAsia" w:ascii="宋体" w:hAnsi="宋体" w:eastAsia="宋体" w:cs="宋体"/>
          <w:color w:val="auto"/>
          <w:sz w:val="32"/>
          <w:szCs w:val="32"/>
          <w:highlight w:val="none"/>
        </w:rPr>
      </w:pPr>
    </w:p>
    <w:p w14:paraId="0D8AEFE2">
      <w:pPr>
        <w:rPr>
          <w:rFonts w:hint="eastAsia" w:ascii="宋体" w:hAnsi="宋体" w:eastAsia="宋体" w:cs="宋体"/>
          <w:color w:val="auto"/>
          <w:sz w:val="32"/>
          <w:szCs w:val="32"/>
          <w:highlight w:val="none"/>
        </w:rPr>
      </w:pPr>
    </w:p>
    <w:p w14:paraId="3A3F2F29">
      <w:pPr>
        <w:rPr>
          <w:rFonts w:hint="eastAsia" w:ascii="宋体" w:hAnsi="宋体" w:eastAsia="宋体" w:cs="宋体"/>
          <w:color w:val="auto"/>
          <w:sz w:val="32"/>
          <w:szCs w:val="32"/>
          <w:highlight w:val="none"/>
        </w:rPr>
      </w:pPr>
    </w:p>
    <w:p w14:paraId="4DC45240">
      <w:pPr>
        <w:rPr>
          <w:rFonts w:hint="eastAsia" w:ascii="宋体" w:hAnsi="宋体" w:eastAsia="宋体" w:cs="宋体"/>
          <w:color w:val="auto"/>
          <w:sz w:val="32"/>
          <w:szCs w:val="32"/>
          <w:highlight w:val="none"/>
        </w:rPr>
      </w:pPr>
    </w:p>
    <w:p w14:paraId="363605D8">
      <w:pPr>
        <w:rPr>
          <w:rFonts w:hint="eastAsia" w:ascii="宋体" w:hAnsi="宋体" w:eastAsia="宋体" w:cs="宋体"/>
          <w:color w:val="auto"/>
          <w:sz w:val="32"/>
          <w:szCs w:val="32"/>
          <w:highlight w:val="none"/>
        </w:rPr>
      </w:pPr>
    </w:p>
    <w:p w14:paraId="113C2989">
      <w:pPr>
        <w:rPr>
          <w:rFonts w:hint="eastAsia" w:ascii="宋体" w:hAnsi="宋体" w:eastAsia="宋体" w:cs="宋体"/>
          <w:color w:val="auto"/>
          <w:sz w:val="32"/>
          <w:szCs w:val="32"/>
          <w:highlight w:val="none"/>
        </w:rPr>
      </w:pPr>
    </w:p>
    <w:p w14:paraId="4D1B990A">
      <w:pPr>
        <w:rPr>
          <w:rFonts w:hint="eastAsia" w:ascii="宋体" w:hAnsi="宋体" w:eastAsia="宋体" w:cs="宋体"/>
          <w:color w:val="auto"/>
          <w:sz w:val="32"/>
          <w:szCs w:val="32"/>
          <w:highlight w:val="none"/>
        </w:rPr>
      </w:pPr>
    </w:p>
    <w:p w14:paraId="11966ADD">
      <w:pPr>
        <w:rPr>
          <w:rFonts w:hint="eastAsia" w:ascii="宋体" w:hAnsi="宋体" w:eastAsia="宋体" w:cs="宋体"/>
          <w:color w:val="auto"/>
          <w:sz w:val="32"/>
          <w:szCs w:val="32"/>
          <w:highlight w:val="none"/>
        </w:rPr>
      </w:pPr>
    </w:p>
    <w:p w14:paraId="147A8817">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val="0"/>
          <w:bCs/>
          <w:color w:val="auto"/>
          <w:sz w:val="30"/>
          <w:szCs w:val="30"/>
          <w:highlight w:val="none"/>
          <w:lang w:val="en-US" w:eastAsia="zh-CN"/>
        </w:rPr>
      </w:pPr>
      <w:r>
        <w:rPr>
          <w:rFonts w:hint="eastAsia" w:ascii="宋体" w:hAnsi="宋体" w:eastAsia="宋体" w:cs="宋体"/>
          <w:b w:val="0"/>
          <w:bCs/>
          <w:color w:val="auto"/>
          <w:sz w:val="30"/>
          <w:szCs w:val="30"/>
          <w:highlight w:val="none"/>
        </w:rPr>
        <w:t>项目名称：乌鲁木齐市公安局公交地铁治安管理支队（公交地铁治安管理分局）公交线路协管服务项目</w:t>
      </w:r>
      <w:r>
        <w:rPr>
          <w:rFonts w:hint="eastAsia" w:ascii="宋体" w:hAnsi="宋体" w:eastAsia="宋体" w:cs="宋体"/>
          <w:b w:val="0"/>
          <w:bCs/>
          <w:color w:val="auto"/>
          <w:sz w:val="30"/>
          <w:szCs w:val="30"/>
          <w:highlight w:val="none"/>
          <w:lang w:eastAsia="zh-CN"/>
        </w:rPr>
        <w:t>（二次）</w:t>
      </w:r>
    </w:p>
    <w:p w14:paraId="3E4FE3FD">
      <w:pPr>
        <w:pStyle w:val="2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default" w:ascii="宋体" w:hAnsi="宋体" w:eastAsia="宋体" w:cs="宋体"/>
          <w:b w:val="0"/>
          <w:bCs/>
          <w:color w:val="auto"/>
          <w:sz w:val="30"/>
          <w:szCs w:val="30"/>
          <w:highlight w:val="none"/>
          <w:lang w:val="en-US" w:eastAsia="zh-CN"/>
        </w:rPr>
      </w:pPr>
      <w:r>
        <w:rPr>
          <w:rFonts w:hint="eastAsia" w:ascii="宋体" w:hAnsi="宋体" w:eastAsia="宋体" w:cs="宋体"/>
          <w:b w:val="0"/>
          <w:bCs/>
          <w:color w:val="auto"/>
          <w:sz w:val="30"/>
          <w:szCs w:val="30"/>
          <w:highlight w:val="none"/>
        </w:rPr>
        <w:t>项目编号：</w:t>
      </w:r>
      <w:r>
        <w:rPr>
          <w:rFonts w:hint="eastAsia" w:ascii="宋体" w:hAnsi="宋体" w:cs="宋体"/>
          <w:b w:val="0"/>
          <w:bCs/>
          <w:color w:val="auto"/>
          <w:sz w:val="30"/>
          <w:szCs w:val="30"/>
          <w:highlight w:val="none"/>
          <w:lang w:val="en-US" w:eastAsia="zh-CN"/>
        </w:rPr>
        <w:t>JJXZB-2025-0407</w:t>
      </w:r>
    </w:p>
    <w:p w14:paraId="4545CB95">
      <w:pPr>
        <w:pStyle w:val="2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宋体"/>
          <w:b w:val="0"/>
          <w:bCs/>
          <w:color w:val="auto"/>
          <w:sz w:val="30"/>
          <w:szCs w:val="30"/>
          <w:highlight w:val="none"/>
          <w:u w:val="single"/>
          <w:lang w:eastAsia="zh-CN"/>
        </w:rPr>
      </w:pPr>
      <w:r>
        <w:rPr>
          <w:rFonts w:hint="eastAsia" w:ascii="宋体" w:hAnsi="宋体" w:eastAsia="宋体" w:cs="宋体"/>
          <w:b w:val="0"/>
          <w:bCs/>
          <w:color w:val="auto"/>
          <w:sz w:val="30"/>
          <w:szCs w:val="30"/>
          <w:highlight w:val="none"/>
        </w:rPr>
        <w:t>采购代理机构：</w:t>
      </w:r>
      <w:bookmarkStart w:id="1" w:name="EBcb0878e322384cd0a66fff8323730c6e"/>
      <w:r>
        <w:rPr>
          <w:rFonts w:hint="eastAsia" w:ascii="宋体" w:hAnsi="宋体" w:eastAsia="宋体" w:cs="宋体"/>
          <w:b w:val="0"/>
          <w:bCs/>
          <w:color w:val="auto"/>
          <w:sz w:val="30"/>
          <w:szCs w:val="30"/>
          <w:highlight w:val="none"/>
        </w:rPr>
        <w:t>新疆</w:t>
      </w:r>
      <w:bookmarkEnd w:id="1"/>
      <w:r>
        <w:rPr>
          <w:rFonts w:hint="eastAsia" w:ascii="宋体" w:hAnsi="宋体" w:cs="宋体"/>
          <w:b w:val="0"/>
          <w:bCs/>
          <w:color w:val="auto"/>
          <w:sz w:val="30"/>
          <w:szCs w:val="30"/>
          <w:highlight w:val="none"/>
          <w:lang w:eastAsia="zh-CN"/>
        </w:rPr>
        <w:t>金锦鑫项目管理咨询服务有限公司</w:t>
      </w:r>
    </w:p>
    <w:p w14:paraId="0CFE0E7B">
      <w:pPr>
        <w:pStyle w:val="2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宋体"/>
          <w:b w:val="0"/>
          <w:bCs/>
          <w:color w:val="auto"/>
          <w:sz w:val="30"/>
          <w:szCs w:val="30"/>
          <w:highlight w:val="none"/>
        </w:rPr>
      </w:pPr>
      <w:r>
        <w:rPr>
          <w:rFonts w:hint="eastAsia" w:ascii="宋体" w:hAnsi="宋体" w:eastAsia="宋体" w:cs="宋体"/>
          <w:b w:val="0"/>
          <w:bCs/>
          <w:color w:val="auto"/>
          <w:sz w:val="30"/>
          <w:szCs w:val="30"/>
          <w:highlight w:val="none"/>
        </w:rPr>
        <w:t>日期：202</w:t>
      </w:r>
      <w:r>
        <w:rPr>
          <w:rFonts w:hint="eastAsia" w:ascii="宋体" w:hAnsi="宋体" w:eastAsia="宋体" w:cs="宋体"/>
          <w:b w:val="0"/>
          <w:bCs/>
          <w:color w:val="auto"/>
          <w:sz w:val="30"/>
          <w:szCs w:val="30"/>
          <w:highlight w:val="none"/>
          <w:lang w:val="en-US" w:eastAsia="zh-CN"/>
        </w:rPr>
        <w:t>5</w:t>
      </w:r>
      <w:r>
        <w:rPr>
          <w:rFonts w:hint="eastAsia" w:ascii="宋体" w:hAnsi="宋体" w:eastAsia="宋体" w:cs="宋体"/>
          <w:b w:val="0"/>
          <w:bCs/>
          <w:color w:val="auto"/>
          <w:sz w:val="30"/>
          <w:szCs w:val="30"/>
          <w:highlight w:val="none"/>
        </w:rPr>
        <w:t>年</w:t>
      </w:r>
      <w:r>
        <w:rPr>
          <w:rFonts w:hint="eastAsia" w:ascii="宋体" w:hAnsi="宋体" w:cs="宋体"/>
          <w:b w:val="0"/>
          <w:bCs/>
          <w:color w:val="auto"/>
          <w:sz w:val="30"/>
          <w:szCs w:val="30"/>
          <w:highlight w:val="none"/>
          <w:lang w:val="en-US" w:eastAsia="zh-CN"/>
        </w:rPr>
        <w:t>04</w:t>
      </w:r>
      <w:r>
        <w:rPr>
          <w:rFonts w:hint="eastAsia" w:ascii="宋体" w:hAnsi="宋体" w:eastAsia="宋体" w:cs="宋体"/>
          <w:b w:val="0"/>
          <w:bCs/>
          <w:color w:val="auto"/>
          <w:sz w:val="30"/>
          <w:szCs w:val="30"/>
          <w:highlight w:val="none"/>
        </w:rPr>
        <w:t xml:space="preserve">月  </w:t>
      </w:r>
    </w:p>
    <w:p w14:paraId="545D32E3">
      <w:pPr>
        <w:rPr>
          <w:rFonts w:hint="eastAsia" w:ascii="宋体" w:hAnsi="宋体" w:eastAsia="宋体" w:cs="宋体"/>
          <w:color w:val="auto"/>
          <w:highlight w:val="none"/>
        </w:rPr>
      </w:pPr>
    </w:p>
    <w:p w14:paraId="48811099">
      <w:pPr>
        <w:spacing w:line="360" w:lineRule="auto"/>
        <w:jc w:val="center"/>
        <w:rPr>
          <w:rFonts w:hint="eastAsia" w:ascii="宋体" w:hAnsi="宋体" w:eastAsia="宋体" w:cs="宋体"/>
          <w:color w:val="auto"/>
          <w:highlight w:val="none"/>
        </w:rPr>
      </w:pPr>
    </w:p>
    <w:p w14:paraId="39FA9C2C">
      <w:pPr>
        <w:spacing w:line="360" w:lineRule="auto"/>
        <w:jc w:val="center"/>
        <w:rPr>
          <w:rFonts w:hint="eastAsia" w:ascii="宋体" w:hAnsi="宋体" w:eastAsia="宋体" w:cs="宋体"/>
          <w:b/>
          <w:color w:val="auto"/>
          <w:sz w:val="32"/>
          <w:szCs w:val="32"/>
          <w:highlight w:val="none"/>
          <w:lang w:val="zh-CN"/>
        </w:rPr>
      </w:pPr>
      <w:r>
        <w:rPr>
          <w:rFonts w:hint="eastAsia" w:ascii="宋体" w:hAnsi="宋体" w:eastAsia="宋体" w:cs="宋体"/>
          <w:b/>
          <w:color w:val="auto"/>
          <w:sz w:val="32"/>
          <w:szCs w:val="32"/>
          <w:highlight w:val="none"/>
          <w:lang w:val="zh-CN"/>
        </w:rPr>
        <w:t>目</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lang w:val="zh-CN"/>
        </w:rPr>
        <w:t>录</w:t>
      </w:r>
    </w:p>
    <w:p w14:paraId="1C1716AD">
      <w:pPr>
        <w:numPr>
          <w:ilvl w:val="0"/>
          <w:numId w:val="0"/>
        </w:numPr>
        <w:spacing w:line="480" w:lineRule="auto"/>
        <w:jc w:val="both"/>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kern w:val="2"/>
          <w:sz w:val="24"/>
          <w:szCs w:val="24"/>
          <w:lang w:val="zh-CN" w:eastAsia="zh-CN" w:bidi="ar-SA"/>
        </w:rPr>
        <w:t>1.</w:t>
      </w:r>
      <w:r>
        <w:rPr>
          <w:rFonts w:hint="eastAsia" w:ascii="宋体" w:hAnsi="宋体" w:eastAsia="宋体" w:cs="宋体"/>
          <w:b w:val="0"/>
          <w:bCs/>
          <w:color w:val="auto"/>
          <w:sz w:val="24"/>
          <w:szCs w:val="24"/>
          <w:highlight w:val="none"/>
          <w:lang w:val="zh-CN"/>
        </w:rPr>
        <w:t>招标公告</w:t>
      </w:r>
      <w:r>
        <w:rPr>
          <w:rFonts w:hint="eastAsia" w:ascii="宋体" w:hAnsi="宋体" w:eastAsia="宋体" w:cs="宋体"/>
          <w:b w:val="0"/>
          <w:bCs/>
          <w:color w:val="auto"/>
          <w:sz w:val="24"/>
          <w:szCs w:val="24"/>
          <w:highlight w:val="none"/>
          <w:lang w:val="en-US" w:eastAsia="zh-CN"/>
        </w:rPr>
        <w:t>....................................................................1</w:t>
      </w:r>
    </w:p>
    <w:p w14:paraId="2E47D8F5">
      <w:pPr>
        <w:numPr>
          <w:ilvl w:val="0"/>
          <w:numId w:val="0"/>
        </w:numPr>
        <w:spacing w:line="480" w:lineRule="auto"/>
        <w:jc w:val="both"/>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2.投标人须知..................................................................4</w:t>
      </w:r>
    </w:p>
    <w:p w14:paraId="62C5C7AE">
      <w:pPr>
        <w:numPr>
          <w:ilvl w:val="0"/>
          <w:numId w:val="0"/>
        </w:numPr>
        <w:spacing w:line="480" w:lineRule="auto"/>
        <w:jc w:val="both"/>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3.采购需求...................................................................23</w:t>
      </w:r>
    </w:p>
    <w:p w14:paraId="3202AF18">
      <w:pPr>
        <w:numPr>
          <w:ilvl w:val="0"/>
          <w:numId w:val="0"/>
        </w:numPr>
        <w:spacing w:line="480" w:lineRule="auto"/>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4.评审方法...................................................................24</w:t>
      </w:r>
    </w:p>
    <w:p w14:paraId="4731E667">
      <w:pPr>
        <w:numPr>
          <w:ilvl w:val="0"/>
          <w:numId w:val="0"/>
        </w:numPr>
        <w:spacing w:line="480" w:lineRule="auto"/>
        <w:jc w:val="both"/>
        <w:rPr>
          <w:rFonts w:hint="default"/>
          <w:lang w:val="en-US" w:eastAsia="zh-CN"/>
        </w:rPr>
      </w:pP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政府采购合同...............................................................</w:t>
      </w:r>
      <w:r>
        <w:rPr>
          <w:rFonts w:hint="eastAsia" w:ascii="宋体" w:hAnsi="宋体" w:cs="宋体"/>
          <w:b w:val="0"/>
          <w:bCs/>
          <w:color w:val="auto"/>
          <w:sz w:val="24"/>
          <w:szCs w:val="24"/>
          <w:highlight w:val="none"/>
          <w:lang w:val="en-US" w:eastAsia="zh-CN"/>
        </w:rPr>
        <w:t>28</w:t>
      </w:r>
    </w:p>
    <w:p w14:paraId="78BFC201">
      <w:pPr>
        <w:numPr>
          <w:ilvl w:val="0"/>
          <w:numId w:val="0"/>
        </w:numPr>
        <w:spacing w:line="480" w:lineRule="auto"/>
        <w:jc w:val="both"/>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5.投标文件格式...............................................................38</w:t>
      </w:r>
    </w:p>
    <w:p w14:paraId="2C3D4A5E">
      <w:pPr>
        <w:numPr>
          <w:ilvl w:val="0"/>
          <w:numId w:val="0"/>
        </w:numPr>
        <w:spacing w:line="360" w:lineRule="auto"/>
        <w:jc w:val="both"/>
        <w:rPr>
          <w:rFonts w:hint="eastAsia" w:ascii="宋体" w:hAnsi="宋体" w:eastAsia="宋体" w:cs="宋体"/>
          <w:b/>
          <w:color w:val="auto"/>
          <w:sz w:val="44"/>
          <w:szCs w:val="44"/>
          <w:highlight w:val="none"/>
          <w:lang w:val="zh-CN"/>
        </w:rPr>
      </w:pPr>
    </w:p>
    <w:p w14:paraId="20AA52B6">
      <w:pPr>
        <w:numPr>
          <w:ilvl w:val="0"/>
          <w:numId w:val="0"/>
        </w:numPr>
        <w:spacing w:line="360" w:lineRule="auto"/>
        <w:jc w:val="both"/>
        <w:rPr>
          <w:rFonts w:hint="eastAsia" w:ascii="宋体" w:hAnsi="宋体" w:eastAsia="宋体" w:cs="宋体"/>
          <w:b/>
          <w:color w:val="auto"/>
          <w:sz w:val="44"/>
          <w:szCs w:val="44"/>
          <w:highlight w:val="none"/>
          <w:lang w:val="zh-CN"/>
        </w:rPr>
      </w:pPr>
    </w:p>
    <w:p w14:paraId="7B6ADCDB">
      <w:pPr>
        <w:spacing w:line="480" w:lineRule="auto"/>
        <w:rPr>
          <w:rFonts w:hint="eastAsia" w:ascii="宋体" w:hAnsi="宋体" w:eastAsia="宋体" w:cs="宋体"/>
          <w:color w:val="auto"/>
          <w:highlight w:val="none"/>
        </w:rPr>
      </w:pPr>
    </w:p>
    <w:p w14:paraId="041FA548">
      <w:pPr>
        <w:jc w:val="center"/>
        <w:rPr>
          <w:rFonts w:hint="eastAsia" w:ascii="宋体" w:hAnsi="宋体" w:eastAsia="宋体" w:cs="宋体"/>
          <w:b/>
          <w:bCs/>
          <w:color w:val="auto"/>
          <w:sz w:val="32"/>
          <w:szCs w:val="32"/>
          <w:highlight w:val="none"/>
        </w:rPr>
        <w:sectPr>
          <w:headerReference r:id="rId5" w:type="first"/>
          <w:headerReference r:id="rId4" w:type="default"/>
          <w:pgSz w:w="11907" w:h="16840"/>
          <w:pgMar w:top="1134" w:right="1134" w:bottom="1134" w:left="1134" w:header="851" w:footer="851" w:gutter="0"/>
          <w:pgNumType w:start="0"/>
          <w:cols w:space="720" w:num="1"/>
          <w:titlePg/>
          <w:docGrid w:linePitch="462" w:charSpace="0"/>
        </w:sectPr>
      </w:pPr>
      <w:bookmarkStart w:id="2" w:name="_Toc503463616"/>
      <w:bookmarkStart w:id="3" w:name="_Toc24282"/>
    </w:p>
    <w:p w14:paraId="1504EF15">
      <w:pPr>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第一部分</w:t>
      </w:r>
      <w:bookmarkEnd w:id="2"/>
      <w:r>
        <w:rPr>
          <w:rFonts w:hint="eastAsia" w:ascii="宋体" w:hAnsi="宋体" w:eastAsia="宋体" w:cs="宋体"/>
          <w:b/>
          <w:bCs/>
          <w:color w:val="auto"/>
          <w:sz w:val="28"/>
          <w:szCs w:val="28"/>
          <w:highlight w:val="none"/>
        </w:rPr>
        <w:t xml:space="preserve"> </w:t>
      </w:r>
      <w:bookmarkEnd w:id="3"/>
      <w:r>
        <w:rPr>
          <w:rFonts w:hint="eastAsia" w:ascii="宋体" w:hAnsi="宋体" w:eastAsia="宋体" w:cs="宋体"/>
          <w:b/>
          <w:bCs/>
          <w:color w:val="auto"/>
          <w:sz w:val="28"/>
          <w:szCs w:val="28"/>
          <w:highlight w:val="none"/>
          <w:lang w:val="en-US" w:eastAsia="zh-CN"/>
        </w:rPr>
        <w:t>招标</w:t>
      </w:r>
      <w:r>
        <w:rPr>
          <w:rFonts w:hint="eastAsia" w:ascii="宋体" w:hAnsi="宋体" w:eastAsia="宋体" w:cs="宋体"/>
          <w:b/>
          <w:bCs/>
          <w:color w:val="auto"/>
          <w:sz w:val="28"/>
          <w:szCs w:val="28"/>
          <w:highlight w:val="none"/>
        </w:rPr>
        <w:t>公告</w:t>
      </w:r>
      <w:bookmarkStart w:id="4" w:name="EB1ae33cdd2af04a59b7e261b02acfa019"/>
      <w:bookmarkStart w:id="5" w:name="EBbcab609e0bf6445cb7952b8c7da88b0a"/>
    </w:p>
    <w:tbl>
      <w:tblPr>
        <w:tblStyle w:val="44"/>
        <w:tblW w:w="10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0"/>
      </w:tblGrid>
      <w:tr w14:paraId="2C7CB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trPr>
        <w:tc>
          <w:tcPr>
            <w:tcW w:w="10240" w:type="dxa"/>
            <w:noWrap w:val="0"/>
            <w:vAlign w:val="top"/>
          </w:tcPr>
          <w:p w14:paraId="5BEAEA7E">
            <w:pPr>
              <w:pStyle w:val="24"/>
              <w:widowControl/>
              <w:spacing w:line="420" w:lineRule="atLeast"/>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项目概况</w:t>
            </w:r>
          </w:p>
          <w:p w14:paraId="51EEB9BE">
            <w:pPr>
              <w:pStyle w:val="24"/>
              <w:widowControl/>
              <w:spacing w:line="420" w:lineRule="atLeast"/>
              <w:ind w:firstLine="420" w:firstLineChars="175"/>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rPr>
              <w:t>乌鲁木齐市公安局公交地铁治安管理支队（公交地铁治安管理分局）公交线路协管服务项目</w:t>
            </w:r>
            <w:r>
              <w:rPr>
                <w:rFonts w:hint="eastAsia" w:ascii="宋体" w:hAnsi="宋体" w:cs="宋体"/>
                <w:color w:val="auto"/>
                <w:kern w:val="0"/>
                <w:sz w:val="24"/>
                <w:highlight w:val="none"/>
                <w:u w:val="single"/>
                <w:lang w:eastAsia="zh-CN"/>
              </w:rPr>
              <w:t>（二次）</w:t>
            </w:r>
            <w:r>
              <w:rPr>
                <w:rFonts w:hint="eastAsia" w:ascii="宋体" w:hAnsi="宋体" w:eastAsia="宋体" w:cs="宋体"/>
                <w:color w:val="auto"/>
                <w:kern w:val="0"/>
                <w:sz w:val="24"/>
                <w:highlight w:val="none"/>
              </w:rPr>
              <w:t>的潜在</w:t>
            </w:r>
            <w:r>
              <w:rPr>
                <w:rFonts w:hint="eastAsia" w:ascii="宋体" w:hAnsi="宋体" w:eastAsia="宋体" w:cs="宋体"/>
                <w:color w:val="auto"/>
                <w:kern w:val="0"/>
                <w:sz w:val="24"/>
                <w:highlight w:val="none"/>
                <w:lang w:val="en-US" w:eastAsia="zh-CN"/>
              </w:rPr>
              <w:t>投标人</w:t>
            </w:r>
            <w:r>
              <w:rPr>
                <w:rFonts w:hint="eastAsia" w:ascii="宋体" w:hAnsi="宋体" w:eastAsia="宋体" w:cs="宋体"/>
                <w:color w:val="auto"/>
                <w:kern w:val="0"/>
                <w:sz w:val="24"/>
                <w:highlight w:val="none"/>
              </w:rPr>
              <w:t>应在政采云平台线上获取招标文件，并于</w:t>
            </w:r>
            <w:r>
              <w:rPr>
                <w:rFonts w:hint="eastAsia" w:ascii="宋体" w:hAnsi="宋体" w:eastAsia="宋体" w:cs="宋体"/>
                <w:b w:val="0"/>
                <w:bCs w:val="0"/>
                <w:color w:val="auto"/>
                <w:kern w:val="0"/>
                <w:sz w:val="24"/>
                <w:highlight w:val="none"/>
              </w:rPr>
              <w:t>202</w:t>
            </w:r>
            <w:r>
              <w:rPr>
                <w:rFonts w:hint="eastAsia" w:ascii="宋体" w:hAnsi="宋体" w:eastAsia="宋体" w:cs="宋体"/>
                <w:b w:val="0"/>
                <w:bCs w:val="0"/>
                <w:color w:val="auto"/>
                <w:kern w:val="0"/>
                <w:sz w:val="24"/>
                <w:highlight w:val="none"/>
                <w:lang w:val="en-US" w:eastAsia="zh-CN"/>
              </w:rPr>
              <w:t>5</w:t>
            </w:r>
            <w:r>
              <w:rPr>
                <w:rFonts w:hint="eastAsia" w:ascii="宋体" w:hAnsi="宋体" w:eastAsia="宋体" w:cs="宋体"/>
                <w:b w:val="0"/>
                <w:bCs w:val="0"/>
                <w:color w:val="auto"/>
                <w:kern w:val="0"/>
                <w:sz w:val="24"/>
                <w:highlight w:val="none"/>
              </w:rPr>
              <w:t>年</w:t>
            </w:r>
            <w:r>
              <w:rPr>
                <w:rFonts w:hint="eastAsia" w:ascii="宋体" w:hAnsi="宋体" w:cs="宋体"/>
                <w:b w:val="0"/>
                <w:bCs w:val="0"/>
                <w:color w:val="auto"/>
                <w:kern w:val="0"/>
                <w:sz w:val="24"/>
                <w:highlight w:val="none"/>
                <w:lang w:val="en-US" w:eastAsia="zh-CN"/>
              </w:rPr>
              <w:t>4</w:t>
            </w:r>
            <w:r>
              <w:rPr>
                <w:rFonts w:hint="eastAsia" w:ascii="宋体" w:hAnsi="宋体" w:eastAsia="宋体" w:cs="宋体"/>
                <w:b w:val="0"/>
                <w:bCs w:val="0"/>
                <w:color w:val="auto"/>
                <w:kern w:val="0"/>
                <w:sz w:val="24"/>
                <w:highlight w:val="none"/>
              </w:rPr>
              <w:t>月</w:t>
            </w:r>
            <w:r>
              <w:rPr>
                <w:rFonts w:hint="eastAsia" w:ascii="宋体" w:hAnsi="宋体" w:cs="宋体"/>
                <w:b w:val="0"/>
                <w:bCs w:val="0"/>
                <w:color w:val="auto"/>
                <w:kern w:val="0"/>
                <w:sz w:val="24"/>
                <w:highlight w:val="none"/>
                <w:lang w:val="en-US" w:eastAsia="zh-CN"/>
              </w:rPr>
              <w:t>22</w:t>
            </w:r>
            <w:r>
              <w:rPr>
                <w:rFonts w:hint="eastAsia" w:ascii="宋体" w:hAnsi="宋体" w:eastAsia="宋体" w:cs="宋体"/>
                <w:b w:val="0"/>
                <w:bCs w:val="0"/>
                <w:color w:val="auto"/>
                <w:kern w:val="0"/>
                <w:sz w:val="24"/>
                <w:highlight w:val="none"/>
              </w:rPr>
              <w:t>日1</w:t>
            </w:r>
            <w:r>
              <w:rPr>
                <w:rFonts w:hint="eastAsia" w:ascii="宋体" w:hAnsi="宋体" w:eastAsia="宋体" w:cs="宋体"/>
                <w:b w:val="0"/>
                <w:bCs w:val="0"/>
                <w:color w:val="auto"/>
                <w:kern w:val="0"/>
                <w:sz w:val="24"/>
                <w:highlight w:val="none"/>
                <w:lang w:val="en-US" w:eastAsia="zh-CN"/>
              </w:rPr>
              <w:t>1</w:t>
            </w:r>
            <w:r>
              <w:rPr>
                <w:rFonts w:hint="eastAsia" w:ascii="宋体" w:hAnsi="宋体" w:eastAsia="宋体" w:cs="宋体"/>
                <w:b w:val="0"/>
                <w:bCs w:val="0"/>
                <w:color w:val="auto"/>
                <w:kern w:val="0"/>
                <w:sz w:val="24"/>
                <w:highlight w:val="none"/>
              </w:rPr>
              <w:t>:00</w:t>
            </w:r>
            <w:r>
              <w:rPr>
                <w:rFonts w:hint="eastAsia" w:ascii="宋体" w:hAnsi="宋体" w:eastAsia="宋体" w:cs="宋体"/>
                <w:color w:val="auto"/>
                <w:kern w:val="0"/>
                <w:sz w:val="24"/>
                <w:highlight w:val="none"/>
              </w:rPr>
              <w:t>（北京时间）前提交</w:t>
            </w:r>
            <w:r>
              <w:rPr>
                <w:rFonts w:hint="eastAsia" w:ascii="宋体" w:hAnsi="宋体" w:eastAsia="宋体" w:cs="宋体"/>
                <w:color w:val="auto"/>
                <w:kern w:val="0"/>
                <w:sz w:val="24"/>
                <w:highlight w:val="none"/>
                <w:lang w:val="en-US" w:eastAsia="zh-CN"/>
              </w:rPr>
              <w:t>投标</w:t>
            </w:r>
            <w:r>
              <w:rPr>
                <w:rFonts w:hint="eastAsia" w:ascii="宋体" w:hAnsi="宋体" w:eastAsia="宋体" w:cs="宋体"/>
                <w:color w:val="auto"/>
                <w:kern w:val="0"/>
                <w:sz w:val="24"/>
                <w:highlight w:val="none"/>
              </w:rPr>
              <w:t xml:space="preserve">文件。  </w:t>
            </w:r>
            <w:r>
              <w:rPr>
                <w:rFonts w:hint="eastAsia" w:ascii="宋体" w:hAnsi="宋体" w:eastAsia="宋体" w:cs="宋体"/>
                <w:color w:val="auto"/>
                <w:sz w:val="24"/>
                <w:highlight w:val="none"/>
              </w:rPr>
              <w:t xml:space="preserve">  </w:t>
            </w:r>
          </w:p>
        </w:tc>
      </w:tr>
    </w:tbl>
    <w:p w14:paraId="577679F6">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一、项目基本情况</w:t>
      </w:r>
    </w:p>
    <w:p w14:paraId="4F74FA24">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项目编号：JJXZB-2025-0407</w:t>
      </w:r>
    </w:p>
    <w:p w14:paraId="729F0CC4">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项目名称：乌鲁木齐市公安局公交地铁治安管理支队（公交地铁治安管理分局）公交线路协管服务项目</w:t>
      </w:r>
      <w:r>
        <w:rPr>
          <w:rFonts w:hint="eastAsia" w:ascii="宋体" w:hAnsi="宋体" w:cs="宋体"/>
          <w:color w:val="auto"/>
          <w:kern w:val="0"/>
          <w:sz w:val="24"/>
          <w:szCs w:val="24"/>
          <w:highlight w:val="none"/>
          <w:lang w:eastAsia="zh-CN"/>
        </w:rPr>
        <w:t>（二次）</w:t>
      </w:r>
    </w:p>
    <w:p w14:paraId="26355D93">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r>
        <w:rPr>
          <w:rFonts w:hint="eastAsia" w:ascii="宋体" w:hAnsi="宋体" w:eastAsia="宋体" w:cs="宋体"/>
          <w:color w:val="auto"/>
          <w:kern w:val="0"/>
          <w:sz w:val="24"/>
          <w:szCs w:val="24"/>
          <w:highlight w:val="none"/>
          <w:lang w:val="en-US" w:eastAsia="zh-CN"/>
        </w:rPr>
        <w:t>公开招标</w:t>
      </w:r>
      <w:r>
        <w:rPr>
          <w:rFonts w:hint="eastAsia" w:ascii="宋体" w:hAnsi="宋体" w:eastAsia="宋体" w:cs="宋体"/>
          <w:color w:val="auto"/>
          <w:kern w:val="0"/>
          <w:sz w:val="24"/>
          <w:szCs w:val="24"/>
          <w:highlight w:val="none"/>
        </w:rPr>
        <w:t> </w:t>
      </w:r>
    </w:p>
    <w:p w14:paraId="1F9449C2">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预算金额（元）：</w:t>
      </w:r>
      <w:r>
        <w:rPr>
          <w:rFonts w:hint="eastAsia" w:ascii="宋体" w:hAnsi="宋体" w:cs="宋体"/>
          <w:color w:val="auto"/>
          <w:kern w:val="0"/>
          <w:sz w:val="24"/>
          <w:szCs w:val="24"/>
          <w:highlight w:val="none"/>
          <w:lang w:val="en-US" w:eastAsia="zh-CN"/>
        </w:rPr>
        <w:t>4590000</w:t>
      </w:r>
    </w:p>
    <w:p w14:paraId="71289B3A">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最高限价（元）：</w:t>
      </w:r>
      <w:r>
        <w:rPr>
          <w:rFonts w:hint="eastAsia" w:ascii="宋体" w:hAnsi="宋体" w:cs="宋体"/>
          <w:color w:val="auto"/>
          <w:kern w:val="0"/>
          <w:sz w:val="24"/>
          <w:szCs w:val="24"/>
          <w:highlight w:val="none"/>
          <w:lang w:val="en-US" w:eastAsia="zh-CN"/>
        </w:rPr>
        <w:t>4590000</w:t>
      </w:r>
    </w:p>
    <w:p w14:paraId="7F5B5A18">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采购需求：     </w:t>
      </w:r>
    </w:p>
    <w:p w14:paraId="3852F16B">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rPr>
        <w:t>标项名称：乌鲁木齐市公安局公交地铁治安管理支队（公交地铁治安管理分局）公交线路协管服务项目（二次）</w:t>
      </w:r>
    </w:p>
    <w:p w14:paraId="19501A6E">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数量：</w:t>
      </w:r>
      <w:r>
        <w:rPr>
          <w:rFonts w:hint="eastAsia" w:ascii="宋体" w:hAnsi="宋体" w:eastAsia="宋体" w:cs="宋体"/>
          <w:color w:val="auto"/>
          <w:kern w:val="0"/>
          <w:sz w:val="24"/>
          <w:szCs w:val="24"/>
          <w:highlight w:val="none"/>
          <w:lang w:val="en-US" w:eastAsia="zh-CN"/>
        </w:rPr>
        <w:t>1</w:t>
      </w:r>
    </w:p>
    <w:p w14:paraId="44E9E57F">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预算金额（元）：</w:t>
      </w:r>
      <w:r>
        <w:rPr>
          <w:rFonts w:hint="eastAsia" w:ascii="宋体" w:hAnsi="宋体" w:cs="宋体"/>
          <w:color w:val="auto"/>
          <w:kern w:val="0"/>
          <w:sz w:val="24"/>
          <w:szCs w:val="24"/>
          <w:highlight w:val="none"/>
          <w:lang w:val="en-US" w:eastAsia="zh-CN"/>
        </w:rPr>
        <w:t>4590000</w:t>
      </w:r>
    </w:p>
    <w:p w14:paraId="66099010">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单位：项</w:t>
      </w:r>
    </w:p>
    <w:p w14:paraId="46906424">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简要规格描述：</w:t>
      </w:r>
      <w:r>
        <w:rPr>
          <w:rFonts w:hint="eastAsia" w:ascii="宋体" w:hAnsi="宋体" w:eastAsia="宋体" w:cs="宋体"/>
          <w:color w:val="auto"/>
          <w:kern w:val="0"/>
          <w:sz w:val="24"/>
          <w:szCs w:val="24"/>
          <w:highlight w:val="none"/>
          <w:lang w:val="en-US" w:eastAsia="zh-CN"/>
        </w:rPr>
        <w:t>详见招标文件</w:t>
      </w:r>
    </w:p>
    <w:p w14:paraId="446A398E">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 </w:t>
      </w:r>
    </w:p>
    <w:p w14:paraId="3735F0FD">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合同履约期限：自合同签订之日起</w:t>
      </w:r>
      <w:r>
        <w:rPr>
          <w:rFonts w:hint="eastAsia" w:ascii="宋体" w:hAnsi="宋体" w:cs="宋体"/>
          <w:color w:val="auto"/>
          <w:kern w:val="0"/>
          <w:sz w:val="24"/>
          <w:szCs w:val="24"/>
          <w:highlight w:val="none"/>
          <w:lang w:val="en-US" w:eastAsia="zh-CN"/>
        </w:rPr>
        <w:t>1年。</w:t>
      </w:r>
      <w:r>
        <w:rPr>
          <w:rFonts w:hint="eastAsia" w:ascii="宋体" w:hAnsi="宋体" w:eastAsia="宋体" w:cs="宋体"/>
          <w:color w:val="auto"/>
          <w:kern w:val="0"/>
          <w:sz w:val="24"/>
          <w:szCs w:val="24"/>
          <w:highlight w:val="none"/>
        </w:rPr>
        <w:t> </w:t>
      </w:r>
    </w:p>
    <w:p w14:paraId="776AFEDE">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本项目（否）接受联合体投标。  </w:t>
      </w:r>
    </w:p>
    <w:p w14:paraId="2F9395F8">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二、申请人的资格要求：</w:t>
      </w:r>
    </w:p>
    <w:p w14:paraId="71DBC086">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1.满足《中华人民共和国政府采购法》第二十二条规定；</w:t>
      </w:r>
    </w:p>
    <w:p w14:paraId="24EFB2D1">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2.落实政府采购政策需满足的资格要求：</w:t>
      </w:r>
      <w:r>
        <w:rPr>
          <w:rFonts w:hint="eastAsia" w:ascii="宋体" w:hAnsi="宋体" w:eastAsia="宋体" w:cs="宋体"/>
          <w:color w:val="auto"/>
          <w:kern w:val="0"/>
          <w:sz w:val="24"/>
          <w:szCs w:val="24"/>
          <w:highlight w:val="none"/>
          <w:lang w:val="en-US" w:eastAsia="zh-CN"/>
        </w:rPr>
        <w:t>本项目为专门面向小微企业采购项目,本项目为专门面向小微企业采购项目，根据《政府采购促进中小企业发展管理办法》（财库〔2020〕46号）的规定，参加本次采购的供应商必须提供《中小企业声明函》。</w:t>
      </w:r>
      <w:r>
        <w:rPr>
          <w:rFonts w:hint="eastAsia" w:ascii="宋体" w:hAnsi="宋体" w:eastAsia="宋体" w:cs="宋体"/>
          <w:color w:val="auto"/>
          <w:kern w:val="0"/>
          <w:sz w:val="24"/>
          <w:szCs w:val="24"/>
          <w:highlight w:val="none"/>
        </w:rPr>
        <w:t xml:space="preserve"> </w:t>
      </w:r>
    </w:p>
    <w:p w14:paraId="6CE82895">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17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3.本项目的特定资格要求：（</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）单位负责人为同一人或者存在直接控股、管理关系的不同供应商不得参加本项目的投标；</w:t>
      </w:r>
    </w:p>
    <w:p w14:paraId="25589D37">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）供应商未列入过</w:t>
      </w:r>
      <w:r>
        <w:rPr>
          <w:rFonts w:hint="eastAsia" w:ascii="宋体" w:hAnsi="宋体" w:cs="宋体"/>
          <w:color w:val="auto"/>
          <w:kern w:val="0"/>
          <w:sz w:val="24"/>
          <w:szCs w:val="24"/>
          <w:highlight w:val="none"/>
          <w:lang w:eastAsia="zh-CN"/>
        </w:rPr>
        <w:t>“中国执行信息公开网”（</w:t>
      </w:r>
      <w:r>
        <w:rPr>
          <w:rFonts w:hint="eastAsia" w:ascii="宋体" w:hAnsi="宋体" w:eastAsia="宋体" w:cs="宋体"/>
          <w:color w:val="auto"/>
          <w:kern w:val="0"/>
          <w:sz w:val="24"/>
          <w:szCs w:val="24"/>
          <w:highlight w:val="none"/>
        </w:rPr>
        <w:t>https://zxgk.court.gov.cn/</w:t>
      </w:r>
      <w:r>
        <w:rPr>
          <w:rFonts w:hint="eastAsia" w:ascii="宋体" w:hAnsi="宋体" w:cs="宋体"/>
          <w:color w:val="auto"/>
          <w:kern w:val="0"/>
          <w:sz w:val="24"/>
          <w:szCs w:val="24"/>
          <w:highlight w:val="none"/>
          <w:lang w:eastAsia="zh-CN"/>
        </w:rPr>
        <w:t>）</w:t>
      </w:r>
      <w:r>
        <w:rPr>
          <w:rFonts w:hint="eastAsia" w:ascii="宋体" w:hAnsi="宋体" w:eastAsia="宋体" w:cs="宋体"/>
          <w:bCs/>
          <w:sz w:val="24"/>
          <w:szCs w:val="24"/>
        </w:rPr>
        <w:t>失信被执行人、</w:t>
      </w:r>
      <w:r>
        <w:rPr>
          <w:rFonts w:hint="eastAsia" w:ascii="宋体" w:hAnsi="宋体" w:eastAsia="宋体" w:cs="宋体"/>
          <w:color w:val="auto"/>
          <w:kern w:val="0"/>
          <w:sz w:val="24"/>
          <w:szCs w:val="24"/>
          <w:highlight w:val="none"/>
        </w:rPr>
        <w:t>“信用中国”网站（www.creditchina.gov.cn）</w:t>
      </w:r>
      <w:r>
        <w:rPr>
          <w:rFonts w:hint="eastAsia" w:ascii="宋体" w:hAnsi="宋体" w:eastAsia="宋体" w:cs="宋体"/>
          <w:bCs/>
          <w:sz w:val="24"/>
          <w:szCs w:val="24"/>
        </w:rPr>
        <w:t>重大税收违法案件当事人名单、中国政府采购网（www.ccgp.gov.cn）政府采购严重违法失信行为记录名单的供应商</w:t>
      </w:r>
      <w:r>
        <w:rPr>
          <w:rFonts w:hint="eastAsia" w:ascii="宋体" w:hAnsi="宋体" w:eastAsia="宋体" w:cs="宋体"/>
          <w:color w:val="auto"/>
          <w:kern w:val="0"/>
          <w:sz w:val="24"/>
          <w:szCs w:val="24"/>
          <w:highlight w:val="none"/>
          <w:lang w:eastAsia="zh-CN"/>
        </w:rPr>
        <w:t>。</w:t>
      </w:r>
    </w:p>
    <w:p w14:paraId="32FA8280">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三、获取采购文件</w:t>
      </w:r>
    </w:p>
    <w:p w14:paraId="4754FCF1">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时间：202</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04</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02</w:t>
      </w:r>
      <w:r>
        <w:rPr>
          <w:rFonts w:hint="eastAsia" w:ascii="宋体" w:hAnsi="宋体" w:eastAsia="宋体" w:cs="宋体"/>
          <w:color w:val="auto"/>
          <w:kern w:val="0"/>
          <w:sz w:val="24"/>
          <w:szCs w:val="24"/>
          <w:highlight w:val="none"/>
        </w:rPr>
        <w:t>日至202</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04</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日，每天上午</w:t>
      </w:r>
      <w:r>
        <w:rPr>
          <w:rFonts w:hint="eastAsia" w:ascii="宋体" w:hAnsi="宋体" w:eastAsia="宋体" w:cs="宋体"/>
          <w:color w:val="auto"/>
          <w:kern w:val="0"/>
          <w:sz w:val="24"/>
          <w:szCs w:val="24"/>
          <w:highlight w:val="none"/>
          <w:lang w:val="en-US" w:eastAsia="zh-CN"/>
        </w:rPr>
        <w:t>00</w:t>
      </w:r>
      <w:r>
        <w:rPr>
          <w:rFonts w:hint="eastAsia" w:ascii="宋体" w:hAnsi="宋体" w:eastAsia="宋体" w:cs="宋体"/>
          <w:color w:val="auto"/>
          <w:kern w:val="0"/>
          <w:sz w:val="24"/>
          <w:szCs w:val="24"/>
          <w:highlight w:val="none"/>
        </w:rPr>
        <w:t>:00至</w:t>
      </w: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:00，下午</w:t>
      </w: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00</w:t>
      </w:r>
      <w:r>
        <w:rPr>
          <w:rFonts w:hint="eastAsia" w:ascii="宋体" w:hAnsi="宋体" w:eastAsia="宋体" w:cs="宋体"/>
          <w:color w:val="auto"/>
          <w:kern w:val="0"/>
          <w:sz w:val="24"/>
          <w:szCs w:val="24"/>
          <w:highlight w:val="none"/>
        </w:rPr>
        <w:t>至</w:t>
      </w:r>
      <w:r>
        <w:rPr>
          <w:rFonts w:hint="eastAsia" w:ascii="宋体" w:hAnsi="宋体" w:eastAsia="宋体" w:cs="宋体"/>
          <w:color w:val="auto"/>
          <w:kern w:val="0"/>
          <w:sz w:val="24"/>
          <w:szCs w:val="24"/>
          <w:highlight w:val="none"/>
          <w:lang w:val="en-US" w:eastAsia="zh-CN"/>
        </w:rPr>
        <w:t>23</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59</w:t>
      </w:r>
      <w:r>
        <w:rPr>
          <w:rFonts w:hint="eastAsia" w:ascii="宋体" w:hAnsi="宋体" w:eastAsia="宋体" w:cs="宋体"/>
          <w:color w:val="auto"/>
          <w:kern w:val="0"/>
          <w:sz w:val="24"/>
          <w:szCs w:val="24"/>
          <w:highlight w:val="none"/>
        </w:rPr>
        <w:t>（北京时间，法定节假日除外）</w:t>
      </w:r>
      <w:r>
        <w:rPr>
          <w:rFonts w:hint="eastAsia" w:ascii="宋体" w:hAnsi="宋体" w:eastAsia="宋体" w:cs="宋体"/>
          <w:color w:val="auto"/>
          <w:kern w:val="0"/>
          <w:sz w:val="24"/>
          <w:szCs w:val="24"/>
          <w:highlight w:val="none"/>
          <w:lang w:eastAsia="zh-CN"/>
        </w:rPr>
        <w:t>；</w:t>
      </w:r>
    </w:p>
    <w:p w14:paraId="3B439071">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t>地点：</w:t>
      </w:r>
      <w:r>
        <w:rPr>
          <w:rFonts w:hint="eastAsia" w:ascii="宋体" w:hAnsi="宋体" w:eastAsia="宋体" w:cs="宋体"/>
          <w:sz w:val="24"/>
          <w:szCs w:val="24"/>
        </w:rPr>
        <w:t>政采云平台线上；</w:t>
      </w:r>
    </w:p>
    <w:p w14:paraId="3CB6D46F">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w:t>
      </w:r>
      <w:r>
        <w:rPr>
          <w:rFonts w:hint="eastAsia" w:ascii="宋体" w:hAnsi="宋体" w:eastAsia="宋体" w:cs="宋体"/>
          <w:sz w:val="24"/>
          <w:szCs w:val="24"/>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E5EB145">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384"/>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售价（元）：0</w:t>
      </w:r>
    </w:p>
    <w:p w14:paraId="194464B8">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381B7A1A">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宋体" w:hAnsi="宋体" w:eastAsia="宋体" w:cs="宋体"/>
          <w:b w:val="0"/>
          <w:bCs w:val="0"/>
          <w:color w:val="FF0000"/>
          <w:sz w:val="24"/>
          <w:szCs w:val="24"/>
          <w:highlight w:val="none"/>
        </w:rPr>
      </w:pPr>
      <w:r>
        <w:rPr>
          <w:rFonts w:hint="eastAsia" w:ascii="宋体" w:hAnsi="宋体" w:eastAsia="宋体" w:cs="宋体"/>
          <w:b w:val="0"/>
          <w:bCs w:val="0"/>
          <w:color w:val="auto"/>
          <w:sz w:val="24"/>
          <w:szCs w:val="24"/>
          <w:highlight w:val="none"/>
        </w:rPr>
        <w:t>提交投标文件截止时间：202</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年</w:t>
      </w:r>
      <w:r>
        <w:rPr>
          <w:rFonts w:hint="eastAsia" w:ascii="宋体" w:hAnsi="宋体" w:eastAsia="宋体" w:cs="宋体"/>
          <w:b w:val="0"/>
          <w:bCs w:val="0"/>
          <w:color w:val="auto"/>
          <w:sz w:val="24"/>
          <w:szCs w:val="24"/>
          <w:highlight w:val="none"/>
          <w:lang w:val="en-US" w:eastAsia="zh-CN"/>
        </w:rPr>
        <w:t>04</w:t>
      </w:r>
      <w:r>
        <w:rPr>
          <w:rFonts w:hint="eastAsia" w:ascii="宋体" w:hAnsi="宋体" w:eastAsia="宋体" w:cs="宋体"/>
          <w:b w:val="0"/>
          <w:bCs w:val="0"/>
          <w:color w:val="auto"/>
          <w:sz w:val="24"/>
          <w:szCs w:val="24"/>
          <w:highlight w:val="none"/>
        </w:rPr>
        <w:t>月</w:t>
      </w:r>
      <w:r>
        <w:rPr>
          <w:rFonts w:hint="eastAsia" w:ascii="宋体" w:hAnsi="宋体" w:eastAsia="宋体" w:cs="宋体"/>
          <w:b w:val="0"/>
          <w:bCs w:val="0"/>
          <w:color w:val="auto"/>
          <w:sz w:val="24"/>
          <w:szCs w:val="24"/>
          <w:highlight w:val="none"/>
          <w:lang w:val="en-US" w:eastAsia="zh-CN"/>
        </w:rPr>
        <w:t>22</w:t>
      </w:r>
      <w:r>
        <w:rPr>
          <w:rFonts w:hint="eastAsia" w:ascii="宋体" w:hAnsi="宋体" w:eastAsia="宋体" w:cs="宋体"/>
          <w:b w:val="0"/>
          <w:bCs w:val="0"/>
          <w:color w:val="auto"/>
          <w:sz w:val="24"/>
          <w:szCs w:val="24"/>
          <w:highlight w:val="none"/>
        </w:rPr>
        <w:t>日</w:t>
      </w: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:00（北京时间）</w:t>
      </w:r>
    </w:p>
    <w:p w14:paraId="7AA9E65A">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投标地点：</w:t>
      </w:r>
      <w:r>
        <w:rPr>
          <w:rFonts w:hint="eastAsia" w:ascii="宋体" w:hAnsi="宋体" w:eastAsia="宋体" w:cs="宋体"/>
          <w:sz w:val="24"/>
          <w:szCs w:val="24"/>
        </w:rPr>
        <w:t>请登录政采云投标客户端投标</w:t>
      </w:r>
    </w:p>
    <w:p w14:paraId="0026C4F8">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开标时间：202</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年</w:t>
      </w:r>
      <w:r>
        <w:rPr>
          <w:rFonts w:hint="eastAsia" w:ascii="宋体" w:hAnsi="宋体" w:eastAsia="宋体" w:cs="宋体"/>
          <w:b w:val="0"/>
          <w:bCs w:val="0"/>
          <w:color w:val="auto"/>
          <w:sz w:val="24"/>
          <w:szCs w:val="24"/>
          <w:highlight w:val="none"/>
          <w:lang w:val="en-US" w:eastAsia="zh-CN"/>
        </w:rPr>
        <w:t>04</w:t>
      </w:r>
      <w:r>
        <w:rPr>
          <w:rFonts w:hint="eastAsia" w:ascii="宋体" w:hAnsi="宋体" w:eastAsia="宋体" w:cs="宋体"/>
          <w:b w:val="0"/>
          <w:bCs w:val="0"/>
          <w:color w:val="auto"/>
          <w:sz w:val="24"/>
          <w:szCs w:val="24"/>
          <w:highlight w:val="none"/>
        </w:rPr>
        <w:t>月</w:t>
      </w:r>
      <w:r>
        <w:rPr>
          <w:rFonts w:hint="eastAsia" w:ascii="宋体" w:hAnsi="宋体" w:eastAsia="宋体" w:cs="宋体"/>
          <w:b w:val="0"/>
          <w:bCs w:val="0"/>
          <w:color w:val="auto"/>
          <w:sz w:val="24"/>
          <w:szCs w:val="24"/>
          <w:highlight w:val="none"/>
          <w:lang w:val="en-US" w:eastAsia="zh-CN"/>
        </w:rPr>
        <w:t>22</w:t>
      </w:r>
      <w:r>
        <w:rPr>
          <w:rFonts w:hint="eastAsia" w:ascii="宋体" w:hAnsi="宋体" w:eastAsia="宋体" w:cs="宋体"/>
          <w:b w:val="0"/>
          <w:bCs w:val="0"/>
          <w:color w:val="auto"/>
          <w:sz w:val="24"/>
          <w:szCs w:val="24"/>
          <w:highlight w:val="none"/>
        </w:rPr>
        <w:t>日</w:t>
      </w: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:00（北京时间）</w:t>
      </w:r>
    </w:p>
    <w:p w14:paraId="48537F70">
      <w:pPr>
        <w:pStyle w:val="40"/>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开标地点：</w:t>
      </w:r>
      <w:r>
        <w:rPr>
          <w:rFonts w:hint="eastAsia" w:ascii="宋体" w:hAnsi="宋体" w:eastAsia="宋体" w:cs="宋体"/>
          <w:sz w:val="24"/>
          <w:szCs w:val="24"/>
        </w:rPr>
        <w:t>投标人登录政采云平台https://www.zcygov.cn/，进入“项目采购-开标评标-右边选择对应项目点击“进入项目”进入开标大厅。</w:t>
      </w:r>
    </w:p>
    <w:p w14:paraId="39CC7A4E">
      <w:pPr>
        <w:pStyle w:val="40"/>
        <w:keepNext w:val="0"/>
        <w:keepLines w:val="0"/>
        <w:pageBreakBefore w:val="0"/>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、公告期限</w:t>
      </w:r>
    </w:p>
    <w:p w14:paraId="119F32BB">
      <w:pPr>
        <w:pStyle w:val="40"/>
        <w:keepNext w:val="0"/>
        <w:keepLines w:val="0"/>
        <w:pageBreakBefore w:val="0"/>
        <w:kinsoku/>
        <w:wordWrap/>
        <w:overflowPunct/>
        <w:topLinePunct w:val="0"/>
        <w:autoSpaceDE/>
        <w:autoSpaceDN/>
        <w:bidi w:val="0"/>
        <w:adjustRightInd/>
        <w:snapToGrid/>
        <w:spacing w:beforeAutospacing="0" w:afterAutospacing="0" w:line="360" w:lineRule="auto"/>
        <w:ind w:firstLine="38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个工作日。</w:t>
      </w:r>
    </w:p>
    <w:p w14:paraId="213C139D">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六</w:t>
      </w:r>
      <w:r>
        <w:rPr>
          <w:rFonts w:hint="eastAsia" w:ascii="宋体" w:hAnsi="宋体" w:eastAsia="宋体" w:cs="宋体"/>
          <w:b/>
          <w:bCs/>
          <w:color w:val="auto"/>
          <w:kern w:val="0"/>
          <w:sz w:val="24"/>
          <w:szCs w:val="24"/>
          <w:highlight w:val="none"/>
        </w:rPr>
        <w:t>、其他补充事宜 </w:t>
      </w:r>
    </w:p>
    <w:p w14:paraId="77CC264F">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1.本项目实行网上投标，采用电子投标文件。</w:t>
      </w:r>
    </w:p>
    <w:p w14:paraId="0E4D4AC4">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1D53E0F">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3.供应商将政采云电子交易客户端下载、安装完成后，可通过账号密码或CA登录客户端进行投标文件的制作。在使用政采云投标客户端时，建议使用WIN7及以上操作系统。</w:t>
      </w:r>
    </w:p>
    <w:p w14:paraId="6BA5EF00">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4.其他事项：</w:t>
      </w:r>
    </w:p>
    <w:p w14:paraId="43CFD66D">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①本公告在新疆政府采购网发布。</w:t>
      </w:r>
    </w:p>
    <w:p w14:paraId="233BD890">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②请各投标人随时关注本项目的变更、答疑、澄清文件。</w:t>
      </w:r>
    </w:p>
    <w:p w14:paraId="43082F17">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本项目实行电子招投标，投标人须登录政采云平台申请获取磋商文件，并通过政采云电子投标客户端制作投标文件，同时自行承担与投标有关的一切费用。各投标人应在开标前确保成为新疆维吾尔自治区政府采购网正式注册入库投标人，并完成CA数字证书申领。因未注册入库、未办理CA数字证书等原因造成无法投标或投标失败等后果由投标人自行承担。　</w:t>
      </w:r>
    </w:p>
    <w:p w14:paraId="7A9EC6C9">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投标人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线进行咨询。</w:t>
      </w:r>
    </w:p>
    <w:p w14:paraId="781D5E8C">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⑤本项目采用不见面开标，投标人须在投标截止时间前通过CA在政采云平台上传加密的电子投标文件。</w:t>
      </w:r>
    </w:p>
    <w:p w14:paraId="6CDA73AF">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⑥投标人在开标前须提前配置好电脑浏览器（建议使用360浏览器或谷歌浏览器），开标时请使用制作加密电子投标文件的CA锁进行解密及报价确认。本项目投标文件解密时间定为30分钟，如因自身原因导致无法正常解密，后果由投标人自行承担。  </w:t>
      </w:r>
    </w:p>
    <w:p w14:paraId="26E16126">
      <w:pPr>
        <w:pStyle w:val="24"/>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七</w:t>
      </w:r>
      <w:r>
        <w:rPr>
          <w:rFonts w:hint="eastAsia" w:ascii="宋体" w:hAnsi="宋体" w:eastAsia="宋体" w:cs="宋体"/>
          <w:b/>
          <w:bCs/>
          <w:color w:val="auto"/>
          <w:kern w:val="0"/>
          <w:sz w:val="24"/>
          <w:szCs w:val="24"/>
          <w:highlight w:val="none"/>
        </w:rPr>
        <w:t>、凡对本次招标提出询问，请按以下方式联系</w:t>
      </w:r>
    </w:p>
    <w:bookmarkEnd w:id="4"/>
    <w:p w14:paraId="2BB03AF5">
      <w:pPr>
        <w:pStyle w:val="83"/>
        <w:keepNext w:val="0"/>
        <w:keepLines w:val="0"/>
        <w:pageBreakBefore w:val="0"/>
        <w:kinsoku/>
        <w:wordWrap/>
        <w:overflowPunct/>
        <w:topLinePunct w:val="0"/>
        <w:autoSpaceDE/>
        <w:autoSpaceDN/>
        <w:bidi w:val="0"/>
        <w:adjustRightInd/>
        <w:snapToGrid/>
        <w:spacing w:beforeAutospacing="0"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60A0A9B3">
      <w:pPr>
        <w:pStyle w:val="83"/>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eastAsia" w:ascii="宋体" w:hAnsi="宋体" w:eastAsia="宋体" w:cs="宋体"/>
          <w:color w:val="auto"/>
          <w:sz w:val="24"/>
          <w:szCs w:val="24"/>
          <w:highlight w:val="none"/>
          <w:lang w:val="en-US" w:eastAsia="zh-CN"/>
        </w:rPr>
      </w:pPr>
      <w:bookmarkStart w:id="6" w:name="_Hlk107596730"/>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乌鲁木齐市公安局公交地铁治安管理支队（公交地铁治安管理分局）</w:t>
      </w:r>
    </w:p>
    <w:p w14:paraId="2F8D2B05">
      <w:pPr>
        <w:pStyle w:val="83"/>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址：乌鲁木齐市</w:t>
      </w:r>
    </w:p>
    <w:p w14:paraId="757000D4">
      <w:pPr>
        <w:pStyle w:val="83"/>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bookmarkEnd w:id="6"/>
      <w:r>
        <w:rPr>
          <w:rFonts w:hint="eastAsia" w:ascii="宋体" w:hAnsi="宋体" w:eastAsia="宋体" w:cs="宋体"/>
          <w:color w:val="auto"/>
          <w:sz w:val="24"/>
          <w:szCs w:val="24"/>
          <w:highlight w:val="none"/>
          <w:lang w:val="en-US" w:eastAsia="zh-CN"/>
        </w:rPr>
        <w:t>18095994996</w:t>
      </w:r>
    </w:p>
    <w:p w14:paraId="5C9BCAAF">
      <w:pPr>
        <w:pStyle w:val="83"/>
        <w:keepNext w:val="0"/>
        <w:keepLines w:val="0"/>
        <w:pageBreakBefore w:val="0"/>
        <w:numPr>
          <w:ilvl w:val="0"/>
          <w:numId w:val="2"/>
        </w:numPr>
        <w:kinsoku/>
        <w:wordWrap/>
        <w:overflowPunct/>
        <w:topLinePunct w:val="0"/>
        <w:autoSpaceDE/>
        <w:autoSpaceDN/>
        <w:bidi w:val="0"/>
        <w:adjustRightInd/>
        <w:snapToGrid/>
        <w:spacing w:beforeAutospacing="0"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采购代理机构信息            </w:t>
      </w:r>
    </w:p>
    <w:p w14:paraId="084F7510">
      <w:pPr>
        <w:pStyle w:val="83"/>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称：新疆</w:t>
      </w:r>
      <w:r>
        <w:rPr>
          <w:rFonts w:hint="eastAsia" w:ascii="宋体" w:hAnsi="宋体" w:eastAsia="宋体" w:cs="宋体"/>
          <w:color w:val="auto"/>
          <w:sz w:val="24"/>
          <w:szCs w:val="24"/>
          <w:highlight w:val="none"/>
          <w:lang w:eastAsia="zh-CN"/>
        </w:rPr>
        <w:t>金锦鑫项目管理咨询服务有限公司</w:t>
      </w:r>
      <w:r>
        <w:rPr>
          <w:rFonts w:hint="eastAsia" w:ascii="宋体" w:hAnsi="宋体" w:eastAsia="宋体" w:cs="宋体"/>
          <w:color w:val="auto"/>
          <w:sz w:val="24"/>
          <w:szCs w:val="24"/>
          <w:highlight w:val="none"/>
        </w:rPr>
        <w:t>            </w:t>
      </w:r>
    </w:p>
    <w:p w14:paraId="6F2E868C">
      <w:pPr>
        <w:pStyle w:val="83"/>
        <w:keepNext w:val="0"/>
        <w:keepLines w:val="0"/>
        <w:pageBreakBefore w:val="0"/>
        <w:kinsoku/>
        <w:wordWrap/>
        <w:overflowPunct/>
        <w:topLinePunct w:val="0"/>
        <w:autoSpaceDE/>
        <w:autoSpaceDN/>
        <w:bidi w:val="0"/>
        <w:adjustRightInd/>
        <w:snapToGrid/>
        <w:spacing w:beforeAutospacing="0"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：乌鲁木齐市头屯河区九方财富广场</w:t>
      </w:r>
      <w:r>
        <w:rPr>
          <w:rFonts w:hint="eastAsia" w:ascii="宋体" w:hAnsi="宋体" w:eastAsia="宋体" w:cs="宋体"/>
          <w:color w:val="auto"/>
          <w:sz w:val="24"/>
          <w:szCs w:val="24"/>
          <w:highlight w:val="none"/>
          <w:lang w:val="en-US" w:eastAsia="zh-CN"/>
        </w:rPr>
        <w:t>A座</w:t>
      </w:r>
      <w:r>
        <w:rPr>
          <w:rFonts w:hint="eastAsia" w:ascii="宋体" w:hAnsi="宋体" w:eastAsia="宋体" w:cs="宋体"/>
          <w:color w:val="auto"/>
          <w:sz w:val="24"/>
          <w:szCs w:val="24"/>
          <w:highlight w:val="none"/>
        </w:rPr>
        <w:t>            </w:t>
      </w:r>
    </w:p>
    <w:p w14:paraId="59D3B609">
      <w:pPr>
        <w:pStyle w:val="83"/>
        <w:keepNext w:val="0"/>
        <w:keepLines w:val="0"/>
        <w:pageBreakBefore w:val="0"/>
        <w:kinsoku/>
        <w:wordWrap/>
        <w:overflowPunct/>
        <w:topLinePunct w:val="0"/>
        <w:autoSpaceDE/>
        <w:autoSpaceDN/>
        <w:bidi w:val="0"/>
        <w:adjustRightInd/>
        <w:snapToGrid/>
        <w:spacing w:beforeAutospacing="0"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lang w:val="en-US" w:eastAsia="zh-CN"/>
        </w:rPr>
        <w:t xml:space="preserve">  联系方式</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13345441539</w:t>
      </w:r>
      <w:r>
        <w:rPr>
          <w:rFonts w:hint="eastAsia" w:ascii="宋体" w:hAnsi="宋体" w:eastAsia="宋体" w:cs="宋体"/>
          <w:color w:val="auto"/>
          <w:sz w:val="24"/>
          <w:szCs w:val="24"/>
          <w:highlight w:val="none"/>
        </w:rPr>
        <w:t>            </w:t>
      </w:r>
    </w:p>
    <w:p w14:paraId="4328A89D">
      <w:pPr>
        <w:pStyle w:val="83"/>
        <w:keepNext w:val="0"/>
        <w:keepLines w:val="0"/>
        <w:pageBreakBefore w:val="0"/>
        <w:kinsoku/>
        <w:wordWrap/>
        <w:overflowPunct/>
        <w:topLinePunct w:val="0"/>
        <w:autoSpaceDE/>
        <w:autoSpaceDN/>
        <w:bidi w:val="0"/>
        <w:adjustRightInd/>
        <w:snapToGrid/>
        <w:spacing w:beforeAutospacing="0"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项目联系人：</w:t>
      </w:r>
      <w:r>
        <w:rPr>
          <w:rFonts w:hint="eastAsia" w:ascii="宋体" w:hAnsi="宋体" w:eastAsia="宋体" w:cs="宋体"/>
          <w:color w:val="auto"/>
          <w:sz w:val="24"/>
          <w:szCs w:val="24"/>
          <w:highlight w:val="none"/>
          <w:lang w:eastAsia="zh-CN"/>
        </w:rPr>
        <w:t>张莉</w:t>
      </w:r>
      <w:r>
        <w:rPr>
          <w:rFonts w:hint="eastAsia" w:ascii="宋体" w:hAnsi="宋体" w:eastAsia="宋体" w:cs="宋体"/>
          <w:color w:val="auto"/>
          <w:sz w:val="24"/>
          <w:szCs w:val="24"/>
          <w:highlight w:val="none"/>
          <w:lang w:val="en-US" w:eastAsia="zh-CN"/>
        </w:rPr>
        <w:t xml:space="preserve">  张媛</w:t>
      </w:r>
      <w:r>
        <w:rPr>
          <w:rFonts w:hint="eastAsia" w:ascii="宋体" w:hAnsi="宋体" w:eastAsia="宋体" w:cs="宋体"/>
          <w:color w:val="auto"/>
          <w:sz w:val="24"/>
          <w:szCs w:val="24"/>
          <w:highlight w:val="none"/>
        </w:rPr>
        <w:t xml:space="preserve">          </w:t>
      </w:r>
    </w:p>
    <w:p w14:paraId="673899C4">
      <w:pPr>
        <w:pStyle w:val="83"/>
        <w:keepNext w:val="0"/>
        <w:keepLines w:val="0"/>
        <w:pageBreakBefore w:val="0"/>
        <w:kinsoku/>
        <w:wordWrap/>
        <w:overflowPunct/>
        <w:topLinePunct w:val="0"/>
        <w:autoSpaceDE/>
        <w:autoSpaceDN/>
        <w:bidi w:val="0"/>
        <w:adjustRightInd/>
        <w:snapToGrid/>
        <w:spacing w:beforeAutospacing="0" w:afterAutospacing="0" w:line="36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项目联系方式：</w:t>
      </w:r>
      <w:r>
        <w:rPr>
          <w:rFonts w:hint="eastAsia" w:ascii="宋体" w:hAnsi="宋体" w:eastAsia="宋体" w:cs="宋体"/>
          <w:color w:val="auto"/>
          <w:sz w:val="24"/>
          <w:szCs w:val="24"/>
          <w:highlight w:val="none"/>
          <w:lang w:val="en-US" w:eastAsia="zh-CN"/>
        </w:rPr>
        <w:t>13345441539 13079976260</w:t>
      </w:r>
    </w:p>
    <w:p w14:paraId="6EDE7CAB">
      <w:pPr>
        <w:pStyle w:val="83"/>
        <w:spacing w:line="360" w:lineRule="auto"/>
        <w:rPr>
          <w:rFonts w:hint="eastAsia" w:ascii="宋体" w:hAnsi="宋体" w:eastAsia="宋体" w:cs="宋体"/>
          <w:color w:val="auto"/>
          <w:sz w:val="24"/>
          <w:szCs w:val="24"/>
          <w:highlight w:val="none"/>
        </w:rPr>
      </w:pPr>
    </w:p>
    <w:bookmarkEnd w:id="5"/>
    <w:p w14:paraId="3B1EA580">
      <w:pPr>
        <w:rPr>
          <w:rFonts w:hint="eastAsia" w:ascii="宋体" w:hAnsi="宋体" w:eastAsia="宋体" w:cs="宋体"/>
          <w:color w:val="auto"/>
          <w:highlight w:val="none"/>
        </w:rPr>
      </w:pPr>
      <w:bookmarkStart w:id="7" w:name="_Toc503463617"/>
      <w:bookmarkStart w:id="8" w:name="_Toc28386"/>
    </w:p>
    <w:p w14:paraId="02EA36B5">
      <w:pPr>
        <w:pStyle w:val="41"/>
        <w:rPr>
          <w:rFonts w:hint="eastAsia" w:ascii="宋体" w:hAnsi="宋体" w:eastAsia="宋体" w:cs="宋体"/>
          <w:color w:val="auto"/>
          <w:highlight w:val="none"/>
        </w:rPr>
      </w:pPr>
    </w:p>
    <w:p w14:paraId="4D3825A8">
      <w:pPr>
        <w:pStyle w:val="41"/>
        <w:rPr>
          <w:rFonts w:hint="eastAsia" w:ascii="宋体" w:hAnsi="宋体" w:eastAsia="宋体" w:cs="宋体"/>
          <w:color w:val="auto"/>
          <w:highlight w:val="none"/>
        </w:rPr>
      </w:pPr>
    </w:p>
    <w:p w14:paraId="443D82A7">
      <w:pPr>
        <w:rPr>
          <w:rFonts w:hint="eastAsia" w:ascii="宋体" w:hAnsi="宋体" w:eastAsia="宋体" w:cs="宋体"/>
        </w:rPr>
      </w:pPr>
    </w:p>
    <w:p w14:paraId="34F7810F">
      <w:pPr>
        <w:pStyle w:val="41"/>
        <w:rPr>
          <w:rFonts w:hint="eastAsia" w:ascii="宋体" w:hAnsi="宋体" w:eastAsia="宋体" w:cs="宋体"/>
          <w:color w:val="auto"/>
          <w:highlight w:val="none"/>
        </w:rPr>
        <w:sectPr>
          <w:footerReference r:id="rId7" w:type="first"/>
          <w:footerReference r:id="rId6" w:type="default"/>
          <w:pgSz w:w="11907" w:h="16840"/>
          <w:pgMar w:top="1134" w:right="1134" w:bottom="1134" w:left="1134" w:header="851" w:footer="851" w:gutter="0"/>
          <w:pgNumType w:fmt="decimal" w:start="1"/>
          <w:cols w:space="720" w:num="1"/>
          <w:titlePg/>
          <w:docGrid w:linePitch="462" w:charSpace="0"/>
        </w:sectPr>
      </w:pPr>
    </w:p>
    <w:p w14:paraId="707CDE3D">
      <w:pPr>
        <w:pStyle w:val="41"/>
        <w:pageBreakBefore w:val="0"/>
        <w:widowControl w:val="0"/>
        <w:kinsoku/>
        <w:wordWrap/>
        <w:overflowPunct/>
        <w:topLinePunct w:val="0"/>
        <w:autoSpaceDE/>
        <w:autoSpaceDN/>
        <w:bidi w:val="0"/>
        <w:snapToGrid/>
        <w:spacing w:before="0" w:after="0" w:line="24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第二部分</w:t>
      </w:r>
      <w:r>
        <w:rPr>
          <w:rFonts w:hint="eastAsia" w:ascii="宋体" w:hAnsi="宋体" w:eastAsia="宋体" w:cs="宋体"/>
          <w:color w:val="auto"/>
          <w:sz w:val="28"/>
          <w:szCs w:val="28"/>
          <w:highlight w:val="none"/>
          <w:lang w:val="en-US" w:eastAsia="zh-CN"/>
        </w:rPr>
        <w:t>投标人</w:t>
      </w:r>
      <w:r>
        <w:rPr>
          <w:rFonts w:hint="eastAsia" w:ascii="宋体" w:hAnsi="宋体" w:eastAsia="宋体" w:cs="宋体"/>
          <w:color w:val="auto"/>
          <w:sz w:val="28"/>
          <w:szCs w:val="28"/>
          <w:highlight w:val="none"/>
        </w:rPr>
        <w:t>须知</w:t>
      </w:r>
      <w:bookmarkEnd w:id="7"/>
      <w:bookmarkEnd w:id="8"/>
      <w:bookmarkStart w:id="9" w:name="EB30be2cd937ea416b86595e1f810ebc36"/>
      <w:bookmarkEnd w:id="9"/>
      <w:bookmarkStart w:id="10" w:name="EBffab4e229c294506b82ba390aef19cb7"/>
      <w:bookmarkEnd w:id="10"/>
      <w:bookmarkStart w:id="11" w:name="_Toc107520456"/>
      <w:bookmarkStart w:id="12" w:name="_Toc256000032"/>
      <w:bookmarkStart w:id="13" w:name="_Toc28391"/>
      <w:bookmarkStart w:id="14" w:name="_Toc519111258"/>
      <w:bookmarkStart w:id="15" w:name="EBa8d2f72bef714875b4f7f1dcbc2ec5b5"/>
    </w:p>
    <w:p w14:paraId="4F05BBDC">
      <w:pPr>
        <w:pStyle w:val="5"/>
        <w:pageBreakBefore w:val="0"/>
        <w:widowControl w:val="0"/>
        <w:kinsoku/>
        <w:wordWrap/>
        <w:overflowPunct/>
        <w:topLinePunct w:val="0"/>
        <w:autoSpaceDE/>
        <w:autoSpaceDN/>
        <w:bidi w:val="0"/>
        <w:snapToGrid/>
        <w:spacing w:before="0" w:after="0" w:line="240" w:lineRule="auto"/>
        <w:jc w:val="center"/>
        <w:rPr>
          <w:rFonts w:hint="eastAsia" w:ascii="宋体" w:hAnsi="宋体" w:eastAsia="宋体" w:cs="宋体"/>
          <w:color w:val="auto"/>
          <w:kern w:val="2"/>
          <w:highlight w:val="none"/>
        </w:rPr>
      </w:pPr>
      <w:r>
        <w:rPr>
          <w:rFonts w:hint="eastAsia" w:ascii="宋体" w:hAnsi="宋体" w:eastAsia="宋体" w:cs="宋体"/>
          <w:color w:val="auto"/>
          <w:kern w:val="2"/>
          <w:highlight w:val="none"/>
          <w:lang w:val="en-US" w:eastAsia="zh-CN"/>
        </w:rPr>
        <w:t>投标人</w:t>
      </w:r>
      <w:r>
        <w:rPr>
          <w:rFonts w:hint="eastAsia" w:ascii="宋体" w:hAnsi="宋体" w:eastAsia="宋体" w:cs="宋体"/>
          <w:color w:val="auto"/>
          <w:kern w:val="2"/>
          <w:highlight w:val="none"/>
        </w:rPr>
        <w:t>须知前附表</w:t>
      </w:r>
      <w:bookmarkEnd w:id="11"/>
      <w:bookmarkEnd w:id="12"/>
      <w:bookmarkEnd w:id="13"/>
      <w:bookmarkEnd w:id="14"/>
    </w:p>
    <w:tbl>
      <w:tblPr>
        <w:tblStyle w:val="44"/>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664"/>
        <w:gridCol w:w="6468"/>
      </w:tblGrid>
      <w:tr w14:paraId="10810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blHeader/>
          <w:jc w:val="center"/>
        </w:trPr>
        <w:tc>
          <w:tcPr>
            <w:tcW w:w="735" w:type="dxa"/>
            <w:noWrap w:val="0"/>
            <w:vAlign w:val="center"/>
          </w:tcPr>
          <w:p w14:paraId="00B97A1C">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664" w:type="dxa"/>
            <w:noWrap w:val="0"/>
            <w:vAlign w:val="center"/>
          </w:tcPr>
          <w:p w14:paraId="70A5A8EE">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内容</w:t>
            </w:r>
          </w:p>
        </w:tc>
        <w:tc>
          <w:tcPr>
            <w:tcW w:w="6468" w:type="dxa"/>
            <w:noWrap w:val="0"/>
            <w:vAlign w:val="center"/>
          </w:tcPr>
          <w:p w14:paraId="1046CD94">
            <w:pPr>
              <w:pStyle w:val="86"/>
              <w:adjustRightInd w:val="0"/>
              <w:spacing w:line="400" w:lineRule="exact"/>
              <w:jc w:val="center"/>
              <w:textAlignment w:val="baseline"/>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说明与要求</w:t>
            </w:r>
          </w:p>
        </w:tc>
      </w:tr>
      <w:tr w14:paraId="06463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050F8BE">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p>
        </w:tc>
        <w:tc>
          <w:tcPr>
            <w:tcW w:w="2664" w:type="dxa"/>
            <w:noWrap w:val="0"/>
            <w:vAlign w:val="center"/>
          </w:tcPr>
          <w:p w14:paraId="450189BA">
            <w:pPr>
              <w:pStyle w:val="86"/>
              <w:adjustRightInd w:val="0"/>
              <w:spacing w:line="400" w:lineRule="exact"/>
              <w:jc w:val="center"/>
              <w:textAlignment w:val="baseline"/>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w:t>
            </w:r>
          </w:p>
        </w:tc>
        <w:tc>
          <w:tcPr>
            <w:tcW w:w="6468" w:type="dxa"/>
            <w:noWrap w:val="0"/>
            <w:vAlign w:val="center"/>
          </w:tcPr>
          <w:p w14:paraId="266EFEDD">
            <w:pPr>
              <w:pStyle w:val="83"/>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乌鲁木齐市公安局公交地铁治安管理支队（公交地铁治安管理分局）公交线路协管服务项目</w:t>
            </w:r>
            <w:r>
              <w:rPr>
                <w:rFonts w:hint="eastAsia" w:ascii="宋体" w:hAnsi="宋体" w:cs="宋体"/>
                <w:color w:val="auto"/>
                <w:sz w:val="24"/>
                <w:szCs w:val="24"/>
                <w:highlight w:val="none"/>
                <w:lang w:eastAsia="zh-CN"/>
              </w:rPr>
              <w:t>（二次）</w:t>
            </w:r>
          </w:p>
        </w:tc>
      </w:tr>
      <w:tr w14:paraId="10284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C786A21">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p>
        </w:tc>
        <w:tc>
          <w:tcPr>
            <w:tcW w:w="2664" w:type="dxa"/>
            <w:noWrap w:val="0"/>
            <w:vAlign w:val="center"/>
          </w:tcPr>
          <w:p w14:paraId="1B1D954D">
            <w:pPr>
              <w:pStyle w:val="86"/>
              <w:adjustRightInd w:val="0"/>
              <w:spacing w:line="400" w:lineRule="exact"/>
              <w:jc w:val="center"/>
              <w:textAlignment w:val="baseline"/>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采购人</w:t>
            </w:r>
          </w:p>
        </w:tc>
        <w:tc>
          <w:tcPr>
            <w:tcW w:w="6468" w:type="dxa"/>
            <w:noWrap w:val="0"/>
            <w:vAlign w:val="center"/>
          </w:tcPr>
          <w:p w14:paraId="662EEEBC">
            <w:pPr>
              <w:pStyle w:val="83"/>
              <w:keepNext w:val="0"/>
              <w:keepLines w:val="0"/>
              <w:pageBreakBefore w:val="0"/>
              <w:kinsoku/>
              <w:wordWrap/>
              <w:overflowPunct/>
              <w:topLinePunct w:val="0"/>
              <w:autoSpaceDE/>
              <w:autoSpaceDN/>
              <w:bidi w:val="0"/>
              <w:adjustRightInd/>
              <w:snapToGrid/>
              <w:spacing w:beforeAutospacing="0" w:afterAutospacing="0" w:line="36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乌鲁木齐市公安局公交地铁治安管理支队（公交地铁治安管理分局）</w:t>
            </w:r>
          </w:p>
          <w:p w14:paraId="5065344B">
            <w:pPr>
              <w:pStyle w:val="83"/>
              <w:keepNext w:val="0"/>
              <w:keepLines w:val="0"/>
              <w:pageBreakBefore w:val="0"/>
              <w:kinsoku/>
              <w:wordWrap/>
              <w:overflowPunct/>
              <w:topLinePunct w:val="0"/>
              <w:autoSpaceDE/>
              <w:autoSpaceDN/>
              <w:bidi w:val="0"/>
              <w:adjustRightInd/>
              <w:snapToGrid/>
              <w:spacing w:beforeAutospacing="0" w:afterAutospacing="0" w:line="360" w:lineRule="exac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址：乌鲁木齐市</w:t>
            </w:r>
          </w:p>
          <w:p w14:paraId="3C910C42">
            <w:pPr>
              <w:pStyle w:val="83"/>
              <w:keepNext w:val="0"/>
              <w:keepLines w:val="0"/>
              <w:pageBreakBefore w:val="0"/>
              <w:kinsoku/>
              <w:wordWrap/>
              <w:overflowPunct/>
              <w:topLinePunct w:val="0"/>
              <w:autoSpaceDE/>
              <w:autoSpaceDN/>
              <w:bidi w:val="0"/>
              <w:adjustRightInd/>
              <w:snapToGrid/>
              <w:spacing w:beforeAutospacing="0" w:afterAutospacing="0" w:line="36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r>
              <w:rPr>
                <w:rFonts w:hint="eastAsia" w:ascii="宋体" w:hAnsi="宋体" w:eastAsia="宋体" w:cs="宋体"/>
                <w:color w:val="auto"/>
                <w:sz w:val="24"/>
                <w:szCs w:val="24"/>
                <w:highlight w:val="none"/>
                <w:lang w:val="en-US" w:eastAsia="zh-CN"/>
              </w:rPr>
              <w:t>18095994996</w:t>
            </w:r>
          </w:p>
        </w:tc>
      </w:tr>
      <w:tr w14:paraId="198A0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0F6D1081">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p>
        </w:tc>
        <w:tc>
          <w:tcPr>
            <w:tcW w:w="2664" w:type="dxa"/>
            <w:noWrap w:val="0"/>
            <w:vAlign w:val="center"/>
          </w:tcPr>
          <w:p w14:paraId="7C70E4B8">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采购代理机构</w:t>
            </w:r>
          </w:p>
        </w:tc>
        <w:tc>
          <w:tcPr>
            <w:tcW w:w="6468" w:type="dxa"/>
            <w:noWrap w:val="0"/>
            <w:vAlign w:val="center"/>
          </w:tcPr>
          <w:p w14:paraId="430CAB95">
            <w:pPr>
              <w:pStyle w:val="86"/>
              <w:widowControl/>
              <w:spacing w:line="40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新疆金锦鑫项目管理咨询服务有限公司</w:t>
            </w:r>
          </w:p>
          <w:p w14:paraId="06FDE02D">
            <w:pPr>
              <w:pStyle w:val="86"/>
              <w:widowControl/>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址：乌鲁木齐市头屯河区九方财富广场A座 </w:t>
            </w:r>
          </w:p>
          <w:p w14:paraId="14A091FF">
            <w:pPr>
              <w:pStyle w:val="86"/>
              <w:widowControl/>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联系人：张莉  张媛   </w:t>
            </w:r>
          </w:p>
          <w:p w14:paraId="31601F4B">
            <w:pPr>
              <w:pStyle w:val="86"/>
              <w:widowControl/>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联系方式：13345441539 13079976260</w:t>
            </w:r>
          </w:p>
        </w:tc>
      </w:tr>
      <w:tr w14:paraId="0EDFC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35" w:type="dxa"/>
            <w:noWrap w:val="0"/>
            <w:vAlign w:val="center"/>
          </w:tcPr>
          <w:p w14:paraId="181800DC">
            <w:pPr>
              <w:pStyle w:val="86"/>
              <w:spacing w:line="400" w:lineRule="exact"/>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US" w:eastAsia="zh-CN"/>
              </w:rPr>
              <w:t>4</w:t>
            </w:r>
          </w:p>
        </w:tc>
        <w:tc>
          <w:tcPr>
            <w:tcW w:w="2664" w:type="dxa"/>
            <w:noWrap w:val="0"/>
            <w:vAlign w:val="center"/>
          </w:tcPr>
          <w:p w14:paraId="03A650CB">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采购内容</w:t>
            </w:r>
          </w:p>
        </w:tc>
        <w:tc>
          <w:tcPr>
            <w:tcW w:w="6468" w:type="dxa"/>
            <w:noWrap w:val="0"/>
            <w:vAlign w:val="center"/>
          </w:tcPr>
          <w:p w14:paraId="52DF7417">
            <w:pPr>
              <w:pStyle w:val="86"/>
              <w:widowControl/>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文件第三部分</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需求</w:t>
            </w:r>
          </w:p>
        </w:tc>
      </w:tr>
      <w:tr w14:paraId="2AA8F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5" w:hRule="atLeast"/>
          <w:jc w:val="center"/>
        </w:trPr>
        <w:tc>
          <w:tcPr>
            <w:tcW w:w="735" w:type="dxa"/>
            <w:noWrap w:val="0"/>
            <w:vAlign w:val="center"/>
          </w:tcPr>
          <w:p w14:paraId="152EA2D3">
            <w:pPr>
              <w:pStyle w:val="86"/>
              <w:spacing w:line="400" w:lineRule="exact"/>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US" w:eastAsia="zh-CN"/>
              </w:rPr>
              <w:t>5</w:t>
            </w:r>
          </w:p>
        </w:tc>
        <w:tc>
          <w:tcPr>
            <w:tcW w:w="2664" w:type="dxa"/>
            <w:noWrap w:val="0"/>
            <w:vAlign w:val="center"/>
          </w:tcPr>
          <w:p w14:paraId="7EFD96C9">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投标人</w:t>
            </w:r>
            <w:r>
              <w:rPr>
                <w:rFonts w:hint="eastAsia" w:ascii="宋体" w:hAnsi="宋体" w:eastAsia="宋体" w:cs="宋体"/>
                <w:b/>
                <w:color w:val="auto"/>
                <w:sz w:val="24"/>
                <w:highlight w:val="none"/>
              </w:rPr>
              <w:t>资格要求</w:t>
            </w:r>
          </w:p>
        </w:tc>
        <w:tc>
          <w:tcPr>
            <w:tcW w:w="6468" w:type="dxa"/>
            <w:noWrap w:val="0"/>
            <w:vAlign w:val="center"/>
          </w:tcPr>
          <w:p w14:paraId="6AF50973">
            <w:pPr>
              <w:pStyle w:val="27"/>
              <w:ind w:left="0" w:leftChars="0" w:firstLine="0"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1.满足《中华人民共和国政府采购法》第二十二条规定；</w:t>
            </w:r>
          </w:p>
          <w:p w14:paraId="4AAB043B">
            <w:pPr>
              <w:pStyle w:val="27"/>
              <w:ind w:left="0" w:leftChars="0" w:firstLine="0"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2.落实政府采购政策需满足的资格要求：本项目为专门面向小微企业采购项目；</w:t>
            </w:r>
          </w:p>
          <w:p w14:paraId="19F51AD2">
            <w:pPr>
              <w:pStyle w:val="27"/>
              <w:ind w:left="0" w:leftChars="0" w:firstLine="0"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3.本项目的特定资格要求：</w:t>
            </w:r>
          </w:p>
          <w:p w14:paraId="5F3C957A">
            <w:pPr>
              <w:pStyle w:val="27"/>
              <w:ind w:left="0" w:leftChars="0" w:firstLine="0"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（1）单位负责人为同一人或者存在直接控股、管理关系的不同供应商不得参加本项目的投标；</w:t>
            </w:r>
          </w:p>
          <w:p w14:paraId="125FFBBB">
            <w:pPr>
              <w:pStyle w:val="27"/>
              <w:ind w:left="0" w:leftChars="0" w:firstLine="0" w:firstLineChars="0"/>
              <w:jc w:val="left"/>
              <w:rPr>
                <w:rFonts w:hint="eastAsia" w:ascii="宋体" w:hAnsi="宋体" w:eastAsia="宋体" w:cs="宋体"/>
                <w:color w:val="auto"/>
                <w:highlight w:val="none"/>
                <w:lang w:val="zh-TW"/>
              </w:rPr>
            </w:pPr>
            <w:r>
              <w:rPr>
                <w:rFonts w:hint="eastAsia" w:ascii="宋体" w:hAnsi="宋体" w:eastAsia="宋体" w:cs="宋体"/>
                <w:color w:val="auto"/>
                <w:kern w:val="0"/>
                <w:sz w:val="24"/>
                <w:highlight w:val="none"/>
              </w:rPr>
              <w:t>（2）供应商未列入过“信用中国”网站（www.creditchina.gov.cn）失信被执行人、重大税收违法案件当事人名单、中国政府采购网（www.ccgp.gov.cn）政府采购严重违法失信行为记录名单的供应商。</w:t>
            </w:r>
          </w:p>
        </w:tc>
      </w:tr>
      <w:tr w14:paraId="58867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59E50D8B">
            <w:pPr>
              <w:pStyle w:val="86"/>
              <w:spacing w:line="400" w:lineRule="exact"/>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6</w:t>
            </w:r>
          </w:p>
        </w:tc>
        <w:tc>
          <w:tcPr>
            <w:tcW w:w="2664" w:type="dxa"/>
            <w:noWrap w:val="0"/>
            <w:vAlign w:val="center"/>
          </w:tcPr>
          <w:p w14:paraId="2D7D7081">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合同履约期限</w:t>
            </w:r>
          </w:p>
        </w:tc>
        <w:tc>
          <w:tcPr>
            <w:tcW w:w="6468" w:type="dxa"/>
            <w:noWrap w:val="0"/>
            <w:vAlign w:val="center"/>
          </w:tcPr>
          <w:p w14:paraId="5F67A304">
            <w:pPr>
              <w:pStyle w:val="86"/>
              <w:spacing w:line="400" w:lineRule="exact"/>
              <w:rPr>
                <w:rFonts w:hint="eastAsia" w:ascii="宋体" w:hAnsi="宋体" w:eastAsia="宋体" w:cs="宋体"/>
                <w:color w:val="auto"/>
                <w:kern w:val="0"/>
                <w:sz w:val="24"/>
                <w:szCs w:val="24"/>
                <w:highlight w:val="none"/>
                <w:lang w:val="en-US" w:eastAsia="zh-CN"/>
              </w:rPr>
            </w:pPr>
            <w:bookmarkStart w:id="16" w:name="EB1dd35195cf7a408cbb23b7f0f4c1857f"/>
            <w:bookmarkEnd w:id="16"/>
            <w:r>
              <w:rPr>
                <w:rFonts w:hint="eastAsia" w:ascii="宋体" w:hAnsi="宋体" w:eastAsia="宋体" w:cs="宋体"/>
                <w:color w:val="auto"/>
                <w:kern w:val="0"/>
                <w:sz w:val="24"/>
                <w:szCs w:val="24"/>
                <w:highlight w:val="none"/>
              </w:rPr>
              <w:t>自合同签订之日起</w:t>
            </w:r>
            <w:r>
              <w:rPr>
                <w:rFonts w:hint="eastAsia" w:ascii="宋体" w:hAnsi="宋体" w:eastAsia="宋体" w:cs="宋体"/>
                <w:color w:val="auto"/>
                <w:kern w:val="0"/>
                <w:sz w:val="24"/>
                <w:szCs w:val="24"/>
                <w:highlight w:val="none"/>
                <w:lang w:val="en-US" w:eastAsia="zh-CN"/>
              </w:rPr>
              <w:t>1年</w:t>
            </w:r>
          </w:p>
          <w:p w14:paraId="1AAEAFD9">
            <w:pPr>
              <w:pStyle w:val="86"/>
              <w:spacing w:line="400" w:lineRule="exact"/>
              <w:rPr>
                <w:rFonts w:hint="eastAsia" w:ascii="宋体" w:hAnsi="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lang w:val="en-US" w:eastAsia="zh-CN"/>
              </w:rPr>
              <w:t>注</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eastAsia="zh-CN"/>
              </w:rPr>
              <w:t>经考核合格，</w:t>
            </w:r>
            <w:r>
              <w:rPr>
                <w:rFonts w:hint="eastAsia" w:ascii="宋体" w:hAnsi="宋体" w:eastAsia="宋体" w:cs="宋体"/>
                <w:color w:val="auto"/>
                <w:kern w:val="0"/>
                <w:sz w:val="24"/>
                <w:szCs w:val="24"/>
                <w:highlight w:val="none"/>
              </w:rPr>
              <w:t>协议期满双方无终止协议的书面请求</w:t>
            </w:r>
            <w:r>
              <w:rPr>
                <w:rFonts w:hint="eastAsia" w:ascii="宋体" w:hAnsi="宋体" w:cs="宋体"/>
                <w:color w:val="auto"/>
                <w:kern w:val="0"/>
                <w:sz w:val="24"/>
                <w:szCs w:val="24"/>
                <w:highlight w:val="none"/>
                <w:lang w:eastAsia="zh-CN"/>
              </w:rPr>
              <w:t>，</w:t>
            </w:r>
          </w:p>
          <w:p w14:paraId="3B00D25B">
            <w:pPr>
              <w:pStyle w:val="86"/>
              <w:spacing w:line="400" w:lineRule="exact"/>
              <w:rPr>
                <w:rFonts w:hint="default" w:eastAsia="宋体"/>
                <w:lang w:val="en-US" w:eastAsia="zh-CN"/>
              </w:rPr>
            </w:pPr>
            <w:r>
              <w:rPr>
                <w:rFonts w:hint="eastAsia" w:ascii="宋体" w:hAnsi="宋体" w:cs="宋体"/>
                <w:color w:val="auto"/>
                <w:kern w:val="0"/>
                <w:sz w:val="24"/>
                <w:szCs w:val="24"/>
                <w:highlight w:val="none"/>
                <w:lang w:eastAsia="zh-CN"/>
              </w:rPr>
              <w:t>合同期限</w:t>
            </w:r>
            <w:r>
              <w:rPr>
                <w:rFonts w:hint="eastAsia" w:ascii="宋体" w:hAnsi="宋体" w:eastAsia="宋体" w:cs="宋体"/>
                <w:color w:val="auto"/>
                <w:kern w:val="0"/>
                <w:sz w:val="24"/>
                <w:szCs w:val="24"/>
                <w:highlight w:val="none"/>
              </w:rPr>
              <w:t>自动延续一年</w:t>
            </w:r>
            <w:r>
              <w:rPr>
                <w:rFonts w:hint="eastAsia" w:ascii="宋体" w:hAnsi="宋体" w:cs="宋体"/>
                <w:color w:val="auto"/>
                <w:kern w:val="0"/>
                <w:sz w:val="24"/>
                <w:szCs w:val="24"/>
                <w:highlight w:val="none"/>
                <w:lang w:eastAsia="zh-CN"/>
              </w:rPr>
              <w:t>（最多续签</w:t>
            </w:r>
            <w:r>
              <w:rPr>
                <w:rFonts w:hint="eastAsia" w:ascii="宋体" w:hAnsi="宋体" w:cs="宋体"/>
                <w:color w:val="auto"/>
                <w:kern w:val="0"/>
                <w:sz w:val="24"/>
                <w:szCs w:val="24"/>
                <w:highlight w:val="none"/>
                <w:lang w:val="en-US" w:eastAsia="zh-CN"/>
              </w:rPr>
              <w:t>2次</w:t>
            </w:r>
            <w:r>
              <w:rPr>
                <w:rFonts w:hint="eastAsia" w:ascii="宋体" w:hAnsi="宋体" w:cs="宋体"/>
                <w:color w:val="auto"/>
                <w:kern w:val="0"/>
                <w:sz w:val="24"/>
                <w:szCs w:val="24"/>
                <w:highlight w:val="none"/>
                <w:lang w:eastAsia="zh-CN"/>
              </w:rPr>
              <w:t>）</w:t>
            </w:r>
            <w:r>
              <w:rPr>
                <w:rFonts w:hint="eastAsia" w:ascii="宋体" w:hAnsi="宋体" w:eastAsia="宋体" w:cs="宋体"/>
                <w:sz w:val="24"/>
                <w:szCs w:val="24"/>
              </w:rPr>
              <w:t>。</w:t>
            </w:r>
          </w:p>
        </w:tc>
      </w:tr>
      <w:tr w14:paraId="0185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06863C2">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7</w:t>
            </w:r>
          </w:p>
        </w:tc>
        <w:tc>
          <w:tcPr>
            <w:tcW w:w="2664" w:type="dxa"/>
            <w:noWrap w:val="0"/>
            <w:vAlign w:val="center"/>
          </w:tcPr>
          <w:p w14:paraId="352E1D09">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是否允许联合体投标</w:t>
            </w:r>
          </w:p>
        </w:tc>
        <w:tc>
          <w:tcPr>
            <w:tcW w:w="6468" w:type="dxa"/>
            <w:noWrap w:val="0"/>
            <w:vAlign w:val="center"/>
          </w:tcPr>
          <w:p w14:paraId="7C10E94D">
            <w:pPr>
              <w:pStyle w:val="86"/>
              <w:spacing w:line="400" w:lineRule="exact"/>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否</w:t>
            </w:r>
          </w:p>
        </w:tc>
      </w:tr>
      <w:tr w14:paraId="673B1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4D3E7AB8">
            <w:pPr>
              <w:pStyle w:val="86"/>
              <w:spacing w:line="400" w:lineRule="exact"/>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US" w:eastAsia="zh-CN"/>
              </w:rPr>
              <w:t>8</w:t>
            </w:r>
          </w:p>
        </w:tc>
        <w:tc>
          <w:tcPr>
            <w:tcW w:w="2664" w:type="dxa"/>
            <w:noWrap w:val="0"/>
            <w:vAlign w:val="center"/>
          </w:tcPr>
          <w:p w14:paraId="3F05CDB8">
            <w:pPr>
              <w:pStyle w:val="86"/>
              <w:spacing w:line="400" w:lineRule="exact"/>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是否允许投标人将项目</w:t>
            </w:r>
            <w:r>
              <w:rPr>
                <w:rFonts w:hint="eastAsia" w:ascii="宋体" w:hAnsi="宋体" w:cs="宋体"/>
                <w:b/>
                <w:color w:val="auto"/>
                <w:sz w:val="24"/>
                <w:highlight w:val="none"/>
                <w:lang w:eastAsia="zh-CN"/>
              </w:rPr>
              <w:t>分包</w:t>
            </w:r>
          </w:p>
        </w:tc>
        <w:tc>
          <w:tcPr>
            <w:tcW w:w="6468" w:type="dxa"/>
            <w:noWrap w:val="0"/>
            <w:vAlign w:val="center"/>
          </w:tcPr>
          <w:p w14:paraId="3F9781E7">
            <w:pPr>
              <w:pStyle w:val="86"/>
              <w:spacing w:line="400" w:lineRule="exact"/>
              <w:rPr>
                <w:rFonts w:hint="eastAsia" w:ascii="宋体" w:hAnsi="宋体" w:eastAsia="宋体" w:cs="宋体"/>
                <w:color w:val="auto"/>
                <w:sz w:val="24"/>
                <w:highlight w:val="none"/>
              </w:rPr>
            </w:pPr>
            <w:bookmarkStart w:id="17" w:name="EB7f9a2183097e49ed95bd12c9f3aa7860"/>
            <w:r>
              <w:rPr>
                <w:rFonts w:hint="eastAsia" w:ascii="宋体" w:hAnsi="宋体" w:eastAsia="宋体" w:cs="宋体"/>
                <w:b/>
                <w:bCs/>
                <w:color w:val="auto"/>
                <w:sz w:val="24"/>
                <w:highlight w:val="none"/>
              </w:rPr>
              <w:sym w:font="Wingdings 2" w:char="0052"/>
            </w:r>
            <w:r>
              <w:rPr>
                <w:rFonts w:hint="eastAsia" w:ascii="宋体" w:hAnsi="宋体" w:eastAsia="宋体" w:cs="宋体"/>
                <w:color w:val="auto"/>
                <w:sz w:val="24"/>
                <w:highlight w:val="none"/>
              </w:rPr>
              <w:t>否</w:t>
            </w:r>
            <w:bookmarkEnd w:id="17"/>
            <w:bookmarkStart w:id="18" w:name="EB6ec0273c4f0d479fbc03387394b9e6ec"/>
            <w:bookmarkEnd w:id="18"/>
          </w:p>
        </w:tc>
      </w:tr>
      <w:tr w14:paraId="2729F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1CB27226">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9</w:t>
            </w:r>
          </w:p>
        </w:tc>
        <w:tc>
          <w:tcPr>
            <w:tcW w:w="2664" w:type="dxa"/>
            <w:noWrap w:val="0"/>
            <w:vAlign w:val="center"/>
          </w:tcPr>
          <w:p w14:paraId="1A280BBE">
            <w:pPr>
              <w:pStyle w:val="83"/>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答疑接受</w:t>
            </w:r>
          </w:p>
          <w:p w14:paraId="74ED5EAB">
            <w:pPr>
              <w:pStyle w:val="83"/>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时间</w:t>
            </w:r>
          </w:p>
        </w:tc>
        <w:tc>
          <w:tcPr>
            <w:tcW w:w="6468" w:type="dxa"/>
            <w:noWrap w:val="0"/>
            <w:vAlign w:val="center"/>
          </w:tcPr>
          <w:p w14:paraId="6EDC7A60">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供应商认为</w:t>
            </w:r>
            <w:r>
              <w:rPr>
                <w:rFonts w:hint="eastAsia" w:ascii="宋体" w:hAnsi="宋体" w:eastAsia="宋体" w:cs="宋体"/>
                <w:color w:val="auto"/>
                <w:kern w:val="0"/>
                <w:sz w:val="24"/>
                <w:highlight w:val="none"/>
                <w:lang w:val="en-US" w:eastAsia="zh-CN"/>
              </w:rPr>
              <w:t>招标</w:t>
            </w:r>
            <w:r>
              <w:rPr>
                <w:rFonts w:hint="eastAsia" w:ascii="宋体" w:hAnsi="宋体" w:eastAsia="宋体" w:cs="宋体"/>
                <w:color w:val="auto"/>
                <w:kern w:val="0"/>
                <w:sz w:val="24"/>
                <w:highlight w:val="none"/>
              </w:rPr>
              <w:t>文件使自己的权益受到损害的，可以在知道或者应知其权益受到损害之日起7个工作日内（收到</w:t>
            </w:r>
            <w:r>
              <w:rPr>
                <w:rFonts w:hint="eastAsia" w:ascii="宋体" w:hAnsi="宋体" w:eastAsia="宋体" w:cs="宋体"/>
                <w:color w:val="auto"/>
                <w:kern w:val="0"/>
                <w:sz w:val="24"/>
                <w:highlight w:val="none"/>
                <w:lang w:val="en-US" w:eastAsia="zh-CN"/>
              </w:rPr>
              <w:t>招标</w:t>
            </w:r>
            <w:r>
              <w:rPr>
                <w:rFonts w:hint="eastAsia" w:ascii="宋体" w:hAnsi="宋体" w:eastAsia="宋体" w:cs="宋体"/>
                <w:color w:val="auto"/>
                <w:kern w:val="0"/>
                <w:sz w:val="24"/>
                <w:highlight w:val="none"/>
              </w:rPr>
              <w:t>文件之日或者</w:t>
            </w:r>
            <w:r>
              <w:rPr>
                <w:rFonts w:hint="eastAsia" w:ascii="宋体" w:hAnsi="宋体" w:eastAsia="宋体" w:cs="宋体"/>
                <w:color w:val="auto"/>
                <w:kern w:val="0"/>
                <w:sz w:val="24"/>
                <w:highlight w:val="none"/>
                <w:lang w:val="en-US" w:eastAsia="zh-CN"/>
              </w:rPr>
              <w:t>招标</w:t>
            </w:r>
            <w:r>
              <w:rPr>
                <w:rFonts w:hint="eastAsia" w:ascii="宋体" w:hAnsi="宋体" w:eastAsia="宋体" w:cs="宋体"/>
                <w:color w:val="auto"/>
                <w:kern w:val="0"/>
                <w:sz w:val="24"/>
                <w:highlight w:val="none"/>
              </w:rPr>
              <w:t>文件公告期限届满之日。），供应商应在法定质疑期内一次性提出所有答疑、质疑内容。逾期不予受理。</w:t>
            </w:r>
          </w:p>
          <w:p w14:paraId="56A3A37A">
            <w:pPr>
              <w:pStyle w:val="86"/>
              <w:widowControl/>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联系人：张莉  张媛   </w:t>
            </w:r>
          </w:p>
          <w:p w14:paraId="3FCF4068">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联系方式：13345441539 13079976260</w:t>
            </w:r>
          </w:p>
          <w:p w14:paraId="47CC09E0">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提交方式：质疑函应以书面形式递交招标代理机构</w:t>
            </w:r>
          </w:p>
          <w:p w14:paraId="217FC940">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w:t>
            </w:r>
          </w:p>
          <w:p w14:paraId="5DD07746">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kern w:val="0"/>
                <w:sz w:val="24"/>
                <w:highlight w:val="none"/>
              </w:rPr>
              <w:t>澄清、修改文件发出后，投标供应商必须使用最新的澄清文件制作投标文件。</w:t>
            </w:r>
          </w:p>
          <w:p w14:paraId="7AD987D5">
            <w:pPr>
              <w:pStyle w:val="83"/>
              <w:autoSpaceDE w:val="0"/>
              <w:autoSpaceDN w:val="0"/>
              <w:adjustRightIn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kern w:val="0"/>
                <w:sz w:val="24"/>
                <w:highlight w:val="none"/>
              </w:rPr>
              <w:t>答疑接受时间内未要求澄清或答疑的视为接受招标文件中所有的内容。</w:t>
            </w:r>
          </w:p>
        </w:tc>
      </w:tr>
      <w:tr w14:paraId="30D3A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noWrap w:val="0"/>
            <w:vAlign w:val="center"/>
          </w:tcPr>
          <w:p w14:paraId="7886D341">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10</w:t>
            </w:r>
          </w:p>
        </w:tc>
        <w:tc>
          <w:tcPr>
            <w:tcW w:w="2664" w:type="dxa"/>
            <w:noWrap w:val="0"/>
            <w:vAlign w:val="center"/>
          </w:tcPr>
          <w:p w14:paraId="42AAF3C4">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color w:val="auto"/>
                <w:szCs w:val="21"/>
                <w:highlight w:val="none"/>
              </w:rPr>
              <w:t>★</w:t>
            </w:r>
            <w:r>
              <w:rPr>
                <w:rFonts w:hint="eastAsia" w:ascii="宋体" w:hAnsi="宋体" w:eastAsia="宋体" w:cs="宋体"/>
                <w:b/>
                <w:color w:val="auto"/>
                <w:sz w:val="24"/>
                <w:highlight w:val="none"/>
              </w:rPr>
              <w:t>投标有效期</w:t>
            </w:r>
          </w:p>
        </w:tc>
        <w:tc>
          <w:tcPr>
            <w:tcW w:w="6468" w:type="dxa"/>
            <w:noWrap w:val="0"/>
            <w:vAlign w:val="center"/>
          </w:tcPr>
          <w:p w14:paraId="2945F2F0">
            <w:pPr>
              <w:pStyle w:val="86"/>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自投标截止之日起</w:t>
            </w:r>
            <w:bookmarkStart w:id="19" w:name="EB5a3362fe8fc1402b9d5cafc876bbbffd"/>
            <w:r>
              <w:rPr>
                <w:rFonts w:hint="eastAsia" w:ascii="宋体" w:hAnsi="宋体" w:eastAsia="宋体" w:cs="宋体"/>
                <w:color w:val="auto"/>
                <w:sz w:val="24"/>
                <w:highlight w:val="none"/>
                <w:u w:val="single"/>
                <w:lang w:val="zh-CN"/>
              </w:rPr>
              <w:t>90</w:t>
            </w:r>
            <w:bookmarkEnd w:id="19"/>
            <w:r>
              <w:rPr>
                <w:rFonts w:hint="eastAsia" w:ascii="宋体" w:hAnsi="宋体" w:eastAsia="宋体" w:cs="宋体"/>
                <w:color w:val="auto"/>
                <w:sz w:val="24"/>
                <w:highlight w:val="none"/>
                <w:lang w:val="zh-CN"/>
              </w:rPr>
              <w:t>日历天。</w:t>
            </w:r>
          </w:p>
        </w:tc>
      </w:tr>
      <w:tr w14:paraId="3147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noWrap w:val="0"/>
            <w:vAlign w:val="center"/>
          </w:tcPr>
          <w:p w14:paraId="1DEDD7C8">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11</w:t>
            </w:r>
          </w:p>
        </w:tc>
        <w:tc>
          <w:tcPr>
            <w:tcW w:w="2664" w:type="dxa"/>
            <w:noWrap w:val="0"/>
            <w:vAlign w:val="center"/>
          </w:tcPr>
          <w:p w14:paraId="612CFED6">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投标</w:t>
            </w:r>
            <w:r>
              <w:rPr>
                <w:rFonts w:hint="eastAsia" w:ascii="宋体" w:hAnsi="宋体" w:eastAsia="宋体" w:cs="宋体"/>
                <w:b/>
                <w:color w:val="auto"/>
                <w:sz w:val="24"/>
                <w:highlight w:val="none"/>
              </w:rPr>
              <w:t>截止时间</w:t>
            </w:r>
          </w:p>
        </w:tc>
        <w:tc>
          <w:tcPr>
            <w:tcW w:w="6468" w:type="dxa"/>
            <w:noWrap w:val="0"/>
            <w:vAlign w:val="center"/>
          </w:tcPr>
          <w:p w14:paraId="20A374EC">
            <w:pPr>
              <w:pStyle w:val="86"/>
              <w:spacing w:line="400" w:lineRule="exact"/>
              <w:rPr>
                <w:rFonts w:hint="eastAsia" w:ascii="宋体" w:hAnsi="宋体" w:eastAsia="宋体" w:cs="宋体"/>
                <w:color w:val="auto"/>
                <w:sz w:val="24"/>
                <w:highlight w:val="none"/>
                <w:lang w:val="zh-CN"/>
              </w:rPr>
            </w:pPr>
            <w:r>
              <w:rPr>
                <w:rFonts w:hint="eastAsia" w:ascii="宋体" w:hAnsi="宋体" w:eastAsia="宋体" w:cs="宋体"/>
                <w:b/>
                <w:bCs/>
                <w:color w:val="auto"/>
                <w:sz w:val="24"/>
                <w:highlight w:val="none"/>
              </w:rPr>
              <w:t>截止时间：202</w:t>
            </w:r>
            <w:r>
              <w:rPr>
                <w:rFonts w:hint="eastAsia" w:ascii="宋体" w:hAnsi="宋体" w:eastAsia="宋体" w:cs="宋体"/>
                <w:b/>
                <w:bCs/>
                <w:color w:val="auto"/>
                <w:sz w:val="24"/>
                <w:highlight w:val="none"/>
                <w:lang w:val="en-US" w:eastAsia="zh-CN"/>
              </w:rPr>
              <w:t>5</w:t>
            </w:r>
            <w:r>
              <w:rPr>
                <w:rFonts w:hint="eastAsia" w:ascii="宋体" w:hAnsi="宋体" w:eastAsia="宋体" w:cs="宋体"/>
                <w:b/>
                <w:bCs/>
                <w:color w:val="auto"/>
                <w:sz w:val="24"/>
                <w:highlight w:val="none"/>
              </w:rPr>
              <w:t>年</w:t>
            </w:r>
            <w:r>
              <w:rPr>
                <w:rFonts w:hint="eastAsia" w:ascii="宋体" w:hAnsi="宋体" w:cs="宋体"/>
                <w:b/>
                <w:bCs/>
                <w:color w:val="auto"/>
                <w:sz w:val="24"/>
                <w:highlight w:val="none"/>
                <w:lang w:val="en-US" w:eastAsia="zh-CN"/>
              </w:rPr>
              <w:t>04</w:t>
            </w:r>
            <w:r>
              <w:rPr>
                <w:rFonts w:hint="eastAsia" w:ascii="宋体" w:hAnsi="宋体" w:eastAsia="宋体" w:cs="宋体"/>
                <w:b/>
                <w:bCs/>
                <w:color w:val="auto"/>
                <w:sz w:val="24"/>
                <w:highlight w:val="none"/>
              </w:rPr>
              <w:t>月</w:t>
            </w:r>
            <w:r>
              <w:rPr>
                <w:rFonts w:hint="eastAsia" w:ascii="宋体" w:hAnsi="宋体" w:cs="宋体"/>
                <w:b/>
                <w:bCs/>
                <w:color w:val="auto"/>
                <w:sz w:val="24"/>
                <w:highlight w:val="none"/>
                <w:lang w:val="en-US" w:eastAsia="zh-CN"/>
              </w:rPr>
              <w:t>22</w:t>
            </w:r>
            <w:r>
              <w:rPr>
                <w:rFonts w:hint="eastAsia" w:ascii="宋体" w:hAnsi="宋体" w:eastAsia="宋体" w:cs="宋体"/>
                <w:b/>
                <w:bCs/>
                <w:color w:val="auto"/>
                <w:sz w:val="24"/>
                <w:highlight w:val="none"/>
              </w:rPr>
              <w:t>日1</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:00 (北京时间)</w:t>
            </w:r>
          </w:p>
        </w:tc>
      </w:tr>
      <w:tr w14:paraId="1B73E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5" w:type="dxa"/>
            <w:noWrap w:val="0"/>
            <w:vAlign w:val="center"/>
          </w:tcPr>
          <w:p w14:paraId="6DED0B3A">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12</w:t>
            </w:r>
          </w:p>
        </w:tc>
        <w:tc>
          <w:tcPr>
            <w:tcW w:w="2664" w:type="dxa"/>
            <w:noWrap w:val="0"/>
            <w:vAlign w:val="center"/>
          </w:tcPr>
          <w:p w14:paraId="5AF6AD73">
            <w:pPr>
              <w:keepNext w:val="0"/>
              <w:keepLines w:val="0"/>
              <w:widowControl/>
              <w:suppressLineNumbers w:val="0"/>
              <w:ind w:firstLine="482" w:firstLineChars="200"/>
              <w:jc w:val="lef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现场踏勘</w:t>
            </w:r>
          </w:p>
        </w:tc>
        <w:tc>
          <w:tcPr>
            <w:tcW w:w="6468" w:type="dxa"/>
            <w:noWrap w:val="0"/>
            <w:vAlign w:val="center"/>
          </w:tcPr>
          <w:p w14:paraId="107FC7C3">
            <w:pPr>
              <w:keepNext w:val="0"/>
              <w:keepLines w:val="0"/>
              <w:widowControl/>
              <w:suppressLineNumbers w:val="0"/>
              <w:jc w:val="left"/>
              <w:rPr>
                <w:rFonts w:hint="eastAsia" w:ascii="宋体" w:hAnsi="宋体" w:eastAsia="宋体" w:cs="宋体"/>
                <w:color w:val="auto"/>
                <w:sz w:val="24"/>
                <w:highlight w:val="none"/>
                <w:lang w:eastAsia="zh-CN"/>
              </w:rPr>
            </w:pPr>
            <w:r>
              <w:rPr>
                <w:rFonts w:hint="eastAsia" w:ascii="宋体" w:hAnsi="宋体" w:eastAsia="宋体" w:cs="宋体"/>
                <w:color w:val="000000"/>
                <w:kern w:val="0"/>
                <w:sz w:val="24"/>
                <w:szCs w:val="24"/>
                <w:lang w:val="en-US" w:eastAsia="zh-CN" w:bidi="ar"/>
              </w:rPr>
              <w:t>不组织，供应商根据需要自行踏勘。</w:t>
            </w:r>
          </w:p>
        </w:tc>
      </w:tr>
      <w:tr w14:paraId="17DEE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23B6A60D">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13</w:t>
            </w:r>
          </w:p>
        </w:tc>
        <w:tc>
          <w:tcPr>
            <w:tcW w:w="2664" w:type="dxa"/>
            <w:noWrap w:val="0"/>
            <w:vAlign w:val="center"/>
          </w:tcPr>
          <w:p w14:paraId="109FC457">
            <w:pPr>
              <w:pStyle w:val="86"/>
              <w:keepNext w:val="0"/>
              <w:keepLines w:val="0"/>
              <w:pageBreakBefore w:val="0"/>
              <w:widowControl w:val="0"/>
              <w:kinsoku/>
              <w:wordWrap/>
              <w:overflowPunct/>
              <w:topLinePunct w:val="0"/>
              <w:autoSpaceDE/>
              <w:autoSpaceDN/>
              <w:bidi w:val="0"/>
              <w:adjustRightInd/>
              <w:snapToGrid/>
              <w:spacing w:line="440" w:lineRule="exact"/>
              <w:ind w:firstLine="482" w:firstLineChars="20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lang w:val="en-US" w:eastAsia="zh-CN"/>
              </w:rPr>
              <w:t>投标</w:t>
            </w:r>
            <w:r>
              <w:rPr>
                <w:rFonts w:hint="eastAsia" w:ascii="宋体" w:hAnsi="宋体" w:eastAsia="宋体" w:cs="宋体"/>
                <w:b/>
                <w:bCs/>
                <w:color w:val="auto"/>
                <w:kern w:val="2"/>
                <w:sz w:val="24"/>
                <w:szCs w:val="24"/>
                <w:highlight w:val="none"/>
              </w:rPr>
              <w:t>文件份数</w:t>
            </w:r>
          </w:p>
        </w:tc>
        <w:tc>
          <w:tcPr>
            <w:tcW w:w="6468" w:type="dxa"/>
            <w:noWrap w:val="0"/>
            <w:vAlign w:val="center"/>
          </w:tcPr>
          <w:p w14:paraId="3FDDF446">
            <w:pPr>
              <w:pStyle w:val="86"/>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☑采用不见面开标：</w:t>
            </w:r>
          </w:p>
          <w:p w14:paraId="2794FAEC">
            <w:pPr>
              <w:pStyle w:val="86"/>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1.本项目采用不见面开标、投标人需要递交电子</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文件，加密的电子</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文件，在投标截止时间前通过政采云平台（https://www.zcygov.cn/）上传到指定位置</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无需递交纸质文件。</w:t>
            </w:r>
          </w:p>
          <w:p w14:paraId="1B038E8A">
            <w:pPr>
              <w:pStyle w:val="86"/>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2.本项目采用远程不见面交易的模式。开标当日，</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无需到达开标现场，仅需在任意地点通过政采云平台（https://www.zcygov.cn/）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0B78C79B">
            <w:pPr>
              <w:pStyle w:val="86"/>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3.远程开标前，投标人务必在政采云平台（https://www.zcygov.cn/）投标文件上传模块中使用“模拟解密”功能，验证本机远程自助解密环境</w:t>
            </w:r>
          </w:p>
          <w:p w14:paraId="458F9778">
            <w:pPr>
              <w:pStyle w:val="86"/>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注:本项目采用线上评标，参与本项目的中标单位，在开标结束后五日内需向采购代理机构提供 3 份纸质版标书(正本 1 份副本 2 份)，一份电子版 U 盘(PDF 格式,并与纸质版标书内容一致)。联系方式:13345441539</w:t>
            </w:r>
          </w:p>
        </w:tc>
      </w:tr>
      <w:tr w14:paraId="44547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C28600D">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14</w:t>
            </w:r>
          </w:p>
        </w:tc>
        <w:tc>
          <w:tcPr>
            <w:tcW w:w="2664" w:type="dxa"/>
            <w:noWrap w:val="0"/>
            <w:vAlign w:val="center"/>
          </w:tcPr>
          <w:p w14:paraId="1F521EAC">
            <w:pPr>
              <w:pStyle w:val="86"/>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开标时间及地点</w:t>
            </w:r>
          </w:p>
        </w:tc>
        <w:tc>
          <w:tcPr>
            <w:tcW w:w="6468" w:type="dxa"/>
            <w:noWrap w:val="0"/>
            <w:vAlign w:val="center"/>
          </w:tcPr>
          <w:p w14:paraId="3D76579E">
            <w:pPr>
              <w:pStyle w:val="103"/>
              <w:keepNext w:val="0"/>
              <w:keepLines w:val="0"/>
              <w:pageBreakBefore w:val="0"/>
              <w:widowControl/>
              <w:kinsoku/>
              <w:wordWrap/>
              <w:overflowPunct/>
              <w:topLinePunct w:val="0"/>
              <w:bidi w:val="0"/>
              <w:adjustRightInd/>
              <w:snapToGrid/>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2"/>
                <w:sz w:val="24"/>
                <w:szCs w:val="24"/>
                <w:highlight w:val="none"/>
              </w:rPr>
              <w:t>☑</w:t>
            </w:r>
            <w:r>
              <w:rPr>
                <w:rFonts w:hint="eastAsia" w:ascii="宋体" w:hAnsi="宋体" w:eastAsia="宋体" w:cs="宋体"/>
                <w:b/>
                <w:color w:val="auto"/>
                <w:kern w:val="2"/>
                <w:sz w:val="24"/>
                <w:szCs w:val="24"/>
                <w:highlight w:val="none"/>
              </w:rPr>
              <w:t>采用</w:t>
            </w:r>
            <w:r>
              <w:rPr>
                <w:rFonts w:hint="eastAsia" w:ascii="宋体" w:hAnsi="宋体" w:eastAsia="宋体" w:cs="宋体"/>
                <w:b/>
                <w:color w:val="auto"/>
                <w:sz w:val="24"/>
                <w:szCs w:val="24"/>
                <w:highlight w:val="none"/>
              </w:rPr>
              <w:t>不见面开标：</w:t>
            </w:r>
          </w:p>
          <w:p w14:paraId="4B37B841">
            <w:pPr>
              <w:pStyle w:val="103"/>
              <w:keepNext w:val="0"/>
              <w:keepLines w:val="0"/>
              <w:pageBreakBefore w:val="0"/>
              <w:kinsoku/>
              <w:wordWrap/>
              <w:overflowPunct/>
              <w:topLinePunct w:val="0"/>
              <w:bidi w:val="0"/>
              <w:adjustRightInd/>
              <w:snapToGrid/>
              <w:spacing w:line="440" w:lineRule="exact"/>
              <w:ind w:leftChars="-1" w:hanging="2" w:hangingChars="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b/>
                <w:bCs/>
                <w:color w:val="auto"/>
                <w:sz w:val="24"/>
                <w:highlight w:val="none"/>
              </w:rPr>
              <w:t>202</w:t>
            </w:r>
            <w:r>
              <w:rPr>
                <w:rFonts w:hint="eastAsia" w:ascii="宋体" w:hAnsi="宋体" w:eastAsia="宋体" w:cs="宋体"/>
                <w:b/>
                <w:bCs/>
                <w:color w:val="auto"/>
                <w:sz w:val="24"/>
                <w:highlight w:val="none"/>
                <w:lang w:val="en-US" w:eastAsia="zh-CN"/>
              </w:rPr>
              <w:t>5</w:t>
            </w:r>
            <w:r>
              <w:rPr>
                <w:rFonts w:hint="eastAsia" w:ascii="宋体" w:hAnsi="宋体" w:eastAsia="宋体" w:cs="宋体"/>
                <w:b/>
                <w:bCs/>
                <w:color w:val="auto"/>
                <w:sz w:val="24"/>
                <w:highlight w:val="none"/>
              </w:rPr>
              <w:t>年</w:t>
            </w:r>
            <w:r>
              <w:rPr>
                <w:rFonts w:hint="eastAsia" w:ascii="宋体" w:hAnsi="宋体" w:eastAsia="宋体" w:cs="宋体"/>
                <w:b/>
                <w:bCs/>
                <w:color w:val="auto"/>
                <w:sz w:val="24"/>
                <w:highlight w:val="none"/>
                <w:lang w:val="en-US" w:eastAsia="zh-CN"/>
              </w:rPr>
              <w:t>04</w:t>
            </w:r>
            <w:r>
              <w:rPr>
                <w:rFonts w:hint="eastAsia" w:ascii="宋体" w:hAnsi="宋体" w:eastAsia="宋体" w:cs="宋体"/>
                <w:b/>
                <w:bCs/>
                <w:color w:val="auto"/>
                <w:sz w:val="24"/>
                <w:highlight w:val="none"/>
              </w:rPr>
              <w:t>月</w:t>
            </w:r>
            <w:r>
              <w:rPr>
                <w:rFonts w:hint="eastAsia" w:ascii="宋体" w:hAnsi="宋体" w:eastAsia="宋体" w:cs="宋体"/>
                <w:b/>
                <w:bCs/>
                <w:color w:val="auto"/>
                <w:sz w:val="24"/>
                <w:highlight w:val="none"/>
                <w:lang w:val="en-US" w:eastAsia="zh-CN"/>
              </w:rPr>
              <w:t>22</w:t>
            </w:r>
            <w:r>
              <w:rPr>
                <w:rFonts w:hint="eastAsia" w:ascii="宋体" w:hAnsi="宋体" w:eastAsia="宋体" w:cs="宋体"/>
                <w:b/>
                <w:bCs/>
                <w:color w:val="auto"/>
                <w:sz w:val="24"/>
                <w:highlight w:val="none"/>
              </w:rPr>
              <w:t>日1</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:00 (北京时间)</w:t>
            </w:r>
            <w:r>
              <w:rPr>
                <w:rFonts w:hint="eastAsia" w:ascii="宋体" w:hAnsi="宋体" w:eastAsia="宋体" w:cs="宋体"/>
                <w:color w:val="auto"/>
                <w:sz w:val="24"/>
                <w:szCs w:val="24"/>
                <w:highlight w:val="none"/>
              </w:rPr>
              <w:t>（逾期未上传的投标文件将被拒绝接收，不符合要求的投标文件将被退回）</w:t>
            </w:r>
          </w:p>
          <w:p w14:paraId="6D81AC6C">
            <w:pPr>
              <w:pStyle w:val="103"/>
              <w:keepNext w:val="0"/>
              <w:keepLines w:val="0"/>
              <w:pageBreakBefore w:val="0"/>
              <w:kinsoku/>
              <w:wordWrap/>
              <w:overflowPunct/>
              <w:topLinePunct w:val="0"/>
              <w:bidi w:val="0"/>
              <w:adjustRightInd/>
              <w:snapToGrid/>
              <w:spacing w:line="440" w:lineRule="exact"/>
              <w:ind w:leftChars="-1" w:hanging="2" w:hangingChars="1"/>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开标地点：政采云平台https://www.zcygov.cn/不见面开标大厅</w:t>
            </w:r>
          </w:p>
          <w:p w14:paraId="1BD20632">
            <w:pPr>
              <w:pStyle w:val="103"/>
              <w:keepNext w:val="0"/>
              <w:keepLines w:val="0"/>
              <w:pageBreakBefore w:val="0"/>
              <w:kinsoku/>
              <w:wordWrap/>
              <w:overflowPunct/>
              <w:topLinePunct w:val="0"/>
              <w:bidi w:val="0"/>
              <w:adjustRightInd/>
              <w:snapToGrid/>
              <w:spacing w:line="44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kern w:val="2"/>
                <w:sz w:val="24"/>
                <w:szCs w:val="24"/>
                <w:highlight w:val="none"/>
              </w:rPr>
              <w:t>不见面开标默认解密时长：</w:t>
            </w:r>
            <w:r>
              <w:rPr>
                <w:rFonts w:hint="eastAsia" w:ascii="宋体" w:hAnsi="宋体" w:eastAsia="宋体" w:cs="宋体"/>
                <w:bCs/>
                <w:color w:val="auto"/>
                <w:kern w:val="2"/>
                <w:sz w:val="24"/>
                <w:szCs w:val="24"/>
                <w:highlight w:val="none"/>
                <w:u w:val="single"/>
                <w:lang w:val="en-US" w:eastAsia="zh-CN"/>
              </w:rPr>
              <w:t>3</w:t>
            </w:r>
            <w:r>
              <w:rPr>
                <w:rFonts w:hint="eastAsia" w:ascii="宋体" w:hAnsi="宋体" w:eastAsia="宋体" w:cs="宋体"/>
                <w:bCs/>
                <w:color w:val="auto"/>
                <w:kern w:val="2"/>
                <w:sz w:val="24"/>
                <w:szCs w:val="24"/>
                <w:highlight w:val="none"/>
                <w:u w:val="single"/>
              </w:rPr>
              <w:t>0分钟</w:t>
            </w:r>
          </w:p>
        </w:tc>
      </w:tr>
      <w:tr w14:paraId="2AA51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43705875">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15</w:t>
            </w:r>
          </w:p>
        </w:tc>
        <w:tc>
          <w:tcPr>
            <w:tcW w:w="2664" w:type="dxa"/>
            <w:noWrap w:val="0"/>
            <w:vAlign w:val="center"/>
          </w:tcPr>
          <w:p w14:paraId="50341E3E">
            <w:pPr>
              <w:pStyle w:val="86"/>
              <w:keepNext w:val="0"/>
              <w:keepLines w:val="0"/>
              <w:pageBreakBefore w:val="0"/>
              <w:kinsoku/>
              <w:wordWrap/>
              <w:overflowPunct/>
              <w:topLinePunct w:val="0"/>
              <w:bidi w:val="0"/>
              <w:spacing w:beforeAutospacing="0" w:afterAutospacing="0" w:line="380" w:lineRule="exact"/>
              <w:ind w:firstLine="241" w:firstLineChars="100"/>
              <w:jc w:val="both"/>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评标委员会的组成</w:t>
            </w:r>
          </w:p>
        </w:tc>
        <w:tc>
          <w:tcPr>
            <w:tcW w:w="6468" w:type="dxa"/>
            <w:noWrap w:val="0"/>
            <w:vAlign w:val="center"/>
          </w:tcPr>
          <w:p w14:paraId="67901185">
            <w:pPr>
              <w:pStyle w:val="83"/>
              <w:keepNext w:val="0"/>
              <w:keepLines w:val="0"/>
              <w:pageBreakBefore w:val="0"/>
              <w:kinsoku/>
              <w:wordWrap/>
              <w:overflowPunct/>
              <w:topLinePunct w:val="0"/>
              <w:bidi w:val="0"/>
              <w:adjustRightInd/>
              <w:snapToGrid/>
              <w:spacing w:beforeAutospacing="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eastAsia="宋体" w:cs="宋体"/>
                <w:color w:val="auto"/>
                <w:kern w:val="0"/>
                <w:sz w:val="24"/>
                <w:szCs w:val="24"/>
                <w:highlight w:val="none"/>
                <w:u w:val="single"/>
              </w:rPr>
              <w:t>5</w:t>
            </w:r>
            <w:r>
              <w:rPr>
                <w:rFonts w:hint="eastAsia" w:ascii="宋体" w:hAnsi="宋体" w:eastAsia="宋体" w:cs="宋体"/>
                <w:color w:val="auto"/>
                <w:sz w:val="24"/>
                <w:szCs w:val="24"/>
                <w:highlight w:val="none"/>
              </w:rPr>
              <w:t>人</w:t>
            </w:r>
          </w:p>
          <w:p w14:paraId="3E429B9B">
            <w:pPr>
              <w:pStyle w:val="86"/>
              <w:keepNext w:val="0"/>
              <w:keepLines w:val="0"/>
              <w:pageBreakBefore w:val="0"/>
              <w:kinsoku/>
              <w:wordWrap/>
              <w:overflowPunct/>
              <w:topLinePunct w:val="0"/>
              <w:bidi w:val="0"/>
              <w:adjustRightInd/>
              <w:snapToGrid/>
              <w:spacing w:beforeAutospacing="0" w:afterAutospacing="0"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rPr>
              <w:t>评委</w:t>
            </w:r>
            <w:r>
              <w:rPr>
                <w:rFonts w:hint="eastAsia" w:ascii="宋体" w:hAnsi="宋体" w:eastAsia="宋体" w:cs="宋体"/>
                <w:color w:val="auto"/>
                <w:kern w:val="2"/>
                <w:sz w:val="24"/>
                <w:szCs w:val="24"/>
                <w:highlight w:val="none"/>
              </w:rPr>
              <w:t>确定方式：开标前于政采云专家库中抽取</w:t>
            </w:r>
          </w:p>
        </w:tc>
      </w:tr>
      <w:tr w14:paraId="3A161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1E37CCC4">
            <w:pPr>
              <w:pStyle w:val="86"/>
              <w:spacing w:line="400" w:lineRule="exact"/>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16</w:t>
            </w:r>
          </w:p>
        </w:tc>
        <w:tc>
          <w:tcPr>
            <w:tcW w:w="2664" w:type="dxa"/>
            <w:noWrap w:val="0"/>
            <w:vAlign w:val="center"/>
          </w:tcPr>
          <w:p w14:paraId="47757AA5">
            <w:pPr>
              <w:pStyle w:val="86"/>
              <w:spacing w:line="400" w:lineRule="exact"/>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投标保证金</w:t>
            </w:r>
          </w:p>
        </w:tc>
        <w:tc>
          <w:tcPr>
            <w:tcW w:w="6468" w:type="dxa"/>
            <w:tcBorders>
              <w:bottom w:val="single" w:color="auto" w:sz="4" w:space="0"/>
            </w:tcBorders>
            <w:noWrap w:val="0"/>
            <w:vAlign w:val="center"/>
          </w:tcPr>
          <w:p w14:paraId="6D05E113">
            <w:pPr>
              <w:spacing w:line="360" w:lineRule="auto"/>
              <w:rPr>
                <w:rFonts w:hint="eastAsia" w:ascii="宋体" w:hAnsi="宋体" w:eastAsia="宋体" w:cs="宋体"/>
                <w:color w:val="auto"/>
                <w:kern w:val="0"/>
                <w:sz w:val="24"/>
                <w:szCs w:val="24"/>
                <w:highlight w:val="none"/>
                <w:lang w:val="en-US" w:eastAsia="zh-CN" w:bidi="ar-SA"/>
              </w:rPr>
            </w:pPr>
            <w:bookmarkStart w:id="20" w:name="OLE_LINK3"/>
            <w:r>
              <w:rPr>
                <w:rFonts w:hint="eastAsia" w:ascii="宋体" w:hAnsi="宋体" w:eastAsia="宋体" w:cs="宋体"/>
                <w:color w:val="auto"/>
                <w:kern w:val="0"/>
                <w:sz w:val="24"/>
                <w:szCs w:val="24"/>
                <w:highlight w:val="none"/>
                <w:lang w:val="en-US" w:eastAsia="zh-CN" w:bidi="ar-SA"/>
              </w:rPr>
              <w:t>投投标保证金的金额：人民币20000元（贰万元整），于2025年04月22日11时00分前（北京时间，以到账时间为准)从投标人基本账户以银行电汇或网银形式汇（打）至指定账户，投标人递交投标保证金应充分考虑资金在途时间。</w:t>
            </w:r>
          </w:p>
          <w:p w14:paraId="7726D540">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单位名称：新疆金锦鑫项目管理咨询服务有限公司</w:t>
            </w:r>
          </w:p>
          <w:p w14:paraId="6B51D1F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开户行：中国建设银行股份有限公司乌鲁木齐中山路支行</w:t>
            </w:r>
          </w:p>
          <w:p w14:paraId="1AC5B374">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账号：65050161685000001364</w:t>
            </w:r>
          </w:p>
          <w:p w14:paraId="06E87500">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行号：105881000964</w:t>
            </w:r>
          </w:p>
          <w:p w14:paraId="0A1DBB6E">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投标保证金的形式：电汇，转账、保函等形式交纳</w:t>
            </w:r>
          </w:p>
          <w:p w14:paraId="07D2A135">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投标保证金有效期：投标截止时间后90天</w:t>
            </w:r>
          </w:p>
          <w:p w14:paraId="1C708FDA">
            <w:pPr>
              <w:pStyle w:val="103"/>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SA"/>
              </w:rPr>
              <w:t>投标保证金缴纳的截止时间为2025年04月22日11时00分前（北京时间），缴纳投标保证金时应在付款用途里标明项目名称，投标保证金以进账时间为准，投标人在缴纳投标保证金时，应充分考虑资金在途时间。</w:t>
            </w:r>
            <w:bookmarkEnd w:id="20"/>
          </w:p>
        </w:tc>
      </w:tr>
      <w:tr w14:paraId="29F61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255EFCC6">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17</w:t>
            </w:r>
          </w:p>
        </w:tc>
        <w:tc>
          <w:tcPr>
            <w:tcW w:w="2664" w:type="dxa"/>
            <w:noWrap w:val="0"/>
            <w:vAlign w:val="center"/>
          </w:tcPr>
          <w:p w14:paraId="569631EC">
            <w:pPr>
              <w:pStyle w:val="86"/>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中小微型企业</w:t>
            </w:r>
          </w:p>
          <w:p w14:paraId="76A0D0E1">
            <w:pPr>
              <w:pStyle w:val="86"/>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有关政策</w:t>
            </w:r>
          </w:p>
        </w:tc>
        <w:tc>
          <w:tcPr>
            <w:tcW w:w="6468" w:type="dxa"/>
            <w:tcBorders>
              <w:top w:val="single" w:color="auto" w:sz="4" w:space="0"/>
            </w:tcBorders>
            <w:noWrap w:val="0"/>
            <w:vAlign w:val="center"/>
          </w:tcPr>
          <w:p w14:paraId="0D7233E2">
            <w:pPr>
              <w:keepNext w:val="0"/>
              <w:keepLines w:val="0"/>
              <w:widowControl/>
              <w:suppressLineNumbers w:val="0"/>
              <w:spacing w:line="360" w:lineRule="auto"/>
              <w:jc w:val="left"/>
            </w:pPr>
            <w:r>
              <w:rPr>
                <w:rFonts w:hint="eastAsia" w:ascii="宋体" w:hAnsi="宋体" w:eastAsia="宋体" w:cs="宋体"/>
                <w:color w:val="000000"/>
                <w:kern w:val="0"/>
                <w:sz w:val="24"/>
                <w:szCs w:val="24"/>
                <w:lang w:val="en-US" w:eastAsia="zh-CN" w:bidi="ar"/>
              </w:rPr>
              <w:t>1.本项目专门面向小微企业，各供应商须提供《中小企业声明函》，否则视为无效投标。</w:t>
            </w:r>
          </w:p>
          <w:p w14:paraId="75940CF3">
            <w:pPr>
              <w:pStyle w:val="2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lang w:eastAsia="zh-CN"/>
              </w:rPr>
            </w:pPr>
            <w:r>
              <w:rPr>
                <w:rFonts w:hint="eastAsia" w:ascii="宋体" w:hAnsi="宋体" w:cs="宋体"/>
                <w:sz w:val="24"/>
                <w:lang w:val="en-US" w:eastAsia="zh-CN"/>
              </w:rPr>
              <w:t>2.</w:t>
            </w:r>
            <w:r>
              <w:rPr>
                <w:rFonts w:hint="eastAsia" w:ascii="宋体" w:hAnsi="宋体" w:eastAsia="宋体" w:cs="宋体"/>
                <w:sz w:val="24"/>
              </w:rPr>
              <w:t>根据工信部等部委发布的《关于印发中小企业划型标准规定的通知》(工信部联企业(2011) 300 号)、财政部、工业和信息化部《政府采购促进中小企业发展管理办法》(财库[2020]46号文)、财政部《关于进一步加大政府采购支持中小企业力度的通知》（财库[2022]19号文）等规定要求，本次采购标的所属行业为</w:t>
            </w:r>
            <w:r>
              <w:rPr>
                <w:rFonts w:hint="eastAsia" w:ascii="宋体" w:hAnsi="宋体" w:eastAsia="宋体" w:cs="宋体"/>
                <w:b/>
                <w:bCs/>
                <w:sz w:val="24"/>
                <w:u w:val="single"/>
              </w:rPr>
              <w:t>租赁和商务服务业</w:t>
            </w:r>
            <w:r>
              <w:rPr>
                <w:rFonts w:hint="eastAsia" w:ascii="宋体" w:hAnsi="宋体" w:eastAsia="宋体" w:cs="宋体"/>
                <w:sz w:val="24"/>
              </w:rPr>
              <w:t>，符合条件的中小企业应按照招标文件格式要求提供《中小企业声明函》</w:t>
            </w:r>
            <w:r>
              <w:rPr>
                <w:rFonts w:hint="eastAsia" w:ascii="宋体" w:hAnsi="宋体" w:cs="宋体"/>
                <w:sz w:val="24"/>
                <w:lang w:eastAsia="zh-CN"/>
              </w:rPr>
              <w:t>。</w:t>
            </w:r>
          </w:p>
        </w:tc>
      </w:tr>
      <w:tr w14:paraId="75149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5" w:type="dxa"/>
            <w:noWrap w:val="0"/>
            <w:vAlign w:val="center"/>
          </w:tcPr>
          <w:p w14:paraId="5E7F12BD">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18</w:t>
            </w:r>
          </w:p>
        </w:tc>
        <w:tc>
          <w:tcPr>
            <w:tcW w:w="2664" w:type="dxa"/>
            <w:noWrap w:val="0"/>
            <w:vAlign w:val="center"/>
          </w:tcPr>
          <w:p w14:paraId="6748B404">
            <w:pPr>
              <w:pStyle w:val="86"/>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评审方法</w:t>
            </w:r>
          </w:p>
        </w:tc>
        <w:tc>
          <w:tcPr>
            <w:tcW w:w="6468" w:type="dxa"/>
            <w:noWrap w:val="0"/>
            <w:vAlign w:val="center"/>
          </w:tcPr>
          <w:p w14:paraId="22C41875">
            <w:pPr>
              <w:pStyle w:val="8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highlight w:val="none"/>
              </w:rPr>
              <w:t xml:space="preserve">资格后审      </w:t>
            </w:r>
            <w:r>
              <w:rPr>
                <w:rFonts w:hint="eastAsia" w:ascii="宋体" w:hAnsi="宋体" w:eastAsia="宋体" w:cs="宋体"/>
                <w:b/>
                <w:bCs/>
                <w:color w:val="auto"/>
                <w:sz w:val="24"/>
                <w:highlight w:val="none"/>
              </w:rPr>
              <w:sym w:font="Wingdings 2" w:char="0052"/>
            </w:r>
            <w:r>
              <w:rPr>
                <w:rFonts w:hint="eastAsia" w:ascii="宋体" w:hAnsi="宋体" w:eastAsia="宋体" w:cs="宋体"/>
                <w:color w:val="auto"/>
                <w:sz w:val="24"/>
                <w:highlight w:val="none"/>
              </w:rPr>
              <w:t xml:space="preserve">综合评分法     </w:t>
            </w:r>
          </w:p>
          <w:p w14:paraId="72BD7E7F">
            <w:pPr>
              <w:pStyle w:val="8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注：综合评分法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是指在最大限度地满足</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文件实质性要求前提下，按照</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文件中规定的评分细则评审后，以评标最终得分最高的投标人作为中标人的评标方法。每一投标人的最终得分为所有评委评分的算术平均值</w:t>
            </w:r>
            <w:r>
              <w:rPr>
                <w:rFonts w:hint="eastAsia" w:ascii="宋体" w:hAnsi="宋体" w:eastAsia="宋体" w:cs="宋体"/>
                <w:b/>
                <w:color w:val="auto"/>
                <w:sz w:val="24"/>
                <w:highlight w:val="none"/>
              </w:rPr>
              <w:t>。</w:t>
            </w:r>
            <w:r>
              <w:rPr>
                <w:rFonts w:hint="eastAsia" w:ascii="宋体" w:hAnsi="宋体" w:eastAsia="宋体" w:cs="宋体"/>
                <w:color w:val="auto"/>
                <w:sz w:val="24"/>
                <w:highlight w:val="none"/>
              </w:rPr>
              <w:t>得分相同的，报价较低的一方为中标人。得分且投标报价相同的，技术指标较优的一方为中标人。</w:t>
            </w:r>
          </w:p>
        </w:tc>
      </w:tr>
      <w:tr w14:paraId="1B48B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35" w:type="dxa"/>
            <w:noWrap w:val="0"/>
            <w:vAlign w:val="center"/>
          </w:tcPr>
          <w:p w14:paraId="622187B1">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19</w:t>
            </w:r>
          </w:p>
        </w:tc>
        <w:tc>
          <w:tcPr>
            <w:tcW w:w="2664" w:type="dxa"/>
            <w:noWrap w:val="0"/>
            <w:vAlign w:val="center"/>
          </w:tcPr>
          <w:p w14:paraId="3ABC6BE5">
            <w:pPr>
              <w:pStyle w:val="86"/>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履约保证金</w:t>
            </w:r>
          </w:p>
        </w:tc>
        <w:tc>
          <w:tcPr>
            <w:tcW w:w="6468" w:type="dxa"/>
            <w:noWrap w:val="0"/>
            <w:vAlign w:val="center"/>
          </w:tcPr>
          <w:p w14:paraId="44C1A6AF">
            <w:pPr>
              <w:pStyle w:val="8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sym w:font="Wingdings 2" w:char="0052"/>
            </w:r>
            <w:r>
              <w:rPr>
                <w:rFonts w:hint="eastAsia" w:ascii="宋体" w:hAnsi="宋体" w:eastAsia="宋体" w:cs="宋体"/>
                <w:color w:val="auto"/>
                <w:sz w:val="24"/>
                <w:highlight w:val="none"/>
              </w:rPr>
              <w:t>不交纳</w:t>
            </w:r>
          </w:p>
        </w:tc>
      </w:tr>
      <w:tr w14:paraId="3768D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35" w:type="dxa"/>
            <w:noWrap w:val="0"/>
            <w:vAlign w:val="center"/>
          </w:tcPr>
          <w:p w14:paraId="58A47B75">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20</w:t>
            </w:r>
          </w:p>
        </w:tc>
        <w:tc>
          <w:tcPr>
            <w:tcW w:w="2664" w:type="dxa"/>
            <w:noWrap w:val="0"/>
            <w:vAlign w:val="center"/>
          </w:tcPr>
          <w:p w14:paraId="7FD8B266">
            <w:pPr>
              <w:pStyle w:val="86"/>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招标</w:t>
            </w:r>
            <w:r>
              <w:rPr>
                <w:rFonts w:hint="eastAsia" w:ascii="宋体" w:hAnsi="宋体" w:eastAsia="宋体" w:cs="宋体"/>
                <w:b/>
                <w:color w:val="auto"/>
                <w:sz w:val="24"/>
                <w:highlight w:val="none"/>
              </w:rPr>
              <w:t>代理服务费</w:t>
            </w:r>
          </w:p>
        </w:tc>
        <w:tc>
          <w:tcPr>
            <w:tcW w:w="6468" w:type="dxa"/>
            <w:noWrap w:val="0"/>
            <w:vAlign w:val="center"/>
          </w:tcPr>
          <w:p w14:paraId="2F85B5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本项目招标代理服务费：由中标人支付。 </w:t>
            </w:r>
          </w:p>
          <w:p w14:paraId="4182884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4"/>
                <w:szCs w:val="24"/>
                <w:highlight w:val="none"/>
                <w:lang w:val="en-US" w:eastAsia="zh-CN" w:bidi="ar-SA"/>
              </w:rPr>
              <w:t>收取标准参考国家发展计划委员会“计价格（2002）1980号”文件收取。</w:t>
            </w:r>
          </w:p>
        </w:tc>
      </w:tr>
      <w:tr w14:paraId="0C3FB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35" w:type="dxa"/>
            <w:noWrap w:val="0"/>
            <w:vAlign w:val="center"/>
          </w:tcPr>
          <w:p w14:paraId="79BA79F2">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21</w:t>
            </w:r>
          </w:p>
        </w:tc>
        <w:tc>
          <w:tcPr>
            <w:tcW w:w="2664" w:type="dxa"/>
            <w:noWrap w:val="0"/>
            <w:vAlign w:val="center"/>
          </w:tcPr>
          <w:p w14:paraId="4BF33A44">
            <w:pPr>
              <w:pStyle w:val="86"/>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★合同履行期限</w:t>
            </w:r>
          </w:p>
        </w:tc>
        <w:tc>
          <w:tcPr>
            <w:tcW w:w="6468" w:type="dxa"/>
            <w:noWrap w:val="0"/>
            <w:vAlign w:val="center"/>
          </w:tcPr>
          <w:p w14:paraId="0C9A4527">
            <w:pPr>
              <w:pStyle w:val="86"/>
              <w:keepNext w:val="0"/>
              <w:keepLines w:val="0"/>
              <w:pageBreakBefore w:val="0"/>
              <w:kinsoku/>
              <w:wordWrap/>
              <w:overflowPunct/>
              <w:topLinePunct w:val="0"/>
              <w:bidi w:val="0"/>
              <w:snapToGrid/>
              <w:spacing w:line="360" w:lineRule="auto"/>
              <w:jc w:val="both"/>
              <w:textAlignment w:val="auto"/>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自合同签订之日起</w:t>
            </w:r>
            <w:r>
              <w:rPr>
                <w:rFonts w:hint="eastAsia" w:ascii="宋体" w:hAnsi="宋体" w:cs="宋体"/>
                <w:color w:val="auto"/>
                <w:kern w:val="0"/>
                <w:sz w:val="24"/>
                <w:szCs w:val="24"/>
                <w:highlight w:val="none"/>
                <w:lang w:val="en-US" w:eastAsia="zh-CN"/>
              </w:rPr>
              <w:t>1年</w:t>
            </w:r>
          </w:p>
          <w:p w14:paraId="3382E37A">
            <w:pPr>
              <w:pStyle w:val="90"/>
              <w:rPr>
                <w:rFonts w:hint="default" w:eastAsia="宋体"/>
                <w:lang w:val="en-US" w:eastAsia="zh-CN"/>
              </w:rPr>
            </w:pPr>
            <w:r>
              <w:rPr>
                <w:rFonts w:hint="eastAsia" w:ascii="宋体" w:hAnsi="宋体" w:cs="宋体"/>
                <w:color w:val="auto"/>
                <w:kern w:val="0"/>
                <w:sz w:val="24"/>
                <w:szCs w:val="24"/>
                <w:highlight w:val="none"/>
                <w:lang w:val="en-US" w:eastAsia="zh-CN"/>
              </w:rPr>
              <w:t>注：</w:t>
            </w:r>
          </w:p>
        </w:tc>
      </w:tr>
      <w:tr w14:paraId="7C414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5" w:type="dxa"/>
            <w:noWrap w:val="0"/>
            <w:vAlign w:val="center"/>
          </w:tcPr>
          <w:p w14:paraId="67FB13E4">
            <w:pPr>
              <w:pStyle w:val="86"/>
              <w:spacing w:line="400" w:lineRule="exact"/>
              <w:jc w:val="center"/>
              <w:rPr>
                <w:rFonts w:hint="eastAsia" w:ascii="宋体" w:hAnsi="宋体" w:eastAsia="宋体" w:cs="宋体"/>
                <w:b/>
                <w:color w:val="FF0000"/>
                <w:sz w:val="24"/>
                <w:highlight w:val="none"/>
                <w:lang w:val="en-US" w:eastAsia="zh-CN"/>
              </w:rPr>
            </w:pPr>
            <w:r>
              <w:rPr>
                <w:rFonts w:hint="eastAsia" w:ascii="宋体" w:hAnsi="宋体" w:eastAsia="宋体" w:cs="宋体"/>
                <w:b/>
                <w:color w:val="auto"/>
                <w:sz w:val="24"/>
                <w:highlight w:val="none"/>
                <w:lang w:val="en-US" w:eastAsia="zh-CN"/>
              </w:rPr>
              <w:t>22</w:t>
            </w:r>
          </w:p>
        </w:tc>
        <w:tc>
          <w:tcPr>
            <w:tcW w:w="2664" w:type="dxa"/>
            <w:noWrap w:val="0"/>
            <w:vAlign w:val="center"/>
          </w:tcPr>
          <w:p w14:paraId="6CE93EC6">
            <w:pPr>
              <w:pStyle w:val="86"/>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付款方式</w:t>
            </w:r>
          </w:p>
        </w:tc>
        <w:tc>
          <w:tcPr>
            <w:tcW w:w="6468" w:type="dxa"/>
            <w:noWrap w:val="0"/>
            <w:vAlign w:val="center"/>
          </w:tcPr>
          <w:p w14:paraId="425A788B">
            <w:pPr>
              <w:keepNext w:val="0"/>
              <w:keepLines w:val="0"/>
              <w:widowControl/>
              <w:suppressLineNumbers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2"/>
                <w:highlight w:val="none"/>
                <w:lang w:val="en-US" w:eastAsia="zh-CN" w:bidi="ar-SA"/>
              </w:rPr>
              <w:t>按照合同约定执行</w:t>
            </w:r>
          </w:p>
        </w:tc>
      </w:tr>
      <w:tr w14:paraId="787ED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35" w:type="dxa"/>
            <w:noWrap w:val="0"/>
            <w:vAlign w:val="center"/>
          </w:tcPr>
          <w:p w14:paraId="11D51C3E">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23</w:t>
            </w:r>
          </w:p>
        </w:tc>
        <w:tc>
          <w:tcPr>
            <w:tcW w:w="2664" w:type="dxa"/>
            <w:noWrap w:val="0"/>
            <w:vAlign w:val="center"/>
          </w:tcPr>
          <w:p w14:paraId="6E5800F9">
            <w:pPr>
              <w:pStyle w:val="86"/>
              <w:keepNext w:val="0"/>
              <w:keepLines w:val="0"/>
              <w:pageBreakBefore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bCs/>
                <w:color w:val="auto"/>
                <w:sz w:val="24"/>
                <w:highlight w:val="none"/>
              </w:rPr>
            </w:pPr>
            <w:r>
              <w:rPr>
                <w:rFonts w:hint="eastAsia" w:ascii="宋体" w:hAnsi="宋体" w:eastAsia="宋体" w:cs="宋体"/>
                <w:b/>
                <w:bCs/>
                <w:color w:val="auto"/>
                <w:szCs w:val="21"/>
                <w:highlight w:val="none"/>
              </w:rPr>
              <w:t>★</w:t>
            </w:r>
            <w:r>
              <w:rPr>
                <w:rFonts w:hint="eastAsia" w:ascii="宋体" w:hAnsi="宋体" w:eastAsia="宋体" w:cs="宋体"/>
                <w:b/>
                <w:bCs/>
                <w:color w:val="auto"/>
                <w:sz w:val="24"/>
                <w:highlight w:val="none"/>
              </w:rPr>
              <w:t>最高限价</w:t>
            </w:r>
          </w:p>
        </w:tc>
        <w:tc>
          <w:tcPr>
            <w:tcW w:w="6468" w:type="dxa"/>
            <w:noWrap w:val="0"/>
            <w:vAlign w:val="center"/>
          </w:tcPr>
          <w:p w14:paraId="7C5CBFAA">
            <w:pPr>
              <w:pStyle w:val="86"/>
              <w:keepNext w:val="0"/>
              <w:keepLines w:val="0"/>
              <w:pageBreakBefore w:val="0"/>
              <w:kinsoku/>
              <w:wordWrap/>
              <w:overflowPunct/>
              <w:topLinePunct w:val="0"/>
              <w:autoSpaceDE w:val="0"/>
              <w:autoSpaceDN w:val="0"/>
              <w:bidi w:val="0"/>
              <w:adjustRightInd w:val="0"/>
              <w:snapToGrid/>
              <w:spacing w:line="360" w:lineRule="auto"/>
              <w:jc w:val="both"/>
              <w:textAlignment w:val="auto"/>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4590000元</w:t>
            </w:r>
          </w:p>
        </w:tc>
      </w:tr>
      <w:tr w14:paraId="7384D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35" w:type="dxa"/>
            <w:noWrap w:val="0"/>
            <w:vAlign w:val="center"/>
          </w:tcPr>
          <w:p w14:paraId="03D9FA43">
            <w:pPr>
              <w:pStyle w:val="86"/>
              <w:spacing w:line="40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24</w:t>
            </w:r>
          </w:p>
        </w:tc>
        <w:tc>
          <w:tcPr>
            <w:tcW w:w="2664" w:type="dxa"/>
            <w:noWrap w:val="0"/>
            <w:vAlign w:val="center"/>
          </w:tcPr>
          <w:p w14:paraId="6F104E59">
            <w:pPr>
              <w:pStyle w:val="83"/>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其他</w:t>
            </w:r>
          </w:p>
        </w:tc>
        <w:tc>
          <w:tcPr>
            <w:tcW w:w="6468" w:type="dxa"/>
            <w:noWrap w:val="0"/>
            <w:vAlign w:val="center"/>
          </w:tcPr>
          <w:p w14:paraId="29B11046">
            <w:pPr>
              <w:pStyle w:val="8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本项目采用不见面开标，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法定代表人或其委托代理人无需到达开标现场，仅需在任意地点通过政采云平台（https://www.zcygov.cn/），使用CA密钥完成远程解密、提疑澄清、开标唱标、结果公布等交互环节。法定代表人或法定代表人授权委托人参与远程交互，中途不得更换，在废标、澄清、提疑、传送文件等特殊情况下需要交互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一端参与交互的人员将均被视为是</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的授权委托人或法人代表，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不得以不承认交互人员的资格或身份等为借口推脱，</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自行承担随意更换人员所导致的一切后果。</w:t>
            </w:r>
          </w:p>
        </w:tc>
      </w:tr>
      <w:tr w14:paraId="092ED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735" w:type="dxa"/>
            <w:noWrap w:val="0"/>
            <w:vAlign w:val="center"/>
          </w:tcPr>
          <w:p w14:paraId="1F87ED3C">
            <w:pPr>
              <w:pStyle w:val="86"/>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注意事项</w:t>
            </w:r>
          </w:p>
        </w:tc>
        <w:tc>
          <w:tcPr>
            <w:tcW w:w="9132" w:type="dxa"/>
            <w:gridSpan w:val="2"/>
            <w:noWrap w:val="0"/>
            <w:vAlign w:val="center"/>
          </w:tcPr>
          <w:p w14:paraId="612F1CBD">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t>第六部分</w:t>
            </w:r>
            <w:r>
              <w:rPr>
                <w:rFonts w:hint="eastAsia" w:ascii="宋体" w:hAnsi="宋体" w:eastAsia="宋体" w:cs="宋体"/>
                <w:b/>
                <w:bCs/>
                <w:color w:val="auto"/>
                <w:sz w:val="24"/>
                <w:highlight w:val="none"/>
                <w:lang w:val="en-US" w:eastAsia="zh-CN"/>
              </w:rPr>
              <w:t>投标</w:t>
            </w:r>
            <w:r>
              <w:rPr>
                <w:rFonts w:hint="eastAsia" w:ascii="宋体" w:hAnsi="宋体" w:eastAsia="宋体" w:cs="宋体"/>
                <w:b/>
                <w:bCs/>
                <w:color w:val="auto"/>
                <w:sz w:val="24"/>
                <w:highlight w:val="none"/>
              </w:rPr>
              <w:t>文件格式文件要求盖单位章、签字的地方，供应商均应加盖供应商的单位章，法定代表人或授权委托人均应盖章或签字。</w:t>
            </w:r>
          </w:p>
        </w:tc>
      </w:tr>
      <w:tr w14:paraId="48106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28855207">
            <w:pPr>
              <w:pStyle w:val="86"/>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9132" w:type="dxa"/>
            <w:gridSpan w:val="2"/>
            <w:noWrap w:val="0"/>
            <w:vAlign w:val="center"/>
          </w:tcPr>
          <w:p w14:paraId="060C0C94">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有下列情况之一的，采购响应无效：</w:t>
            </w:r>
          </w:p>
          <w:p w14:paraId="4A8A83D7">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1.供应商不具备《中华人民共和国政府采购法》第二十二条规定条件；</w:t>
            </w:r>
          </w:p>
          <w:p w14:paraId="2485D0CE">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w:t>
            </w:r>
            <w:r>
              <w:rPr>
                <w:rFonts w:hint="eastAsia" w:ascii="宋体" w:hAnsi="宋体" w:eastAsia="宋体" w:cs="宋体"/>
                <w:bCs/>
                <w:color w:val="auto"/>
                <w:sz w:val="24"/>
                <w:highlight w:val="none"/>
                <w:lang w:val="en-US" w:eastAsia="zh-CN"/>
              </w:rPr>
              <w:t>投标</w:t>
            </w:r>
            <w:r>
              <w:rPr>
                <w:rFonts w:hint="eastAsia" w:ascii="宋体" w:hAnsi="宋体" w:eastAsia="宋体" w:cs="宋体"/>
                <w:bCs/>
                <w:color w:val="auto"/>
                <w:sz w:val="24"/>
                <w:highlight w:val="none"/>
              </w:rPr>
              <w:t>文件没有按</w:t>
            </w:r>
            <w:r>
              <w:rPr>
                <w:rFonts w:hint="eastAsia" w:ascii="宋体" w:hAnsi="宋体" w:eastAsia="宋体" w:cs="宋体"/>
                <w:bCs/>
                <w:color w:val="auto"/>
                <w:sz w:val="24"/>
                <w:highlight w:val="none"/>
                <w:lang w:val="en-US" w:eastAsia="zh-CN"/>
              </w:rPr>
              <w:t>招标</w:t>
            </w:r>
            <w:r>
              <w:rPr>
                <w:rFonts w:hint="eastAsia" w:ascii="宋体" w:hAnsi="宋体" w:eastAsia="宋体" w:cs="宋体"/>
                <w:bCs/>
                <w:color w:val="auto"/>
                <w:sz w:val="24"/>
                <w:highlight w:val="none"/>
              </w:rPr>
              <w:t>文件的要求盖章或签字；</w:t>
            </w:r>
          </w:p>
          <w:p w14:paraId="709837C5">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3.供应商不符合资格条件；</w:t>
            </w:r>
          </w:p>
          <w:p w14:paraId="0CDF3972">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w:t>
            </w:r>
            <w:r>
              <w:rPr>
                <w:rFonts w:hint="eastAsia" w:ascii="宋体" w:hAnsi="宋体" w:eastAsia="宋体" w:cs="宋体"/>
                <w:bCs/>
                <w:color w:val="auto"/>
                <w:sz w:val="24"/>
                <w:highlight w:val="none"/>
                <w:lang w:val="en-US" w:eastAsia="zh-CN"/>
              </w:rPr>
              <w:t>投标</w:t>
            </w:r>
            <w:r>
              <w:rPr>
                <w:rFonts w:hint="eastAsia" w:ascii="宋体" w:hAnsi="宋体" w:eastAsia="宋体" w:cs="宋体"/>
                <w:bCs/>
                <w:color w:val="auto"/>
                <w:sz w:val="24"/>
                <w:highlight w:val="none"/>
              </w:rPr>
              <w:t>文件提供虚假材料；</w:t>
            </w:r>
          </w:p>
          <w:p w14:paraId="3D32F70F">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.供应商报价不确定或超过采购文件中列出的最高限价；</w:t>
            </w:r>
          </w:p>
          <w:p w14:paraId="29D08998">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rPr>
              <w:t>.供应商未按采购文件要求交纳投标保证金；</w:t>
            </w:r>
          </w:p>
          <w:p w14:paraId="280E4CB9">
            <w:pPr>
              <w:pStyle w:val="8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rPr>
              <w:t>.供应商提供可调整的投标方案和报价；</w:t>
            </w:r>
          </w:p>
          <w:p w14:paraId="3EFF67F2">
            <w:pPr>
              <w:pStyle w:val="8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rPr>
              <w:t>.供应商</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文件填报的内容不详，或没有提供采购文件中所要求的全部资料及数据的；</w:t>
            </w:r>
          </w:p>
          <w:p w14:paraId="62121B2B">
            <w:pPr>
              <w:pStyle w:val="8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lang w:val="en-US" w:eastAsia="zh-CN"/>
              </w:rPr>
              <w:t>9</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文件须严格按照采购文件第六部分规定的格式提交，并按规定的统一格式逐项填写，不准有空项；无相应内容可填的项，应填写“无”、“未测试”、“没有相应指标”等明确的回答文字。由于编排混乱导致</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文件被误读或查找不到，其责任由供应商承担。</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文件未按规定提交或留有空项，将被视为不完整响应的</w:t>
            </w:r>
            <w:r>
              <w:rPr>
                <w:rFonts w:hint="eastAsia" w:ascii="宋体" w:hAnsi="宋体" w:eastAsia="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rPr>
              <w:t>文件，其投标有可能被拒绝</w:t>
            </w:r>
            <w:r>
              <w:rPr>
                <w:rFonts w:hint="eastAsia" w:ascii="宋体" w:hAnsi="宋体" w:eastAsia="宋体" w:cs="宋体"/>
                <w:b/>
                <w:color w:val="auto"/>
                <w:kern w:val="2"/>
                <w:sz w:val="24"/>
                <w:szCs w:val="24"/>
                <w:highlight w:val="none"/>
              </w:rPr>
              <w:t>；</w:t>
            </w:r>
          </w:p>
          <w:p w14:paraId="259DDC6E">
            <w:pPr>
              <w:pStyle w:val="86"/>
              <w:keepNext w:val="0"/>
              <w:keepLines w:val="0"/>
              <w:pageBreakBefore w:val="0"/>
              <w:widowControl w:val="0"/>
              <w:kinsoku/>
              <w:wordWrap/>
              <w:overflowPunct/>
              <w:topLinePunct w:val="0"/>
              <w:autoSpaceDE/>
              <w:autoSpaceDN/>
              <w:bidi w:val="0"/>
              <w:adjustRightInd/>
              <w:snapToGrid/>
              <w:spacing w:line="360" w:lineRule="auto"/>
              <w:ind w:right="-1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rPr>
              <w:t>.法律、法规、规章及采购文件中规定属于响应无效的其他情形。</w:t>
            </w:r>
          </w:p>
        </w:tc>
      </w:tr>
      <w:tr w14:paraId="6A08C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479D8752">
            <w:pPr>
              <w:pStyle w:val="86"/>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报价要求</w:t>
            </w:r>
            <w:r>
              <w:rPr>
                <w:rFonts w:hint="eastAsia" w:ascii="宋体" w:hAnsi="宋体" w:eastAsia="宋体" w:cs="宋体"/>
                <w:color w:val="auto"/>
                <w:szCs w:val="21"/>
                <w:highlight w:val="none"/>
                <w:lang w:val="zh-TW" w:eastAsia="zh-TW"/>
              </w:rPr>
              <w:t>★</w:t>
            </w:r>
          </w:p>
        </w:tc>
        <w:tc>
          <w:tcPr>
            <w:tcW w:w="9132" w:type="dxa"/>
            <w:gridSpan w:val="2"/>
            <w:noWrap w:val="0"/>
            <w:vAlign w:val="center"/>
          </w:tcPr>
          <w:p w14:paraId="5CB6F5E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投标人报价内应当包含税收等伴随服务的一切费用，此类费用包含在报价内，不得单独列出。</w:t>
            </w:r>
          </w:p>
        </w:tc>
      </w:tr>
    </w:tbl>
    <w:p w14:paraId="33E0152B">
      <w:pPr>
        <w:pStyle w:val="85"/>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注：1、本表内容与</w:t>
      </w:r>
      <w:r>
        <w:rPr>
          <w:rFonts w:hint="eastAsia" w:ascii="宋体" w:hAnsi="宋体" w:eastAsia="宋体" w:cs="宋体"/>
          <w:color w:val="auto"/>
          <w:sz w:val="24"/>
          <w:szCs w:val="22"/>
          <w:highlight w:val="none"/>
          <w:lang w:val="en-US" w:eastAsia="zh-CN"/>
        </w:rPr>
        <w:t>招标</w:t>
      </w:r>
      <w:r>
        <w:rPr>
          <w:rFonts w:hint="eastAsia" w:ascii="宋体" w:hAnsi="宋体" w:eastAsia="宋体" w:cs="宋体"/>
          <w:color w:val="auto"/>
          <w:sz w:val="24"/>
          <w:szCs w:val="22"/>
          <w:highlight w:val="none"/>
        </w:rPr>
        <w:t>文件其它内容不一致的，应当以本表内容为准。</w:t>
      </w:r>
    </w:p>
    <w:p w14:paraId="584CDC85">
      <w:pPr>
        <w:pStyle w:val="85"/>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outlineLvl w:val="1"/>
        <w:rPr>
          <w:rFonts w:hint="eastAsia" w:ascii="宋体" w:hAnsi="宋体" w:eastAsia="宋体" w:cs="宋体"/>
          <w:color w:val="auto"/>
          <w:sz w:val="24"/>
          <w:szCs w:val="22"/>
          <w:highlight w:val="none"/>
        </w:rPr>
      </w:pPr>
      <w:bookmarkStart w:id="21" w:name="_Toc23727"/>
      <w:r>
        <w:rPr>
          <w:rFonts w:hint="eastAsia" w:ascii="宋体" w:hAnsi="宋体" w:eastAsia="宋体" w:cs="宋体"/>
          <w:color w:val="auto"/>
          <w:sz w:val="24"/>
          <w:szCs w:val="22"/>
          <w:highlight w:val="none"/>
        </w:rPr>
        <w:t>2、本表中“</w:t>
      </w:r>
      <w:r>
        <w:rPr>
          <w:rFonts w:hint="eastAsia" w:ascii="宋体" w:hAnsi="宋体" w:eastAsia="宋体" w:cs="宋体"/>
          <w:color w:val="auto"/>
          <w:sz w:val="24"/>
          <w:szCs w:val="22"/>
          <w:highlight w:val="none"/>
        </w:rPr>
        <w:fldChar w:fldCharType="begin"/>
      </w:r>
      <w:r>
        <w:rPr>
          <w:rFonts w:hint="eastAsia" w:ascii="宋体" w:hAnsi="宋体" w:eastAsia="宋体" w:cs="宋体"/>
          <w:color w:val="auto"/>
          <w:sz w:val="24"/>
          <w:szCs w:val="22"/>
          <w:highlight w:val="none"/>
        </w:rPr>
        <w:instrText xml:space="preserve"> eq \o\ac(□,√)</w:instrText>
      </w:r>
      <w:r>
        <w:rPr>
          <w:rFonts w:hint="eastAsia" w:ascii="宋体" w:hAnsi="宋体" w:eastAsia="宋体" w:cs="宋体"/>
          <w:color w:val="auto"/>
          <w:sz w:val="24"/>
          <w:szCs w:val="22"/>
          <w:highlight w:val="none"/>
        </w:rPr>
        <w:fldChar w:fldCharType="end"/>
      </w:r>
      <w:r>
        <w:rPr>
          <w:rFonts w:hint="eastAsia" w:ascii="宋体" w:hAnsi="宋体" w:eastAsia="宋体" w:cs="宋体"/>
          <w:color w:val="auto"/>
          <w:sz w:val="24"/>
          <w:szCs w:val="22"/>
          <w:highlight w:val="none"/>
        </w:rPr>
        <w:t>”标示选择使用该项，“□”标示不选择使用该项。</w:t>
      </w:r>
      <w:bookmarkEnd w:id="21"/>
      <w:bookmarkStart w:id="22" w:name="EB61dc4c9ac9c04154b29a6c247670320a"/>
      <w:bookmarkEnd w:id="22"/>
    </w:p>
    <w:p w14:paraId="1B94FCF0">
      <w:pPr>
        <w:pStyle w:val="85"/>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4"/>
          <w:highlight w:val="none"/>
        </w:rPr>
        <w:t>3、本表中加</w:t>
      </w:r>
      <w:r>
        <w:rPr>
          <w:rFonts w:hint="eastAsia" w:ascii="宋体" w:hAnsi="宋体" w:eastAsia="宋体" w:cs="宋体"/>
          <w:color w:val="auto"/>
          <w:sz w:val="21"/>
          <w:szCs w:val="21"/>
          <w:highlight w:val="none"/>
          <w:lang w:val="zh-TW" w:eastAsia="zh-TW"/>
        </w:rPr>
        <w:t>★</w:t>
      </w:r>
      <w:r>
        <w:rPr>
          <w:rFonts w:hint="eastAsia" w:ascii="宋体" w:hAnsi="宋体" w:eastAsia="宋体" w:cs="宋体"/>
          <w:color w:val="auto"/>
          <w:sz w:val="24"/>
          <w:szCs w:val="24"/>
          <w:highlight w:val="none"/>
        </w:rPr>
        <w:t>项目为实质性要求，若有缺失或无效，按无效投标处理。</w:t>
      </w:r>
    </w:p>
    <w:p w14:paraId="42968B66">
      <w:pPr>
        <w:pStyle w:val="83"/>
        <w:spacing w:line="500" w:lineRule="exact"/>
        <w:jc w:val="center"/>
        <w:outlineLvl w:val="1"/>
        <w:rPr>
          <w:rFonts w:hint="eastAsia" w:ascii="宋体" w:hAnsi="宋体" w:eastAsia="宋体" w:cs="宋体"/>
          <w:b/>
          <w:color w:val="auto"/>
          <w:sz w:val="28"/>
          <w:szCs w:val="28"/>
          <w:highlight w:val="none"/>
        </w:rPr>
      </w:pPr>
      <w:bookmarkStart w:id="23" w:name="_Toc11373"/>
      <w:bookmarkStart w:id="24" w:name="_Toc5224"/>
      <w:bookmarkStart w:id="25" w:name="_Toc15755"/>
      <w:bookmarkStart w:id="26" w:name="_Toc519111259"/>
    </w:p>
    <w:p w14:paraId="3F6196B1">
      <w:pPr>
        <w:pStyle w:val="83"/>
        <w:spacing w:line="240" w:lineRule="auto"/>
        <w:jc w:val="center"/>
        <w:outlineLvl w:val="1"/>
        <w:rPr>
          <w:rFonts w:hint="eastAsia" w:ascii="宋体" w:hAnsi="宋体" w:eastAsia="宋体" w:cs="宋体"/>
          <w:b/>
          <w:color w:val="auto"/>
          <w:sz w:val="28"/>
          <w:szCs w:val="28"/>
          <w:highlight w:val="none"/>
        </w:rPr>
        <w:sectPr>
          <w:pgSz w:w="11907" w:h="16840"/>
          <w:pgMar w:top="1134" w:right="1134" w:bottom="1134" w:left="1134" w:header="851" w:footer="851" w:gutter="0"/>
          <w:pgNumType w:fmt="decimal"/>
          <w:cols w:space="720" w:num="1"/>
          <w:titlePg/>
          <w:docGrid w:linePitch="462" w:charSpace="0"/>
        </w:sectPr>
      </w:pPr>
    </w:p>
    <w:p w14:paraId="3113C939">
      <w:pPr>
        <w:pStyle w:val="83"/>
        <w:spacing w:line="240" w:lineRule="auto"/>
        <w:jc w:val="center"/>
        <w:outlineLvl w:val="1"/>
        <w:rPr>
          <w:rFonts w:hint="eastAsia" w:ascii="宋体" w:hAnsi="宋体" w:eastAsia="宋体" w:cs="宋体"/>
          <w:b/>
          <w:bCs/>
          <w:color w:val="auto"/>
          <w:kern w:val="0"/>
          <w:sz w:val="28"/>
          <w:szCs w:val="28"/>
          <w:highlight w:val="none"/>
        </w:rPr>
      </w:pPr>
      <w:r>
        <w:rPr>
          <w:rFonts w:hint="eastAsia" w:ascii="宋体" w:hAnsi="宋体" w:eastAsia="宋体" w:cs="宋体"/>
          <w:b/>
          <w:color w:val="auto"/>
          <w:sz w:val="28"/>
          <w:szCs w:val="28"/>
          <w:highlight w:val="none"/>
        </w:rPr>
        <w:t>投标人须知正文部分</w:t>
      </w:r>
      <w:bookmarkEnd w:id="23"/>
      <w:bookmarkEnd w:id="24"/>
      <w:bookmarkEnd w:id="25"/>
      <w:bookmarkStart w:id="27" w:name="_Toc256000004"/>
    </w:p>
    <w:p w14:paraId="4FA41E70">
      <w:pPr>
        <w:pStyle w:val="83"/>
        <w:keepNext/>
        <w:keepLines/>
        <w:adjustRightInd w:val="0"/>
        <w:spacing w:line="240" w:lineRule="auto"/>
        <w:jc w:val="center"/>
        <w:outlineLvl w:val="1"/>
        <w:rPr>
          <w:rFonts w:hint="eastAsia" w:ascii="宋体" w:hAnsi="宋体" w:eastAsia="宋体" w:cs="宋体"/>
          <w:b/>
          <w:bCs/>
          <w:color w:val="auto"/>
          <w:kern w:val="0"/>
          <w:sz w:val="24"/>
          <w:highlight w:val="none"/>
        </w:rPr>
      </w:pPr>
      <w:bookmarkStart w:id="28" w:name="_Toc31095"/>
      <w:bookmarkStart w:id="29" w:name="_Toc8934"/>
      <w:bookmarkStart w:id="30" w:name="_Toc17841"/>
      <w:r>
        <w:rPr>
          <w:rFonts w:hint="eastAsia" w:ascii="宋体" w:hAnsi="宋体" w:eastAsia="宋体" w:cs="宋体"/>
          <w:b/>
          <w:bCs/>
          <w:color w:val="auto"/>
          <w:kern w:val="0"/>
          <w:sz w:val="24"/>
          <w:highlight w:val="none"/>
        </w:rPr>
        <w:t>一、总则</w:t>
      </w:r>
      <w:bookmarkEnd w:id="27"/>
      <w:bookmarkEnd w:id="28"/>
      <w:bookmarkEnd w:id="29"/>
      <w:bookmarkEnd w:id="30"/>
    </w:p>
    <w:p w14:paraId="3E1F471F">
      <w:pPr>
        <w:pStyle w:val="83"/>
        <w:spacing w:line="360" w:lineRule="auto"/>
        <w:outlineLvl w:val="2"/>
        <w:rPr>
          <w:rFonts w:hint="eastAsia" w:ascii="宋体" w:hAnsi="宋体" w:eastAsia="宋体" w:cs="宋体"/>
          <w:b/>
          <w:color w:val="auto"/>
          <w:sz w:val="24"/>
          <w:szCs w:val="22"/>
          <w:highlight w:val="none"/>
        </w:rPr>
      </w:pPr>
      <w:bookmarkStart w:id="31" w:name="_Toc7471"/>
      <w:bookmarkStart w:id="32" w:name="_Toc6387"/>
      <w:r>
        <w:rPr>
          <w:rFonts w:hint="eastAsia" w:ascii="宋体" w:hAnsi="宋体" w:eastAsia="宋体" w:cs="宋体"/>
          <w:b/>
          <w:color w:val="auto"/>
          <w:sz w:val="24"/>
          <w:szCs w:val="22"/>
          <w:highlight w:val="none"/>
        </w:rPr>
        <w:t>1.说明</w:t>
      </w:r>
      <w:bookmarkEnd w:id="31"/>
      <w:bookmarkEnd w:id="32"/>
    </w:p>
    <w:p w14:paraId="46756D1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1.1 本招标文件适用于本次招标采购项目的招标投标。</w:t>
      </w:r>
    </w:p>
    <w:p w14:paraId="10F87EF0">
      <w:pPr>
        <w:pStyle w:val="83"/>
        <w:spacing w:line="360" w:lineRule="auto"/>
        <w:outlineLvl w:val="2"/>
        <w:rPr>
          <w:rFonts w:hint="eastAsia" w:ascii="宋体" w:hAnsi="宋体" w:eastAsia="宋体" w:cs="宋体"/>
          <w:b/>
          <w:color w:val="auto"/>
          <w:sz w:val="24"/>
          <w:szCs w:val="22"/>
          <w:highlight w:val="none"/>
        </w:rPr>
      </w:pPr>
      <w:bookmarkStart w:id="33" w:name="_Toc32365"/>
      <w:bookmarkStart w:id="34" w:name="_Toc18514"/>
      <w:r>
        <w:rPr>
          <w:rFonts w:hint="eastAsia" w:ascii="宋体" w:hAnsi="宋体" w:eastAsia="宋体" w:cs="宋体"/>
          <w:b/>
          <w:color w:val="auto"/>
          <w:sz w:val="24"/>
          <w:szCs w:val="22"/>
          <w:highlight w:val="none"/>
        </w:rPr>
        <w:t>2.定义</w:t>
      </w:r>
      <w:bookmarkEnd w:id="33"/>
      <w:bookmarkEnd w:id="34"/>
    </w:p>
    <w:p w14:paraId="29CFDEE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2.1 “采购人”名称见本招标文件第二部分“投标人须知前附表”。</w:t>
      </w:r>
    </w:p>
    <w:p w14:paraId="6B8FE1B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2.2 “采购代理机构”名称见本招标文件第二部分“投标人须知前附表”。</w:t>
      </w:r>
    </w:p>
    <w:p w14:paraId="0976D218">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2.3 “服务”指招标文件第三部分所述投标人应该履行的承诺和义务。</w:t>
      </w:r>
    </w:p>
    <w:p w14:paraId="4504377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2.4 “潜在投标人”指符合招标文件各项规定的供应商。</w:t>
      </w:r>
    </w:p>
    <w:p w14:paraId="52FD59D5">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2.5 “投标人”指符合招标文件规定并参加投标的供应商。</w:t>
      </w:r>
    </w:p>
    <w:p w14:paraId="588C831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2.6 “投标人公章”在投标文件中指与投标人标准公章一致的投标人电子签章。</w:t>
      </w:r>
    </w:p>
    <w:p w14:paraId="239BD1C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 “电子投标文件”指利用政采云www.ccgp-xinjiang.gov.cn提供的“电子投标文件制作工具”编制加密和未加密的投标文件。</w:t>
      </w:r>
    </w:p>
    <w:p w14:paraId="0A709ABE">
      <w:pPr>
        <w:pStyle w:val="83"/>
        <w:spacing w:line="360" w:lineRule="auto"/>
        <w:outlineLvl w:val="2"/>
        <w:rPr>
          <w:rFonts w:hint="eastAsia" w:ascii="宋体" w:hAnsi="宋体" w:eastAsia="宋体" w:cs="宋体"/>
          <w:b/>
          <w:color w:val="auto"/>
          <w:sz w:val="24"/>
          <w:szCs w:val="22"/>
          <w:highlight w:val="none"/>
        </w:rPr>
      </w:pPr>
      <w:bookmarkStart w:id="35" w:name="_Toc25160"/>
      <w:bookmarkStart w:id="36" w:name="_Toc28104"/>
      <w:r>
        <w:rPr>
          <w:rFonts w:hint="eastAsia" w:ascii="宋体" w:hAnsi="宋体" w:eastAsia="宋体" w:cs="宋体"/>
          <w:b/>
          <w:color w:val="auto"/>
          <w:sz w:val="24"/>
          <w:szCs w:val="22"/>
          <w:highlight w:val="none"/>
        </w:rPr>
        <w:t>3.合格投标人的条件</w:t>
      </w:r>
      <w:bookmarkEnd w:id="35"/>
      <w:bookmarkEnd w:id="36"/>
    </w:p>
    <w:p w14:paraId="11309B6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3.1 具有本项目实施能力，符合、承认并承诺履行本文件各项规定的国内法人、其他组织或自然人均可参加投标。</w:t>
      </w:r>
    </w:p>
    <w:p w14:paraId="60BB072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3.2 遵守有关的国家法律、法规和条例，具备《中华人民共和国政府采购法》、《中华人民共和国政府采购法实施条例》和本文件中规定的条件：</w:t>
      </w:r>
    </w:p>
    <w:p w14:paraId="3C448CF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 xml:space="preserve">1)具有独立承担民事责任的能力； </w:t>
      </w:r>
    </w:p>
    <w:p w14:paraId="67C90C7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2)具有良好的商业信誉和健全的财务会计制度；</w:t>
      </w:r>
    </w:p>
    <w:p w14:paraId="0C7FAF9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3)具有履行合同所必需的设备和专业技术能力；</w:t>
      </w:r>
    </w:p>
    <w:p w14:paraId="6D60DA6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4)具有依法缴纳税收和社会保障资金的良好记录；</w:t>
      </w:r>
    </w:p>
    <w:p w14:paraId="5AF317A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5)参加政府采购活动前三年内，在经营活动中没有重大违法记录；</w:t>
      </w:r>
    </w:p>
    <w:p w14:paraId="02E3A12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6)法律、行政法规规定的其他条件；</w:t>
      </w:r>
    </w:p>
    <w:p w14:paraId="0A23072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7)具有本招标文件第二部分“投标人须知前附表”中规定的资格条件。</w:t>
      </w:r>
    </w:p>
    <w:p w14:paraId="0669A5B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 投标人之间如果存在下列情形之一的，不得同时参加同一包（标段）或者不分包（标段）的同一项目投标：</w:t>
      </w:r>
    </w:p>
    <w:p w14:paraId="043E1EE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3.3.1 法定代表人为同一个人的两个及两个以上法人；</w:t>
      </w:r>
    </w:p>
    <w:p w14:paraId="4C61A61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3.3.2 母公司、全资子公司及其控股公司；</w:t>
      </w:r>
    </w:p>
    <w:p w14:paraId="7ADACE6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3.3.3 参加投标的其他组织之间存在特殊的利害关系的；</w:t>
      </w:r>
    </w:p>
    <w:p w14:paraId="4B88A51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3.3.4 法律和行政法规规定的其他情形。</w:t>
      </w:r>
    </w:p>
    <w:p w14:paraId="4761BF5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3.4 投标人须持有《法定代表人授权委托书》。</w:t>
      </w:r>
    </w:p>
    <w:p w14:paraId="648895C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3.5 投标人在政采云</w:t>
      </w:r>
      <w:r>
        <w:rPr>
          <w:rFonts w:hint="eastAsia" w:ascii="宋体" w:hAnsi="宋体" w:eastAsia="宋体" w:cs="宋体"/>
          <w:color w:val="auto"/>
          <w:sz w:val="24"/>
          <w:szCs w:val="24"/>
          <w:highlight w:val="none"/>
        </w:rPr>
        <w:t>www.ccgp-xinjiang.gov.cn</w:t>
      </w:r>
      <w:r>
        <w:rPr>
          <w:rFonts w:hint="eastAsia" w:ascii="宋体" w:hAnsi="宋体" w:eastAsia="宋体" w:cs="宋体"/>
          <w:color w:val="auto"/>
          <w:sz w:val="24"/>
          <w:szCs w:val="22"/>
          <w:highlight w:val="none"/>
        </w:rPr>
        <w:t>针对本项目下载了</w:t>
      </w:r>
      <w:r>
        <w:rPr>
          <w:rFonts w:hint="eastAsia" w:ascii="宋体" w:hAnsi="宋体" w:eastAsia="宋体" w:cs="宋体"/>
          <w:color w:val="auto"/>
          <w:kern w:val="0"/>
          <w:sz w:val="24"/>
          <w:szCs w:val="22"/>
          <w:highlight w:val="none"/>
        </w:rPr>
        <w:t>电子采购文件</w:t>
      </w:r>
      <w:r>
        <w:rPr>
          <w:rFonts w:hint="eastAsia" w:ascii="宋体" w:hAnsi="宋体" w:eastAsia="宋体" w:cs="宋体"/>
          <w:color w:val="auto"/>
          <w:sz w:val="24"/>
          <w:szCs w:val="22"/>
          <w:highlight w:val="none"/>
        </w:rPr>
        <w:t>。</w:t>
      </w:r>
    </w:p>
    <w:p w14:paraId="725E5B3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3.6 投标人按时足额交纳投标保证金。</w:t>
      </w:r>
    </w:p>
    <w:p w14:paraId="43C0534B">
      <w:pPr>
        <w:pStyle w:val="83"/>
        <w:spacing w:line="360" w:lineRule="auto"/>
        <w:ind w:firstLine="480" w:firstLineChars="200"/>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rPr>
        <w:t>3.7 本次招标是否允许由两个以上投标人组成一个联合体以一个投标人身份共同投标，按照招标文件第二部分“投标人须知前附表”中的规定。如果允许，除均应符合上述规定外，还应符合下列要求：</w:t>
      </w:r>
      <w:r>
        <w:rPr>
          <w:rFonts w:hint="eastAsia" w:ascii="宋体" w:hAnsi="宋体" w:eastAsia="宋体" w:cs="宋体"/>
          <w:color w:val="auto"/>
          <w:sz w:val="24"/>
          <w:szCs w:val="22"/>
          <w:highlight w:val="none"/>
          <w:lang w:eastAsia="zh-CN"/>
        </w:rPr>
        <w:t>（本项目不适用）</w:t>
      </w:r>
    </w:p>
    <w:p w14:paraId="33F2FB1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联合投标体应提供“联合投标协议书”，该协议书对联合投标各方均具有法律约束力。联合投标体必须确定其中一方为投标的全权代表参加投标活动，并承担投标及履约活动中的全部责任与义务，且联合体各方无论是否实际参加、发生的情形怎样，一旦该联合体实际开始投标，联合体各方均应当就本次采购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3DDC63A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2）联合体各方中至少应当有一方对应满足本项目规定的相应资质条件，并且联合体投标人整体应当符合本项目的资质要求，否则，其提交的联合投标将被拒绝。</w:t>
      </w:r>
    </w:p>
    <w:p w14:paraId="232C5ED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3）由不同专业的投标人组成的联合体, 首先以投标的全权代表方的应答材料作为认定资质以及商务评审的依据；涉及行业专属的资质,按照所属行业所对应的投标人的应答材料确定。</w:t>
      </w:r>
    </w:p>
    <w:p w14:paraId="450058B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联合体中标后，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为履行合同应向采购代理机构与采购人承担连带责任。</w:t>
      </w:r>
    </w:p>
    <w:p w14:paraId="56C0FAF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5）联合体或其成员不得将其在合同项下的权利或义务全部或部分转让给第三人，有关分包事项或服务委托等须事先取得采购代理机构书面同意并且须遵守相关法律、法规、本次招标的全部相关规定。</w:t>
      </w:r>
    </w:p>
    <w:p w14:paraId="2C4891E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6）联合体各方均不得同时再以自己独立的名义单独投标，也不得再同时参加其他的联合体投标。若该等情形被发现，其单独的投标和与此有关的联合体的投标均将被一并拒绝。</w:t>
      </w:r>
    </w:p>
    <w:p w14:paraId="24057AA4">
      <w:pPr>
        <w:pStyle w:val="83"/>
        <w:tabs>
          <w:tab w:val="left" w:pos="1146"/>
        </w:tabs>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 投标人不得与采购人、采购代理机构等有利害关系。</w:t>
      </w:r>
    </w:p>
    <w:p w14:paraId="31E73D6A">
      <w:pPr>
        <w:pStyle w:val="83"/>
        <w:spacing w:line="360" w:lineRule="auto"/>
        <w:outlineLvl w:val="2"/>
        <w:rPr>
          <w:rFonts w:hint="eastAsia" w:ascii="宋体" w:hAnsi="宋体" w:eastAsia="宋体" w:cs="宋体"/>
          <w:b/>
          <w:color w:val="auto"/>
          <w:sz w:val="24"/>
          <w:szCs w:val="22"/>
          <w:highlight w:val="none"/>
        </w:rPr>
      </w:pPr>
      <w:bookmarkStart w:id="37" w:name="_Toc31374"/>
      <w:bookmarkStart w:id="38" w:name="_Toc5562"/>
      <w:r>
        <w:rPr>
          <w:rFonts w:hint="eastAsia" w:ascii="宋体" w:hAnsi="宋体" w:eastAsia="宋体" w:cs="宋体"/>
          <w:b/>
          <w:color w:val="auto"/>
          <w:sz w:val="24"/>
          <w:szCs w:val="22"/>
          <w:highlight w:val="none"/>
        </w:rPr>
        <w:t>4.投标费用</w:t>
      </w:r>
      <w:bookmarkEnd w:id="37"/>
      <w:bookmarkEnd w:id="38"/>
    </w:p>
    <w:p w14:paraId="0C4F5E9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4.1 投标人应承担所有与准备和参加投标有关的费用。</w:t>
      </w:r>
    </w:p>
    <w:p w14:paraId="55C86C99">
      <w:pPr>
        <w:pStyle w:val="83"/>
        <w:spacing w:line="360" w:lineRule="auto"/>
        <w:outlineLvl w:val="2"/>
        <w:rPr>
          <w:rFonts w:hint="eastAsia" w:ascii="宋体" w:hAnsi="宋体" w:eastAsia="宋体" w:cs="宋体"/>
          <w:b/>
          <w:color w:val="auto"/>
          <w:sz w:val="24"/>
          <w:szCs w:val="22"/>
          <w:highlight w:val="none"/>
        </w:rPr>
      </w:pPr>
      <w:bookmarkStart w:id="39" w:name="_Toc9258"/>
      <w:bookmarkStart w:id="40" w:name="_Toc28181"/>
      <w:r>
        <w:rPr>
          <w:rFonts w:hint="eastAsia" w:ascii="宋体" w:hAnsi="宋体" w:eastAsia="宋体" w:cs="宋体"/>
          <w:b/>
          <w:color w:val="auto"/>
          <w:sz w:val="24"/>
          <w:szCs w:val="22"/>
          <w:highlight w:val="none"/>
        </w:rPr>
        <w:t>5.纪律</w:t>
      </w:r>
      <w:bookmarkEnd w:id="39"/>
      <w:bookmarkEnd w:id="40"/>
    </w:p>
    <w:p w14:paraId="5F31A7E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5.1 投标人的投标行为应遵守中国的有关法律、法规和规章。</w:t>
      </w:r>
    </w:p>
    <w:p w14:paraId="6B5F7EE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 投标人不得相互串通投标报价，不得妨碍其他投标人的公平竞争，不得损害采购人或其他投标人的合法权益，投标人不得以向采购人、评标委员会成员行贿或者采取其他不正当手段谋取中标。</w:t>
      </w:r>
    </w:p>
    <w:p w14:paraId="250F70D5">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 有下列情形之一的，属于投标人相互串通投标：</w:t>
      </w:r>
    </w:p>
    <w:p w14:paraId="428AC8F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5.2.1.1 投标人之间协商投标报价等投标文件的实质性内容；</w:t>
      </w:r>
    </w:p>
    <w:p w14:paraId="2D15827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5.2.1.2 投标人之间约定中标人；</w:t>
      </w:r>
    </w:p>
    <w:p w14:paraId="4A5FBC6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5.2.1.3 投标人之间约定部分投标人放弃投标或者中标；</w:t>
      </w:r>
    </w:p>
    <w:p w14:paraId="4942677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5.2.1.4 属于同一集团、协会、商会等组织成员的投标人按照该组织要求协同投标；</w:t>
      </w:r>
    </w:p>
    <w:p w14:paraId="483059B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5.2.1.5 投标人之间为谋取中标或者排斥特定投标人而采取的其他联合行动。</w:t>
      </w:r>
    </w:p>
    <w:p w14:paraId="613DB17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 有下列情形之一的，视为投标人相互串通投标：</w:t>
      </w:r>
    </w:p>
    <w:p w14:paraId="12AE002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5.2.2.1 不同投标人的投标文件由同一单位或者个人编制；</w:t>
      </w:r>
    </w:p>
    <w:p w14:paraId="6439C5A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5.2.2.2 不同投标人委托同一单位或者个人办理投标事宜，或制作电子投标文件的文件制作机器码（mac地址）一致，或制作电子投标文件的文件创建标识码一致；</w:t>
      </w:r>
    </w:p>
    <w:p w14:paraId="0219109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5.2.2.3 不同投标人的投标文件载明的项目管理成员为同一人；</w:t>
      </w:r>
    </w:p>
    <w:p w14:paraId="6B7C5E1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5.2.2.4 不同投标人的投标文件异常一致或者投标报价呈规律性差异；</w:t>
      </w:r>
    </w:p>
    <w:p w14:paraId="4D2161B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5.2.2.5 不同投标人的投标文件相互混装；</w:t>
      </w:r>
    </w:p>
    <w:p w14:paraId="3A79F1A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5.2.2.6 不同投标人的投标保证金从同一单位或者个人的账户转出。</w:t>
      </w:r>
    </w:p>
    <w:p w14:paraId="32857A72">
      <w:pPr>
        <w:pStyle w:val="83"/>
        <w:spacing w:line="360" w:lineRule="auto"/>
        <w:outlineLvl w:val="2"/>
        <w:rPr>
          <w:rFonts w:hint="eastAsia" w:ascii="宋体" w:hAnsi="宋体" w:eastAsia="宋体" w:cs="宋体"/>
          <w:b/>
          <w:color w:val="auto"/>
          <w:sz w:val="24"/>
          <w:szCs w:val="22"/>
          <w:highlight w:val="none"/>
        </w:rPr>
      </w:pPr>
      <w:bookmarkStart w:id="41" w:name="_Toc22082"/>
      <w:bookmarkStart w:id="42" w:name="_Toc26844"/>
      <w:r>
        <w:rPr>
          <w:rFonts w:hint="eastAsia" w:ascii="宋体" w:hAnsi="宋体" w:eastAsia="宋体" w:cs="宋体"/>
          <w:b/>
          <w:color w:val="auto"/>
          <w:sz w:val="24"/>
          <w:szCs w:val="22"/>
          <w:highlight w:val="none"/>
        </w:rPr>
        <w:t>6.通知</w:t>
      </w:r>
      <w:bookmarkEnd w:id="41"/>
      <w:bookmarkEnd w:id="42"/>
    </w:p>
    <w:p w14:paraId="66367E4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6.1 对与本项目有关的通知，采购代理机构将以书面（包括书面材料、信函、传真等，下同）或在本次招标公告刊登的媒体上发布公告并在政采云</w:t>
      </w:r>
      <w:r>
        <w:rPr>
          <w:rFonts w:hint="eastAsia" w:ascii="宋体" w:hAnsi="宋体" w:eastAsia="宋体" w:cs="宋体"/>
          <w:color w:val="auto"/>
          <w:sz w:val="24"/>
          <w:szCs w:val="24"/>
          <w:highlight w:val="none"/>
        </w:rPr>
        <w:t>www.ccgp-xinjiang.gov.cn</w:t>
      </w:r>
      <w:r>
        <w:rPr>
          <w:rFonts w:hint="eastAsia" w:ascii="宋体" w:hAnsi="宋体" w:eastAsia="宋体" w:cs="宋体"/>
          <w:color w:val="auto"/>
          <w:sz w:val="24"/>
          <w:szCs w:val="22"/>
          <w:highlight w:val="none"/>
        </w:rPr>
        <w:t>发送变更通知及/或答疑文件的形式，向潜在投标人发出，传真和电话号码以潜在投标人的登记为准。收到通知的投标人须立即予以回复确认，但投标人未回复或采购代理机构未收到回复时，并不应当被理解为采购代理机构知道或应当知道投标人是否收到通知。因登记有误、传真线路故障或其它任何意外情形，导致所发出的通知延迟送达或无法到达投标人，采购代理机构不因此承担任何责任，有关的招标活动可以继续有效地进行。</w:t>
      </w:r>
    </w:p>
    <w:p w14:paraId="1678898D">
      <w:pPr>
        <w:pStyle w:val="83"/>
        <w:rPr>
          <w:rFonts w:hint="eastAsia" w:ascii="宋体" w:hAnsi="宋体" w:eastAsia="宋体" w:cs="宋体"/>
          <w:color w:val="auto"/>
          <w:sz w:val="21"/>
          <w:szCs w:val="22"/>
          <w:highlight w:val="none"/>
        </w:rPr>
      </w:pPr>
      <w:bookmarkStart w:id="43" w:name="EBdd610f0d907f425faf59ac376a8bd170"/>
      <w:bookmarkEnd w:id="43"/>
      <w:bookmarkStart w:id="44" w:name="EBb7ad169f5dca4521a3bb59218ea160eb"/>
      <w:bookmarkEnd w:id="44"/>
      <w:bookmarkStart w:id="45" w:name="EB5329076af7ef4078a7e06f9b6702af2d"/>
      <w:bookmarkEnd w:id="45"/>
    </w:p>
    <w:p w14:paraId="3ECEEF0D">
      <w:pPr>
        <w:pStyle w:val="83"/>
        <w:keepNext/>
        <w:keepLines/>
        <w:adjustRightInd w:val="0"/>
        <w:spacing w:line="360" w:lineRule="auto"/>
        <w:jc w:val="center"/>
        <w:outlineLvl w:val="1"/>
        <w:rPr>
          <w:rFonts w:hint="eastAsia" w:ascii="宋体" w:hAnsi="宋体" w:eastAsia="宋体" w:cs="宋体"/>
          <w:b/>
          <w:bCs/>
          <w:color w:val="auto"/>
          <w:kern w:val="0"/>
          <w:sz w:val="24"/>
          <w:highlight w:val="none"/>
        </w:rPr>
      </w:pPr>
      <w:bookmarkStart w:id="46" w:name="_Toc21572"/>
      <w:bookmarkStart w:id="47" w:name="_Toc256000005"/>
      <w:bookmarkStart w:id="48" w:name="_Toc20397"/>
      <w:bookmarkStart w:id="49" w:name="_Toc1765"/>
      <w:r>
        <w:rPr>
          <w:rFonts w:hint="eastAsia" w:ascii="宋体" w:hAnsi="宋体" w:eastAsia="宋体" w:cs="宋体"/>
          <w:b/>
          <w:bCs/>
          <w:color w:val="auto"/>
          <w:kern w:val="0"/>
          <w:sz w:val="24"/>
          <w:highlight w:val="none"/>
        </w:rPr>
        <w:t>二、招标文件</w:t>
      </w:r>
      <w:bookmarkEnd w:id="46"/>
      <w:bookmarkEnd w:id="47"/>
      <w:bookmarkEnd w:id="48"/>
      <w:bookmarkEnd w:id="49"/>
    </w:p>
    <w:p w14:paraId="615A7226">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7.招标文件组成</w:t>
      </w:r>
    </w:p>
    <w:p w14:paraId="108C179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7.1 招标文件由招标文件目录所列内容组成。</w:t>
      </w:r>
    </w:p>
    <w:p w14:paraId="054614EC">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8.技术答疑</w:t>
      </w:r>
    </w:p>
    <w:p w14:paraId="224DEDB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8.1 本项目是否统一组织投标人</w:t>
      </w:r>
      <w:r>
        <w:rPr>
          <w:rFonts w:hint="eastAsia" w:ascii="宋体" w:hAnsi="宋体" w:eastAsia="宋体" w:cs="宋体"/>
          <w:color w:val="auto"/>
          <w:sz w:val="24"/>
          <w:szCs w:val="22"/>
          <w:highlight w:val="none"/>
          <w:lang w:eastAsia="zh-CN"/>
        </w:rPr>
        <w:t>现场踏勘</w:t>
      </w:r>
      <w:r>
        <w:rPr>
          <w:rFonts w:hint="eastAsia" w:ascii="宋体" w:hAnsi="宋体" w:eastAsia="宋体" w:cs="宋体"/>
          <w:color w:val="auto"/>
          <w:sz w:val="24"/>
          <w:szCs w:val="22"/>
          <w:highlight w:val="none"/>
        </w:rPr>
        <w:t>见招标文件第二部分“投标人须知前附表”中的规定。</w:t>
      </w:r>
    </w:p>
    <w:p w14:paraId="6A808C3C">
      <w:pPr>
        <w:pStyle w:val="83"/>
        <w:spacing w:line="360" w:lineRule="auto"/>
        <w:rPr>
          <w:rFonts w:hint="eastAsia" w:ascii="宋体" w:hAnsi="宋体" w:eastAsia="宋体" w:cs="宋体"/>
          <w:bCs/>
          <w:color w:val="auto"/>
          <w:sz w:val="24"/>
          <w:szCs w:val="22"/>
          <w:highlight w:val="none"/>
        </w:rPr>
      </w:pPr>
      <w:r>
        <w:rPr>
          <w:rFonts w:hint="eastAsia" w:ascii="宋体" w:hAnsi="宋体" w:eastAsia="宋体" w:cs="宋体"/>
          <w:b/>
          <w:color w:val="auto"/>
          <w:sz w:val="24"/>
          <w:szCs w:val="22"/>
          <w:highlight w:val="none"/>
        </w:rPr>
        <w:t>9.知识产权</w:t>
      </w:r>
    </w:p>
    <w:p w14:paraId="5515C1D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9.1 投标人须保证，采购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采购人损失的，投标人须承担全部赔偿责任。</w:t>
      </w:r>
    </w:p>
    <w:p w14:paraId="2397716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9.2 投标人如欲在项目实施过程中采用自有知识成果，须在投标文件中声明，并提供相关知识产权证明文件。使用该知识成果后，投标人须提供开发接口和开发手册等技术文档。</w:t>
      </w:r>
    </w:p>
    <w:p w14:paraId="731DBB5D">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10.答疑及招标文件的澄清和修改</w:t>
      </w:r>
    </w:p>
    <w:p w14:paraId="54FB8DF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10.1 投标人如果对招标文件有疑问或要求进行澄清的，应按照规定向采购代理机构提出。提出后，请投标人及时通过政采云平台下载答疑文件或澄清文件。必要时，采购代理机构将组织相关专家召开答疑会，如召开，答疑会安排另行通知。</w:t>
      </w:r>
    </w:p>
    <w:p w14:paraId="7834CA15">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投标人在规定的时间内未对招标文件提出疑问或要求澄清的，采购代理机构将视其为同意，对在“答疑接受时间”后就招标文件内容提出的疑问及澄清要求将不予受理。</w:t>
      </w:r>
    </w:p>
    <w:p w14:paraId="0A0DDDD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10.2 无论出于何种原因，采购代理机构主动或出于解答投标人疑问对已发出的招标文件进行必要澄清或修改的，应当在招标文件要求提交投标文件截止时间15日前，以当面交接、邮寄、传真或电子邮件、网站披露等其中至少一种方式，向潜在投标人发出澄清、修改的补充文件。需要为此调整投标文件提交截止时间的，应当重新确定，并就变更后的投标截止时间重新发出通知。</w:t>
      </w:r>
    </w:p>
    <w:p w14:paraId="6D0262B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特殊情况下，采购代理机构发布澄清、修改文件后，征得投标人同意，可不改变投标截止时间和开标时间。</w:t>
      </w:r>
    </w:p>
    <w:p w14:paraId="11175DC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10.3 采购代理机构一旦对招标文件作出了澄清、修改，即刻发生效力，采购代理机构有关的补充文件，将作为招标文件的组成部分，对所有现实的或潜在的投标人均具有约束力，而无论是否已经实际收到上述文件。同时，采购代理机构和投标人的权利及义务将受到新的截止期的约束。</w:t>
      </w:r>
    </w:p>
    <w:p w14:paraId="3302565E">
      <w:pPr>
        <w:pStyle w:val="83"/>
        <w:spacing w:line="360" w:lineRule="auto"/>
        <w:ind w:firstLine="480" w:firstLineChars="200"/>
        <w:jc w:val="left"/>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10.4 采购代理机构对招标文件作出的澄清、修改在政采云http://www.ccgp-xinjiang.gov.cn/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03C32EE6">
      <w:pPr>
        <w:pStyle w:val="83"/>
        <w:spacing w:line="360" w:lineRule="auto"/>
        <w:ind w:firstLine="480" w:firstLineChars="200"/>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上述澄清、修改在</w:t>
      </w:r>
      <w:r>
        <w:rPr>
          <w:rFonts w:hint="eastAsia" w:ascii="宋体" w:hAnsi="宋体" w:eastAsia="宋体" w:cs="宋体"/>
          <w:color w:val="auto"/>
          <w:sz w:val="24"/>
          <w:szCs w:val="22"/>
          <w:highlight w:val="none"/>
        </w:rPr>
        <w:t>政采云平台</w:t>
      </w:r>
      <w:r>
        <w:rPr>
          <w:rFonts w:hint="eastAsia" w:ascii="宋体" w:hAnsi="宋体" w:eastAsia="宋体" w:cs="宋体"/>
          <w:bCs/>
          <w:color w:val="auto"/>
          <w:sz w:val="24"/>
          <w:szCs w:val="22"/>
          <w:highlight w:val="none"/>
        </w:rPr>
        <w:t>上发布的同时，交易平台将通过信息提醒投标人进行查询。此信息仅系友情提示，并不具有任何约束性和必要性，采购代理机构不承担投标人未收到信息而引起的一切后果和法律责任。</w:t>
      </w:r>
    </w:p>
    <w:p w14:paraId="2BE6587D">
      <w:pPr>
        <w:pStyle w:val="83"/>
        <w:spacing w:line="360" w:lineRule="auto"/>
        <w:ind w:firstLine="480" w:firstLineChars="200"/>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10.5 澄清、修改文件发出后，投标人必须使用最新的答疑、澄清文件制作电子投标文件，否则将无法完成上传。</w:t>
      </w:r>
    </w:p>
    <w:p w14:paraId="723CFE61">
      <w:pPr>
        <w:pStyle w:val="83"/>
        <w:rPr>
          <w:rFonts w:hint="eastAsia" w:ascii="宋体" w:hAnsi="宋体" w:eastAsia="宋体" w:cs="宋体"/>
          <w:color w:val="auto"/>
          <w:sz w:val="21"/>
          <w:szCs w:val="22"/>
          <w:highlight w:val="none"/>
        </w:rPr>
      </w:pPr>
      <w:bookmarkStart w:id="50" w:name="EBbaf56f3c512d410ca402b14f6cef0c32"/>
      <w:bookmarkEnd w:id="50"/>
      <w:bookmarkStart w:id="51" w:name="EBac939afec8874e7f8a3f1c1c91ecd53a"/>
      <w:bookmarkEnd w:id="51"/>
      <w:bookmarkStart w:id="52" w:name="EB9e0c2cece2d5471cad5c8aca4f2715bc"/>
      <w:bookmarkEnd w:id="52"/>
    </w:p>
    <w:p w14:paraId="0C18E7EE">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53" w:name="_Toc10535"/>
      <w:bookmarkStart w:id="54" w:name="_Toc256000006"/>
      <w:bookmarkStart w:id="55" w:name="_Toc11706"/>
      <w:bookmarkStart w:id="56" w:name="_Toc23189"/>
      <w:r>
        <w:rPr>
          <w:rFonts w:hint="eastAsia" w:ascii="宋体" w:hAnsi="宋体" w:eastAsia="宋体" w:cs="宋体"/>
          <w:b/>
          <w:bCs/>
          <w:color w:val="auto"/>
          <w:kern w:val="0"/>
          <w:sz w:val="24"/>
          <w:szCs w:val="32"/>
          <w:highlight w:val="none"/>
        </w:rPr>
        <w:t>三、投标文件</w:t>
      </w:r>
      <w:bookmarkEnd w:id="53"/>
      <w:bookmarkEnd w:id="54"/>
      <w:bookmarkEnd w:id="55"/>
      <w:bookmarkEnd w:id="56"/>
    </w:p>
    <w:p w14:paraId="3304699A">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11.投标文件的语言及计量单位</w:t>
      </w:r>
    </w:p>
    <w:p w14:paraId="1BAEC14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11.1 投标人提交的投标文件（包括技术文件和资料、图纸中的说明）以及投标人与采购代理机构就有关投标的所有来往函电均应使用中文简体字。</w:t>
      </w:r>
    </w:p>
    <w:p w14:paraId="460796C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11.2 原版为外文的证书类文件，以及由外国人作出的本人签名、外国公司的名称或外国印章等可以是外文，但应当提供中文翻译文件并加盖投标人公章。必要时评标委员会可以要求投标人提供附有公证书的中文翻译文件或者与原版文件签章相一致的中文翻译文件。原版为外文的证书类、证明类文件，与投标人名称或其他实际情况不符的，投标人应当提供相关证明文件。</w:t>
      </w:r>
    </w:p>
    <w:p w14:paraId="4E4E8F1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11.3 除非招标文件另有规定，投标文件所使用的计量单位，应使用国家法定计量单位。</w:t>
      </w:r>
    </w:p>
    <w:p w14:paraId="6796A29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11.4 对违反上述规定情形的，评标委员会有权要求投标人限期提供相应文件或决定对其投标予以拒绝。</w:t>
      </w:r>
    </w:p>
    <w:p w14:paraId="59ADFEA1">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11.5 电报、电话、传真形式的投标概不接受。投标人的投标文件一律不予退还。</w:t>
      </w:r>
    </w:p>
    <w:p w14:paraId="40B76A2C">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12.投标文件组成及编制</w:t>
      </w:r>
    </w:p>
    <w:p w14:paraId="3F02297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12.1 投标文件分为资格审查资料、商务文件、技术文件。</w:t>
      </w:r>
    </w:p>
    <w:p w14:paraId="785D501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商务文件指投标人提交的证明其有资格参加投标和中标后有能力履行合同的文件。技术和服务文件指投标人提交的能够证明其提供的货物及服务符合招标文件规定的文件。本次招标，投标人须按招标文件第二部分“投标人须知前附表”中第</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项规定提交资格审查资料、商务文件、技术文件，其中加☆项目若有缺失或无效，将导致投标被拒绝且不允许在开标后补正。</w:t>
      </w:r>
    </w:p>
    <w:p w14:paraId="267235D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12.2 投标人递交的投标文件及相关要求按照招标文件第二部分“投标人须知前附表”中的规定。</w:t>
      </w:r>
    </w:p>
    <w:p w14:paraId="37362CB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12.2.1 电子投标文件的编制</w:t>
      </w:r>
    </w:p>
    <w:p w14:paraId="73C9622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12.2.1.1 电子投标文件使用政采云平台提供的投标文件制作工具以及招标文件要求进行制作编制。投标文件制作时，不同内容按标签提示制作导入，按照招标文件中明确的投标文件目录和格式进行编制，保证目录清晰、内容完整。</w:t>
      </w:r>
    </w:p>
    <w:p w14:paraId="194D2CA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12.2.1.2 电子投标文件须使用投标人公章的电子签章以及法定代表人的电子签章。若无电子签章，则视为无效投标。</w:t>
      </w:r>
    </w:p>
    <w:p w14:paraId="09EBFEA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12.2.1.3 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07743EE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 xml:space="preserve">12.2.1.4 电子投标文件制作工具在生成加密投标文件时，同时生成非加密投标文件一份。 </w:t>
      </w:r>
    </w:p>
    <w:p w14:paraId="42D542B6">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13.投标报价</w:t>
      </w:r>
    </w:p>
    <w:p w14:paraId="523389D5">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13.1 所有投标报价均以人民币元为计算单位。只要投报了一个确定数额的总价，无论分项价格是否全部填报了相应的金额或免费字样，报价应被视为已经包含了但并不限于各项购买</w:t>
      </w:r>
      <w:r>
        <w:rPr>
          <w:rFonts w:hint="eastAsia" w:ascii="宋体" w:hAnsi="宋体" w:eastAsia="宋体" w:cs="宋体"/>
          <w:color w:val="auto"/>
          <w:sz w:val="24"/>
          <w:szCs w:val="22"/>
          <w:highlight w:val="none"/>
          <w:lang w:val="en-US" w:eastAsia="zh-CN"/>
        </w:rPr>
        <w:t>服务</w:t>
      </w:r>
      <w:r>
        <w:rPr>
          <w:rFonts w:hint="eastAsia" w:ascii="宋体" w:hAnsi="宋体" w:eastAsia="宋体" w:cs="宋体"/>
          <w:color w:val="auto"/>
          <w:sz w:val="24"/>
          <w:szCs w:val="22"/>
          <w:highlight w:val="none"/>
        </w:rPr>
        <w:t>及其验收、保险和相关服务等的费用和所需缴纳的所有价格、税、费。在其他情况下，由于分项报价填报不完整、不清楚或存在其他任何失误，所导致的任何不利后果均应当由投标人自行承担。</w:t>
      </w:r>
    </w:p>
    <w:p w14:paraId="0D7C4B04">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13.</w:t>
      </w:r>
      <w:r>
        <w:rPr>
          <w:rFonts w:hint="eastAsia" w:ascii="宋体" w:hAnsi="宋体" w:eastAsia="宋体" w:cs="宋体"/>
          <w:color w:val="auto"/>
          <w:sz w:val="24"/>
          <w:szCs w:val="22"/>
          <w:highlight w:val="none"/>
          <w:lang w:val="en-US" w:eastAsia="zh-CN"/>
        </w:rPr>
        <w:t>2</w:t>
      </w:r>
      <w:r>
        <w:rPr>
          <w:rFonts w:hint="eastAsia" w:ascii="宋体" w:hAnsi="宋体" w:eastAsia="宋体" w:cs="宋体"/>
          <w:color w:val="auto"/>
          <w:sz w:val="24"/>
          <w:szCs w:val="22"/>
          <w:highlight w:val="none"/>
        </w:rPr>
        <w:t xml:space="preserve"> 除非招标文件另有规定，不接受可选择或可调整的投标方案和报价，任何有选择的或可调整的投标方案和报价将被视为非响应性投标而被拒绝。</w:t>
      </w:r>
    </w:p>
    <w:p w14:paraId="7D3722E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13.</w:t>
      </w:r>
      <w:r>
        <w:rPr>
          <w:rFonts w:hint="eastAsia" w:ascii="宋体" w:hAnsi="宋体" w:eastAsia="宋体" w:cs="宋体"/>
          <w:color w:val="auto"/>
          <w:sz w:val="24"/>
          <w:szCs w:val="22"/>
          <w:highlight w:val="none"/>
          <w:lang w:val="en-US" w:eastAsia="zh-CN"/>
        </w:rPr>
        <w:t>3</w:t>
      </w:r>
      <w:r>
        <w:rPr>
          <w:rFonts w:hint="eastAsia" w:ascii="宋体" w:hAnsi="宋体" w:eastAsia="宋体" w:cs="宋体"/>
          <w:color w:val="auto"/>
          <w:sz w:val="24"/>
          <w:szCs w:val="22"/>
          <w:highlight w:val="none"/>
        </w:rPr>
        <w:t xml:space="preserve"> 本项目是否允许投标人将项目的非主体、非关键性工作交由他人完成按照招标文件第二部分“投标人须知前附表”中的规定。如允许，投标人根据采购项目的实际情况，拟在中标后将中标项目的非主体、非关键性工作交由他人完成，须在技术文件中载明。</w:t>
      </w:r>
    </w:p>
    <w:p w14:paraId="5B7A22B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13.</w:t>
      </w:r>
      <w:r>
        <w:rPr>
          <w:rFonts w:hint="eastAsia" w:ascii="宋体" w:hAnsi="宋体" w:eastAsia="宋体" w:cs="宋体"/>
          <w:color w:val="auto"/>
          <w:sz w:val="24"/>
          <w:szCs w:val="22"/>
          <w:highlight w:val="none"/>
          <w:lang w:val="en-US" w:eastAsia="zh-CN"/>
        </w:rPr>
        <w:t>4</w:t>
      </w:r>
      <w:r>
        <w:rPr>
          <w:rFonts w:hint="eastAsia" w:ascii="宋体" w:hAnsi="宋体" w:eastAsia="宋体" w:cs="宋体"/>
          <w:color w:val="auto"/>
          <w:sz w:val="24"/>
          <w:szCs w:val="22"/>
          <w:highlight w:val="none"/>
        </w:rPr>
        <w:t xml:space="preserve"> 投标人须严格按照报价明细表规定的内容填写单价以及其他事项。</w:t>
      </w:r>
    </w:p>
    <w:p w14:paraId="6F4A5AC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13.</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 xml:space="preserve"> 投标人对投标报价若有说明应在投标文件中显著处注明。</w:t>
      </w:r>
    </w:p>
    <w:p w14:paraId="0DBA2BC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除政策性文件规定以外，投标人所报价格在合同实施期间不因市场变化因素而变动。</w:t>
      </w:r>
    </w:p>
    <w:p w14:paraId="5F16508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13.</w:t>
      </w:r>
      <w:r>
        <w:rPr>
          <w:rFonts w:hint="eastAsia" w:ascii="宋体" w:hAnsi="宋体" w:eastAsia="宋体" w:cs="宋体"/>
          <w:color w:val="auto"/>
          <w:sz w:val="24"/>
          <w:szCs w:val="22"/>
          <w:highlight w:val="none"/>
          <w:lang w:val="en-US" w:eastAsia="zh-CN"/>
        </w:rPr>
        <w:t>6</w:t>
      </w:r>
      <w:r>
        <w:rPr>
          <w:rFonts w:hint="eastAsia" w:ascii="宋体" w:hAnsi="宋体" w:eastAsia="宋体" w:cs="宋体"/>
          <w:color w:val="auto"/>
          <w:sz w:val="24"/>
          <w:szCs w:val="22"/>
          <w:highlight w:val="none"/>
        </w:rPr>
        <w:t xml:space="preserve"> 最低报价不能作为中标的保证。</w:t>
      </w:r>
    </w:p>
    <w:p w14:paraId="0E4FBA33">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14.投标有效期</w:t>
      </w:r>
    </w:p>
    <w:p w14:paraId="217FB34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 本项目的投标有效期按照招标文件第二部分“投标人须知前附表中”中的规定。投标有效期自开标之日起计算，短于规定期限的投标将按无效投标处理。</w:t>
      </w:r>
    </w:p>
    <w:p w14:paraId="2E3F0F8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14.2 在特殊情况下，采购代理机构可与投标人协商延长投标有效期。这种要求和答复都应以书面形式进行。此时，规定的投标保证金的有效期也相应延长。投标人可以拒绝接受延期要求而不会被没收保证金。同意延长有效期的投标人除按照采购代理机构要求修改投标有效期外，不能修改投标文件的其他内容。</w:t>
      </w:r>
    </w:p>
    <w:p w14:paraId="6EB7304B">
      <w:pPr>
        <w:pStyle w:val="84"/>
        <w:rPr>
          <w:rFonts w:hint="eastAsia" w:ascii="宋体" w:hAnsi="宋体" w:eastAsia="宋体" w:cs="宋体"/>
          <w:color w:val="auto"/>
          <w:highlight w:val="none"/>
        </w:rPr>
      </w:pPr>
    </w:p>
    <w:p w14:paraId="7C0966F5">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15.投标内容填写说明</w:t>
      </w:r>
    </w:p>
    <w:p w14:paraId="4E54A1D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15.1 投标人应详细阅读招标文件的全部内容。投标文件须对招标文件中的内容作出实质性和完整的响应，如果投标文件填报的内容不详，或没有提供招标文件中所要求的全部资料及数据，将可能导致投标被拒绝。</w:t>
      </w:r>
    </w:p>
    <w:p w14:paraId="26F4CB5E">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15.2 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宋体" w:hAnsi="宋体" w:eastAsia="宋体" w:cs="宋体"/>
          <w:b/>
          <w:color w:val="auto"/>
          <w:sz w:val="24"/>
          <w:szCs w:val="22"/>
          <w:highlight w:val="none"/>
        </w:rPr>
        <w:t>。</w:t>
      </w:r>
    </w:p>
    <w:p w14:paraId="5F3F688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15.3 开标一览表为在开标上唱标的内容，要求按格式统一填写，不得自行增减内容。</w:t>
      </w:r>
    </w:p>
    <w:p w14:paraId="383E3F1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15.4 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予以处理，乃至对该投标予以拒绝。</w:t>
      </w:r>
    </w:p>
    <w:p w14:paraId="4F71BB6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15.5 投标人必须保证投标文件所提供的全部资料真实可靠，并接受采购代理机构或评标委员会对其中任何资料进一步审查的要求。</w:t>
      </w:r>
    </w:p>
    <w:p w14:paraId="7E24193D">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15.6 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52849790">
      <w:pPr>
        <w:pStyle w:val="83"/>
        <w:rPr>
          <w:rFonts w:hint="eastAsia" w:ascii="宋体" w:hAnsi="宋体" w:eastAsia="宋体" w:cs="宋体"/>
          <w:color w:val="auto"/>
          <w:sz w:val="21"/>
          <w:szCs w:val="22"/>
          <w:highlight w:val="none"/>
        </w:rPr>
      </w:pPr>
      <w:bookmarkStart w:id="57" w:name="EB4f3eccb3b0eb41a5a5ac39abf7d322b5"/>
      <w:bookmarkEnd w:id="57"/>
      <w:bookmarkStart w:id="58" w:name="EBe595676a889240e6b9627a8204925a3e"/>
      <w:bookmarkEnd w:id="58"/>
      <w:bookmarkStart w:id="59" w:name="EB72d461685b9944a695e7c9740d61788e"/>
      <w:bookmarkEnd w:id="59"/>
    </w:p>
    <w:p w14:paraId="0AD78699">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60" w:name="_Toc9622"/>
      <w:bookmarkStart w:id="61" w:name="_Toc10799"/>
      <w:bookmarkStart w:id="62" w:name="_Toc21571"/>
      <w:bookmarkStart w:id="63" w:name="_Toc256000007"/>
      <w:r>
        <w:rPr>
          <w:rFonts w:hint="eastAsia" w:ascii="宋体" w:hAnsi="宋体" w:eastAsia="宋体" w:cs="宋体"/>
          <w:b/>
          <w:bCs/>
          <w:color w:val="auto"/>
          <w:kern w:val="0"/>
          <w:sz w:val="24"/>
          <w:szCs w:val="32"/>
          <w:highlight w:val="none"/>
        </w:rPr>
        <w:t>四、投标保证金</w:t>
      </w:r>
      <w:bookmarkEnd w:id="60"/>
      <w:bookmarkEnd w:id="61"/>
      <w:bookmarkEnd w:id="62"/>
      <w:bookmarkEnd w:id="63"/>
    </w:p>
    <w:p w14:paraId="4E267BEE">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 xml:space="preserve">16.投标保证金 </w:t>
      </w:r>
    </w:p>
    <w:p w14:paraId="0C1AC45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16.1 投标人应按照招标文件第二部分“投标人须知前附表”中的规定交纳。投标保证金须于到账截止时间前到帐，并经采购代理机构确认。</w:t>
      </w:r>
    </w:p>
    <w:p w14:paraId="6CD537D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16.2 采购代理机构不接收以现金或汇票等其他形式递交的投标保证金。未按要求提交投标保证金的，将被视为无效投标。</w:t>
      </w:r>
    </w:p>
    <w:p w14:paraId="2E8A49B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16.3 未中标的投标人的投标保证金在中标通知书发出之日起5个工作日内退还；中标人的投标保证金将在合同生效后5个工作日内退还。</w:t>
      </w:r>
    </w:p>
    <w:p w14:paraId="08FC2D2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16.4 投标保证金退还一律采用网上银行转帐方式退还至投标人的汇款帐户，资金原路返回。</w:t>
      </w:r>
    </w:p>
    <w:p w14:paraId="08C748F5">
      <w:pPr>
        <w:pStyle w:val="83"/>
        <w:spacing w:line="360" w:lineRule="auto"/>
        <w:ind w:firstLine="480" w:firstLineChars="200"/>
        <w:rPr>
          <w:rFonts w:hint="eastAsia" w:ascii="宋体" w:hAnsi="宋体" w:eastAsia="宋体" w:cs="宋体"/>
          <w:color w:val="auto"/>
          <w:sz w:val="24"/>
          <w:szCs w:val="22"/>
          <w:highlight w:val="none"/>
        </w:rPr>
      </w:pPr>
      <w:bookmarkStart w:id="64" w:name="EBa90ba16225e5405a8b55b51f6fbf6913"/>
      <w:bookmarkEnd w:id="64"/>
      <w:r>
        <w:rPr>
          <w:rFonts w:hint="eastAsia" w:ascii="宋体" w:hAnsi="宋体" w:eastAsia="宋体" w:cs="宋体"/>
          <w:color w:val="auto"/>
          <w:sz w:val="24"/>
          <w:szCs w:val="22"/>
          <w:highlight w:val="none"/>
        </w:rPr>
        <w:t>16.5如开标时投标人对本单位投标保证金缴纳情况有疑义，投标人应在开标结束前向招标人提交书面申请核实保证金缴纳情况。由银行或保险公司核实后出具书面材料予以答复。</w:t>
      </w:r>
    </w:p>
    <w:p w14:paraId="7ADF8D0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16.6开标结束后，转账、电汇、网银形式缴纳的保证金由招标代理或招标人统一办理中标人和未中标人的保证金退还事宜。如本项目招标中遇质疑，投诉，复议等特殊情况，保证金退还时间按相关规定执行。</w:t>
      </w:r>
    </w:p>
    <w:p w14:paraId="58FF76E4">
      <w:pPr>
        <w:pStyle w:val="83"/>
        <w:keepNext/>
        <w:keepLines/>
        <w:adjustRightInd w:val="0"/>
        <w:spacing w:line="360" w:lineRule="auto"/>
        <w:jc w:val="center"/>
        <w:rPr>
          <w:rFonts w:hint="eastAsia" w:ascii="宋体" w:hAnsi="宋体" w:eastAsia="宋体" w:cs="宋体"/>
          <w:b/>
          <w:bCs/>
          <w:color w:val="auto"/>
          <w:kern w:val="0"/>
          <w:sz w:val="24"/>
          <w:szCs w:val="32"/>
          <w:highlight w:val="none"/>
        </w:rPr>
      </w:pPr>
      <w:bookmarkStart w:id="65" w:name="_Toc256000008"/>
    </w:p>
    <w:p w14:paraId="05EC399A">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66" w:name="_Toc22877"/>
      <w:bookmarkStart w:id="67" w:name="_Toc30219"/>
      <w:bookmarkStart w:id="68" w:name="_Toc25385"/>
      <w:r>
        <w:rPr>
          <w:rFonts w:hint="eastAsia" w:ascii="宋体" w:hAnsi="宋体" w:eastAsia="宋体" w:cs="宋体"/>
          <w:b/>
          <w:bCs/>
          <w:color w:val="auto"/>
          <w:kern w:val="0"/>
          <w:sz w:val="24"/>
          <w:szCs w:val="32"/>
          <w:highlight w:val="none"/>
        </w:rPr>
        <w:t>五、投标文件的递交</w:t>
      </w:r>
      <w:bookmarkEnd w:id="65"/>
      <w:bookmarkEnd w:id="66"/>
      <w:bookmarkEnd w:id="67"/>
      <w:bookmarkEnd w:id="68"/>
    </w:p>
    <w:p w14:paraId="7FA6446C">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17.投标文件的密封和标记</w:t>
      </w:r>
    </w:p>
    <w:p w14:paraId="1B0FE0B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17.1 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4475BE8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投标截止时间以政采云http://www.ccgp-xinjiang.gov.cn显示的时间为准，逾期系统将自动关闭，未完成上传的投标文件视为逾期送达，将被拒绝。</w:t>
      </w:r>
    </w:p>
    <w:p w14:paraId="39021093">
      <w:pPr>
        <w:pStyle w:val="83"/>
        <w:spacing w:line="5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17.</w:t>
      </w:r>
      <w:r>
        <w:rPr>
          <w:rFonts w:hint="eastAsia" w:ascii="宋体" w:hAnsi="宋体" w:eastAsia="宋体" w:cs="宋体"/>
          <w:color w:val="auto"/>
          <w:sz w:val="24"/>
          <w:szCs w:val="22"/>
          <w:highlight w:val="none"/>
          <w:lang w:val="en-US" w:eastAsia="zh-CN"/>
        </w:rPr>
        <w:t>2</w:t>
      </w:r>
      <w:r>
        <w:rPr>
          <w:rFonts w:hint="eastAsia" w:ascii="宋体" w:hAnsi="宋体" w:eastAsia="宋体" w:cs="宋体"/>
          <w:color w:val="auto"/>
          <w:sz w:val="24"/>
          <w:szCs w:val="22"/>
          <w:highlight w:val="none"/>
        </w:rPr>
        <w:t>是否采用不见面开标方式详见投标人须知前附表，若本项目采用不见面开标，无需提供电子投标文件U盘、纸质投标文件。</w:t>
      </w:r>
    </w:p>
    <w:p w14:paraId="28552284">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18.投标文件的递交</w:t>
      </w:r>
    </w:p>
    <w:p w14:paraId="41864B5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18.1 投标人应当在招标文件要求提交投标文件的截止时间前网上投标。</w:t>
      </w:r>
    </w:p>
    <w:p w14:paraId="79F466E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18.2 在招标文件要求提交投标文件的截止时间之后送达的投标文件，为无效投标文件，采购代理机构将拒绝接收。</w:t>
      </w:r>
    </w:p>
    <w:p w14:paraId="5C6C694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18.3是否采用不见面开标详见投标人须知前附表，若项目采用不见面开标。只需将加密电子投标文件在投标截止时间前通过政采云平台上传完成。上传时必须得到电脑“上传成功”的确认回复后方为上传成功。逾期上传的或者未上传到平台的投标文件，采购人不予受理。</w:t>
      </w:r>
    </w:p>
    <w:p w14:paraId="37F0F9ED">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19.投标文件的修改和撤回</w:t>
      </w:r>
    </w:p>
    <w:p w14:paraId="48C9517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19.1 投标人在递交投标文件后，可以修改或撤回其投标，但这种修改和撤回，必须在规定的投标截止时间前。在投标截止时间后，投标人不得要求修改或撤回其投标文件。</w:t>
      </w:r>
    </w:p>
    <w:p w14:paraId="33AF36EF">
      <w:pPr>
        <w:pStyle w:val="83"/>
        <w:jc w:val="center"/>
        <w:rPr>
          <w:rFonts w:hint="eastAsia" w:ascii="宋体" w:hAnsi="宋体" w:eastAsia="宋体" w:cs="宋体"/>
          <w:b/>
          <w:bCs/>
          <w:color w:val="auto"/>
          <w:kern w:val="0"/>
          <w:sz w:val="24"/>
          <w:szCs w:val="32"/>
          <w:highlight w:val="none"/>
        </w:rPr>
      </w:pPr>
      <w:bookmarkStart w:id="69" w:name="EB81ee8525ba154877a375e0453dfebe72"/>
      <w:bookmarkEnd w:id="69"/>
      <w:bookmarkStart w:id="70" w:name="EB59f3b3240a8b4b64960eecad995cd524"/>
      <w:bookmarkEnd w:id="70"/>
      <w:bookmarkStart w:id="71" w:name="EBdea484bda35746a2b5fd314ad05e57a5"/>
      <w:bookmarkEnd w:id="71"/>
      <w:bookmarkStart w:id="72" w:name="_Toc256000009"/>
    </w:p>
    <w:p w14:paraId="0FFC79C6">
      <w:pPr>
        <w:pStyle w:val="83"/>
        <w:jc w:val="center"/>
        <w:outlineLvl w:val="1"/>
        <w:rPr>
          <w:rFonts w:hint="eastAsia" w:ascii="宋体" w:hAnsi="宋体" w:eastAsia="宋体" w:cs="宋体"/>
          <w:b/>
          <w:bCs/>
          <w:color w:val="auto"/>
          <w:kern w:val="0"/>
          <w:sz w:val="24"/>
          <w:szCs w:val="32"/>
          <w:highlight w:val="none"/>
        </w:rPr>
      </w:pPr>
      <w:bookmarkStart w:id="73" w:name="_Toc2618"/>
      <w:bookmarkStart w:id="74" w:name="_Toc25950"/>
      <w:r>
        <w:rPr>
          <w:rFonts w:hint="eastAsia" w:ascii="宋体" w:hAnsi="宋体" w:eastAsia="宋体" w:cs="宋体"/>
          <w:b/>
          <w:bCs/>
          <w:color w:val="auto"/>
          <w:kern w:val="0"/>
          <w:sz w:val="24"/>
          <w:szCs w:val="32"/>
          <w:highlight w:val="none"/>
        </w:rPr>
        <w:t>六、开标</w:t>
      </w:r>
      <w:bookmarkEnd w:id="72"/>
      <w:bookmarkEnd w:id="73"/>
      <w:bookmarkEnd w:id="74"/>
    </w:p>
    <w:p w14:paraId="5C93EA50">
      <w:pPr>
        <w:pStyle w:val="83"/>
        <w:spacing w:line="360" w:lineRule="auto"/>
        <w:rPr>
          <w:rFonts w:hint="eastAsia" w:ascii="宋体" w:hAnsi="宋体" w:eastAsia="宋体" w:cs="宋体"/>
          <w:color w:val="auto"/>
          <w:sz w:val="24"/>
          <w:szCs w:val="22"/>
          <w:highlight w:val="none"/>
        </w:rPr>
      </w:pPr>
      <w:r>
        <w:rPr>
          <w:rFonts w:hint="eastAsia" w:ascii="宋体" w:hAnsi="宋体" w:eastAsia="宋体" w:cs="宋体"/>
          <w:b/>
          <w:color w:val="auto"/>
          <w:sz w:val="24"/>
          <w:szCs w:val="22"/>
          <w:highlight w:val="none"/>
        </w:rPr>
        <w:t>20.开标</w:t>
      </w:r>
    </w:p>
    <w:p w14:paraId="4D15D710">
      <w:pPr>
        <w:pStyle w:val="79"/>
        <w:spacing w:line="500" w:lineRule="exact"/>
        <w:rPr>
          <w:rFonts w:hint="eastAsia" w:ascii="宋体" w:hAnsi="宋体" w:eastAsia="宋体" w:cs="宋体"/>
          <w:color w:val="auto"/>
          <w:sz w:val="24"/>
          <w:highlight w:val="none"/>
        </w:rPr>
      </w:pPr>
      <w:r>
        <w:rPr>
          <w:rFonts w:hint="eastAsia" w:ascii="宋体" w:hAnsi="宋体" w:eastAsia="宋体" w:cs="宋体"/>
          <w:b/>
          <w:color w:val="auto"/>
          <w:sz w:val="24"/>
          <w:highlight w:val="none"/>
        </w:rPr>
        <w:t>采用不见面开标方式</w:t>
      </w:r>
    </w:p>
    <w:p w14:paraId="1896875E">
      <w:pPr>
        <w:pStyle w:val="79"/>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招标人在规定的投标截止时间（开标时间）和投标人须知前附表规定的地点开标。投标人的法定代表人或其委托代理人无需到达开标现场，仅需在任意地点通过</w:t>
      </w:r>
      <w:r>
        <w:rPr>
          <w:rFonts w:hint="eastAsia" w:ascii="宋体" w:hAnsi="宋体" w:eastAsia="宋体" w:cs="宋体"/>
          <w:color w:val="auto"/>
          <w:sz w:val="24"/>
          <w:szCs w:val="24"/>
          <w:highlight w:val="none"/>
        </w:rPr>
        <w:t>政采云平台</w:t>
      </w:r>
      <w:r>
        <w:rPr>
          <w:rFonts w:hint="eastAsia" w:ascii="宋体" w:hAnsi="宋体" w:eastAsia="宋体" w:cs="宋体"/>
          <w:color w:val="auto"/>
          <w:sz w:val="24"/>
          <w:highlight w:val="none"/>
        </w:rPr>
        <w:t>不见面开标系统，使用CA密钥完成远程解密、提疑澄清、开标唱标、结果公布等交互环节。</w:t>
      </w:r>
    </w:p>
    <w:p w14:paraId="385E61D5">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54D37113">
      <w:pPr>
        <w:pStyle w:val="83"/>
        <w:rPr>
          <w:rFonts w:hint="eastAsia" w:ascii="宋体" w:hAnsi="宋体" w:eastAsia="宋体" w:cs="宋体"/>
          <w:color w:val="auto"/>
          <w:sz w:val="21"/>
          <w:szCs w:val="22"/>
          <w:highlight w:val="none"/>
        </w:rPr>
      </w:pPr>
      <w:bookmarkStart w:id="75" w:name="EB762c78e93eba4b72af2df5b3efee4779"/>
      <w:bookmarkEnd w:id="75"/>
      <w:bookmarkStart w:id="76" w:name="EBd11563aac94641bcbce64c740b54f3c6"/>
      <w:bookmarkEnd w:id="76"/>
      <w:bookmarkStart w:id="77" w:name="EBb2fe5bffca4b463885814e2aee93745c"/>
      <w:bookmarkEnd w:id="77"/>
    </w:p>
    <w:p w14:paraId="5D388A35">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78" w:name="_Toc256000010"/>
      <w:bookmarkStart w:id="79" w:name="_Toc29702"/>
      <w:bookmarkStart w:id="80" w:name="_Toc10724"/>
      <w:bookmarkStart w:id="81" w:name="_Toc14327"/>
      <w:r>
        <w:rPr>
          <w:rFonts w:hint="eastAsia" w:ascii="宋体" w:hAnsi="宋体" w:eastAsia="宋体" w:cs="宋体"/>
          <w:b/>
          <w:bCs/>
          <w:color w:val="auto"/>
          <w:kern w:val="0"/>
          <w:sz w:val="24"/>
          <w:szCs w:val="32"/>
          <w:highlight w:val="none"/>
        </w:rPr>
        <w:t>七、评标步骤和要求</w:t>
      </w:r>
      <w:bookmarkEnd w:id="78"/>
      <w:bookmarkEnd w:id="79"/>
      <w:bookmarkEnd w:id="80"/>
      <w:bookmarkEnd w:id="81"/>
    </w:p>
    <w:p w14:paraId="2BCC88D9">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21.组建评标委员会</w:t>
      </w:r>
    </w:p>
    <w:p w14:paraId="7D0D25D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21.1 采购代理机构根据有关法律法规和本招标文件的规定，结合招标项目的特点组建评标委员会，对投标文件进行评估和比较。评标委员会由五人以上单数组成，其中经济、技术等方面的专家不少于三分之二。</w:t>
      </w:r>
    </w:p>
    <w:p w14:paraId="70D92E77">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22、资格审查</w:t>
      </w:r>
    </w:p>
    <w:p w14:paraId="1005DE4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22.1公开招标采购项目开标结束后，采购人或者采购代理机构应当依法对投标人的资格进行审查。合格投标人不足3家的，不得评标。</w:t>
      </w:r>
    </w:p>
    <w:p w14:paraId="4DABD2C1">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23.初步评审</w:t>
      </w:r>
    </w:p>
    <w:p w14:paraId="59AEC0B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 xml:space="preserve">23.1 评标委员会审查投标文件是否符合招标文件的基本要求：内容是否完整、资格证明文件是否合格、文件签署是否齐全、有无计算错误等。 </w:t>
      </w:r>
    </w:p>
    <w:p w14:paraId="6AB32B8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23.2 评标委员会审查投标文件是否实质上响应招标文件的要求。</w:t>
      </w:r>
    </w:p>
    <w:p w14:paraId="1ECBF6E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1）实质上响应的投标是指与招标文件上的条款、条件和规格相符，没有重大偏离或保留，否则将视为无效投标。</w:t>
      </w:r>
    </w:p>
    <w:p w14:paraId="061A489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重大偏离或保留系指投标货物的质量、数量和交付日期等明显不能满足招标文件的要求，或者实质上与招标文件不一致，纠正这些偏离或保留将对其他实质上响应要求的投标人的竞争地位产生不公正的影响。包括但不限于：</w:t>
      </w:r>
    </w:p>
    <w:p w14:paraId="44CEDB2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A、招标文件第二部分“投标人须知前附表”</w:t>
      </w:r>
      <w:r>
        <w:rPr>
          <w:rFonts w:hint="eastAsia" w:ascii="宋体" w:hAnsi="宋体" w:eastAsia="宋体" w:cs="宋体"/>
          <w:color w:val="auto"/>
          <w:sz w:val="24"/>
          <w:szCs w:val="22"/>
          <w:highlight w:val="none"/>
          <w:lang w:val="en-US" w:eastAsia="zh-CN"/>
        </w:rPr>
        <w:t>中</w:t>
      </w:r>
      <w:r>
        <w:rPr>
          <w:rFonts w:hint="eastAsia" w:ascii="宋体" w:hAnsi="宋体" w:eastAsia="宋体" w:cs="宋体"/>
          <w:b/>
          <w:bCs/>
          <w:color w:val="auto"/>
          <w:sz w:val="24"/>
          <w:szCs w:val="22"/>
          <w:highlight w:val="none"/>
        </w:rPr>
        <w:t>“投标文件组成</w:t>
      </w:r>
      <w:r>
        <w:rPr>
          <w:rFonts w:hint="eastAsia" w:ascii="宋体" w:hAnsi="宋体" w:eastAsia="宋体" w:cs="宋体"/>
          <w:color w:val="auto"/>
          <w:sz w:val="24"/>
          <w:szCs w:val="22"/>
          <w:highlight w:val="none"/>
        </w:rPr>
        <w:t>”部分中证明文件不全或无效的；</w:t>
      </w:r>
    </w:p>
    <w:p w14:paraId="6A466C9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B、投标文件未按招标文件的规定签章的；</w:t>
      </w:r>
    </w:p>
    <w:p w14:paraId="028A092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C、未按投标文件份数要求提交投标文件的；</w:t>
      </w:r>
    </w:p>
    <w:p w14:paraId="2167961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D、报价超过</w:t>
      </w:r>
      <w:r>
        <w:rPr>
          <w:rFonts w:hint="eastAsia" w:ascii="宋体" w:hAnsi="宋体" w:eastAsia="宋体" w:cs="宋体"/>
          <w:color w:val="auto"/>
          <w:sz w:val="24"/>
          <w:szCs w:val="22"/>
          <w:highlight w:val="none"/>
          <w:lang w:val="en-US" w:eastAsia="zh-CN"/>
        </w:rPr>
        <w:t>最高限价</w:t>
      </w:r>
      <w:r>
        <w:rPr>
          <w:rFonts w:hint="eastAsia" w:ascii="宋体" w:hAnsi="宋体" w:eastAsia="宋体" w:cs="宋体"/>
          <w:color w:val="auto"/>
          <w:sz w:val="24"/>
          <w:szCs w:val="22"/>
          <w:highlight w:val="none"/>
        </w:rPr>
        <w:t>或经评标委员会认定低于成本的；</w:t>
      </w:r>
    </w:p>
    <w:p w14:paraId="58FAE40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E、投标有效期不足的；</w:t>
      </w:r>
    </w:p>
    <w:p w14:paraId="2933B0E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F、联合体投标文件未附联合体投标协议书的；</w:t>
      </w:r>
    </w:p>
    <w:p w14:paraId="26C0B54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G、不符合招标文件中有关分包规定的；</w:t>
      </w:r>
    </w:p>
    <w:p w14:paraId="09BF290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H、有串通投标或弄虚作假或有其他违法行为的；</w:t>
      </w:r>
    </w:p>
    <w:p w14:paraId="05A20AB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I、投标人递交的电子投标文件（加密电子投标文件）无法满足正常开标、评标使用功能的；</w:t>
      </w:r>
    </w:p>
    <w:p w14:paraId="7FAC173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J、投标人名称或组织结构与领取</w:t>
      </w:r>
      <w:r>
        <w:rPr>
          <w:rFonts w:hint="eastAsia" w:ascii="宋体" w:hAnsi="宋体" w:eastAsia="宋体" w:cs="宋体"/>
          <w:color w:val="auto"/>
          <w:sz w:val="24"/>
          <w:szCs w:val="22"/>
          <w:highlight w:val="none"/>
          <w:lang w:val="en-US" w:eastAsia="zh-CN"/>
        </w:rPr>
        <w:t>招标</w:t>
      </w:r>
      <w:r>
        <w:rPr>
          <w:rFonts w:hint="eastAsia" w:ascii="宋体" w:hAnsi="宋体" w:eastAsia="宋体" w:cs="宋体"/>
          <w:color w:val="auto"/>
          <w:sz w:val="24"/>
          <w:szCs w:val="22"/>
          <w:highlight w:val="none"/>
        </w:rPr>
        <w:t>文件时不一致且无有效变更证明的；</w:t>
      </w:r>
    </w:p>
    <w:p w14:paraId="3C76BB2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K、不符合招标文件中规定的其他实质性要求。</w:t>
      </w:r>
    </w:p>
    <w:p w14:paraId="3BE243A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23.3 投标文件的细微偏差是指在实质上响应招标文件要求，但在个别地方存在漏项或者提供了不完整的技术信息和数据等情况，并且补正这些遗漏或者不完整，不会对其他投标人造成不公正的结果。细微偏差不影响投标文件的有效性。</w:t>
      </w:r>
    </w:p>
    <w:p w14:paraId="6430B79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 xml:space="preserve">23.4 初步评审中，对明显的文字和计算错误按下述原则处理，若出现相互矛盾之处，应以排列在先的原则为准优先处理：        </w:t>
      </w:r>
    </w:p>
    <w:p w14:paraId="26F8D40E">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1）投标文件中的开标一览表与明细表内容不一致的，以开标一览表为准。</w:t>
      </w:r>
    </w:p>
    <w:p w14:paraId="0D0DC50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2）如果以文字表示的数据与数字表示的有差别，以文字为准修正数字。如果大写金额和小写金额不一致的，以大写金额为准；</w:t>
      </w:r>
    </w:p>
    <w:p w14:paraId="0C8A4A7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3）如果单价乘以数量不等于总价，以单价为准修正总价，但单价金额小数点有明显错位的，应以总价为准，并修改单价。如果明细价格相加不等于汇总价格，以明细价格为准。</w:t>
      </w:r>
    </w:p>
    <w:p w14:paraId="53206AF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4）调整后的数据对投标人具有约束力，投标人不同意以上修正，其投标将被拒绝。</w:t>
      </w:r>
    </w:p>
    <w:p w14:paraId="437AE30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23.5 评标委员会对投标文件的判定，只依据投标文件内容本身，不依据其他外来证明。</w:t>
      </w:r>
    </w:p>
    <w:p w14:paraId="676F9FEF">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24.投标的澄清</w:t>
      </w:r>
    </w:p>
    <w:p w14:paraId="3004C4A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24.1 评标委员会有权要求投标人对投标文件中含义不明确、对同类问题表述不一致或者有明显文字和计算错误等内容作必要的澄清、说明或者补正。该要求应当采用书面形式，并由评标委员会成员签字。评标委员会不接受投标人主动提出的澄清、说明或者补正。</w:t>
      </w:r>
    </w:p>
    <w:p w14:paraId="6EE25D5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24.2 投标人必须按照评标委员会通知的内容和时间做出书面答复，该答复经法定代表人或授权代理人的签字认可，将作为投标文件内容的一部分。澄清、说明或者补正不得超出投标文件的范围或者改变投标文件的实质性内容。投标人拒不按照要求对投标文件进行澄清、说明或者补正的，评标委员会可拒绝该投标。</w:t>
      </w:r>
    </w:p>
    <w:p w14:paraId="73ED7BF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24.3 如评标委员会一致认为某个投标人的报价明显不合理，有降低质量、不能诚信履行的可能时，评标委员会有权决定是否通知投标人限期进行书面解释或提供相关证明材料。若已要求，而该投标人在规定期限内未做出解释、作出的解释不合理或不能提供证明材料的，经评标委员会取得一致意见后，可拒绝该投标。</w:t>
      </w:r>
    </w:p>
    <w:p w14:paraId="3550C15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24.4 公开招标采购项目开标结束后，采购人或者采购代理机构应当依法对投标人的资格进行审查。合格投标人不足3家的，不得评标。</w:t>
      </w:r>
    </w:p>
    <w:p w14:paraId="0F082025">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25.详细评审</w:t>
      </w:r>
    </w:p>
    <w:p w14:paraId="289E76E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25.1 评标委员会只对实质上响应招标文件的投标进行评价和比较；评审应严格按照招标文件第二部分“投标人须知前附表”中规定以及招标文件的要求进行。具体要求等详见招标文件第四部分“评审方法”。</w:t>
      </w:r>
    </w:p>
    <w:p w14:paraId="7503E310">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25.2 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4F36EF53">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26.确定中标人</w:t>
      </w:r>
    </w:p>
    <w:p w14:paraId="69D81FA7">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26.</w:t>
      </w:r>
      <w:r>
        <w:rPr>
          <w:rFonts w:hint="eastAsia" w:ascii="宋体" w:hAnsi="宋体" w:eastAsia="宋体" w:cs="宋体"/>
          <w:color w:val="auto"/>
          <w:sz w:val="24"/>
          <w:szCs w:val="22"/>
          <w:highlight w:val="none"/>
          <w:lang w:val="en-US" w:eastAsia="zh-CN"/>
        </w:rPr>
        <w:t>1</w:t>
      </w:r>
      <w:r>
        <w:rPr>
          <w:rFonts w:hint="eastAsia" w:ascii="宋体" w:hAnsi="宋体" w:eastAsia="宋体" w:cs="宋体"/>
          <w:color w:val="auto"/>
          <w:sz w:val="24"/>
          <w:szCs w:val="22"/>
          <w:highlight w:val="none"/>
        </w:rPr>
        <w:t>评标委员会根据评审结果及招标文件的规定确定中标人。</w:t>
      </w:r>
    </w:p>
    <w:p w14:paraId="27D7B253">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27.评标过程要求</w:t>
      </w:r>
    </w:p>
    <w:p w14:paraId="06B929E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27.1 开标之后，直到签订合同止，凡是属于审查、澄清、评价和比较投标的有关资料以及定标意向等，均不向投标人或者其他与评标无关的人员透露。</w:t>
      </w:r>
    </w:p>
    <w:p w14:paraId="508CB49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27.2 在确定中标人之前，投标人试图在投标文件审查、澄清、比较和评标时对评标委员会、采购人和采购代理机构施加任何影响都可能导致其投标无效。</w:t>
      </w:r>
    </w:p>
    <w:p w14:paraId="585BADB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27.3 电子招投标的应急措施</w:t>
      </w:r>
    </w:p>
    <w:p w14:paraId="21DF9AC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27.3.1 电子开标、评标如出现下列原因，导致系统无法正常运行或无法正常评标时，应采取应急措施。</w:t>
      </w:r>
    </w:p>
    <w:p w14:paraId="531E2378">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（1）系统服务器发生故障，无法访问或无法使用系统；</w:t>
      </w:r>
    </w:p>
    <w:p w14:paraId="020222E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（2）系统的软件或数据库出现错误，不能进行正常操作；</w:t>
      </w:r>
    </w:p>
    <w:p w14:paraId="5C3F44B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（3）系统发现有安全漏洞，有潜在的泄密危险；</w:t>
      </w:r>
    </w:p>
    <w:p w14:paraId="071F958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（4）病毒发作或受到外来病毒的攻击；</w:t>
      </w:r>
    </w:p>
    <w:p w14:paraId="39D00AEF">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（5）出现其他不可抗拒的客观原因造成开评标系统无法正常使用。</w:t>
      </w:r>
    </w:p>
    <w:p w14:paraId="22A85739">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出现上述情况时，应对未开标的暂停开标。已在系统内开标、评标的立即停止。采取应急措施时，必须对原有资料及信息作出妥善保密处理。</w:t>
      </w:r>
    </w:p>
    <w:p w14:paraId="43B6B1B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27.3.2 因系统原因导致投标人均无法解密电子投标文件时，采购代理机构可在开标现场直接导入投标人在投标截止时间前递交的未加密的电子投标文件进行开标、评标。</w:t>
      </w:r>
    </w:p>
    <w:p w14:paraId="7703D398">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28.投标人瑕疵滞后发现的处理规则</w:t>
      </w:r>
    </w:p>
    <w:p w14:paraId="03CDF74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28.1 无论基于何种原因，各项本应作拒绝处理的情形即便未被及时发现而使该投标人进入初审、综合评审或其他后续程序，包括已经签订合同的情形，一旦投标人被拒绝或该投标人的此前评议结果被取消，其现有的位置将被其他投标人依序替代，相关的一切损失均由该投标人承担。</w:t>
      </w:r>
    </w:p>
    <w:p w14:paraId="69110893">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29.采购项目废标</w:t>
      </w:r>
    </w:p>
    <w:p w14:paraId="5D2279C8">
      <w:pPr>
        <w:spacing w:line="360" w:lineRule="auto"/>
        <w:ind w:firstLine="480" w:firstLineChars="200"/>
        <w:rPr>
          <w:rFonts w:hint="eastAsia" w:ascii="宋体" w:hAnsi="宋体" w:eastAsia="宋体" w:cs="宋体"/>
          <w:color w:val="auto"/>
          <w:kern w:val="2"/>
          <w:sz w:val="24"/>
          <w:szCs w:val="22"/>
          <w:highlight w:val="none"/>
          <w:lang w:val="en-US" w:eastAsia="zh-CN" w:bidi="ar-SA"/>
        </w:rPr>
      </w:pPr>
      <w:bookmarkStart w:id="82" w:name="EB89510c3b3a30480c8610f449b19e4e0a"/>
      <w:r>
        <w:rPr>
          <w:rFonts w:hint="eastAsia" w:ascii="宋体" w:hAnsi="宋体" w:eastAsia="宋体" w:cs="宋体"/>
          <w:color w:val="auto"/>
          <w:kern w:val="2"/>
          <w:sz w:val="24"/>
          <w:szCs w:val="22"/>
          <w:highlight w:val="none"/>
          <w:lang w:val="en-US" w:eastAsia="zh-CN" w:bidi="ar-SA"/>
        </w:rPr>
        <w:t>29.1在评标过程中，评标委员会发现有下列情形之一的，应对采购项目予以废标：</w:t>
      </w:r>
    </w:p>
    <w:p w14:paraId="05853A43">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1）符合专业条件的供应商或者对招标文件作实质响应的供应商数量不足，导致进入详细评审、打分阶段的供应商不足3家的；</w:t>
      </w:r>
    </w:p>
    <w:p w14:paraId="63C48D50">
      <w:pPr>
        <w:spacing w:line="360" w:lineRule="auto"/>
        <w:ind w:left="479" w:leftChars="228"/>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2）投标人的报价均超过了最高限价；</w:t>
      </w:r>
    </w:p>
    <w:p w14:paraId="280D3D5B">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3）出现影响采购公正的违法、违规行为的；</w:t>
      </w:r>
    </w:p>
    <w:p w14:paraId="08E6EDBA">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4）因重大变故，采购任务取消的。</w:t>
      </w:r>
    </w:p>
    <w:p w14:paraId="69CBEA0F">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29.2投标人存在下列情况之一的,投标无效；</w:t>
      </w:r>
    </w:p>
    <w:p w14:paraId="24AFF232">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(一)未按照招标文件的规定提交投标保证金的；</w:t>
      </w:r>
    </w:p>
    <w:p w14:paraId="07E62627">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(二)投标文件未按招标文件要求签署、盖章的；</w:t>
      </w:r>
    </w:p>
    <w:p w14:paraId="1E65918E">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(三)不具备招标文件中规定的资格要求的；</w:t>
      </w:r>
    </w:p>
    <w:p w14:paraId="122BD46F">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(四)报价超过招标文件中规定的最高限价的；</w:t>
      </w:r>
    </w:p>
    <w:p w14:paraId="0B90E7CF">
      <w:pPr>
        <w:spacing w:line="360" w:lineRule="auto"/>
        <w:ind w:firstLine="480"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(五)投标文件含有采购人不能接受的附加条件的；</w:t>
      </w:r>
    </w:p>
    <w:p w14:paraId="2785CFA3">
      <w:pPr>
        <w:spacing w:line="360" w:lineRule="auto"/>
        <w:ind w:firstLine="480" w:firstLineChars="200"/>
        <w:rPr>
          <w:rFonts w:hint="eastAsia" w:ascii="宋体" w:hAnsi="宋体" w:eastAsia="宋体" w:cs="宋体"/>
          <w:color w:val="auto"/>
          <w:sz w:val="21"/>
          <w:szCs w:val="22"/>
          <w:highlight w:val="none"/>
        </w:rPr>
      </w:pPr>
      <w:r>
        <w:rPr>
          <w:rFonts w:hint="eastAsia" w:ascii="宋体" w:hAnsi="宋体" w:eastAsia="宋体" w:cs="宋体"/>
          <w:color w:val="auto"/>
          <w:kern w:val="2"/>
          <w:sz w:val="24"/>
          <w:szCs w:val="22"/>
          <w:highlight w:val="none"/>
          <w:lang w:val="en-US" w:eastAsia="zh-CN" w:bidi="ar-SA"/>
        </w:rPr>
        <w:t>(六)法律、法规和招标文件规定的其他无效情形；</w:t>
      </w:r>
      <w:bookmarkEnd w:id="82"/>
      <w:bookmarkStart w:id="83" w:name="EBaf0501d4fc0047abb4da5d9e147222a8"/>
      <w:bookmarkEnd w:id="83"/>
      <w:bookmarkStart w:id="84" w:name="EBcfcb2aa810f9473284463cee8dd57e95"/>
      <w:bookmarkEnd w:id="84"/>
    </w:p>
    <w:p w14:paraId="1641C3F1">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85" w:name="_Toc256000011"/>
      <w:bookmarkStart w:id="86" w:name="_Toc18194"/>
      <w:bookmarkStart w:id="87" w:name="_Toc3819"/>
      <w:bookmarkStart w:id="88" w:name="_Toc19146"/>
      <w:r>
        <w:rPr>
          <w:rFonts w:hint="eastAsia" w:ascii="宋体" w:hAnsi="宋体" w:eastAsia="宋体" w:cs="宋体"/>
          <w:b/>
          <w:bCs/>
          <w:color w:val="auto"/>
          <w:kern w:val="0"/>
          <w:sz w:val="24"/>
          <w:szCs w:val="32"/>
          <w:highlight w:val="none"/>
        </w:rPr>
        <w:t>八、履约保证金</w:t>
      </w:r>
      <w:bookmarkEnd w:id="85"/>
      <w:bookmarkEnd w:id="86"/>
      <w:bookmarkEnd w:id="87"/>
      <w:bookmarkEnd w:id="88"/>
    </w:p>
    <w:p w14:paraId="3C7B49D0">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30.履约保证金</w:t>
      </w:r>
    </w:p>
    <w:p w14:paraId="23622BCA">
      <w:pPr>
        <w:pStyle w:val="83"/>
        <w:spacing w:line="360" w:lineRule="auto"/>
        <w:ind w:firstLine="480" w:firstLineChars="200"/>
        <w:rPr>
          <w:rFonts w:hint="eastAsia" w:ascii="宋体" w:hAnsi="宋体" w:eastAsia="宋体" w:cs="宋体"/>
          <w:color w:val="auto"/>
          <w:sz w:val="21"/>
          <w:szCs w:val="22"/>
          <w:highlight w:val="none"/>
        </w:rPr>
      </w:pPr>
      <w:r>
        <w:rPr>
          <w:rFonts w:hint="eastAsia" w:ascii="宋体" w:hAnsi="宋体" w:eastAsia="宋体" w:cs="宋体"/>
          <w:color w:val="auto"/>
          <w:sz w:val="24"/>
          <w:szCs w:val="22"/>
          <w:highlight w:val="none"/>
        </w:rPr>
        <w:t>30.1 履约保证金按照招标文件第二部分“投标人须知前附表”中规定。</w:t>
      </w:r>
      <w:bookmarkStart w:id="89" w:name="EBbe8c5d3558184a138eebad6fbda2d8b7"/>
      <w:bookmarkEnd w:id="89"/>
      <w:bookmarkStart w:id="90" w:name="EB09ff709202054180b10e7298446abc62"/>
      <w:bookmarkEnd w:id="90"/>
      <w:bookmarkStart w:id="91" w:name="EBa2782dfe55b145cf925f57f312c27ae5"/>
      <w:bookmarkEnd w:id="91"/>
    </w:p>
    <w:p w14:paraId="32689511">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92" w:name="_Toc256000012"/>
      <w:bookmarkStart w:id="93" w:name="_Toc19509"/>
      <w:bookmarkStart w:id="94" w:name="_Toc13429"/>
      <w:bookmarkStart w:id="95" w:name="_Toc2744"/>
      <w:r>
        <w:rPr>
          <w:rFonts w:hint="eastAsia" w:ascii="宋体" w:hAnsi="宋体" w:eastAsia="宋体" w:cs="宋体"/>
          <w:b/>
          <w:bCs/>
          <w:color w:val="auto"/>
          <w:kern w:val="0"/>
          <w:sz w:val="24"/>
          <w:szCs w:val="32"/>
          <w:highlight w:val="none"/>
        </w:rPr>
        <w:t>九、代理服务费</w:t>
      </w:r>
      <w:bookmarkEnd w:id="92"/>
      <w:bookmarkEnd w:id="93"/>
      <w:bookmarkEnd w:id="94"/>
      <w:bookmarkEnd w:id="95"/>
    </w:p>
    <w:p w14:paraId="5BE510A5">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31.代理服务费</w:t>
      </w:r>
    </w:p>
    <w:p w14:paraId="6FBABD2F">
      <w:pPr>
        <w:pStyle w:val="83"/>
        <w:spacing w:line="360" w:lineRule="auto"/>
        <w:ind w:firstLine="480" w:firstLineChars="200"/>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szCs w:val="22"/>
          <w:highlight w:val="none"/>
        </w:rPr>
        <w:t>31.1 代理服务费按照招标文件第二部分“投标人须知前附表”中的规定交纳</w:t>
      </w:r>
      <w:r>
        <w:rPr>
          <w:rFonts w:hint="eastAsia" w:ascii="宋体" w:hAnsi="宋体" w:eastAsia="宋体" w:cs="宋体"/>
          <w:color w:val="auto"/>
          <w:sz w:val="24"/>
          <w:szCs w:val="22"/>
          <w:highlight w:val="none"/>
          <w:lang w:eastAsia="zh-CN"/>
        </w:rPr>
        <w:t>。</w:t>
      </w:r>
    </w:p>
    <w:p w14:paraId="6E317A92">
      <w:pPr>
        <w:pStyle w:val="83"/>
        <w:rPr>
          <w:rFonts w:hint="eastAsia" w:ascii="宋体" w:hAnsi="宋体" w:eastAsia="宋体" w:cs="宋体"/>
          <w:color w:val="auto"/>
          <w:sz w:val="21"/>
          <w:szCs w:val="22"/>
          <w:highlight w:val="none"/>
        </w:rPr>
      </w:pPr>
      <w:bookmarkStart w:id="96" w:name="EBa88a30bffaa84b308ae0078153f9e940"/>
      <w:bookmarkEnd w:id="96"/>
      <w:bookmarkStart w:id="97" w:name="EB3d5290ec12874590b73093f235eb4b9c"/>
      <w:bookmarkEnd w:id="97"/>
      <w:bookmarkStart w:id="98" w:name="EB8594d7a587344cd4b5015c7adff7aa6f"/>
      <w:bookmarkEnd w:id="98"/>
    </w:p>
    <w:p w14:paraId="78FF3030">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99" w:name="_Toc256000013"/>
      <w:bookmarkStart w:id="100" w:name="_Toc7142"/>
      <w:bookmarkStart w:id="101" w:name="_Toc16026"/>
      <w:bookmarkStart w:id="102" w:name="_Toc28219"/>
      <w:r>
        <w:rPr>
          <w:rFonts w:hint="eastAsia" w:ascii="宋体" w:hAnsi="宋体" w:eastAsia="宋体" w:cs="宋体"/>
          <w:b/>
          <w:bCs/>
          <w:color w:val="auto"/>
          <w:kern w:val="0"/>
          <w:sz w:val="24"/>
          <w:szCs w:val="32"/>
          <w:highlight w:val="none"/>
        </w:rPr>
        <w:t>十、签订、审核合同</w:t>
      </w:r>
      <w:bookmarkEnd w:id="99"/>
      <w:bookmarkEnd w:id="100"/>
      <w:bookmarkEnd w:id="101"/>
      <w:bookmarkEnd w:id="102"/>
    </w:p>
    <w:p w14:paraId="6ED23AA8">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32.中标通知</w:t>
      </w:r>
    </w:p>
    <w:p w14:paraId="1A561BB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32.1 中标人确定后,采购代理机构将在相关政府采购信息发布媒体上发布中标公告，并以书面形式向中标人发出中标通知书，但该中标结果的有效性不依赖于未中标的投标人是否已经收到该通知。中标人应按照规定交纳履约保证金、代理服务费并经采购代理机构确认后，委派专人持介绍信或授权书和身份证件前往采购代理机构领取中标通知书。中标通知书对采购人和中标人具有同等法律效力。中标通知书发出以后，采购人改变中标结果或者中标人放弃中标，应当承担相应的法律责任。</w:t>
      </w:r>
    </w:p>
    <w:p w14:paraId="211D7DD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32.2 采购代理机构对未中标的投标人不作未中标原因的解释，但中标结果的有效性不以未中标的投标人是否收到相应的通知为前提。</w:t>
      </w:r>
    </w:p>
    <w:p w14:paraId="4AD65D24">
      <w:pPr>
        <w:pStyle w:val="83"/>
        <w:spacing w:line="360" w:lineRule="auto"/>
        <w:ind w:firstLine="480" w:firstLineChars="200"/>
        <w:rPr>
          <w:rFonts w:hint="eastAsia" w:ascii="宋体" w:hAnsi="宋体" w:eastAsia="宋体" w:cs="宋体"/>
          <w:b/>
          <w:color w:val="auto"/>
          <w:sz w:val="24"/>
          <w:szCs w:val="22"/>
          <w:highlight w:val="none"/>
        </w:rPr>
      </w:pPr>
      <w:r>
        <w:rPr>
          <w:rFonts w:hint="eastAsia" w:ascii="宋体" w:hAnsi="宋体" w:eastAsia="宋体" w:cs="宋体"/>
          <w:color w:val="auto"/>
          <w:sz w:val="24"/>
          <w:szCs w:val="22"/>
          <w:highlight w:val="none"/>
        </w:rPr>
        <w:t>32.3 中标通知书是合同的组成部分。</w:t>
      </w:r>
    </w:p>
    <w:p w14:paraId="3811A107">
      <w:pPr>
        <w:pStyle w:val="83"/>
        <w:spacing w:line="360" w:lineRule="auto"/>
        <w:rPr>
          <w:rFonts w:hint="eastAsia" w:ascii="宋体" w:hAnsi="宋体" w:eastAsia="宋体" w:cs="宋体"/>
          <w:b/>
          <w:color w:val="auto"/>
          <w:sz w:val="24"/>
          <w:szCs w:val="22"/>
          <w:highlight w:val="none"/>
        </w:rPr>
      </w:pPr>
    </w:p>
    <w:p w14:paraId="031774D7">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33.签订合同</w:t>
      </w:r>
    </w:p>
    <w:p w14:paraId="474436C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33.1 中标人须在中标通知书发出之日起30日内与采购人签订采购合同。</w:t>
      </w:r>
    </w:p>
    <w:p w14:paraId="481FE60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33.2 中标人须按照招标文件、投标文件及评标过程中的有关澄清、说明或者补正文件的内容与采购人签订合同。中标人不得再与采购人签订背离合同实质性内容的其他协议或声明。</w:t>
      </w:r>
    </w:p>
    <w:p w14:paraId="1CCBB12B">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33.3 采购人如需追加与合同标的相同的货物，在不改变合同其他条款的前提下，提交追加合同的申请报经同级财政部门审核后，可与中标人签订补充合同，但所有补充合同的采购金额不得超过原合同金额的百分之十。</w:t>
      </w:r>
    </w:p>
    <w:p w14:paraId="2FB9EA2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33.4 中标人一旦中标及签订合同后，不得转包，亦不得将合同全部及任何权利、义务向第三方转让。</w:t>
      </w:r>
    </w:p>
    <w:p w14:paraId="3989463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33.5 中标人不履行合同的，采购人可在报经同级人民政府财政部门核准后，与排位在中标人之后的第一位中标候选供应商签订合同，以此类推；或在报经同级人民政府财政部门核准后重新组织采购。</w:t>
      </w:r>
    </w:p>
    <w:p w14:paraId="4145D456">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33.6 违反</w:t>
      </w:r>
      <w:r>
        <w:rPr>
          <w:rFonts w:hint="eastAsia" w:ascii="宋体" w:hAnsi="宋体" w:eastAsia="宋体" w:cs="宋体"/>
          <w:color w:val="auto"/>
          <w:sz w:val="24"/>
          <w:szCs w:val="22"/>
          <w:highlight w:val="none"/>
          <w:lang w:val="en-US" w:eastAsia="zh-CN"/>
        </w:rPr>
        <w:t>33</w:t>
      </w:r>
      <w:r>
        <w:rPr>
          <w:rFonts w:hint="eastAsia" w:ascii="宋体" w:hAnsi="宋体" w:eastAsia="宋体" w:cs="宋体"/>
          <w:color w:val="auto"/>
          <w:sz w:val="24"/>
          <w:szCs w:val="22"/>
          <w:highlight w:val="none"/>
        </w:rPr>
        <w:t>.1条、</w:t>
      </w:r>
      <w:r>
        <w:rPr>
          <w:rFonts w:hint="eastAsia" w:ascii="宋体" w:hAnsi="宋体" w:eastAsia="宋体" w:cs="宋体"/>
          <w:color w:val="auto"/>
          <w:sz w:val="24"/>
          <w:szCs w:val="22"/>
          <w:highlight w:val="none"/>
          <w:lang w:val="en-US" w:eastAsia="zh-CN"/>
        </w:rPr>
        <w:t>33</w:t>
      </w:r>
      <w:r>
        <w:rPr>
          <w:rFonts w:hint="eastAsia" w:ascii="宋体" w:hAnsi="宋体" w:eastAsia="宋体" w:cs="宋体"/>
          <w:color w:val="auto"/>
          <w:sz w:val="24"/>
          <w:szCs w:val="22"/>
          <w:highlight w:val="none"/>
        </w:rPr>
        <w:t>.2条的规定，给对方造成损失的，应承担赔偿责任。</w:t>
      </w:r>
    </w:p>
    <w:p w14:paraId="20B39F76">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34.审核合同</w:t>
      </w:r>
    </w:p>
    <w:p w14:paraId="14D6F422">
      <w:pPr>
        <w:pStyle w:val="83"/>
        <w:spacing w:line="360" w:lineRule="auto"/>
        <w:ind w:firstLine="480" w:firstLineChars="200"/>
        <w:rPr>
          <w:rFonts w:hint="eastAsia" w:ascii="宋体" w:hAnsi="宋体" w:eastAsia="宋体" w:cs="宋体"/>
          <w:color w:val="auto"/>
          <w:sz w:val="21"/>
          <w:szCs w:val="22"/>
          <w:highlight w:val="none"/>
        </w:rPr>
      </w:pPr>
      <w:r>
        <w:rPr>
          <w:rFonts w:hint="eastAsia" w:ascii="宋体" w:hAnsi="宋体" w:eastAsia="宋体" w:cs="宋体"/>
          <w:color w:val="auto"/>
          <w:sz w:val="24"/>
          <w:szCs w:val="22"/>
          <w:highlight w:val="none"/>
        </w:rPr>
        <w:t xml:space="preserve">34.1 </w:t>
      </w:r>
      <w:r>
        <w:rPr>
          <w:rFonts w:hint="eastAsia" w:ascii="宋体" w:hAnsi="宋体" w:eastAsia="宋体" w:cs="宋体"/>
          <w:b w:val="0"/>
          <w:bCs w:val="0"/>
          <w:color w:val="auto"/>
          <w:sz w:val="24"/>
          <w:szCs w:val="22"/>
          <w:highlight w:val="none"/>
        </w:rPr>
        <w:t>中标人持政府采购合同于签订合同之日起3个工作日内到政采云进行备案留存。</w:t>
      </w:r>
      <w:bookmarkStart w:id="103" w:name="EB26d94f6935064ca08c11486392c4dde2"/>
      <w:bookmarkEnd w:id="103"/>
      <w:bookmarkStart w:id="104" w:name="EB65972bcfd405439a8ed92726140c4e40"/>
      <w:bookmarkEnd w:id="104"/>
      <w:bookmarkStart w:id="105" w:name="EB6c0abc09bb1f4a6bbedf613e9381b7f4"/>
      <w:bookmarkEnd w:id="105"/>
    </w:p>
    <w:p w14:paraId="405B565A">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106" w:name="_Toc256000014"/>
      <w:bookmarkStart w:id="107" w:name="_Toc23175"/>
      <w:bookmarkStart w:id="108" w:name="_Toc22162"/>
      <w:bookmarkStart w:id="109" w:name="_Toc2793"/>
      <w:r>
        <w:rPr>
          <w:rFonts w:hint="eastAsia" w:ascii="宋体" w:hAnsi="宋体" w:eastAsia="宋体" w:cs="宋体"/>
          <w:b/>
          <w:bCs/>
          <w:color w:val="auto"/>
          <w:kern w:val="0"/>
          <w:sz w:val="24"/>
          <w:szCs w:val="32"/>
          <w:highlight w:val="none"/>
        </w:rPr>
        <w:t>十一、处罚、询问和质疑</w:t>
      </w:r>
      <w:bookmarkEnd w:id="106"/>
      <w:bookmarkEnd w:id="107"/>
      <w:bookmarkEnd w:id="108"/>
      <w:bookmarkEnd w:id="109"/>
    </w:p>
    <w:p w14:paraId="73563A90">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35.处罚</w:t>
      </w:r>
    </w:p>
    <w:p w14:paraId="6583C10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35.1 发生下列情况之一，投标人的保证金不予退还；情节严重的将其列入不良记录名单。</w:t>
      </w:r>
    </w:p>
    <w:p w14:paraId="1BE9E003">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1）开标后在投标有效期内，投标人撤回其投标；</w:t>
      </w:r>
    </w:p>
    <w:p w14:paraId="42096B8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2）中标后无正当理由不与采购人签订合同的；</w:t>
      </w:r>
    </w:p>
    <w:p w14:paraId="7BD14A8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3）中标人与采购人订立背离合同实质性内容的其他协议；</w:t>
      </w:r>
    </w:p>
    <w:p w14:paraId="36B5C25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4）将中标项目转让给他人，或者在投标文件中未说明，且未经采购代理机构同意，将中标项目分包给他人的；</w:t>
      </w:r>
    </w:p>
    <w:p w14:paraId="4C655FBC">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5）存在串通投标行为的；</w:t>
      </w:r>
    </w:p>
    <w:p w14:paraId="42F79F8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6）存在弄虚作假或提供虚假材料谋取中标的；</w:t>
      </w:r>
    </w:p>
    <w:p w14:paraId="68AE13D7">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7）投标人其他未按招标文件规定和合同约定履行义务的行为。</w:t>
      </w:r>
    </w:p>
    <w:p w14:paraId="12B659A3">
      <w:pPr>
        <w:pStyle w:val="83"/>
        <w:spacing w:line="360" w:lineRule="auto"/>
        <w:rPr>
          <w:rFonts w:hint="eastAsia" w:ascii="宋体" w:hAnsi="宋体" w:eastAsia="宋体" w:cs="宋体"/>
          <w:b/>
          <w:color w:val="auto"/>
          <w:sz w:val="24"/>
          <w:szCs w:val="22"/>
          <w:highlight w:val="none"/>
        </w:rPr>
      </w:pPr>
    </w:p>
    <w:p w14:paraId="69BF68C8">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36.询问</w:t>
      </w:r>
    </w:p>
    <w:p w14:paraId="086BD982">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36.1 投标人对采购事项有疑问的，可以向采购人或采购代理机构提出询问。</w:t>
      </w:r>
    </w:p>
    <w:p w14:paraId="62A9A22A">
      <w:pPr>
        <w:pStyle w:val="83"/>
        <w:spacing w:line="360" w:lineRule="auto"/>
        <w:rPr>
          <w:rFonts w:hint="eastAsia" w:ascii="宋体" w:hAnsi="宋体" w:eastAsia="宋体" w:cs="宋体"/>
          <w:b/>
          <w:color w:val="auto"/>
          <w:sz w:val="24"/>
          <w:szCs w:val="22"/>
          <w:highlight w:val="none"/>
        </w:rPr>
      </w:pPr>
    </w:p>
    <w:p w14:paraId="42495263">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37.投标人有权就招标事宜提出质疑</w:t>
      </w:r>
    </w:p>
    <w:p w14:paraId="2FCFB237">
      <w:pPr>
        <w:pStyle w:val="83"/>
        <w:spacing w:line="360" w:lineRule="auto"/>
        <w:ind w:firstLine="480" w:firstLineChars="200"/>
        <w:rPr>
          <w:rFonts w:hint="eastAsia" w:ascii="宋体" w:hAnsi="宋体" w:eastAsia="宋体" w:cs="宋体"/>
          <w:b w:val="0"/>
          <w:bCs w:val="0"/>
          <w:color w:val="auto"/>
          <w:sz w:val="24"/>
          <w:szCs w:val="22"/>
          <w:highlight w:val="none"/>
        </w:rPr>
      </w:pPr>
      <w:r>
        <w:rPr>
          <w:rFonts w:hint="eastAsia" w:ascii="宋体" w:hAnsi="宋体" w:eastAsia="宋体" w:cs="宋体"/>
          <w:color w:val="auto"/>
          <w:sz w:val="24"/>
          <w:szCs w:val="22"/>
          <w:highlight w:val="none"/>
        </w:rPr>
        <w:t>37.1 投标人认为招标文件、采购过程和中标结果使自已的权益受到损害的，可以在知道或者应知其权益受到损害之日起7个工作日内，以书面形式提出质疑，</w:t>
      </w:r>
      <w:r>
        <w:rPr>
          <w:rFonts w:hint="eastAsia" w:ascii="宋体" w:hAnsi="宋体" w:eastAsia="宋体" w:cs="宋体"/>
          <w:b w:val="0"/>
          <w:bCs w:val="0"/>
          <w:color w:val="auto"/>
          <w:sz w:val="24"/>
          <w:highlight w:val="none"/>
        </w:rPr>
        <w:t>供应商在法定质疑期内一次性提出针对同一采购程序环节的质疑。</w:t>
      </w:r>
    </w:p>
    <w:p w14:paraId="0D2E2774">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37.2 质疑应当按照《中华人民共和国政府采购法》、《中华人民共和国政府采购法实施条例》、《</w:t>
      </w:r>
      <w:r>
        <w:rPr>
          <w:rFonts w:hint="eastAsia" w:ascii="宋体" w:hAnsi="宋体" w:eastAsia="宋体" w:cs="宋体"/>
          <w:color w:val="auto"/>
          <w:kern w:val="0"/>
          <w:sz w:val="24"/>
          <w:highlight w:val="none"/>
        </w:rPr>
        <w:t>政府采购质疑和投诉办法</w:t>
      </w:r>
      <w:r>
        <w:rPr>
          <w:rFonts w:hint="eastAsia" w:ascii="宋体" w:hAnsi="宋体" w:eastAsia="宋体" w:cs="宋体"/>
          <w:color w:val="auto"/>
          <w:sz w:val="24"/>
          <w:szCs w:val="22"/>
          <w:highlight w:val="none"/>
        </w:rPr>
        <w:t>》等法律法规的相关规定，以书面形式向采购代理机构提出。</w:t>
      </w:r>
    </w:p>
    <w:p w14:paraId="364B9361">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37.3 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55D755E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37.4 质疑人可以采取直接送达或者邮寄方式提交质疑书。采购代理机构收到质疑书后，对质疑书进行审查，对符合质疑条件的将办理签收手续，自签收质疑书之日起即为受理。</w:t>
      </w:r>
    </w:p>
    <w:p w14:paraId="5663A45D">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37.5 采购代理机构将在受理书面质疑后7个工作日内审查质疑事项，作出答复或相关处理决定，并以书面形式通知质疑人和其他相关供应商，但答复的内容不涉及商业秘密。</w:t>
      </w:r>
    </w:p>
    <w:p w14:paraId="6D962DBA">
      <w:pPr>
        <w:pStyle w:val="83"/>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37.6 投标人进行虚假和恶意质疑的，采购代理机构将提请有关部门将其列入不良记录名单，在一至三年内禁止参加政府采购活动，并将处理决定在相关政府采购媒体上公布。</w:t>
      </w:r>
    </w:p>
    <w:p w14:paraId="62929F97">
      <w:pPr>
        <w:pStyle w:val="8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2"/>
          <w:highlight w:val="none"/>
        </w:rPr>
        <w:t>37.7 质疑人对答复不满意以及采购代理机构未在规定的时间内作出答复的，可以在答复期满后15个工作日内向财政部门投拆。</w:t>
      </w:r>
      <w:r>
        <w:rPr>
          <w:rFonts w:hint="eastAsia" w:ascii="宋体" w:hAnsi="宋体" w:eastAsia="宋体" w:cs="宋体"/>
          <w:color w:val="auto"/>
          <w:sz w:val="24"/>
          <w:highlight w:val="none"/>
        </w:rPr>
        <w:t>供应商在法定投诉期内一次性提出针对同一采购程序环节的投诉。</w:t>
      </w:r>
    </w:p>
    <w:p w14:paraId="35CC8810">
      <w:pPr>
        <w:pStyle w:val="84"/>
        <w:rPr>
          <w:rFonts w:hint="eastAsia" w:ascii="宋体" w:hAnsi="宋体" w:eastAsia="宋体" w:cs="宋体"/>
          <w:color w:val="auto"/>
          <w:highlight w:val="none"/>
        </w:rPr>
      </w:pPr>
    </w:p>
    <w:p w14:paraId="35DAABD9">
      <w:pPr>
        <w:pStyle w:val="83"/>
        <w:keepNext/>
        <w:keepLines/>
        <w:adjustRightInd w:val="0"/>
        <w:spacing w:line="360" w:lineRule="auto"/>
        <w:jc w:val="center"/>
        <w:outlineLvl w:val="1"/>
        <w:rPr>
          <w:rFonts w:hint="eastAsia" w:ascii="宋体" w:hAnsi="宋体" w:eastAsia="宋体" w:cs="宋体"/>
          <w:b/>
          <w:bCs/>
          <w:color w:val="auto"/>
          <w:kern w:val="0"/>
          <w:sz w:val="24"/>
          <w:szCs w:val="32"/>
          <w:highlight w:val="none"/>
        </w:rPr>
      </w:pPr>
      <w:bookmarkStart w:id="110" w:name="_Toc14178"/>
      <w:bookmarkStart w:id="111" w:name="_Toc29035"/>
      <w:bookmarkStart w:id="112" w:name="_Toc3839"/>
      <w:bookmarkStart w:id="113" w:name="_Toc256000015"/>
      <w:r>
        <w:rPr>
          <w:rFonts w:hint="eastAsia" w:ascii="宋体" w:hAnsi="宋体" w:eastAsia="宋体" w:cs="宋体"/>
          <w:b/>
          <w:bCs/>
          <w:color w:val="auto"/>
          <w:kern w:val="0"/>
          <w:sz w:val="24"/>
          <w:szCs w:val="32"/>
          <w:highlight w:val="none"/>
        </w:rPr>
        <w:t>十二、保密和披露</w:t>
      </w:r>
      <w:bookmarkEnd w:id="110"/>
      <w:bookmarkEnd w:id="111"/>
      <w:bookmarkEnd w:id="112"/>
      <w:bookmarkEnd w:id="113"/>
    </w:p>
    <w:p w14:paraId="7421D714">
      <w:pPr>
        <w:pStyle w:val="83"/>
        <w:spacing w:line="360" w:lineRule="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38.保密和披露</w:t>
      </w:r>
    </w:p>
    <w:p w14:paraId="5BEE4C5B">
      <w:pPr>
        <w:pStyle w:val="83"/>
        <w:spacing w:line="44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38.1 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3AE6216">
      <w:pPr>
        <w:pStyle w:val="83"/>
        <w:spacing w:line="44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38.2 采购代理机构有权将投标人提供的所有资料向有关政府部门或评审标书的有关人员披露。</w:t>
      </w:r>
    </w:p>
    <w:p w14:paraId="7E69E8F9">
      <w:pPr>
        <w:pStyle w:val="83"/>
        <w:spacing w:line="44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38.3 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1F05E5D1">
      <w:pPr>
        <w:pStyle w:val="239"/>
        <w:spacing w:line="360" w:lineRule="auto"/>
        <w:rPr>
          <w:rFonts w:hint="eastAsia" w:ascii="宋体" w:hAnsi="宋体" w:eastAsia="宋体" w:cs="宋体"/>
          <w:color w:val="auto"/>
          <w:sz w:val="24"/>
          <w:szCs w:val="24"/>
          <w:highlight w:val="none"/>
        </w:rPr>
      </w:pPr>
    </w:p>
    <w:p w14:paraId="089AC6CB">
      <w:pPr>
        <w:pStyle w:val="239"/>
        <w:spacing w:line="360" w:lineRule="auto"/>
        <w:rPr>
          <w:rFonts w:hint="eastAsia" w:ascii="宋体" w:hAnsi="宋体" w:eastAsia="宋体" w:cs="宋体"/>
          <w:color w:val="auto"/>
          <w:sz w:val="24"/>
          <w:szCs w:val="24"/>
          <w:highlight w:val="none"/>
        </w:rPr>
      </w:pPr>
    </w:p>
    <w:p w14:paraId="73C33573">
      <w:pPr>
        <w:pStyle w:val="239"/>
        <w:spacing w:line="360" w:lineRule="auto"/>
        <w:rPr>
          <w:rFonts w:hint="eastAsia" w:ascii="宋体" w:hAnsi="宋体" w:eastAsia="宋体" w:cs="宋体"/>
          <w:color w:val="auto"/>
          <w:sz w:val="24"/>
          <w:szCs w:val="24"/>
          <w:highlight w:val="none"/>
        </w:rPr>
      </w:pPr>
    </w:p>
    <w:p w14:paraId="19864E8A">
      <w:pPr>
        <w:pStyle w:val="239"/>
        <w:spacing w:line="360" w:lineRule="auto"/>
        <w:rPr>
          <w:rFonts w:hint="eastAsia" w:ascii="宋体" w:hAnsi="宋体" w:eastAsia="宋体" w:cs="宋体"/>
          <w:color w:val="auto"/>
          <w:sz w:val="24"/>
          <w:szCs w:val="24"/>
          <w:highlight w:val="none"/>
        </w:rPr>
      </w:pPr>
    </w:p>
    <w:p w14:paraId="600C8DD9">
      <w:pPr>
        <w:pStyle w:val="239"/>
        <w:spacing w:line="360" w:lineRule="auto"/>
        <w:rPr>
          <w:rFonts w:hint="eastAsia" w:ascii="宋体" w:hAnsi="宋体" w:eastAsia="宋体" w:cs="宋体"/>
          <w:color w:val="auto"/>
          <w:sz w:val="24"/>
          <w:szCs w:val="24"/>
          <w:highlight w:val="none"/>
        </w:rPr>
      </w:pPr>
    </w:p>
    <w:p w14:paraId="7B8E2F51">
      <w:pPr>
        <w:pStyle w:val="239"/>
        <w:spacing w:line="360" w:lineRule="auto"/>
        <w:rPr>
          <w:rFonts w:hint="eastAsia" w:ascii="宋体" w:hAnsi="宋体" w:eastAsia="宋体" w:cs="宋体"/>
          <w:color w:val="auto"/>
          <w:sz w:val="24"/>
          <w:szCs w:val="24"/>
          <w:highlight w:val="none"/>
        </w:rPr>
        <w:sectPr>
          <w:pgSz w:w="11907" w:h="16840"/>
          <w:pgMar w:top="1134" w:right="1134" w:bottom="1134" w:left="1134" w:header="851" w:footer="851" w:gutter="0"/>
          <w:pgNumType w:fmt="decimal"/>
          <w:cols w:space="720" w:num="1"/>
          <w:titlePg/>
          <w:docGrid w:linePitch="462" w:charSpace="0"/>
        </w:sectPr>
      </w:pPr>
    </w:p>
    <w:bookmarkEnd w:id="15"/>
    <w:bookmarkEnd w:id="26"/>
    <w:p w14:paraId="4CCFA45A">
      <w:pPr>
        <w:pStyle w:val="2"/>
        <w:numPr>
          <w:ilvl w:val="0"/>
          <w:numId w:val="0"/>
        </w:numPr>
        <w:spacing w:line="480" w:lineRule="exact"/>
        <w:jc w:val="center"/>
        <w:rPr>
          <w:rFonts w:hint="eastAsia" w:ascii="宋体" w:hAnsi="宋体" w:eastAsia="宋体" w:cs="宋体"/>
          <w:b/>
          <w:sz w:val="32"/>
          <w:szCs w:val="32"/>
        </w:rPr>
      </w:pPr>
      <w:bookmarkStart w:id="114" w:name="_Toc31966"/>
      <w:r>
        <w:rPr>
          <w:rFonts w:hint="eastAsia" w:ascii="宋体" w:hAnsi="宋体" w:eastAsia="宋体" w:cs="宋体"/>
          <w:b/>
          <w:kern w:val="2"/>
          <w:sz w:val="32"/>
          <w:szCs w:val="32"/>
          <w:lang w:val="en-US" w:eastAsia="zh-CN" w:bidi="ar-SA"/>
        </w:rPr>
        <w:t>第三部分</w:t>
      </w:r>
      <w:r>
        <w:rPr>
          <w:rFonts w:hint="eastAsia" w:ascii="宋体" w:hAnsi="宋体" w:eastAsia="宋体" w:cs="宋体"/>
          <w:i w:val="0"/>
          <w:iCs w:val="0"/>
          <w:color w:val="auto"/>
          <w:kern w:val="0"/>
          <w:sz w:val="24"/>
          <w:szCs w:val="24"/>
          <w:highlight w:val="none"/>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6521450</wp:posOffset>
            </wp:positionH>
            <wp:positionV relativeFrom="paragraph">
              <wp:posOffset>134620</wp:posOffset>
            </wp:positionV>
            <wp:extent cx="133350" cy="295910"/>
            <wp:effectExtent l="0" t="0" r="0" b="8890"/>
            <wp:wrapNone/>
            <wp:docPr id="1" name="图片_82"/>
            <wp:cNvGraphicFramePr/>
            <a:graphic xmlns:a="http://schemas.openxmlformats.org/drawingml/2006/main">
              <a:graphicData uri="http://schemas.openxmlformats.org/drawingml/2006/picture">
                <pic:pic xmlns:pic="http://schemas.openxmlformats.org/drawingml/2006/picture">
                  <pic:nvPicPr>
                    <pic:cNvPr id="1" name="图片_82"/>
                    <pic:cNvPicPr/>
                  </pic:nvPicPr>
                  <pic:blipFill>
                    <a:blip r:embed="rId10"/>
                    <a:stretch>
                      <a:fillRect/>
                    </a:stretch>
                  </pic:blipFill>
                  <pic:spPr>
                    <a:xfrm>
                      <a:off x="0" y="0"/>
                      <a:ext cx="133350" cy="295910"/>
                    </a:xfrm>
                    <a:prstGeom prst="rect">
                      <a:avLst/>
                    </a:prstGeom>
                    <a:noFill/>
                    <a:ln>
                      <a:noFill/>
                    </a:ln>
                  </pic:spPr>
                </pic:pic>
              </a:graphicData>
            </a:graphic>
          </wp:anchor>
        </w:drawing>
      </w:r>
      <w:r>
        <w:rPr>
          <w:rFonts w:hint="eastAsia" w:ascii="宋体" w:hAnsi="宋体" w:eastAsia="宋体" w:cs="宋体"/>
          <w:b/>
          <w:bCs/>
          <w:color w:val="auto"/>
          <w:kern w:val="0"/>
          <w:highlight w:val="none"/>
        </w:rPr>
        <w:t xml:space="preserve"> 采购需求</w:t>
      </w:r>
      <w:bookmarkEnd w:id="114"/>
      <w:bookmarkStart w:id="115" w:name="EBcc1e85494f644b18a0cfdeea10c8765e"/>
    </w:p>
    <w:p w14:paraId="05F9542F">
      <w:pPr>
        <w:keepNext w:val="0"/>
        <w:keepLines w:val="0"/>
        <w:widowControl/>
        <w:suppressLineNumbers w:val="0"/>
        <w:spacing w:line="360" w:lineRule="auto"/>
        <w:ind w:firstLine="480" w:firstLineChars="200"/>
        <w:jc w:val="left"/>
        <w:rPr>
          <w:sz w:val="24"/>
          <w:szCs w:val="24"/>
        </w:rPr>
      </w:pPr>
      <w:r>
        <w:rPr>
          <w:rFonts w:hint="eastAsia" w:ascii="宋体" w:hAnsi="宋体" w:eastAsia="宋体" w:cs="宋体"/>
          <w:color w:val="000000"/>
          <w:kern w:val="0"/>
          <w:sz w:val="24"/>
          <w:szCs w:val="24"/>
          <w:lang w:val="en-US" w:eastAsia="zh-CN" w:bidi="ar"/>
        </w:rPr>
        <w:t xml:space="preserve">乌鲁木齐市公安局公交地铁治安管理支队（公交地铁治安管理分局）巡逻防控大 </w:t>
      </w:r>
    </w:p>
    <w:p w14:paraId="10481388">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队，现面向社会招聘巡逻防控队员。 </w:t>
      </w:r>
    </w:p>
    <w:p w14:paraId="7E62D7CD">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一、招聘条件： </w:t>
      </w:r>
    </w:p>
    <w:p w14:paraId="257EBDD1">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1.具有中华人民共和国国籍，拥护中华人民共和国宪法，维护祖国统一，反对民族分裂和非法宗教活动。政治立场坚定、遵纪守法、公道正派、作风优良、严于律己，无违法犯罪记录。 </w:t>
      </w:r>
    </w:p>
    <w:p w14:paraId="70A70F2F">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2.大专以上文化程度，男性，年龄 18-35 周岁（以身份证年龄为准）。 </w:t>
      </w:r>
    </w:p>
    <w:p w14:paraId="2ED67AF8">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3.提供食宿。 </w:t>
      </w:r>
    </w:p>
    <w:p w14:paraId="795AD34A">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4.必须干满一年。 </w:t>
      </w:r>
    </w:p>
    <w:p w14:paraId="43FF08AE">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5.退役军人、警校毕业生、有驾照者、计算机专业优先录用。 </w:t>
      </w:r>
    </w:p>
    <w:p w14:paraId="7A9670FF">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6.配发制式服装及所需警用装备。 </w:t>
      </w:r>
    </w:p>
    <w:p w14:paraId="25325192">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7.民族不限。 </w:t>
      </w:r>
    </w:p>
    <w:p w14:paraId="09197040">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二、一经录用需参加为期十天的入职培训，培训合格者可开展后续勤务工作。 </w:t>
      </w:r>
    </w:p>
    <w:p w14:paraId="72F32915">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三、工作地点为乌鲁木齐市天、沙、新、水四个区，可根据家庭住址就近调配。 </w:t>
      </w:r>
    </w:p>
    <w:p w14:paraId="52EA3F6D">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 xml:space="preserve">（工作具体涉警务秘密） </w:t>
      </w:r>
    </w:p>
    <w:p w14:paraId="03188DE2">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工作任务：在民警的带领下，开展公交线路、地铁的安保执勤工作。协助民警开展可疑人员、物品的盘查、检查工作；及时发现、制止各类违法犯罪行为；及时上报各类社会面异常情况；维护公交车、地铁车厢内的治安秩序；为群众提供救助、咨询等便民服务，开展法治宣传教育。</w:t>
      </w:r>
    </w:p>
    <w:p w14:paraId="7FA54134">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常态化范围：全市共覆盖 91 条公交线路（2000余辆公交车）、涉及重点公交站 37 个（双向）。</w:t>
      </w:r>
    </w:p>
    <w:p w14:paraId="28C47AB5">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重点时段范围：全市共覆盖 102 条公交线路（2500余辆公交车）、涉及重点公交站 59个（双向）。</w:t>
      </w:r>
    </w:p>
    <w:p w14:paraId="67BC77BD">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常态化工作时间：</w:t>
      </w:r>
    </w:p>
    <w:p w14:paraId="05D9C7FE">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工作日：08:30 至 20:30。</w:t>
      </w:r>
    </w:p>
    <w:p w14:paraId="2CD331B7">
      <w:pPr>
        <w:keepNext w:val="0"/>
        <w:keepLines w:val="0"/>
        <w:widowControl/>
        <w:suppressLineNumbers w:val="0"/>
        <w:spacing w:line="36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节假日：10:00 至 21:30。</w:t>
      </w:r>
    </w:p>
    <w:p w14:paraId="604D237D">
      <w:pPr>
        <w:keepNext w:val="0"/>
        <w:keepLines w:val="0"/>
        <w:widowControl/>
        <w:suppressLineNumbers w:val="0"/>
        <w:spacing w:line="360" w:lineRule="auto"/>
        <w:jc w:val="left"/>
        <w:rPr>
          <w:sz w:val="24"/>
          <w:szCs w:val="24"/>
        </w:rPr>
      </w:pPr>
      <w:r>
        <w:rPr>
          <w:rFonts w:hint="eastAsia" w:ascii="宋体" w:hAnsi="宋体" w:eastAsia="宋体" w:cs="宋体"/>
          <w:color w:val="000000"/>
          <w:kern w:val="0"/>
          <w:sz w:val="24"/>
          <w:szCs w:val="24"/>
          <w:lang w:val="en-US" w:eastAsia="zh-CN" w:bidi="ar"/>
        </w:rPr>
        <w:t>人员每日分班次运转常态化为三班两运转模式</w:t>
      </w:r>
      <w:r>
        <w:rPr>
          <w:rFonts w:hint="eastAsia"/>
          <w:sz w:val="24"/>
          <w:szCs w:val="24"/>
          <w:lang w:val="en-US" w:eastAsia="zh-CN"/>
        </w:rPr>
        <w:t>。</w:t>
      </w:r>
    </w:p>
    <w:p w14:paraId="0FD0E822">
      <w:pPr>
        <w:pStyle w:val="37"/>
        <w:ind w:firstLine="480" w:firstLineChars="200"/>
        <w:rPr>
          <w:rFonts w:hint="eastAsia" w:ascii="宋体" w:hAnsi="宋体" w:eastAsia="宋体" w:cs="宋体"/>
          <w:bCs/>
          <w:sz w:val="24"/>
          <w:highlight w:val="none"/>
        </w:rPr>
      </w:pPr>
    </w:p>
    <w:bookmarkEnd w:id="115"/>
    <w:p w14:paraId="71BAB42F">
      <w:pPr>
        <w:pStyle w:val="41"/>
        <w:jc w:val="center"/>
        <w:rPr>
          <w:rFonts w:hint="eastAsia" w:ascii="宋体" w:hAnsi="宋体" w:eastAsia="宋体" w:cs="宋体"/>
          <w:color w:val="auto"/>
          <w:highlight w:val="none"/>
        </w:rPr>
        <w:sectPr>
          <w:pgSz w:w="11907" w:h="16840"/>
          <w:pgMar w:top="1134" w:right="1134" w:bottom="1134" w:left="1134" w:header="851" w:footer="851" w:gutter="0"/>
          <w:pgNumType w:fmt="decimal"/>
          <w:cols w:space="720" w:num="1"/>
          <w:titlePg/>
          <w:docGrid w:linePitch="462" w:charSpace="0"/>
        </w:sectPr>
      </w:pPr>
      <w:bookmarkStart w:id="116" w:name="_Toc503463633"/>
      <w:bookmarkStart w:id="117" w:name="_Toc29084"/>
    </w:p>
    <w:p w14:paraId="34DEA1A2">
      <w:pPr>
        <w:pStyle w:val="41"/>
        <w:jc w:val="center"/>
        <w:rPr>
          <w:rFonts w:hint="eastAsia" w:ascii="宋体" w:hAnsi="宋体" w:eastAsia="宋体" w:cs="宋体"/>
          <w:color w:val="auto"/>
          <w:highlight w:val="none"/>
        </w:rPr>
      </w:pPr>
      <w:r>
        <w:rPr>
          <w:rFonts w:hint="eastAsia" w:ascii="宋体" w:hAnsi="宋体" w:eastAsia="宋体" w:cs="宋体"/>
          <w:color w:val="auto"/>
          <w:highlight w:val="none"/>
        </w:rPr>
        <w:t>第四部分 评审方法（综合评分法）</w:t>
      </w:r>
      <w:bookmarkEnd w:id="116"/>
      <w:bookmarkEnd w:id="117"/>
    </w:p>
    <w:tbl>
      <w:tblPr>
        <w:tblStyle w:val="44"/>
        <w:tblW w:w="4774" w:type="pct"/>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375"/>
        <w:gridCol w:w="483"/>
        <w:gridCol w:w="1594"/>
        <w:gridCol w:w="6122"/>
        <w:gridCol w:w="365"/>
        <w:gridCol w:w="407"/>
      </w:tblGrid>
      <w:tr w14:paraId="5FA67E8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459" w:type="pct"/>
            <w:gridSpan w:val="2"/>
            <w:vMerge w:val="restart"/>
            <w:tcBorders>
              <w:top w:val="outset" w:color="auto" w:sz="6" w:space="0"/>
              <w:left w:val="outset" w:color="auto" w:sz="6" w:space="0"/>
              <w:bottom w:val="outset" w:color="auto" w:sz="6" w:space="0"/>
              <w:right w:val="outset" w:color="auto" w:sz="6" w:space="0"/>
            </w:tcBorders>
            <w:noWrap w:val="0"/>
            <w:vAlign w:val="center"/>
          </w:tcPr>
          <w:p w14:paraId="47F8DB95">
            <w:pPr>
              <w:pStyle w:val="236"/>
              <w:spacing w:line="360" w:lineRule="auto"/>
              <w:jc w:val="center"/>
              <w:rPr>
                <w:rFonts w:hint="eastAsia" w:ascii="宋体" w:hAnsi="宋体" w:eastAsia="宋体" w:cs="宋体"/>
                <w:color w:val="auto"/>
                <w:kern w:val="0"/>
                <w:szCs w:val="21"/>
                <w:highlight w:val="none"/>
              </w:rPr>
            </w:pPr>
            <w:bookmarkStart w:id="118" w:name="_Toc1351"/>
            <w:r>
              <w:rPr>
                <w:rFonts w:hint="eastAsia" w:ascii="宋体" w:hAnsi="宋体" w:eastAsia="宋体" w:cs="宋体"/>
                <w:color w:val="auto"/>
                <w:kern w:val="0"/>
                <w:szCs w:val="21"/>
                <w:highlight w:val="none"/>
              </w:rPr>
              <w:t>评分</w:t>
            </w:r>
          </w:p>
          <w:p w14:paraId="54677B9D">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因素</w:t>
            </w:r>
          </w:p>
        </w:tc>
        <w:tc>
          <w:tcPr>
            <w:tcW w:w="852" w:type="pct"/>
            <w:vMerge w:val="restart"/>
            <w:tcBorders>
              <w:top w:val="outset" w:color="auto" w:sz="6" w:space="0"/>
              <w:left w:val="outset" w:color="auto" w:sz="6" w:space="0"/>
              <w:bottom w:val="outset" w:color="auto" w:sz="6" w:space="0"/>
              <w:right w:val="outset" w:color="auto" w:sz="6" w:space="0"/>
            </w:tcBorders>
            <w:noWrap w:val="0"/>
            <w:vAlign w:val="center"/>
          </w:tcPr>
          <w:p w14:paraId="7A7959B1">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评分点</w:t>
            </w:r>
          </w:p>
        </w:tc>
        <w:tc>
          <w:tcPr>
            <w:tcW w:w="3275" w:type="pct"/>
            <w:vMerge w:val="restart"/>
            <w:tcBorders>
              <w:top w:val="outset" w:color="auto" w:sz="6" w:space="0"/>
              <w:left w:val="outset" w:color="auto" w:sz="6" w:space="0"/>
              <w:bottom w:val="outset" w:color="auto" w:sz="6" w:space="0"/>
              <w:right w:val="outset" w:color="auto" w:sz="6" w:space="0"/>
            </w:tcBorders>
            <w:noWrap w:val="0"/>
            <w:vAlign w:val="center"/>
          </w:tcPr>
          <w:p w14:paraId="3676D582">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评分标准</w:t>
            </w:r>
          </w:p>
        </w:tc>
        <w:tc>
          <w:tcPr>
            <w:tcW w:w="413" w:type="pct"/>
            <w:gridSpan w:val="2"/>
            <w:tcBorders>
              <w:top w:val="outset" w:color="auto" w:sz="6" w:space="0"/>
              <w:left w:val="outset" w:color="auto" w:sz="6" w:space="0"/>
              <w:bottom w:val="outset" w:color="auto" w:sz="6" w:space="0"/>
              <w:right w:val="outset" w:color="auto" w:sz="6" w:space="0"/>
            </w:tcBorders>
            <w:noWrap w:val="0"/>
            <w:vAlign w:val="center"/>
          </w:tcPr>
          <w:p w14:paraId="0CB6FB15">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w:t>
            </w:r>
          </w:p>
          <w:p w14:paraId="0BC908A2">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意见</w:t>
            </w:r>
          </w:p>
        </w:tc>
      </w:tr>
      <w:tr w14:paraId="6D52C21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16" w:hRule="atLeast"/>
        </w:trPr>
        <w:tc>
          <w:tcPr>
            <w:tcW w:w="459" w:type="pct"/>
            <w:gridSpan w:val="2"/>
            <w:vMerge w:val="continue"/>
            <w:tcBorders>
              <w:top w:val="outset" w:color="auto" w:sz="6" w:space="0"/>
              <w:left w:val="outset" w:color="auto" w:sz="6" w:space="0"/>
              <w:bottom w:val="outset" w:color="auto" w:sz="6" w:space="0"/>
              <w:right w:val="outset" w:color="auto" w:sz="6" w:space="0"/>
            </w:tcBorders>
            <w:noWrap w:val="0"/>
            <w:vAlign w:val="center"/>
          </w:tcPr>
          <w:p w14:paraId="70F0FD8E">
            <w:pPr>
              <w:pStyle w:val="236"/>
              <w:spacing w:line="360" w:lineRule="auto"/>
              <w:jc w:val="center"/>
              <w:rPr>
                <w:rFonts w:hint="eastAsia" w:ascii="宋体" w:hAnsi="宋体" w:eastAsia="宋体" w:cs="宋体"/>
                <w:color w:val="auto"/>
                <w:kern w:val="0"/>
                <w:szCs w:val="21"/>
                <w:highlight w:val="none"/>
              </w:rPr>
            </w:pPr>
          </w:p>
        </w:tc>
        <w:tc>
          <w:tcPr>
            <w:tcW w:w="852" w:type="pct"/>
            <w:vMerge w:val="continue"/>
            <w:tcBorders>
              <w:top w:val="outset" w:color="auto" w:sz="6" w:space="0"/>
              <w:left w:val="outset" w:color="auto" w:sz="6" w:space="0"/>
              <w:bottom w:val="outset" w:color="auto" w:sz="6" w:space="0"/>
              <w:right w:val="outset" w:color="auto" w:sz="6" w:space="0"/>
            </w:tcBorders>
            <w:noWrap w:val="0"/>
            <w:vAlign w:val="center"/>
          </w:tcPr>
          <w:p w14:paraId="6B0C51DC">
            <w:pPr>
              <w:pStyle w:val="236"/>
              <w:spacing w:line="360" w:lineRule="auto"/>
              <w:jc w:val="center"/>
              <w:rPr>
                <w:rFonts w:hint="eastAsia" w:ascii="宋体" w:hAnsi="宋体" w:eastAsia="宋体" w:cs="宋体"/>
                <w:color w:val="auto"/>
                <w:kern w:val="0"/>
                <w:szCs w:val="21"/>
                <w:highlight w:val="none"/>
              </w:rPr>
            </w:pPr>
          </w:p>
        </w:tc>
        <w:tc>
          <w:tcPr>
            <w:tcW w:w="3275" w:type="pct"/>
            <w:vMerge w:val="continue"/>
            <w:tcBorders>
              <w:top w:val="outset" w:color="auto" w:sz="6" w:space="0"/>
              <w:left w:val="outset" w:color="auto" w:sz="6" w:space="0"/>
              <w:bottom w:val="outset" w:color="auto" w:sz="6" w:space="0"/>
              <w:right w:val="outset" w:color="auto" w:sz="6" w:space="0"/>
            </w:tcBorders>
            <w:noWrap w:val="0"/>
            <w:vAlign w:val="center"/>
          </w:tcPr>
          <w:p w14:paraId="08947E37">
            <w:pPr>
              <w:pStyle w:val="236"/>
              <w:spacing w:line="360" w:lineRule="auto"/>
              <w:jc w:val="center"/>
              <w:rPr>
                <w:rFonts w:hint="eastAsia" w:ascii="宋体" w:hAnsi="宋体" w:eastAsia="宋体" w:cs="宋体"/>
                <w:color w:val="auto"/>
                <w:kern w:val="0"/>
                <w:szCs w:val="21"/>
                <w:highlight w:val="none"/>
              </w:rPr>
            </w:pPr>
          </w:p>
        </w:tc>
        <w:tc>
          <w:tcPr>
            <w:tcW w:w="195" w:type="pct"/>
            <w:tcBorders>
              <w:top w:val="outset" w:color="auto" w:sz="6" w:space="0"/>
              <w:left w:val="outset" w:color="auto" w:sz="6" w:space="0"/>
              <w:bottom w:val="outset" w:color="auto" w:sz="6" w:space="0"/>
              <w:right w:val="outset" w:color="auto" w:sz="6" w:space="0"/>
            </w:tcBorders>
            <w:noWrap w:val="0"/>
            <w:vAlign w:val="center"/>
          </w:tcPr>
          <w:p w14:paraId="63B382AB">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w:t>
            </w:r>
          </w:p>
        </w:tc>
        <w:tc>
          <w:tcPr>
            <w:tcW w:w="217" w:type="pct"/>
            <w:tcBorders>
              <w:top w:val="outset" w:color="auto" w:sz="6" w:space="0"/>
              <w:left w:val="outset" w:color="auto" w:sz="6" w:space="0"/>
              <w:bottom w:val="outset" w:color="auto" w:sz="6" w:space="0"/>
              <w:right w:val="outset" w:color="auto" w:sz="6" w:space="0"/>
            </w:tcBorders>
            <w:noWrap w:val="0"/>
            <w:vAlign w:val="center"/>
          </w:tcPr>
          <w:p w14:paraId="4DC56CE8">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否</w:t>
            </w:r>
          </w:p>
        </w:tc>
      </w:tr>
      <w:tr w14:paraId="06CA9B9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restart"/>
            <w:tcBorders>
              <w:top w:val="outset" w:color="auto" w:sz="6" w:space="0"/>
              <w:left w:val="outset" w:color="auto" w:sz="6" w:space="0"/>
              <w:bottom w:val="outset" w:color="auto" w:sz="6" w:space="0"/>
              <w:right w:val="outset" w:color="auto" w:sz="6" w:space="0"/>
            </w:tcBorders>
            <w:noWrap w:val="0"/>
            <w:vAlign w:val="center"/>
          </w:tcPr>
          <w:p w14:paraId="6212DF35">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初步评审</w:t>
            </w:r>
          </w:p>
        </w:tc>
        <w:tc>
          <w:tcPr>
            <w:tcW w:w="258" w:type="pct"/>
            <w:vMerge w:val="restart"/>
            <w:tcBorders>
              <w:top w:val="outset" w:color="auto" w:sz="6" w:space="0"/>
              <w:left w:val="outset" w:color="auto" w:sz="6" w:space="0"/>
              <w:right w:val="outset" w:color="auto" w:sz="6" w:space="0"/>
            </w:tcBorders>
            <w:noWrap w:val="0"/>
            <w:vAlign w:val="center"/>
          </w:tcPr>
          <w:p w14:paraId="70BD5BD8">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资格检查</w:t>
            </w:r>
          </w:p>
        </w:tc>
        <w:tc>
          <w:tcPr>
            <w:tcW w:w="852" w:type="pct"/>
            <w:tcBorders>
              <w:top w:val="outset" w:color="auto" w:sz="6" w:space="0"/>
              <w:left w:val="outset" w:color="auto" w:sz="6" w:space="0"/>
              <w:bottom w:val="outset" w:color="auto" w:sz="6" w:space="0"/>
              <w:right w:val="outset" w:color="auto" w:sz="6" w:space="0"/>
            </w:tcBorders>
            <w:noWrap w:val="0"/>
            <w:vAlign w:val="center"/>
          </w:tcPr>
          <w:p w14:paraId="2343CEC8">
            <w:pPr>
              <w:pStyle w:val="236"/>
              <w:keepNext w:val="0"/>
              <w:keepLines w:val="0"/>
              <w:pageBreakBefore w:val="0"/>
              <w:widowControl w:val="0"/>
              <w:kinsoku/>
              <w:wordWrap/>
              <w:overflowPunct/>
              <w:topLinePunct w:val="0"/>
              <w:autoSpaceDE/>
              <w:autoSpaceDN/>
              <w:bidi w:val="0"/>
              <w:adjustRightInd/>
              <w:snapToGrid/>
              <w:spacing w:line="324"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具备承担民事责任的能力</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515288F0">
            <w:pPr>
              <w:pStyle w:val="236"/>
              <w:keepNext w:val="0"/>
              <w:keepLines w:val="0"/>
              <w:pageBreakBefore w:val="0"/>
              <w:widowControl w:val="0"/>
              <w:kinsoku/>
              <w:wordWrap/>
              <w:overflowPunct/>
              <w:topLinePunct w:val="0"/>
              <w:autoSpaceDE/>
              <w:autoSpaceDN/>
              <w:bidi w:val="0"/>
              <w:adjustRightInd/>
              <w:snapToGrid/>
              <w:spacing w:line="324"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如投标人是企业，应提供在工商部门注册有效的营业执照；如投标人是事业单位，应提供有效的事业单位法人证书；投标人为非企业专业服务机构的，应提供执业许可证等证明文件；如投标人是个体工商户，应提供有效的个体工商户营业执照；如投标人是自然人，应提供有效的自然人身份证明。</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22CFD8E1">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7E25ACA7">
            <w:pPr>
              <w:pStyle w:val="236"/>
              <w:spacing w:line="360" w:lineRule="auto"/>
              <w:rPr>
                <w:rFonts w:hint="eastAsia" w:ascii="宋体" w:hAnsi="宋体" w:eastAsia="宋体" w:cs="宋体"/>
                <w:color w:val="auto"/>
                <w:kern w:val="0"/>
                <w:szCs w:val="21"/>
                <w:highlight w:val="none"/>
              </w:rPr>
            </w:pPr>
          </w:p>
        </w:tc>
      </w:tr>
      <w:tr w14:paraId="516C4FE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0" w:hRule="atLeast"/>
        </w:trPr>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208CF4FF">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0097A9F8">
            <w:pPr>
              <w:pStyle w:val="236"/>
              <w:spacing w:line="360" w:lineRule="auto"/>
              <w:jc w:val="center"/>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72F41757">
            <w:pPr>
              <w:pStyle w:val="184"/>
              <w:keepNext w:val="0"/>
              <w:keepLines w:val="0"/>
              <w:pageBreakBefore w:val="0"/>
              <w:widowControl/>
              <w:kinsoku/>
              <w:wordWrap/>
              <w:overflowPunct/>
              <w:topLinePunct w:val="0"/>
              <w:autoSpaceDE/>
              <w:autoSpaceDN/>
              <w:bidi w:val="0"/>
              <w:adjustRightInd/>
              <w:snapToGrid/>
              <w:spacing w:line="324" w:lineRule="exact"/>
              <w:ind w:left="118" w:leftChars="0" w:right="109" w:rightChars="0"/>
              <w:jc w:val="center"/>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Cs w:val="21"/>
              </w:rPr>
              <w:t>中小企业</w:t>
            </w:r>
            <w:r>
              <w:rPr>
                <w:rFonts w:hint="eastAsia" w:ascii="宋体" w:hAnsi="宋体" w:eastAsia="宋体" w:cs="宋体"/>
                <w:color w:val="auto"/>
                <w:kern w:val="0"/>
                <w:szCs w:val="21"/>
                <w:lang w:val="en-US" w:eastAsia="zh-CN"/>
              </w:rPr>
              <w:t>声明函</w:t>
            </w:r>
          </w:p>
        </w:tc>
        <w:tc>
          <w:tcPr>
            <w:tcW w:w="3275" w:type="pct"/>
            <w:tcBorders>
              <w:top w:val="outset" w:color="auto" w:sz="6" w:space="0"/>
              <w:left w:val="outset" w:color="auto" w:sz="6" w:space="0"/>
              <w:bottom w:val="outset" w:color="auto" w:sz="6" w:space="0"/>
              <w:right w:val="outset" w:color="auto" w:sz="6" w:space="0"/>
            </w:tcBorders>
            <w:noWrap w:val="0"/>
            <w:vAlign w:val="top"/>
          </w:tcPr>
          <w:p w14:paraId="57EC559F">
            <w:pPr>
              <w:pStyle w:val="184"/>
              <w:keepNext w:val="0"/>
              <w:keepLines w:val="0"/>
              <w:pageBreakBefore w:val="0"/>
              <w:widowControl/>
              <w:kinsoku/>
              <w:wordWrap/>
              <w:overflowPunct/>
              <w:topLinePunct w:val="0"/>
              <w:autoSpaceDE/>
              <w:autoSpaceDN/>
              <w:bidi w:val="0"/>
              <w:adjustRightInd/>
              <w:snapToGrid/>
              <w:spacing w:line="324" w:lineRule="exact"/>
              <w:ind w:right="162" w:rightChars="0"/>
              <w:textAlignment w:val="auto"/>
              <w:rPr>
                <w:rFonts w:hint="eastAsia" w:ascii="宋体" w:hAnsi="宋体" w:eastAsia="宋体" w:cs="宋体"/>
                <w:color w:val="auto"/>
                <w:kern w:val="0"/>
                <w:szCs w:val="21"/>
                <w:lang w:val="en-US" w:eastAsia="zh-CN"/>
              </w:rPr>
            </w:pPr>
          </w:p>
          <w:p w14:paraId="45378BD9">
            <w:pPr>
              <w:pStyle w:val="184"/>
              <w:keepNext w:val="0"/>
              <w:keepLines w:val="0"/>
              <w:pageBreakBefore w:val="0"/>
              <w:widowControl/>
              <w:kinsoku/>
              <w:wordWrap/>
              <w:overflowPunct/>
              <w:topLinePunct w:val="0"/>
              <w:autoSpaceDE/>
              <w:autoSpaceDN/>
              <w:bidi w:val="0"/>
              <w:adjustRightInd/>
              <w:snapToGrid/>
              <w:spacing w:line="324" w:lineRule="exact"/>
              <w:ind w:right="162" w:rightChars="0"/>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Cs w:val="21"/>
                <w:lang w:val="en-US" w:eastAsia="zh-CN"/>
              </w:rPr>
              <w:t>投标</w:t>
            </w:r>
            <w:r>
              <w:rPr>
                <w:rFonts w:hint="eastAsia" w:ascii="宋体" w:hAnsi="宋体" w:eastAsia="宋体" w:cs="宋体"/>
                <w:color w:val="auto"/>
                <w:kern w:val="0"/>
                <w:szCs w:val="21"/>
              </w:rPr>
              <w:t>供应商应当出具《中小企业声明函》</w:t>
            </w:r>
            <w:r>
              <w:rPr>
                <w:rFonts w:hint="eastAsia" w:ascii="宋体" w:hAnsi="宋体" w:eastAsia="宋体" w:cs="宋体"/>
                <w:color w:val="auto"/>
                <w:kern w:val="0"/>
                <w:szCs w:val="21"/>
                <w:lang w:eastAsia="zh-CN"/>
              </w:rPr>
              <w:t>。</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304DF580">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6AFF1EAE">
            <w:pPr>
              <w:pStyle w:val="236"/>
              <w:spacing w:line="360" w:lineRule="auto"/>
              <w:rPr>
                <w:rFonts w:hint="eastAsia" w:ascii="宋体" w:hAnsi="宋体" w:eastAsia="宋体" w:cs="宋体"/>
                <w:color w:val="auto"/>
                <w:kern w:val="0"/>
                <w:szCs w:val="21"/>
                <w:highlight w:val="none"/>
              </w:rPr>
            </w:pPr>
          </w:p>
        </w:tc>
      </w:tr>
      <w:tr w14:paraId="0902BC1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3BDD2A43">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163143C1">
            <w:pPr>
              <w:pStyle w:val="236"/>
              <w:spacing w:line="360" w:lineRule="auto"/>
              <w:jc w:val="center"/>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138D71E7">
            <w:pPr>
              <w:pStyle w:val="236"/>
              <w:keepNext w:val="0"/>
              <w:keepLines w:val="0"/>
              <w:pageBreakBefore w:val="0"/>
              <w:kinsoku/>
              <w:wordWrap/>
              <w:overflowPunct/>
              <w:topLinePunct w:val="0"/>
              <w:autoSpaceDE/>
              <w:autoSpaceDN/>
              <w:bidi w:val="0"/>
              <w:adjustRightInd/>
              <w:snapToGrid/>
              <w:spacing w:line="324"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“信用中国”</w:t>
            </w:r>
            <w:r>
              <w:rPr>
                <w:rFonts w:hint="eastAsia" w:ascii="宋体" w:hAnsi="宋体" w:eastAsia="宋体" w:cs="宋体"/>
                <w:sz w:val="21"/>
                <w:szCs w:val="21"/>
                <w:lang w:val="en-US" w:eastAsia="zh-CN"/>
              </w:rPr>
              <w:t>网站</w:t>
            </w:r>
            <w:r>
              <w:rPr>
                <w:rFonts w:hint="eastAsia" w:ascii="宋体" w:hAnsi="宋体" w:eastAsia="宋体" w:cs="宋体"/>
                <w:sz w:val="21"/>
                <w:szCs w:val="21"/>
              </w:rPr>
              <w:t>、“中国执行信息公开网”及“中国政府采购网”查询</w:t>
            </w:r>
          </w:p>
          <w:p w14:paraId="26D3478D">
            <w:pPr>
              <w:pStyle w:val="236"/>
              <w:keepNext w:val="0"/>
              <w:keepLines w:val="0"/>
              <w:pageBreakBefore w:val="0"/>
              <w:kinsoku/>
              <w:wordWrap/>
              <w:overflowPunct/>
              <w:topLinePunct w:val="0"/>
              <w:autoSpaceDE/>
              <w:autoSpaceDN/>
              <w:bidi w:val="0"/>
              <w:adjustRightInd/>
              <w:snapToGrid/>
              <w:spacing w:line="324" w:lineRule="exact"/>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结果</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1704B555">
            <w:pPr>
              <w:pStyle w:val="236"/>
              <w:keepNext w:val="0"/>
              <w:keepLines w:val="0"/>
              <w:pageBreakBefore w:val="0"/>
              <w:kinsoku/>
              <w:wordWrap/>
              <w:overflowPunct/>
              <w:topLinePunct w:val="0"/>
              <w:autoSpaceDE/>
              <w:autoSpaceDN/>
              <w:bidi w:val="0"/>
              <w:adjustRightInd/>
              <w:snapToGrid/>
              <w:spacing w:line="324" w:lineRule="exac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查询结果（全部包含）：1）未被列入重大税收违法案件当事人名单的投标人；2）未被列入失信被执行人；3）未列入政府采购严重违法失信行为记录名单。提供查询截图。</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48479C14">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714BBB14">
            <w:pPr>
              <w:pStyle w:val="236"/>
              <w:spacing w:line="360" w:lineRule="auto"/>
              <w:rPr>
                <w:rFonts w:hint="eastAsia" w:ascii="宋体" w:hAnsi="宋体" w:eastAsia="宋体" w:cs="宋体"/>
                <w:color w:val="auto"/>
                <w:kern w:val="0"/>
                <w:szCs w:val="21"/>
                <w:highlight w:val="none"/>
              </w:rPr>
            </w:pPr>
          </w:p>
        </w:tc>
      </w:tr>
      <w:tr w14:paraId="1CCC293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679D01EE">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4BB7F5B1">
            <w:pPr>
              <w:pStyle w:val="236"/>
              <w:spacing w:line="360" w:lineRule="auto"/>
              <w:jc w:val="center"/>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0E027334">
            <w:pPr>
              <w:pStyle w:val="236"/>
              <w:keepNext w:val="0"/>
              <w:keepLines w:val="0"/>
              <w:pageBreakBefore w:val="0"/>
              <w:widowControl w:val="0"/>
              <w:kinsoku/>
              <w:wordWrap/>
              <w:overflowPunct/>
              <w:topLinePunct w:val="0"/>
              <w:autoSpaceDE/>
              <w:autoSpaceDN/>
              <w:bidi w:val="0"/>
              <w:adjustRightInd/>
              <w:snapToGrid/>
              <w:spacing w:line="33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财务状况报告</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66FC5A49">
            <w:pPr>
              <w:keepNext w:val="0"/>
              <w:keepLines w:val="0"/>
              <w:widowControl/>
              <w:suppressLineNumbers w:val="0"/>
              <w:jc w:val="left"/>
              <w:rPr>
                <w:rFonts w:hint="eastAsia" w:ascii="宋体" w:hAnsi="宋体" w:eastAsia="宋体" w:cs="宋体"/>
                <w:color w:val="auto"/>
                <w:kern w:val="0"/>
                <w:szCs w:val="21"/>
                <w:highlight w:val="none"/>
              </w:rPr>
            </w:pPr>
            <w:r>
              <w:rPr>
                <w:rFonts w:hint="eastAsia" w:ascii="宋体" w:hAnsi="宋体" w:eastAsia="宋体" w:cs="宋体"/>
                <w:kern w:val="2"/>
                <w:sz w:val="21"/>
                <w:szCs w:val="21"/>
                <w:lang w:val="en-US" w:eastAsia="zh-CN" w:bidi="ar-SA"/>
              </w:rPr>
              <w:t>具有良好的商业信誉和健全的财务会计制度（须提供近两年度（任意一年）经审计的完整的财务审计报告复印件，或银行在开标日期前三个月内开具的资信证明）</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32D28870">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0A5FED44">
            <w:pPr>
              <w:pStyle w:val="236"/>
              <w:spacing w:line="360" w:lineRule="auto"/>
              <w:rPr>
                <w:rFonts w:hint="eastAsia" w:ascii="宋体" w:hAnsi="宋体" w:eastAsia="宋体" w:cs="宋体"/>
                <w:color w:val="auto"/>
                <w:kern w:val="0"/>
                <w:szCs w:val="21"/>
                <w:highlight w:val="none"/>
              </w:rPr>
            </w:pPr>
          </w:p>
        </w:tc>
      </w:tr>
      <w:tr w14:paraId="0E787C2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22CF99EE">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0D75F1BF">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38E7B52C">
            <w:pPr>
              <w:pStyle w:val="236"/>
              <w:keepNext w:val="0"/>
              <w:keepLines w:val="0"/>
              <w:pageBreakBefore w:val="0"/>
              <w:widowControl w:val="0"/>
              <w:kinsoku/>
              <w:wordWrap/>
              <w:overflowPunct/>
              <w:topLinePunct w:val="0"/>
              <w:autoSpaceDE/>
              <w:autoSpaceDN/>
              <w:bidi w:val="0"/>
              <w:adjustRightInd/>
              <w:snapToGrid/>
              <w:spacing w:line="33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有依法缴纳税收和社会保障资金的良好记录</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3E784F59">
            <w:pPr>
              <w:pStyle w:val="236"/>
              <w:keepNext w:val="0"/>
              <w:keepLines w:val="0"/>
              <w:pageBreakBefore w:val="0"/>
              <w:widowControl w:val="0"/>
              <w:kinsoku/>
              <w:wordWrap/>
              <w:overflowPunct/>
              <w:topLinePunct w:val="0"/>
              <w:autoSpaceDE/>
              <w:autoSpaceDN/>
              <w:bidi w:val="0"/>
              <w:adjustRightInd/>
              <w:snapToGrid/>
              <w:spacing w:line="33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供近半年内任意一月依法缴纳税收证明，当月新成立公司不需提供；无需纳税或免税的也需提供相应证明材料；提供依法缴纳社会保障资金证明（近半年内任意一月缴纳社会保障资金证明，当月新成立公司不需提供）</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4B85C4E7">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40058BC4">
            <w:pPr>
              <w:pStyle w:val="236"/>
              <w:spacing w:line="360" w:lineRule="auto"/>
              <w:rPr>
                <w:rFonts w:hint="eastAsia" w:ascii="宋体" w:hAnsi="宋体" w:eastAsia="宋体" w:cs="宋体"/>
                <w:color w:val="auto"/>
                <w:kern w:val="0"/>
                <w:szCs w:val="21"/>
                <w:highlight w:val="none"/>
              </w:rPr>
            </w:pPr>
          </w:p>
        </w:tc>
      </w:tr>
      <w:tr w14:paraId="3CA35C2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223C336B">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1970727B">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6C4957A6">
            <w:pPr>
              <w:pStyle w:val="236"/>
              <w:keepNext w:val="0"/>
              <w:keepLines w:val="0"/>
              <w:pageBreakBefore w:val="0"/>
              <w:widowControl w:val="0"/>
              <w:kinsoku/>
              <w:wordWrap/>
              <w:overflowPunct/>
              <w:topLinePunct w:val="0"/>
              <w:autoSpaceDE/>
              <w:autoSpaceDN/>
              <w:bidi w:val="0"/>
              <w:adjustRightInd/>
              <w:snapToGrid/>
              <w:spacing w:line="33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提供无重大违法记录声明书及其他相关承诺</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676DCC94">
            <w:pPr>
              <w:pStyle w:val="236"/>
              <w:keepNext w:val="0"/>
              <w:keepLines w:val="0"/>
              <w:pageBreakBefore w:val="0"/>
              <w:widowControl w:val="0"/>
              <w:kinsoku/>
              <w:wordWrap/>
              <w:overflowPunct/>
              <w:topLinePunct w:val="0"/>
              <w:autoSpaceDE/>
              <w:autoSpaceDN/>
              <w:bidi w:val="0"/>
              <w:adjustRightInd/>
              <w:snapToGrid/>
              <w:spacing w:line="33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提供无重大违法记录声明书及近三年内在政府采购活动中无恶意围标、串标的记录，提供承诺函。</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660C9884">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0AD50FAA">
            <w:pPr>
              <w:pStyle w:val="236"/>
              <w:spacing w:line="360" w:lineRule="auto"/>
              <w:rPr>
                <w:rFonts w:hint="eastAsia" w:ascii="宋体" w:hAnsi="宋体" w:eastAsia="宋体" w:cs="宋体"/>
                <w:color w:val="auto"/>
                <w:kern w:val="0"/>
                <w:szCs w:val="21"/>
                <w:highlight w:val="none"/>
              </w:rPr>
            </w:pPr>
          </w:p>
        </w:tc>
      </w:tr>
      <w:tr w14:paraId="49D145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80" w:hRule="atLeast"/>
        </w:trPr>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0D92168A">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right w:val="outset" w:color="auto" w:sz="6" w:space="0"/>
            </w:tcBorders>
            <w:noWrap w:val="0"/>
            <w:vAlign w:val="center"/>
          </w:tcPr>
          <w:p w14:paraId="65C19710">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top"/>
          </w:tcPr>
          <w:p w14:paraId="48F42DDE">
            <w:pPr>
              <w:pStyle w:val="184"/>
              <w:keepNext w:val="0"/>
              <w:keepLines w:val="0"/>
              <w:pageBreakBefore w:val="0"/>
              <w:widowControl w:val="0"/>
              <w:kinsoku/>
              <w:wordWrap/>
              <w:overflowPunct/>
              <w:topLinePunct w:val="0"/>
              <w:autoSpaceDE/>
              <w:autoSpaceDN/>
              <w:bidi w:val="0"/>
              <w:adjustRightInd/>
              <w:snapToGrid/>
              <w:spacing w:line="330" w:lineRule="exact"/>
              <w:ind w:left="118" w:leftChars="0" w:right="109" w:righ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履行合同所必需的设备和专业技术能力</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51A0956D">
            <w:pPr>
              <w:pStyle w:val="184"/>
              <w:keepNext w:val="0"/>
              <w:keepLines w:val="0"/>
              <w:pageBreakBefore w:val="0"/>
              <w:kinsoku/>
              <w:wordWrap/>
              <w:overflowPunct/>
              <w:topLinePunct w:val="0"/>
              <w:autoSpaceDE/>
              <w:autoSpaceDN/>
              <w:bidi w:val="0"/>
              <w:adjustRightInd/>
              <w:snapToGrid/>
              <w:spacing w:line="330" w:lineRule="exact"/>
              <w:ind w:right="162" w:rightChars="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提供具有履行合同所必需的设备和专业技术能力相关证明材料或声明函。</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7B420145">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3F79FE15">
            <w:pPr>
              <w:pStyle w:val="236"/>
              <w:spacing w:line="360" w:lineRule="auto"/>
              <w:rPr>
                <w:rFonts w:hint="eastAsia" w:ascii="宋体" w:hAnsi="宋体" w:eastAsia="宋体" w:cs="宋体"/>
                <w:color w:val="auto"/>
                <w:kern w:val="0"/>
                <w:szCs w:val="21"/>
                <w:highlight w:val="none"/>
              </w:rPr>
            </w:pPr>
          </w:p>
        </w:tc>
      </w:tr>
      <w:tr w14:paraId="59D44B3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0" w:type="pct"/>
            <w:vMerge w:val="continue"/>
            <w:tcBorders>
              <w:top w:val="outset" w:color="auto" w:sz="6" w:space="0"/>
              <w:left w:val="outset" w:color="auto" w:sz="6" w:space="0"/>
              <w:bottom w:val="outset" w:color="auto" w:sz="6" w:space="0"/>
              <w:right w:val="outset" w:color="auto" w:sz="6" w:space="0"/>
            </w:tcBorders>
            <w:noWrap w:val="0"/>
            <w:vAlign w:val="center"/>
          </w:tcPr>
          <w:p w14:paraId="754D3D78">
            <w:pPr>
              <w:pStyle w:val="236"/>
              <w:spacing w:line="360" w:lineRule="auto"/>
              <w:rPr>
                <w:rFonts w:hint="eastAsia" w:ascii="宋体" w:hAnsi="宋体" w:eastAsia="宋体" w:cs="宋体"/>
                <w:color w:val="auto"/>
                <w:kern w:val="0"/>
                <w:szCs w:val="21"/>
                <w:highlight w:val="none"/>
              </w:rPr>
            </w:pPr>
          </w:p>
        </w:tc>
        <w:tc>
          <w:tcPr>
            <w:tcW w:w="258" w:type="pct"/>
            <w:vMerge w:val="continue"/>
            <w:tcBorders>
              <w:left w:val="outset" w:color="auto" w:sz="6" w:space="0"/>
              <w:bottom w:val="single" w:color="auto" w:sz="4" w:space="0"/>
              <w:right w:val="outset" w:color="auto" w:sz="6" w:space="0"/>
            </w:tcBorders>
            <w:noWrap w:val="0"/>
            <w:vAlign w:val="center"/>
          </w:tcPr>
          <w:p w14:paraId="752CB922">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top"/>
          </w:tcPr>
          <w:p w14:paraId="0755BC57">
            <w:pPr>
              <w:pStyle w:val="184"/>
              <w:keepNext w:val="0"/>
              <w:keepLines w:val="0"/>
              <w:pageBreakBefore w:val="0"/>
              <w:widowControl w:val="0"/>
              <w:kinsoku/>
              <w:wordWrap/>
              <w:overflowPunct/>
              <w:topLinePunct w:val="0"/>
              <w:autoSpaceDE/>
              <w:autoSpaceDN/>
              <w:bidi w:val="0"/>
              <w:adjustRightInd/>
              <w:snapToGrid/>
              <w:spacing w:line="330" w:lineRule="exact"/>
              <w:ind w:left="119" w:right="108"/>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rPr>
              <w:t>单位负责人为同一人或者存在直接控股、管理关系的不同供应商不得参加本项目的</w:t>
            </w:r>
            <w:r>
              <w:rPr>
                <w:rFonts w:hint="eastAsia" w:ascii="宋体" w:hAnsi="宋体" w:eastAsia="宋体" w:cs="宋体"/>
                <w:color w:val="auto"/>
                <w:kern w:val="0"/>
                <w:sz w:val="21"/>
                <w:szCs w:val="21"/>
                <w:highlight w:val="none"/>
                <w:lang w:val="en-US" w:eastAsia="zh-CN"/>
              </w:rPr>
              <w:t>投标</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3C326503">
            <w:pPr>
              <w:pStyle w:val="184"/>
              <w:keepNext w:val="0"/>
              <w:keepLines w:val="0"/>
              <w:pageBreakBefore w:val="0"/>
              <w:kinsoku/>
              <w:wordWrap/>
              <w:overflowPunct/>
              <w:topLinePunct w:val="0"/>
              <w:autoSpaceDE/>
              <w:autoSpaceDN/>
              <w:bidi w:val="0"/>
              <w:adjustRightInd/>
              <w:snapToGrid/>
              <w:spacing w:line="330" w:lineRule="exact"/>
              <w:ind w:right="162"/>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提供</w:t>
            </w:r>
            <w:r>
              <w:rPr>
                <w:rFonts w:hint="eastAsia" w:ascii="宋体" w:hAnsi="宋体" w:eastAsia="宋体" w:cs="宋体"/>
                <w:color w:val="auto"/>
                <w:kern w:val="0"/>
                <w:szCs w:val="21"/>
                <w:highlight w:val="none"/>
              </w:rPr>
              <w:t>单位负责人为同一人或者存在直接控股、管理关系的不同供应商不得参加本项目的</w:t>
            </w:r>
            <w:r>
              <w:rPr>
                <w:rFonts w:hint="eastAsia" w:ascii="宋体" w:hAnsi="宋体" w:eastAsia="宋体" w:cs="宋体"/>
                <w:color w:val="auto"/>
                <w:kern w:val="0"/>
                <w:szCs w:val="21"/>
                <w:highlight w:val="none"/>
                <w:lang w:val="en-US" w:eastAsia="zh-CN"/>
              </w:rPr>
              <w:t>投标的承诺函。</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443F9420">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4888C2BE">
            <w:pPr>
              <w:pStyle w:val="236"/>
              <w:spacing w:line="360" w:lineRule="auto"/>
              <w:rPr>
                <w:rFonts w:hint="eastAsia" w:ascii="宋体" w:hAnsi="宋体" w:eastAsia="宋体" w:cs="宋体"/>
                <w:color w:val="auto"/>
                <w:kern w:val="0"/>
                <w:szCs w:val="21"/>
                <w:highlight w:val="none"/>
              </w:rPr>
            </w:pPr>
          </w:p>
        </w:tc>
      </w:tr>
      <w:tr w14:paraId="22FAE18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7B9D69EE">
            <w:pPr>
              <w:pStyle w:val="236"/>
              <w:spacing w:line="360" w:lineRule="auto"/>
              <w:rPr>
                <w:rFonts w:hint="eastAsia" w:ascii="宋体" w:hAnsi="宋体" w:eastAsia="宋体" w:cs="宋体"/>
                <w:color w:val="auto"/>
                <w:kern w:val="0"/>
                <w:szCs w:val="21"/>
                <w:highlight w:val="none"/>
              </w:rPr>
            </w:pP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14:paraId="19D11F71">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符合性</w:t>
            </w:r>
          </w:p>
          <w:p w14:paraId="05882C4C">
            <w:pPr>
              <w:pStyle w:val="236"/>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检查</w:t>
            </w:r>
          </w:p>
        </w:tc>
        <w:tc>
          <w:tcPr>
            <w:tcW w:w="852" w:type="pct"/>
            <w:tcBorders>
              <w:top w:val="outset" w:color="auto" w:sz="6" w:space="0"/>
              <w:left w:val="single" w:color="auto" w:sz="4" w:space="0"/>
              <w:bottom w:val="outset" w:color="auto" w:sz="6" w:space="0"/>
              <w:right w:val="outset" w:color="auto" w:sz="6" w:space="0"/>
            </w:tcBorders>
            <w:noWrap w:val="0"/>
            <w:vAlign w:val="center"/>
          </w:tcPr>
          <w:p w14:paraId="2FF05A20">
            <w:pPr>
              <w:pStyle w:val="236"/>
              <w:keepNext w:val="0"/>
              <w:keepLines w:val="0"/>
              <w:pageBreakBefore w:val="0"/>
              <w:widowControl w:val="0"/>
              <w:kinsoku/>
              <w:wordWrap/>
              <w:overflowPunct/>
              <w:topLinePunct w:val="0"/>
              <w:autoSpaceDE/>
              <w:autoSpaceDN/>
              <w:bidi w:val="0"/>
              <w:adjustRightInd/>
              <w:snapToGrid/>
              <w:spacing w:line="324"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Cs w:val="21"/>
                <w:highlight w:val="none"/>
              </w:rPr>
              <w:t>投标保证金</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7B458749">
            <w:pPr>
              <w:pStyle w:val="236"/>
              <w:keepNext w:val="0"/>
              <w:keepLines w:val="0"/>
              <w:pageBreakBefore w:val="0"/>
              <w:widowControl w:val="0"/>
              <w:kinsoku/>
              <w:wordWrap/>
              <w:overflowPunct/>
              <w:topLinePunct w:val="0"/>
              <w:autoSpaceDE/>
              <w:autoSpaceDN/>
              <w:bidi w:val="0"/>
              <w:adjustRightInd/>
              <w:snapToGrid/>
              <w:spacing w:line="324" w:lineRule="exact"/>
              <w:textAlignment w:val="auto"/>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是否按要求缴纳足额有效的投标保证金。</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558AD82F">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6FD13C4F">
            <w:pPr>
              <w:pStyle w:val="236"/>
              <w:spacing w:line="360" w:lineRule="auto"/>
              <w:rPr>
                <w:rFonts w:hint="eastAsia" w:ascii="宋体" w:hAnsi="宋体" w:eastAsia="宋体" w:cs="宋体"/>
                <w:color w:val="auto"/>
                <w:kern w:val="0"/>
                <w:szCs w:val="21"/>
                <w:highlight w:val="none"/>
              </w:rPr>
            </w:pPr>
          </w:p>
        </w:tc>
      </w:tr>
      <w:tr w14:paraId="1341EDE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08" w:hRule="atLeast"/>
        </w:trPr>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4B8B57BC">
            <w:pPr>
              <w:pStyle w:val="236"/>
              <w:spacing w:line="360" w:lineRule="auto"/>
              <w:rPr>
                <w:rFonts w:hint="eastAsia" w:ascii="宋体" w:hAnsi="宋体" w:eastAsia="宋体" w:cs="宋体"/>
                <w:color w:val="auto"/>
                <w:kern w:val="0"/>
                <w:szCs w:val="21"/>
                <w:highlight w:val="none"/>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14:paraId="35972E86">
            <w:pPr>
              <w:pStyle w:val="236"/>
              <w:spacing w:line="360" w:lineRule="auto"/>
              <w:jc w:val="center"/>
              <w:rPr>
                <w:rFonts w:hint="eastAsia" w:ascii="宋体" w:hAnsi="宋体" w:eastAsia="宋体" w:cs="宋体"/>
                <w:color w:val="auto"/>
                <w:kern w:val="0"/>
                <w:szCs w:val="21"/>
                <w:highlight w:val="none"/>
              </w:rPr>
            </w:pPr>
          </w:p>
        </w:tc>
        <w:tc>
          <w:tcPr>
            <w:tcW w:w="852" w:type="pct"/>
            <w:tcBorders>
              <w:top w:val="outset" w:color="auto" w:sz="6" w:space="0"/>
              <w:left w:val="single" w:color="auto" w:sz="4" w:space="0"/>
              <w:bottom w:val="outset" w:color="auto" w:sz="6" w:space="0"/>
              <w:right w:val="outset" w:color="auto" w:sz="6" w:space="0"/>
            </w:tcBorders>
            <w:noWrap w:val="0"/>
            <w:vAlign w:val="center"/>
          </w:tcPr>
          <w:p w14:paraId="1C222B8F">
            <w:pPr>
              <w:pStyle w:val="236"/>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投标报价</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32C14EA9">
            <w:pPr>
              <w:pStyle w:val="236"/>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投标报价具有唯一性，且未超过采购项目最高限价。</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1311CE85">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7F997C3F">
            <w:pPr>
              <w:pStyle w:val="236"/>
              <w:spacing w:line="360" w:lineRule="auto"/>
              <w:rPr>
                <w:rFonts w:hint="eastAsia" w:ascii="宋体" w:hAnsi="宋体" w:eastAsia="宋体" w:cs="宋体"/>
                <w:color w:val="auto"/>
                <w:kern w:val="0"/>
                <w:szCs w:val="21"/>
                <w:highlight w:val="none"/>
              </w:rPr>
            </w:pPr>
          </w:p>
        </w:tc>
      </w:tr>
      <w:tr w14:paraId="47350A0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7877DA16">
            <w:pPr>
              <w:pStyle w:val="236"/>
              <w:spacing w:line="360" w:lineRule="auto"/>
              <w:rPr>
                <w:rFonts w:hint="eastAsia" w:ascii="宋体" w:hAnsi="宋体" w:eastAsia="宋体" w:cs="宋体"/>
                <w:color w:val="auto"/>
                <w:kern w:val="0"/>
                <w:szCs w:val="21"/>
                <w:highlight w:val="none"/>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14:paraId="22703E87">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single" w:color="auto" w:sz="4" w:space="0"/>
              <w:bottom w:val="outset" w:color="auto" w:sz="6" w:space="0"/>
              <w:right w:val="outset" w:color="auto" w:sz="6" w:space="0"/>
            </w:tcBorders>
            <w:noWrap w:val="0"/>
            <w:vAlign w:val="center"/>
          </w:tcPr>
          <w:p w14:paraId="31294B79">
            <w:pPr>
              <w:pStyle w:val="236"/>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签字或盖章</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1096BA9D">
            <w:pPr>
              <w:pStyle w:val="236"/>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投标文件上法定代表人或其授权代理人的签字、投标人的单位章齐全符合招标文件规定。</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1447721B">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46599A96">
            <w:pPr>
              <w:pStyle w:val="236"/>
              <w:spacing w:line="360" w:lineRule="auto"/>
              <w:rPr>
                <w:rFonts w:hint="eastAsia" w:ascii="宋体" w:hAnsi="宋体" w:eastAsia="宋体" w:cs="宋体"/>
                <w:color w:val="auto"/>
                <w:kern w:val="0"/>
                <w:szCs w:val="21"/>
                <w:highlight w:val="none"/>
              </w:rPr>
            </w:pPr>
          </w:p>
        </w:tc>
      </w:tr>
      <w:tr w14:paraId="438D0F2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 w:hRule="atLeast"/>
        </w:trPr>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42C81C15">
            <w:pPr>
              <w:pStyle w:val="236"/>
              <w:spacing w:line="360" w:lineRule="auto"/>
              <w:rPr>
                <w:rFonts w:hint="eastAsia" w:ascii="宋体" w:hAnsi="宋体" w:eastAsia="宋体" w:cs="宋体"/>
                <w:color w:val="auto"/>
                <w:kern w:val="0"/>
                <w:szCs w:val="21"/>
                <w:highlight w:val="none"/>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14:paraId="5992F693">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single" w:color="auto" w:sz="4" w:space="0"/>
              <w:bottom w:val="outset" w:color="auto" w:sz="6" w:space="0"/>
              <w:right w:val="outset" w:color="auto" w:sz="6" w:space="0"/>
            </w:tcBorders>
            <w:noWrap w:val="0"/>
            <w:vAlign w:val="center"/>
          </w:tcPr>
          <w:p w14:paraId="62D7E40C">
            <w:pPr>
              <w:pStyle w:val="236"/>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合同履行期限</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6A47BC3A">
            <w:pPr>
              <w:pStyle w:val="236"/>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是否符合招标文件规定按要求提供</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284BA7DC">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3CA33F22">
            <w:pPr>
              <w:pStyle w:val="236"/>
              <w:spacing w:line="360" w:lineRule="auto"/>
              <w:rPr>
                <w:rFonts w:hint="eastAsia" w:ascii="宋体" w:hAnsi="宋体" w:eastAsia="宋体" w:cs="宋体"/>
                <w:color w:val="auto"/>
                <w:kern w:val="0"/>
                <w:szCs w:val="21"/>
                <w:highlight w:val="none"/>
              </w:rPr>
            </w:pPr>
          </w:p>
        </w:tc>
      </w:tr>
      <w:tr w14:paraId="44E19F8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72718FEF">
            <w:pPr>
              <w:pStyle w:val="236"/>
              <w:spacing w:line="360" w:lineRule="auto"/>
              <w:rPr>
                <w:rFonts w:hint="eastAsia" w:ascii="宋体" w:hAnsi="宋体" w:eastAsia="宋体" w:cs="宋体"/>
                <w:color w:val="auto"/>
                <w:kern w:val="0"/>
                <w:szCs w:val="21"/>
                <w:highlight w:val="none"/>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14:paraId="28D7C765">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single" w:color="auto" w:sz="4" w:space="0"/>
              <w:bottom w:val="outset" w:color="auto" w:sz="6" w:space="0"/>
              <w:right w:val="outset" w:color="auto" w:sz="6" w:space="0"/>
            </w:tcBorders>
            <w:noWrap w:val="0"/>
            <w:vAlign w:val="center"/>
          </w:tcPr>
          <w:p w14:paraId="444B4D73">
            <w:pPr>
              <w:pStyle w:val="236"/>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5F64D07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是否符合招标文件规定按要求提供</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3EB1ED90">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4CF9CB64">
            <w:pPr>
              <w:pStyle w:val="236"/>
              <w:spacing w:line="360" w:lineRule="auto"/>
              <w:rPr>
                <w:rFonts w:hint="eastAsia" w:ascii="宋体" w:hAnsi="宋体" w:eastAsia="宋体" w:cs="宋体"/>
                <w:color w:val="auto"/>
                <w:kern w:val="0"/>
                <w:szCs w:val="21"/>
                <w:highlight w:val="none"/>
              </w:rPr>
            </w:pPr>
          </w:p>
        </w:tc>
      </w:tr>
      <w:tr w14:paraId="7AC0C81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31" w:hRule="atLeast"/>
        </w:trPr>
        <w:tc>
          <w:tcPr>
            <w:tcW w:w="200" w:type="pct"/>
            <w:vMerge w:val="continue"/>
            <w:tcBorders>
              <w:top w:val="outset" w:color="auto" w:sz="6" w:space="0"/>
              <w:left w:val="outset" w:color="auto" w:sz="6" w:space="0"/>
              <w:bottom w:val="outset" w:color="auto" w:sz="6" w:space="0"/>
              <w:right w:val="single" w:color="auto" w:sz="4" w:space="0"/>
            </w:tcBorders>
            <w:noWrap w:val="0"/>
            <w:vAlign w:val="center"/>
          </w:tcPr>
          <w:p w14:paraId="7283F041">
            <w:pPr>
              <w:pStyle w:val="236"/>
              <w:spacing w:line="360" w:lineRule="auto"/>
              <w:rPr>
                <w:rFonts w:hint="eastAsia" w:ascii="宋体" w:hAnsi="宋体" w:eastAsia="宋体" w:cs="宋体"/>
                <w:color w:val="auto"/>
                <w:kern w:val="0"/>
                <w:szCs w:val="21"/>
                <w:highlight w:val="none"/>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14:paraId="74FEB05B">
            <w:pPr>
              <w:pStyle w:val="236"/>
              <w:spacing w:line="360" w:lineRule="auto"/>
              <w:rPr>
                <w:rFonts w:hint="eastAsia" w:ascii="宋体" w:hAnsi="宋体" w:eastAsia="宋体" w:cs="宋体"/>
                <w:color w:val="auto"/>
                <w:kern w:val="0"/>
                <w:szCs w:val="21"/>
                <w:highlight w:val="none"/>
              </w:rPr>
            </w:pPr>
          </w:p>
        </w:tc>
        <w:tc>
          <w:tcPr>
            <w:tcW w:w="852" w:type="pct"/>
            <w:tcBorders>
              <w:top w:val="outset" w:color="auto" w:sz="6" w:space="0"/>
              <w:left w:val="single" w:color="auto" w:sz="4" w:space="0"/>
              <w:bottom w:val="outset" w:color="auto" w:sz="6" w:space="0"/>
              <w:right w:val="outset" w:color="auto" w:sz="6" w:space="0"/>
            </w:tcBorders>
            <w:noWrap w:val="0"/>
            <w:vAlign w:val="center"/>
          </w:tcPr>
          <w:p w14:paraId="24C96C9C">
            <w:pPr>
              <w:pStyle w:val="236"/>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其他要求</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7043B9F8">
            <w:pPr>
              <w:pStyle w:val="236"/>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投标文件未附有采购人不能接受的条件或不符合招标文件的其他要求。</w:t>
            </w:r>
          </w:p>
        </w:tc>
        <w:tc>
          <w:tcPr>
            <w:tcW w:w="195" w:type="pct"/>
            <w:tcBorders>
              <w:top w:val="outset" w:color="auto" w:sz="6" w:space="0"/>
              <w:left w:val="outset" w:color="auto" w:sz="6" w:space="0"/>
              <w:bottom w:val="outset" w:color="auto" w:sz="6" w:space="0"/>
              <w:right w:val="outset" w:color="auto" w:sz="6" w:space="0"/>
            </w:tcBorders>
            <w:noWrap w:val="0"/>
            <w:vAlign w:val="center"/>
          </w:tcPr>
          <w:p w14:paraId="7D7A1E35">
            <w:pPr>
              <w:pStyle w:val="236"/>
              <w:spacing w:line="360" w:lineRule="auto"/>
              <w:rPr>
                <w:rFonts w:hint="eastAsia" w:ascii="宋体" w:hAnsi="宋体" w:eastAsia="宋体" w:cs="宋体"/>
                <w:color w:val="auto"/>
                <w:kern w:val="0"/>
                <w:szCs w:val="21"/>
                <w:highlight w:val="none"/>
              </w:rPr>
            </w:pPr>
          </w:p>
        </w:tc>
        <w:tc>
          <w:tcPr>
            <w:tcW w:w="217" w:type="pct"/>
            <w:tcBorders>
              <w:top w:val="outset" w:color="auto" w:sz="6" w:space="0"/>
              <w:left w:val="outset" w:color="auto" w:sz="6" w:space="0"/>
              <w:bottom w:val="outset" w:color="auto" w:sz="6" w:space="0"/>
              <w:right w:val="outset" w:color="auto" w:sz="6" w:space="0"/>
            </w:tcBorders>
            <w:noWrap w:val="0"/>
            <w:vAlign w:val="center"/>
          </w:tcPr>
          <w:p w14:paraId="3E231797">
            <w:pPr>
              <w:pStyle w:val="236"/>
              <w:spacing w:line="360" w:lineRule="auto"/>
              <w:rPr>
                <w:rFonts w:hint="eastAsia" w:ascii="宋体" w:hAnsi="宋体" w:eastAsia="宋体" w:cs="宋体"/>
                <w:color w:val="auto"/>
                <w:kern w:val="0"/>
                <w:szCs w:val="21"/>
                <w:highlight w:val="none"/>
              </w:rPr>
            </w:pPr>
          </w:p>
        </w:tc>
      </w:tr>
      <w:tr w14:paraId="04F527C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410" w:hRule="atLeast"/>
        </w:trPr>
        <w:tc>
          <w:tcPr>
            <w:tcW w:w="200" w:type="pct"/>
            <w:vMerge w:val="restart"/>
            <w:tcBorders>
              <w:top w:val="outset" w:color="auto" w:sz="6" w:space="0"/>
              <w:left w:val="outset" w:color="auto" w:sz="6" w:space="0"/>
              <w:right w:val="outset" w:color="auto" w:sz="6" w:space="0"/>
            </w:tcBorders>
            <w:noWrap w:val="0"/>
            <w:vAlign w:val="center"/>
          </w:tcPr>
          <w:p w14:paraId="4414F8A8">
            <w:pPr>
              <w:pStyle w:val="236"/>
              <w:spacing w:line="360" w:lineRule="auto"/>
              <w:jc w:val="center"/>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详细评审</w:t>
            </w:r>
          </w:p>
        </w:tc>
        <w:tc>
          <w:tcPr>
            <w:tcW w:w="258" w:type="pct"/>
            <w:tcBorders>
              <w:top w:val="single" w:color="auto" w:sz="4" w:space="0"/>
              <w:left w:val="outset" w:color="auto" w:sz="6" w:space="0"/>
              <w:right w:val="outset" w:color="auto" w:sz="6" w:space="0"/>
            </w:tcBorders>
            <w:noWrap w:val="0"/>
            <w:vAlign w:val="center"/>
          </w:tcPr>
          <w:p w14:paraId="435462B2">
            <w:pPr>
              <w:pStyle w:val="236"/>
              <w:widowControl/>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价格评审</w:t>
            </w:r>
          </w:p>
        </w:tc>
        <w:tc>
          <w:tcPr>
            <w:tcW w:w="852" w:type="pct"/>
            <w:tcBorders>
              <w:top w:val="outset" w:color="auto" w:sz="6" w:space="0"/>
              <w:left w:val="outset" w:color="auto" w:sz="6" w:space="0"/>
              <w:bottom w:val="outset" w:color="auto" w:sz="6" w:space="0"/>
              <w:right w:val="outset" w:color="auto" w:sz="6" w:space="0"/>
            </w:tcBorders>
            <w:noWrap w:val="0"/>
            <w:vAlign w:val="center"/>
          </w:tcPr>
          <w:p w14:paraId="7C1A6CAD">
            <w:pPr>
              <w:pStyle w:val="243"/>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p w14:paraId="68E8F4DC">
            <w:pPr>
              <w:pStyle w:val="236"/>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分）</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70F231CD">
            <w:pPr>
              <w:pStyle w:val="236"/>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评标基准价=有效投标报价的最低</w:t>
            </w:r>
            <w:r>
              <w:rPr>
                <w:rFonts w:hint="eastAsia" w:ascii="宋体" w:hAnsi="宋体" w:eastAsia="宋体" w:cs="宋体"/>
                <w:color w:val="auto"/>
                <w:kern w:val="0"/>
                <w:szCs w:val="21"/>
                <w:highlight w:val="none"/>
                <w:lang w:val="en-US" w:eastAsia="zh-CN"/>
              </w:rPr>
              <w:t>价</w:t>
            </w:r>
            <w:r>
              <w:rPr>
                <w:rFonts w:hint="eastAsia" w:ascii="宋体" w:hAnsi="宋体" w:eastAsia="宋体" w:cs="宋体"/>
                <w:color w:val="auto"/>
                <w:kern w:val="0"/>
                <w:szCs w:val="21"/>
                <w:highlight w:val="none"/>
              </w:rPr>
              <w:t>，有效投标报价等于</w:t>
            </w:r>
            <w:r>
              <w:rPr>
                <w:rFonts w:hint="eastAsia" w:ascii="宋体" w:hAnsi="宋体" w:eastAsia="宋体" w:cs="宋体"/>
                <w:color w:val="auto"/>
                <w:kern w:val="0"/>
                <w:szCs w:val="21"/>
                <w:highlight w:val="none"/>
                <w:lang w:val="en-US" w:eastAsia="zh-CN"/>
              </w:rPr>
              <w:t>评标基准价</w:t>
            </w:r>
            <w:r>
              <w:rPr>
                <w:rFonts w:hint="eastAsia" w:ascii="宋体" w:hAnsi="宋体" w:eastAsia="宋体" w:cs="宋体"/>
                <w:color w:val="auto"/>
                <w:kern w:val="0"/>
                <w:szCs w:val="21"/>
                <w:highlight w:val="none"/>
              </w:rPr>
              <w:t>的得满分，投标报价得分=（评标基准价/投标报价）×价格权重。有效投标报价为通过初步审查的供应商报价。</w:t>
            </w:r>
          </w:p>
        </w:tc>
        <w:tc>
          <w:tcPr>
            <w:tcW w:w="413" w:type="pct"/>
            <w:gridSpan w:val="2"/>
            <w:tcBorders>
              <w:top w:val="outset" w:color="auto" w:sz="6" w:space="0"/>
              <w:left w:val="outset" w:color="auto" w:sz="6" w:space="0"/>
              <w:right w:val="outset" w:color="auto" w:sz="6" w:space="0"/>
            </w:tcBorders>
            <w:noWrap w:val="0"/>
            <w:vAlign w:val="center"/>
          </w:tcPr>
          <w:p w14:paraId="5FC6565C">
            <w:pPr>
              <w:pStyle w:val="236"/>
              <w:widowControl/>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lang w:eastAsia="zh-CN"/>
              </w:rPr>
              <w:t>分</w:t>
            </w:r>
          </w:p>
        </w:tc>
      </w:tr>
      <w:tr w14:paraId="28B16CC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left w:val="outset" w:color="auto" w:sz="6" w:space="0"/>
              <w:right w:val="outset" w:color="auto" w:sz="6" w:space="0"/>
            </w:tcBorders>
            <w:noWrap w:val="0"/>
            <w:vAlign w:val="center"/>
          </w:tcPr>
          <w:p w14:paraId="300AC45D">
            <w:pPr>
              <w:pStyle w:val="236"/>
              <w:spacing w:line="360" w:lineRule="auto"/>
              <w:rPr>
                <w:rFonts w:hint="eastAsia" w:ascii="宋体" w:hAnsi="宋体" w:eastAsia="宋体" w:cs="宋体"/>
                <w:color w:val="FF0000"/>
                <w:kern w:val="0"/>
                <w:szCs w:val="21"/>
                <w:highlight w:val="none"/>
              </w:rPr>
            </w:pPr>
          </w:p>
        </w:tc>
        <w:tc>
          <w:tcPr>
            <w:tcW w:w="258" w:type="pct"/>
            <w:vMerge w:val="restart"/>
            <w:tcBorders>
              <w:top w:val="outset" w:color="auto" w:sz="6" w:space="0"/>
              <w:left w:val="single" w:color="auto" w:sz="4" w:space="0"/>
              <w:right w:val="outset" w:color="auto" w:sz="6" w:space="0"/>
            </w:tcBorders>
            <w:noWrap w:val="0"/>
            <w:vAlign w:val="center"/>
          </w:tcPr>
          <w:p w14:paraId="6D0E9CF2">
            <w:pPr>
              <w:pStyle w:val="236"/>
              <w:widowControl/>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商务标</w:t>
            </w:r>
          </w:p>
          <w:p w14:paraId="40F21908">
            <w:pPr>
              <w:pStyle w:val="236"/>
              <w:widowControl/>
              <w:spacing w:line="360" w:lineRule="exact"/>
              <w:jc w:val="center"/>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评审</w:t>
            </w:r>
          </w:p>
        </w:tc>
        <w:tc>
          <w:tcPr>
            <w:tcW w:w="852" w:type="pct"/>
            <w:tcBorders>
              <w:top w:val="outset" w:color="auto" w:sz="6" w:space="0"/>
              <w:left w:val="outset" w:color="auto" w:sz="6" w:space="0"/>
              <w:bottom w:val="outset" w:color="auto" w:sz="6" w:space="0"/>
              <w:right w:val="outset" w:color="auto" w:sz="6" w:space="0"/>
            </w:tcBorders>
            <w:noWrap w:val="0"/>
            <w:vAlign w:val="center"/>
          </w:tcPr>
          <w:p w14:paraId="0458512B">
            <w:pPr>
              <w:pStyle w:val="236"/>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类似项目业绩</w:t>
            </w:r>
          </w:p>
          <w:p w14:paraId="7216D6CE">
            <w:pPr>
              <w:pStyle w:val="236"/>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分）</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1D289A3D">
            <w:pPr>
              <w:pStyle w:val="236"/>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投标人需提供近三年内（2022年1月1至今，以合同签订时间为准。）承担过同类项目业绩，每提供一项有效业绩得2分，最高得10分。（注：如出现字体模糊不清，印章不清晰，视为无效业绩）。</w:t>
            </w:r>
          </w:p>
        </w:tc>
        <w:tc>
          <w:tcPr>
            <w:tcW w:w="413" w:type="pct"/>
            <w:gridSpan w:val="2"/>
            <w:vMerge w:val="restart"/>
            <w:tcBorders>
              <w:top w:val="outset" w:color="auto" w:sz="6" w:space="0"/>
              <w:left w:val="outset" w:color="auto" w:sz="6" w:space="0"/>
              <w:right w:val="single" w:color="auto" w:sz="4" w:space="0"/>
            </w:tcBorders>
            <w:noWrap w:val="0"/>
            <w:vAlign w:val="center"/>
          </w:tcPr>
          <w:p w14:paraId="7088BA0C">
            <w:pPr>
              <w:pStyle w:val="236"/>
              <w:widowControl/>
              <w:spacing w:line="360" w:lineRule="exact"/>
              <w:jc w:val="center"/>
              <w:rPr>
                <w:rFonts w:hint="eastAsia" w:ascii="宋体" w:hAnsi="宋体" w:eastAsia="宋体" w:cs="宋体"/>
                <w:color w:val="auto"/>
                <w:kern w:val="0"/>
                <w:szCs w:val="21"/>
                <w:highlight w:val="none"/>
                <w:lang w:val="en-US" w:eastAsia="zh-CN"/>
              </w:rPr>
            </w:pPr>
          </w:p>
          <w:p w14:paraId="247B4A8F">
            <w:pPr>
              <w:pStyle w:val="236"/>
              <w:widowControl/>
              <w:spacing w:line="360" w:lineRule="exact"/>
              <w:jc w:val="both"/>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10分</w:t>
            </w:r>
          </w:p>
          <w:p w14:paraId="7525D59F">
            <w:pPr>
              <w:pStyle w:val="237"/>
              <w:rPr>
                <w:rFonts w:hint="eastAsia" w:ascii="宋体" w:hAnsi="宋体" w:eastAsia="宋体" w:cs="宋体"/>
                <w:color w:val="auto"/>
                <w:kern w:val="0"/>
                <w:szCs w:val="21"/>
                <w:highlight w:val="none"/>
                <w:lang w:val="en-US" w:eastAsia="zh-CN"/>
              </w:rPr>
            </w:pPr>
          </w:p>
          <w:p w14:paraId="334680DC">
            <w:pPr>
              <w:pStyle w:val="237"/>
              <w:rPr>
                <w:rFonts w:hint="eastAsia" w:ascii="宋体" w:hAnsi="宋体" w:eastAsia="宋体" w:cs="宋体"/>
                <w:color w:val="auto"/>
                <w:kern w:val="0"/>
                <w:szCs w:val="21"/>
                <w:highlight w:val="none"/>
                <w:lang w:val="en-US" w:eastAsia="zh-CN"/>
              </w:rPr>
            </w:pPr>
          </w:p>
          <w:p w14:paraId="14E39180">
            <w:pPr>
              <w:pStyle w:val="237"/>
              <w:rPr>
                <w:rFonts w:hint="eastAsia" w:ascii="宋体" w:hAnsi="宋体" w:eastAsia="宋体" w:cs="宋体"/>
                <w:color w:val="auto"/>
                <w:kern w:val="0"/>
                <w:szCs w:val="21"/>
                <w:highlight w:val="none"/>
                <w:lang w:val="en-US" w:eastAsia="zh-CN"/>
              </w:rPr>
            </w:pPr>
          </w:p>
          <w:p w14:paraId="31FD0464">
            <w:pPr>
              <w:pStyle w:val="237"/>
              <w:rPr>
                <w:rFonts w:hint="eastAsia" w:ascii="宋体" w:hAnsi="宋体" w:eastAsia="宋体" w:cs="宋体"/>
                <w:color w:val="auto"/>
                <w:kern w:val="0"/>
                <w:szCs w:val="21"/>
                <w:highlight w:val="none"/>
                <w:lang w:val="en-US" w:eastAsia="zh-CN"/>
              </w:rPr>
            </w:pPr>
          </w:p>
          <w:p w14:paraId="6765332F">
            <w:pPr>
              <w:pStyle w:val="237"/>
              <w:rPr>
                <w:rFonts w:hint="eastAsia" w:ascii="宋体" w:hAnsi="宋体" w:eastAsia="宋体" w:cs="宋体"/>
                <w:color w:val="auto"/>
                <w:kern w:val="0"/>
                <w:szCs w:val="21"/>
                <w:highlight w:val="none"/>
                <w:lang w:val="en-US" w:eastAsia="zh-CN"/>
              </w:rPr>
            </w:pPr>
          </w:p>
          <w:p w14:paraId="77A6BC77">
            <w:pPr>
              <w:pStyle w:val="237"/>
              <w:rPr>
                <w:rFonts w:hint="eastAsia" w:ascii="宋体" w:hAnsi="宋体" w:eastAsia="宋体" w:cs="宋体"/>
                <w:color w:val="auto"/>
                <w:kern w:val="0"/>
                <w:szCs w:val="21"/>
                <w:highlight w:val="none"/>
                <w:lang w:val="en-US" w:eastAsia="zh-CN"/>
              </w:rPr>
            </w:pPr>
          </w:p>
          <w:p w14:paraId="173416DC">
            <w:pPr>
              <w:pStyle w:val="237"/>
              <w:rPr>
                <w:rFonts w:hint="eastAsia" w:ascii="宋体" w:hAnsi="宋体" w:eastAsia="宋体" w:cs="宋体"/>
                <w:color w:val="auto"/>
                <w:kern w:val="0"/>
                <w:szCs w:val="21"/>
                <w:highlight w:val="none"/>
                <w:lang w:val="en-US" w:eastAsia="zh-CN"/>
              </w:rPr>
            </w:pPr>
          </w:p>
          <w:p w14:paraId="16267938">
            <w:pPr>
              <w:pStyle w:val="237"/>
              <w:rPr>
                <w:rFonts w:hint="eastAsia" w:ascii="宋体" w:hAnsi="宋体" w:eastAsia="宋体" w:cs="宋体"/>
                <w:color w:val="auto"/>
                <w:kern w:val="0"/>
                <w:szCs w:val="21"/>
                <w:highlight w:val="none"/>
                <w:lang w:val="en-US" w:eastAsia="zh-CN"/>
              </w:rPr>
            </w:pPr>
          </w:p>
          <w:p w14:paraId="06D732DA">
            <w:pPr>
              <w:pStyle w:val="237"/>
              <w:rPr>
                <w:rFonts w:hint="eastAsia" w:ascii="宋体" w:hAnsi="宋体" w:eastAsia="宋体" w:cs="宋体"/>
                <w:color w:val="auto"/>
                <w:kern w:val="0"/>
                <w:szCs w:val="21"/>
                <w:highlight w:val="none"/>
                <w:lang w:val="en-US" w:eastAsia="zh-CN"/>
              </w:rPr>
            </w:pPr>
          </w:p>
          <w:p w14:paraId="78847D07">
            <w:pPr>
              <w:pStyle w:val="237"/>
              <w:ind w:left="0" w:leftChars="0" w:firstLine="0" w:firstLineChars="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3分</w:t>
            </w:r>
          </w:p>
        </w:tc>
      </w:tr>
      <w:tr w14:paraId="7378F35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left w:val="outset" w:color="auto" w:sz="6" w:space="0"/>
              <w:right w:val="outset" w:color="auto" w:sz="6" w:space="0"/>
            </w:tcBorders>
            <w:noWrap w:val="0"/>
            <w:vAlign w:val="center"/>
          </w:tcPr>
          <w:p w14:paraId="2E4CA729">
            <w:pPr>
              <w:pStyle w:val="236"/>
              <w:spacing w:line="360" w:lineRule="auto"/>
              <w:rPr>
                <w:rFonts w:hint="eastAsia" w:ascii="宋体" w:hAnsi="宋体" w:eastAsia="宋体" w:cs="宋体"/>
                <w:color w:val="FF0000"/>
                <w:kern w:val="0"/>
                <w:szCs w:val="21"/>
                <w:highlight w:val="none"/>
              </w:rPr>
            </w:pPr>
          </w:p>
        </w:tc>
        <w:tc>
          <w:tcPr>
            <w:tcW w:w="258" w:type="pct"/>
            <w:vMerge w:val="continue"/>
            <w:tcBorders>
              <w:left w:val="single" w:color="auto" w:sz="4" w:space="0"/>
              <w:right w:val="outset" w:color="auto" w:sz="6" w:space="0"/>
            </w:tcBorders>
            <w:noWrap w:val="0"/>
            <w:vAlign w:val="center"/>
          </w:tcPr>
          <w:p w14:paraId="3F96ED69">
            <w:pPr>
              <w:pStyle w:val="236"/>
              <w:widowControl/>
              <w:spacing w:line="360" w:lineRule="exact"/>
              <w:jc w:val="center"/>
              <w:rPr>
                <w:rFonts w:hint="eastAsia" w:ascii="宋体" w:hAnsi="宋体" w:eastAsia="宋体" w:cs="宋体"/>
                <w:color w:val="FF0000"/>
                <w:kern w:val="0"/>
                <w:szCs w:val="21"/>
                <w:highlight w:val="none"/>
              </w:rPr>
            </w:pPr>
          </w:p>
        </w:tc>
        <w:tc>
          <w:tcPr>
            <w:tcW w:w="852" w:type="pct"/>
            <w:tcBorders>
              <w:top w:val="outset" w:color="auto" w:sz="6" w:space="0"/>
              <w:left w:val="outset" w:color="auto" w:sz="6" w:space="0"/>
              <w:bottom w:val="outset" w:color="auto" w:sz="6" w:space="0"/>
              <w:right w:val="outset" w:color="auto" w:sz="6" w:space="0"/>
            </w:tcBorders>
            <w:noWrap w:val="0"/>
            <w:vAlign w:val="center"/>
          </w:tcPr>
          <w:p w14:paraId="12F8A942">
            <w:pPr>
              <w:pStyle w:val="29"/>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质量管理体系（3分）</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34812851">
            <w:pPr>
              <w:bidi w:val="0"/>
              <w:spacing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管理体系：供应商已取得质量管理体系认证证书、职业健康安全管理体系认证证书、环境管理体系认证证书且在有效期内。每具有 1 项得 1 分，最高的 3 分。提供：认证证书彩色扫描件并加盖公章。未按要求提供不得分。</w:t>
            </w:r>
          </w:p>
        </w:tc>
        <w:tc>
          <w:tcPr>
            <w:tcW w:w="413" w:type="pct"/>
            <w:gridSpan w:val="2"/>
            <w:vMerge w:val="continue"/>
            <w:tcBorders>
              <w:left w:val="outset" w:color="auto" w:sz="6" w:space="0"/>
              <w:right w:val="single" w:color="auto" w:sz="4" w:space="0"/>
            </w:tcBorders>
            <w:noWrap w:val="0"/>
            <w:vAlign w:val="center"/>
          </w:tcPr>
          <w:p w14:paraId="7851C054">
            <w:pPr>
              <w:pStyle w:val="236"/>
              <w:widowControl/>
              <w:spacing w:line="360" w:lineRule="exact"/>
              <w:jc w:val="center"/>
              <w:rPr>
                <w:rFonts w:hint="eastAsia" w:ascii="宋体" w:hAnsi="宋体" w:eastAsia="宋体" w:cs="宋体"/>
                <w:color w:val="FF0000"/>
                <w:kern w:val="0"/>
                <w:szCs w:val="21"/>
                <w:highlight w:val="none"/>
              </w:rPr>
            </w:pPr>
          </w:p>
        </w:tc>
      </w:tr>
      <w:tr w14:paraId="7CBF2E1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280" w:hRule="atLeast"/>
        </w:trPr>
        <w:tc>
          <w:tcPr>
            <w:tcW w:w="200" w:type="pct"/>
            <w:vMerge w:val="continue"/>
            <w:tcBorders>
              <w:left w:val="outset" w:color="auto" w:sz="6" w:space="0"/>
              <w:right w:val="outset" w:color="auto" w:sz="6" w:space="0"/>
            </w:tcBorders>
            <w:noWrap w:val="0"/>
            <w:vAlign w:val="center"/>
          </w:tcPr>
          <w:p w14:paraId="7BD6F503">
            <w:pPr>
              <w:pStyle w:val="236"/>
              <w:spacing w:line="360" w:lineRule="auto"/>
              <w:rPr>
                <w:rFonts w:hint="eastAsia" w:ascii="宋体" w:hAnsi="宋体" w:eastAsia="宋体" w:cs="宋体"/>
                <w:color w:val="FF0000"/>
                <w:kern w:val="0"/>
                <w:szCs w:val="21"/>
                <w:highlight w:val="none"/>
              </w:rPr>
            </w:pP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14:paraId="7574CC0A">
            <w:pPr>
              <w:pStyle w:val="236"/>
              <w:widowControl/>
              <w:spacing w:line="360" w:lineRule="exact"/>
              <w:jc w:val="center"/>
              <w:rPr>
                <w:rFonts w:hint="eastAsia" w:ascii="宋体" w:hAnsi="宋体" w:eastAsia="宋体" w:cs="宋体"/>
                <w:color w:val="FF0000"/>
                <w:kern w:val="0"/>
                <w:szCs w:val="21"/>
                <w:highlight w:val="none"/>
              </w:rPr>
            </w:pPr>
            <w:r>
              <w:rPr>
                <w:rFonts w:hint="eastAsia" w:ascii="宋体" w:hAnsi="宋体" w:eastAsia="宋体" w:cs="宋体"/>
                <w:color w:val="auto"/>
                <w:kern w:val="0"/>
                <w:szCs w:val="21"/>
                <w:highlight w:val="none"/>
              </w:rPr>
              <w:t>技术标评审</w:t>
            </w:r>
          </w:p>
        </w:tc>
        <w:tc>
          <w:tcPr>
            <w:tcW w:w="852" w:type="pct"/>
            <w:tcBorders>
              <w:top w:val="single" w:color="auto" w:sz="4" w:space="0"/>
              <w:left w:val="single" w:color="auto" w:sz="4" w:space="0"/>
              <w:bottom w:val="single" w:color="auto" w:sz="4" w:space="0"/>
              <w:right w:val="single" w:color="auto" w:sz="4" w:space="0"/>
            </w:tcBorders>
            <w:noWrap w:val="0"/>
            <w:vAlign w:val="center"/>
          </w:tcPr>
          <w:p w14:paraId="776A4CE6">
            <w:pPr>
              <w:spacing w:line="400" w:lineRule="exact"/>
              <w:jc w:val="center"/>
              <w:rPr>
                <w:rFonts w:hint="eastAsia" w:ascii="宋体" w:hAnsi="宋体" w:eastAsia="宋体" w:cs="宋体"/>
                <w:color w:val="FF0000"/>
                <w:kern w:val="0"/>
                <w:sz w:val="21"/>
                <w:szCs w:val="21"/>
                <w:highlight w:val="yellow"/>
                <w:lang w:val="en-US" w:eastAsia="zh-CN" w:bidi="ar-SA"/>
              </w:rPr>
            </w:pPr>
            <w:r>
              <w:rPr>
                <w:rFonts w:hint="eastAsia" w:ascii="宋体" w:hAnsi="宋体" w:eastAsia="宋体" w:cs="宋体"/>
                <w:color w:val="auto"/>
                <w:kern w:val="0"/>
                <w:sz w:val="21"/>
                <w:szCs w:val="21"/>
                <w:highlight w:val="none"/>
                <w:lang w:val="en-US" w:eastAsia="zh-CN" w:bidi="ar-SA"/>
              </w:rPr>
              <w:t>人员要求</w:t>
            </w:r>
          </w:p>
        </w:tc>
        <w:tc>
          <w:tcPr>
            <w:tcW w:w="3275" w:type="pct"/>
            <w:tcBorders>
              <w:top w:val="single" w:color="auto" w:sz="4" w:space="0"/>
              <w:left w:val="single" w:color="auto" w:sz="4" w:space="0"/>
              <w:bottom w:val="single" w:color="auto" w:sz="4" w:space="0"/>
              <w:right w:val="single" w:color="auto" w:sz="4" w:space="0"/>
            </w:tcBorders>
            <w:noWrap w:val="0"/>
            <w:vAlign w:val="center"/>
          </w:tcPr>
          <w:p w14:paraId="25CEE872">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1.承诺配备人员本科及以上文化程度占总人数 20%得 2 分； </w:t>
            </w:r>
          </w:p>
          <w:p w14:paraId="071C0D14">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2.承诺配备人员大专文化程度占总人数 50%得 1 分； </w:t>
            </w:r>
          </w:p>
          <w:p w14:paraId="73D96A68">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3.承诺配备人员提供食宿，并提供住宿环境照片得 2 分。 </w:t>
            </w:r>
          </w:p>
          <w:p w14:paraId="444F6F0B">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4.承诺配备人员有退役军人、警校毕业生、有驾照者、计算机专业得 5 分。 </w:t>
            </w:r>
          </w:p>
          <w:p w14:paraId="28774B9C">
            <w:pPr>
              <w:keepNext w:val="0"/>
              <w:keepLines w:val="0"/>
              <w:widowControl/>
              <w:suppressLineNumbers w:val="0"/>
              <w:spacing w:line="360" w:lineRule="auto"/>
              <w:jc w:val="left"/>
              <w:rPr>
                <w:rFonts w:hint="eastAsia" w:ascii="宋体" w:hAnsi="宋体" w:eastAsia="宋体" w:cs="宋体"/>
                <w:color w:val="FF0000"/>
                <w:kern w:val="0"/>
                <w:sz w:val="21"/>
                <w:szCs w:val="21"/>
                <w:highlight w:val="yellow"/>
                <w:lang w:val="en-US" w:eastAsia="zh-CN" w:bidi="ar-SA"/>
              </w:rPr>
            </w:pPr>
            <w:r>
              <w:rPr>
                <w:rFonts w:hint="eastAsia" w:ascii="宋体" w:hAnsi="宋体" w:eastAsia="宋体" w:cs="宋体"/>
                <w:color w:val="auto"/>
                <w:kern w:val="0"/>
                <w:sz w:val="21"/>
                <w:szCs w:val="21"/>
                <w:highlight w:val="none"/>
                <w:lang w:val="en-US" w:eastAsia="zh-CN" w:bidi="ar-SA"/>
              </w:rPr>
              <w:t>注：提供劳动合同或近三个月社保缴纳证明等相关证明资料。</w:t>
            </w:r>
          </w:p>
        </w:tc>
        <w:tc>
          <w:tcPr>
            <w:tcW w:w="413" w:type="pct"/>
            <w:gridSpan w:val="2"/>
            <w:tcBorders>
              <w:top w:val="single" w:color="auto" w:sz="4" w:space="0"/>
              <w:left w:val="single" w:color="auto" w:sz="4" w:space="0"/>
              <w:bottom w:val="single" w:color="auto" w:sz="4" w:space="0"/>
              <w:right w:val="single" w:color="auto" w:sz="4" w:space="0"/>
            </w:tcBorders>
            <w:noWrap w:val="0"/>
            <w:vAlign w:val="center"/>
          </w:tcPr>
          <w:p w14:paraId="1840FFBC">
            <w:pPr>
              <w:pStyle w:val="236"/>
              <w:widowControl/>
              <w:spacing w:line="360" w:lineRule="exact"/>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10分</w:t>
            </w:r>
          </w:p>
        </w:tc>
      </w:tr>
      <w:tr w14:paraId="024206F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524" w:hRule="atLeast"/>
        </w:trPr>
        <w:tc>
          <w:tcPr>
            <w:tcW w:w="200" w:type="pct"/>
            <w:vMerge w:val="continue"/>
            <w:tcBorders>
              <w:left w:val="outset" w:color="auto" w:sz="6" w:space="0"/>
              <w:right w:val="outset" w:color="auto" w:sz="6" w:space="0"/>
            </w:tcBorders>
            <w:noWrap w:val="0"/>
            <w:vAlign w:val="center"/>
          </w:tcPr>
          <w:p w14:paraId="6DF9A248">
            <w:pPr>
              <w:pStyle w:val="236"/>
              <w:spacing w:line="360" w:lineRule="auto"/>
              <w:rPr>
                <w:rFonts w:hint="eastAsia" w:ascii="宋体" w:hAnsi="宋体" w:eastAsia="宋体" w:cs="宋体"/>
                <w:color w:val="FF0000"/>
                <w:kern w:val="0"/>
                <w:szCs w:val="21"/>
                <w:highlight w:val="none"/>
              </w:rPr>
            </w:pPr>
          </w:p>
        </w:tc>
        <w:tc>
          <w:tcPr>
            <w:tcW w:w="258" w:type="pct"/>
            <w:vMerge w:val="continue"/>
            <w:tcBorders>
              <w:left w:val="single" w:color="auto" w:sz="4" w:space="0"/>
              <w:bottom w:val="single" w:color="auto" w:sz="4" w:space="0"/>
              <w:right w:val="outset" w:color="auto" w:sz="6" w:space="0"/>
            </w:tcBorders>
            <w:noWrap w:val="0"/>
            <w:vAlign w:val="center"/>
          </w:tcPr>
          <w:p w14:paraId="390F646A">
            <w:pPr>
              <w:pStyle w:val="236"/>
              <w:widowControl/>
              <w:spacing w:line="360" w:lineRule="exact"/>
              <w:jc w:val="center"/>
              <w:rPr>
                <w:rFonts w:hint="eastAsia" w:ascii="宋体" w:hAnsi="宋体" w:eastAsia="宋体" w:cs="宋体"/>
                <w:color w:val="FF0000"/>
                <w:kern w:val="0"/>
                <w:szCs w:val="21"/>
                <w:highlight w:val="none"/>
              </w:rPr>
            </w:pPr>
          </w:p>
        </w:tc>
        <w:tc>
          <w:tcPr>
            <w:tcW w:w="852" w:type="pct"/>
            <w:tcBorders>
              <w:top w:val="outset" w:color="auto" w:sz="6" w:space="0"/>
              <w:left w:val="outset" w:color="auto" w:sz="6" w:space="0"/>
              <w:bottom w:val="single" w:color="auto" w:sz="4" w:space="0"/>
              <w:right w:val="outset" w:color="auto" w:sz="6" w:space="0"/>
            </w:tcBorders>
            <w:noWrap w:val="0"/>
            <w:vAlign w:val="center"/>
          </w:tcPr>
          <w:p w14:paraId="18D186CB">
            <w:pPr>
              <w:spacing w:line="400" w:lineRule="exact"/>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项目实施 </w:t>
            </w:r>
          </w:p>
          <w:p w14:paraId="3F75EC5B">
            <w:pPr>
              <w:spacing w:line="400" w:lineRule="exact"/>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方案</w:t>
            </w:r>
          </w:p>
          <w:p w14:paraId="220FBFD2">
            <w:pPr>
              <w:pStyle w:val="239"/>
              <w:keepNext w:val="0"/>
              <w:keepLines w:val="0"/>
              <w:pageBreakBefore w:val="0"/>
              <w:widowControl/>
              <w:kinsoku/>
              <w:wordWrap/>
              <w:overflowPunct/>
              <w:topLinePunct w:val="0"/>
              <w:autoSpaceDE/>
              <w:autoSpaceDN/>
              <w:bidi w:val="0"/>
              <w:adjustRightInd/>
              <w:spacing w:line="340" w:lineRule="exact"/>
              <w:jc w:val="center"/>
              <w:textAlignment w:val="auto"/>
              <w:rPr>
                <w:rFonts w:hint="eastAsia" w:ascii="宋体" w:hAnsi="宋体" w:eastAsia="宋体" w:cs="宋体"/>
                <w:color w:val="auto"/>
                <w:kern w:val="0"/>
                <w:szCs w:val="21"/>
                <w:highlight w:val="none"/>
                <w:lang w:val="en-US" w:eastAsia="zh-CN"/>
              </w:rPr>
            </w:pPr>
          </w:p>
        </w:tc>
        <w:tc>
          <w:tcPr>
            <w:tcW w:w="3275" w:type="pct"/>
            <w:tcBorders>
              <w:top w:val="single" w:color="auto" w:sz="4" w:space="0"/>
              <w:left w:val="outset" w:color="auto" w:sz="6" w:space="0"/>
              <w:bottom w:val="single" w:color="auto" w:sz="4" w:space="0"/>
              <w:right w:val="outset" w:color="auto" w:sz="6" w:space="0"/>
            </w:tcBorders>
            <w:noWrap w:val="0"/>
            <w:vAlign w:val="center"/>
          </w:tcPr>
          <w:p w14:paraId="74F5E6C8">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供应商对本项目制定详细的实施方案内容，包括以下内容。 </w:t>
            </w:r>
          </w:p>
          <w:p w14:paraId="65807CA5">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①对项目要求、服务需求的理解；②对本项目的重难点分析及相关解决方案情况；③项目管理方案；④供应商工作职能组织运行机制、职责分工情况；⑤内部管理和协调方法情况；⑥监督机制、自我约束机制、信息反馈渠道及处理机制等情况；⑦整体作业流程及服务工作计划及实施时间；⑧档案管理制度、服务制度、服务人员的考评制度等情况； 每项内容齐全详实得4分，每小项内容存在缺陷的扣 0-2 分，未提供不得分。（缺陷是指：与本项目采购标的无关、方案内容前后不一致、前后逻辑错误、涉及的相关规范及标准错误、内容缺失、只有简单描述无实质性内容）</w:t>
            </w:r>
          </w:p>
        </w:tc>
        <w:tc>
          <w:tcPr>
            <w:tcW w:w="413" w:type="pct"/>
            <w:gridSpan w:val="2"/>
            <w:tcBorders>
              <w:top w:val="single" w:color="auto" w:sz="4" w:space="0"/>
              <w:left w:val="outset" w:color="auto" w:sz="6" w:space="0"/>
              <w:bottom w:val="single" w:color="auto" w:sz="4" w:space="0"/>
              <w:right w:val="single" w:color="auto" w:sz="4" w:space="0"/>
            </w:tcBorders>
            <w:noWrap w:val="0"/>
            <w:vAlign w:val="top"/>
          </w:tcPr>
          <w:p w14:paraId="4F698CC9">
            <w:pPr>
              <w:pStyle w:val="236"/>
              <w:widowControl/>
              <w:spacing w:line="360" w:lineRule="exact"/>
              <w:jc w:val="center"/>
              <w:rPr>
                <w:rFonts w:hint="eastAsia" w:ascii="宋体" w:hAnsi="宋体" w:eastAsia="宋体" w:cs="宋体"/>
                <w:color w:val="auto"/>
                <w:kern w:val="0"/>
                <w:szCs w:val="21"/>
                <w:highlight w:val="none"/>
                <w:lang w:val="en-US" w:eastAsia="zh-CN"/>
              </w:rPr>
            </w:pPr>
          </w:p>
          <w:p w14:paraId="14F33CBB">
            <w:pPr>
              <w:pStyle w:val="236"/>
              <w:widowControl/>
              <w:spacing w:line="360" w:lineRule="exact"/>
              <w:jc w:val="center"/>
              <w:rPr>
                <w:rFonts w:hint="eastAsia" w:ascii="宋体" w:hAnsi="宋体" w:eastAsia="宋体" w:cs="宋体"/>
                <w:color w:val="auto"/>
                <w:kern w:val="0"/>
                <w:szCs w:val="21"/>
                <w:highlight w:val="none"/>
                <w:lang w:val="en-US" w:eastAsia="zh-CN"/>
              </w:rPr>
            </w:pPr>
          </w:p>
          <w:p w14:paraId="61E0A27D">
            <w:pPr>
              <w:pStyle w:val="236"/>
              <w:widowControl/>
              <w:spacing w:line="360" w:lineRule="exact"/>
              <w:jc w:val="center"/>
              <w:rPr>
                <w:rFonts w:hint="eastAsia" w:ascii="宋体" w:hAnsi="宋体" w:eastAsia="宋体" w:cs="宋体"/>
                <w:color w:val="auto"/>
                <w:kern w:val="0"/>
                <w:szCs w:val="21"/>
                <w:highlight w:val="none"/>
                <w:lang w:val="en-US" w:eastAsia="zh-CN"/>
              </w:rPr>
            </w:pPr>
          </w:p>
          <w:p w14:paraId="00EBB3B9">
            <w:pPr>
              <w:pStyle w:val="236"/>
              <w:widowControl/>
              <w:spacing w:line="360" w:lineRule="exact"/>
              <w:jc w:val="center"/>
              <w:rPr>
                <w:rFonts w:hint="eastAsia" w:ascii="宋体" w:hAnsi="宋体" w:eastAsia="宋体" w:cs="宋体"/>
                <w:color w:val="auto"/>
                <w:kern w:val="0"/>
                <w:szCs w:val="21"/>
                <w:highlight w:val="none"/>
                <w:lang w:val="en-US" w:eastAsia="zh-CN"/>
              </w:rPr>
            </w:pPr>
          </w:p>
          <w:p w14:paraId="0FF69CD8">
            <w:pPr>
              <w:pStyle w:val="236"/>
              <w:widowControl/>
              <w:spacing w:line="360" w:lineRule="exact"/>
              <w:jc w:val="center"/>
              <w:rPr>
                <w:rFonts w:hint="eastAsia" w:ascii="宋体" w:hAnsi="宋体" w:eastAsia="宋体" w:cs="宋体"/>
                <w:color w:val="auto"/>
                <w:kern w:val="0"/>
                <w:szCs w:val="21"/>
                <w:highlight w:val="none"/>
                <w:lang w:val="en-US" w:eastAsia="zh-CN"/>
              </w:rPr>
            </w:pPr>
          </w:p>
          <w:p w14:paraId="17E0975F">
            <w:pPr>
              <w:pStyle w:val="236"/>
              <w:widowControl/>
              <w:spacing w:line="360" w:lineRule="exact"/>
              <w:jc w:val="center"/>
              <w:rPr>
                <w:rFonts w:hint="default" w:ascii="宋体" w:hAnsi="宋体" w:eastAsia="宋体" w:cs="宋体"/>
                <w:color w:val="FF0000"/>
                <w:kern w:val="0"/>
                <w:szCs w:val="21"/>
                <w:highlight w:val="none"/>
                <w:lang w:val="en-US" w:eastAsia="zh-CN"/>
              </w:rPr>
            </w:pPr>
            <w:r>
              <w:rPr>
                <w:rFonts w:hint="eastAsia" w:ascii="宋体" w:hAnsi="宋体" w:eastAsia="宋体" w:cs="宋体"/>
                <w:color w:val="auto"/>
                <w:kern w:val="0"/>
                <w:szCs w:val="21"/>
                <w:highlight w:val="none"/>
                <w:lang w:val="en-US" w:eastAsia="zh-CN"/>
              </w:rPr>
              <w:t>32分</w:t>
            </w:r>
          </w:p>
        </w:tc>
      </w:tr>
      <w:tr w14:paraId="1579E1F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377" w:hRule="atLeast"/>
        </w:trPr>
        <w:tc>
          <w:tcPr>
            <w:tcW w:w="200" w:type="pct"/>
            <w:vMerge w:val="continue"/>
            <w:tcBorders>
              <w:left w:val="outset" w:color="auto" w:sz="6" w:space="0"/>
              <w:right w:val="outset" w:color="auto" w:sz="6" w:space="0"/>
            </w:tcBorders>
            <w:noWrap w:val="0"/>
            <w:vAlign w:val="center"/>
          </w:tcPr>
          <w:p w14:paraId="62B3564B">
            <w:pPr>
              <w:pStyle w:val="236"/>
              <w:spacing w:line="360" w:lineRule="auto"/>
              <w:rPr>
                <w:rFonts w:hint="eastAsia" w:ascii="宋体" w:hAnsi="宋体" w:eastAsia="宋体" w:cs="宋体"/>
                <w:color w:val="FF0000"/>
                <w:kern w:val="0"/>
                <w:szCs w:val="21"/>
                <w:highlight w:val="none"/>
              </w:rPr>
            </w:pPr>
          </w:p>
        </w:tc>
        <w:tc>
          <w:tcPr>
            <w:tcW w:w="258" w:type="pct"/>
            <w:tcBorders>
              <w:top w:val="single" w:color="auto" w:sz="4" w:space="0"/>
              <w:left w:val="single" w:color="auto" w:sz="4" w:space="0"/>
              <w:bottom w:val="single" w:color="auto" w:sz="4" w:space="0"/>
              <w:right w:val="single" w:color="auto" w:sz="4" w:space="0"/>
            </w:tcBorders>
            <w:noWrap w:val="0"/>
            <w:vAlign w:val="center"/>
          </w:tcPr>
          <w:p w14:paraId="1D902F0E">
            <w:pPr>
              <w:pStyle w:val="236"/>
              <w:widowControl/>
              <w:spacing w:line="360" w:lineRule="exact"/>
              <w:jc w:val="center"/>
              <w:rPr>
                <w:rFonts w:hint="eastAsia" w:ascii="宋体" w:hAnsi="宋体" w:eastAsia="宋体" w:cs="宋体"/>
                <w:color w:val="auto"/>
                <w:kern w:val="0"/>
                <w:sz w:val="21"/>
                <w:szCs w:val="21"/>
                <w:highlight w:val="none"/>
                <w:lang w:val="en-US" w:eastAsia="zh-CN" w:bidi="ar-SA"/>
              </w:rPr>
            </w:pPr>
          </w:p>
        </w:tc>
        <w:tc>
          <w:tcPr>
            <w:tcW w:w="852" w:type="pct"/>
            <w:tcBorders>
              <w:top w:val="single" w:color="auto" w:sz="4" w:space="0"/>
              <w:left w:val="single" w:color="auto" w:sz="4" w:space="0"/>
              <w:bottom w:val="single" w:color="auto" w:sz="4" w:space="0"/>
              <w:right w:val="single" w:color="auto" w:sz="4" w:space="0"/>
            </w:tcBorders>
            <w:noWrap w:val="0"/>
            <w:vAlign w:val="center"/>
          </w:tcPr>
          <w:p w14:paraId="7CD47DF1">
            <w:pPr>
              <w:keepNext w:val="0"/>
              <w:keepLines w:val="0"/>
              <w:widowControl/>
              <w:suppressLineNumbers w:val="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应急预案</w:t>
            </w:r>
          </w:p>
          <w:p w14:paraId="35F75BB2">
            <w:pPr>
              <w:shd w:val="clear" w:color="auto" w:fill="FFFFFF"/>
              <w:spacing w:line="400" w:lineRule="exact"/>
              <w:jc w:val="center"/>
              <w:rPr>
                <w:rFonts w:hint="eastAsia" w:ascii="宋体" w:hAnsi="宋体" w:eastAsia="宋体" w:cs="宋体"/>
                <w:color w:val="auto"/>
                <w:kern w:val="0"/>
                <w:sz w:val="21"/>
                <w:szCs w:val="21"/>
                <w:highlight w:val="none"/>
                <w:lang w:val="en-US" w:eastAsia="zh-CN" w:bidi="ar-SA"/>
              </w:rPr>
            </w:pPr>
          </w:p>
        </w:tc>
        <w:tc>
          <w:tcPr>
            <w:tcW w:w="3275" w:type="pct"/>
            <w:tcBorders>
              <w:top w:val="single" w:color="auto" w:sz="4" w:space="0"/>
              <w:left w:val="single" w:color="auto" w:sz="4" w:space="0"/>
              <w:bottom w:val="single" w:color="auto" w:sz="4" w:space="0"/>
              <w:right w:val="single" w:color="auto" w:sz="4" w:space="0"/>
            </w:tcBorders>
            <w:noWrap w:val="0"/>
            <w:vAlign w:val="center"/>
          </w:tcPr>
          <w:p w14:paraId="3342713C">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提供针对本项目的可能发生的突发事件（包括但不限于治安案件、 突发自然灾害、刑事案件、重大节日活动、火灾等）应急预案，包括： ①故障处理； ②应急程序；③应急人员配备及岗位安排分配情况④应急响应时间。 </w:t>
            </w:r>
          </w:p>
          <w:p w14:paraId="6AD0E8A3">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每项内容齐全详实得2.5分，每小项内容存在缺陷的扣 0-1.5 分，未提供不得分。（缺陷是指：与本项目采购标的无关、方案内容前后不一致、前后逻辑错误、涉及的相关规范及标准错误、内容缺失、只有简单描述无实质性内容）。</w:t>
            </w:r>
          </w:p>
        </w:tc>
        <w:tc>
          <w:tcPr>
            <w:tcW w:w="413" w:type="pct"/>
            <w:gridSpan w:val="2"/>
            <w:tcBorders>
              <w:top w:val="single" w:color="auto" w:sz="4" w:space="0"/>
              <w:left w:val="single" w:color="auto" w:sz="4" w:space="0"/>
              <w:bottom w:val="single" w:color="auto" w:sz="4" w:space="0"/>
              <w:right w:val="single" w:color="auto" w:sz="4" w:space="0"/>
            </w:tcBorders>
            <w:noWrap w:val="0"/>
            <w:vAlign w:val="top"/>
          </w:tcPr>
          <w:p w14:paraId="7641B42A">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7EF4A37">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17EDD6D">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CB118CD">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68F67235">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92497F1">
            <w:pPr>
              <w:pStyle w:val="236"/>
              <w:widowControl/>
              <w:spacing w:line="360" w:lineRule="exact"/>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10分</w:t>
            </w:r>
          </w:p>
        </w:tc>
      </w:tr>
      <w:tr w14:paraId="6914A9A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407" w:hRule="atLeast"/>
        </w:trPr>
        <w:tc>
          <w:tcPr>
            <w:tcW w:w="200" w:type="pct"/>
            <w:vMerge w:val="continue"/>
            <w:tcBorders>
              <w:left w:val="outset" w:color="auto" w:sz="6" w:space="0"/>
              <w:right w:val="outset" w:color="auto" w:sz="6" w:space="0"/>
            </w:tcBorders>
            <w:noWrap w:val="0"/>
            <w:vAlign w:val="center"/>
          </w:tcPr>
          <w:p w14:paraId="1C12DE12">
            <w:pPr>
              <w:pStyle w:val="236"/>
              <w:spacing w:line="360" w:lineRule="auto"/>
              <w:rPr>
                <w:rFonts w:hint="eastAsia" w:ascii="宋体" w:hAnsi="宋体" w:eastAsia="宋体" w:cs="宋体"/>
                <w:color w:val="FF0000"/>
                <w:kern w:val="0"/>
                <w:szCs w:val="21"/>
                <w:highlight w:val="none"/>
              </w:rPr>
            </w:pPr>
          </w:p>
        </w:tc>
        <w:tc>
          <w:tcPr>
            <w:tcW w:w="258" w:type="pct"/>
            <w:tcBorders>
              <w:top w:val="single" w:color="auto" w:sz="4" w:space="0"/>
              <w:left w:val="single" w:color="auto" w:sz="4" w:space="0"/>
              <w:bottom w:val="single" w:color="auto" w:sz="4" w:space="0"/>
              <w:right w:val="single" w:color="auto" w:sz="4" w:space="0"/>
            </w:tcBorders>
            <w:noWrap w:val="0"/>
            <w:vAlign w:val="center"/>
          </w:tcPr>
          <w:p w14:paraId="204517C1">
            <w:pPr>
              <w:pStyle w:val="236"/>
              <w:widowControl/>
              <w:spacing w:line="360" w:lineRule="exact"/>
              <w:jc w:val="center"/>
              <w:rPr>
                <w:rFonts w:hint="eastAsia" w:ascii="宋体" w:hAnsi="宋体" w:eastAsia="宋体" w:cs="宋体"/>
                <w:color w:val="auto"/>
                <w:kern w:val="0"/>
                <w:sz w:val="21"/>
                <w:szCs w:val="21"/>
                <w:highlight w:val="none"/>
                <w:lang w:val="en-US" w:eastAsia="zh-CN" w:bidi="ar-SA"/>
              </w:rPr>
            </w:pPr>
          </w:p>
        </w:tc>
        <w:tc>
          <w:tcPr>
            <w:tcW w:w="852" w:type="pct"/>
            <w:tcBorders>
              <w:top w:val="single" w:color="auto" w:sz="4" w:space="0"/>
              <w:left w:val="single" w:color="auto" w:sz="4" w:space="0"/>
              <w:bottom w:val="single" w:color="auto" w:sz="4" w:space="0"/>
              <w:right w:val="single" w:color="auto" w:sz="4" w:space="0"/>
            </w:tcBorders>
            <w:noWrap w:val="0"/>
            <w:vAlign w:val="center"/>
          </w:tcPr>
          <w:p w14:paraId="1B50B7C0">
            <w:pPr>
              <w:keepNext w:val="0"/>
              <w:keepLines w:val="0"/>
              <w:widowControl/>
              <w:suppressLineNumbers w:val="0"/>
              <w:ind w:firstLine="210" w:firstLineChars="1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质量保障 </w:t>
            </w:r>
          </w:p>
          <w:p w14:paraId="11FF51B2">
            <w:pPr>
              <w:keepNext w:val="0"/>
              <w:keepLines w:val="0"/>
              <w:widowControl/>
              <w:suppressLineNumbers w:val="0"/>
              <w:ind w:firstLine="210" w:firstLineChars="1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服务措施</w:t>
            </w:r>
          </w:p>
          <w:p w14:paraId="75FF924C">
            <w:pPr>
              <w:spacing w:line="400" w:lineRule="exact"/>
              <w:jc w:val="center"/>
              <w:rPr>
                <w:rFonts w:hint="eastAsia" w:ascii="宋体" w:hAnsi="宋体" w:eastAsia="宋体" w:cs="宋体"/>
                <w:color w:val="auto"/>
                <w:kern w:val="0"/>
                <w:sz w:val="21"/>
                <w:szCs w:val="21"/>
                <w:highlight w:val="none"/>
                <w:lang w:val="en-US" w:eastAsia="zh-CN" w:bidi="ar-SA"/>
              </w:rPr>
            </w:pPr>
          </w:p>
        </w:tc>
        <w:tc>
          <w:tcPr>
            <w:tcW w:w="3275" w:type="pct"/>
            <w:tcBorders>
              <w:top w:val="single" w:color="auto" w:sz="4" w:space="0"/>
              <w:left w:val="single" w:color="auto" w:sz="4" w:space="0"/>
              <w:bottom w:val="outset" w:color="auto" w:sz="6" w:space="0"/>
              <w:right w:val="single" w:color="auto" w:sz="4" w:space="0"/>
            </w:tcBorders>
            <w:noWrap w:val="0"/>
            <w:vAlign w:val="center"/>
          </w:tcPr>
          <w:p w14:paraId="7446BBED">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针对本项目提供质量保障服务措施，包含： ①服务宗旨； ②详细服务质量保障措施； ③服务标准及相关承诺； ④纪律及涉密保障服务措施。 </w:t>
            </w:r>
          </w:p>
          <w:p w14:paraId="12BF05CB">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每项内容齐全详实得 2.5 分，每小项内容存在缺陷的扣 0-1 分，未提供不得分。（缺陷是指：与本项目采购标的无关、方案内容前后不一致、前后逻辑错误、涉及的相关规范及标准错误、内容缺失、只有简单描述无实质性内容）</w:t>
            </w:r>
          </w:p>
        </w:tc>
        <w:tc>
          <w:tcPr>
            <w:tcW w:w="413" w:type="pct"/>
            <w:gridSpan w:val="2"/>
            <w:tcBorders>
              <w:top w:val="single" w:color="auto" w:sz="4" w:space="0"/>
              <w:left w:val="single" w:color="auto" w:sz="4" w:space="0"/>
              <w:bottom w:val="single" w:color="auto" w:sz="4" w:space="0"/>
              <w:right w:val="single" w:color="auto" w:sz="4" w:space="0"/>
            </w:tcBorders>
            <w:noWrap w:val="0"/>
            <w:vAlign w:val="top"/>
          </w:tcPr>
          <w:p w14:paraId="18DBB4AC">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8E34A90">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6EC1FDEA">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15EAE25E">
            <w:pPr>
              <w:pStyle w:val="236"/>
              <w:widowControl/>
              <w:spacing w:line="360" w:lineRule="exac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10分</w:t>
            </w:r>
          </w:p>
        </w:tc>
      </w:tr>
      <w:tr w14:paraId="064ACD3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407" w:hRule="atLeast"/>
        </w:trPr>
        <w:tc>
          <w:tcPr>
            <w:tcW w:w="200" w:type="pct"/>
            <w:vMerge w:val="continue"/>
            <w:tcBorders>
              <w:left w:val="outset" w:color="auto" w:sz="6" w:space="0"/>
              <w:right w:val="outset" w:color="auto" w:sz="6" w:space="0"/>
            </w:tcBorders>
            <w:noWrap w:val="0"/>
            <w:vAlign w:val="center"/>
          </w:tcPr>
          <w:p w14:paraId="408486EA">
            <w:pPr>
              <w:pStyle w:val="236"/>
              <w:spacing w:line="360" w:lineRule="auto"/>
              <w:rPr>
                <w:rFonts w:hint="eastAsia" w:ascii="宋体" w:hAnsi="宋体" w:eastAsia="宋体" w:cs="宋体"/>
                <w:color w:val="FF0000"/>
                <w:kern w:val="0"/>
                <w:szCs w:val="21"/>
                <w:highlight w:val="none"/>
              </w:rPr>
            </w:pPr>
          </w:p>
        </w:tc>
        <w:tc>
          <w:tcPr>
            <w:tcW w:w="258" w:type="pct"/>
            <w:tcBorders>
              <w:top w:val="single" w:color="auto" w:sz="4" w:space="0"/>
              <w:left w:val="single" w:color="auto" w:sz="4" w:space="0"/>
              <w:bottom w:val="single" w:color="auto" w:sz="4" w:space="0"/>
              <w:right w:val="single" w:color="auto" w:sz="4" w:space="0"/>
            </w:tcBorders>
            <w:noWrap w:val="0"/>
            <w:vAlign w:val="center"/>
          </w:tcPr>
          <w:p w14:paraId="630D068D">
            <w:pPr>
              <w:pStyle w:val="236"/>
              <w:widowControl/>
              <w:spacing w:line="360" w:lineRule="exact"/>
              <w:jc w:val="center"/>
              <w:rPr>
                <w:rFonts w:hint="eastAsia" w:ascii="宋体" w:hAnsi="宋体" w:eastAsia="宋体" w:cs="宋体"/>
                <w:color w:val="auto"/>
                <w:kern w:val="0"/>
                <w:sz w:val="21"/>
                <w:szCs w:val="21"/>
                <w:highlight w:val="none"/>
                <w:lang w:val="en-US" w:eastAsia="zh-CN" w:bidi="ar-SA"/>
              </w:rPr>
            </w:pPr>
          </w:p>
        </w:tc>
        <w:tc>
          <w:tcPr>
            <w:tcW w:w="852" w:type="pct"/>
            <w:tcBorders>
              <w:top w:val="single" w:color="auto" w:sz="4" w:space="0"/>
              <w:left w:val="single" w:color="auto" w:sz="4" w:space="0"/>
              <w:bottom w:val="single" w:color="auto" w:sz="4" w:space="0"/>
              <w:right w:val="single" w:color="auto" w:sz="4" w:space="0"/>
            </w:tcBorders>
            <w:noWrap w:val="0"/>
            <w:vAlign w:val="center"/>
          </w:tcPr>
          <w:p w14:paraId="452EF1C3">
            <w:pPr>
              <w:keepNext w:val="0"/>
              <w:keepLines w:val="0"/>
              <w:widowControl/>
              <w:suppressLineNumbers w:val="0"/>
              <w:ind w:firstLine="210" w:firstLineChars="1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服务人员 </w:t>
            </w:r>
          </w:p>
          <w:p w14:paraId="657B87D6">
            <w:pPr>
              <w:keepNext w:val="0"/>
              <w:keepLines w:val="0"/>
              <w:widowControl/>
              <w:suppressLineNumbers w:val="0"/>
              <w:ind w:firstLine="210" w:firstLineChars="1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岗前培训</w:t>
            </w:r>
          </w:p>
          <w:p w14:paraId="52ABF36E">
            <w:pPr>
              <w:spacing w:line="400" w:lineRule="exact"/>
              <w:jc w:val="center"/>
              <w:rPr>
                <w:rFonts w:hint="eastAsia" w:ascii="宋体" w:hAnsi="宋体" w:eastAsia="宋体" w:cs="宋体"/>
                <w:color w:val="auto"/>
                <w:kern w:val="0"/>
                <w:sz w:val="21"/>
                <w:szCs w:val="21"/>
                <w:highlight w:val="none"/>
                <w:lang w:val="en-US" w:eastAsia="zh-CN" w:bidi="ar-SA"/>
              </w:rPr>
            </w:pPr>
          </w:p>
        </w:tc>
        <w:tc>
          <w:tcPr>
            <w:tcW w:w="3275" w:type="pct"/>
            <w:tcBorders>
              <w:top w:val="single" w:color="auto" w:sz="4" w:space="0"/>
              <w:left w:val="single" w:color="auto" w:sz="4" w:space="0"/>
              <w:bottom w:val="outset" w:color="auto" w:sz="6" w:space="0"/>
              <w:right w:val="single" w:color="auto" w:sz="4" w:space="0"/>
            </w:tcBorders>
            <w:noWrap w:val="0"/>
            <w:vAlign w:val="center"/>
          </w:tcPr>
          <w:p w14:paraId="4E4134E6">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对人员的岗前培训方案情况，内容包括：①培训内容；②培训方案；③培训考核方案； </w:t>
            </w:r>
          </w:p>
          <w:p w14:paraId="379FAC43">
            <w:pPr>
              <w:keepNext w:val="0"/>
              <w:keepLines w:val="0"/>
              <w:widowControl/>
              <w:suppressLineNumbers w:val="0"/>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本项 9 分，每项内容齐全详实得 3 分，每小项内容存在缺陷的扣1-2 分，未提供不得分。（缺陷是指：与本项目采购标的无关、方案内容前后不一致、前后逻辑错误、涉及的相关规范及标准错误、 内容缺失、只有简单描述无实质性内容）</w:t>
            </w:r>
          </w:p>
        </w:tc>
        <w:tc>
          <w:tcPr>
            <w:tcW w:w="413" w:type="pct"/>
            <w:gridSpan w:val="2"/>
            <w:tcBorders>
              <w:top w:val="single" w:color="auto" w:sz="4" w:space="0"/>
              <w:left w:val="single" w:color="auto" w:sz="4" w:space="0"/>
              <w:bottom w:val="single" w:color="auto" w:sz="4" w:space="0"/>
              <w:right w:val="single" w:color="auto" w:sz="4" w:space="0"/>
            </w:tcBorders>
            <w:noWrap w:val="0"/>
            <w:vAlign w:val="top"/>
          </w:tcPr>
          <w:p w14:paraId="77583B55">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373F7295">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03A8CD06">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3001416B">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5FFE00E3">
            <w:pPr>
              <w:pStyle w:val="236"/>
              <w:widowControl/>
              <w:spacing w:line="360" w:lineRule="exact"/>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9分</w:t>
            </w:r>
          </w:p>
        </w:tc>
      </w:tr>
      <w:tr w14:paraId="4A24EC8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trPr>
        <w:tc>
          <w:tcPr>
            <w:tcW w:w="200" w:type="pct"/>
            <w:vMerge w:val="continue"/>
            <w:tcBorders>
              <w:left w:val="outset" w:color="auto" w:sz="6" w:space="0"/>
              <w:right w:val="outset" w:color="auto" w:sz="6" w:space="0"/>
            </w:tcBorders>
            <w:noWrap w:val="0"/>
            <w:vAlign w:val="center"/>
          </w:tcPr>
          <w:p w14:paraId="65BDFEF9">
            <w:pPr>
              <w:pStyle w:val="236"/>
              <w:spacing w:line="360" w:lineRule="auto"/>
              <w:rPr>
                <w:rFonts w:hint="eastAsia" w:ascii="宋体" w:hAnsi="宋体" w:eastAsia="宋体" w:cs="宋体"/>
                <w:color w:val="FF0000"/>
                <w:kern w:val="0"/>
                <w:szCs w:val="21"/>
                <w:highlight w:val="none"/>
              </w:rPr>
            </w:pPr>
          </w:p>
        </w:tc>
        <w:tc>
          <w:tcPr>
            <w:tcW w:w="258" w:type="pct"/>
            <w:tcBorders>
              <w:top w:val="single" w:color="auto" w:sz="4" w:space="0"/>
              <w:left w:val="single" w:color="auto" w:sz="4" w:space="0"/>
              <w:bottom w:val="single" w:color="auto" w:sz="4" w:space="0"/>
              <w:right w:val="single" w:color="auto" w:sz="4" w:space="0"/>
            </w:tcBorders>
            <w:noWrap w:val="0"/>
            <w:vAlign w:val="center"/>
          </w:tcPr>
          <w:p w14:paraId="4BD1F6DA">
            <w:pPr>
              <w:pStyle w:val="236"/>
              <w:widowControl/>
              <w:spacing w:line="360" w:lineRule="exact"/>
              <w:jc w:val="center"/>
              <w:rPr>
                <w:rFonts w:hint="eastAsia" w:ascii="宋体" w:hAnsi="宋体" w:eastAsia="宋体" w:cs="宋体"/>
                <w:color w:val="auto"/>
                <w:kern w:val="0"/>
                <w:sz w:val="21"/>
                <w:szCs w:val="21"/>
                <w:highlight w:val="none"/>
                <w:lang w:val="en-US" w:eastAsia="zh-CN" w:bidi="ar-SA"/>
              </w:rPr>
            </w:pPr>
          </w:p>
        </w:tc>
        <w:tc>
          <w:tcPr>
            <w:tcW w:w="852" w:type="pct"/>
            <w:tcBorders>
              <w:top w:val="single" w:color="auto" w:sz="4" w:space="0"/>
              <w:left w:val="single" w:color="auto" w:sz="4" w:space="0"/>
              <w:bottom w:val="single" w:color="auto" w:sz="4" w:space="0"/>
              <w:right w:val="single" w:color="auto" w:sz="4" w:space="0"/>
            </w:tcBorders>
            <w:noWrap w:val="0"/>
            <w:vAlign w:val="center"/>
          </w:tcPr>
          <w:p w14:paraId="623F9311">
            <w:pPr>
              <w:keepNext w:val="0"/>
              <w:keepLines w:val="0"/>
              <w:widowControl/>
              <w:suppressLineNumbers w:val="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人员管理 </w:t>
            </w:r>
          </w:p>
          <w:p w14:paraId="691491D5">
            <w:pPr>
              <w:keepNext w:val="0"/>
              <w:keepLines w:val="0"/>
              <w:widowControl/>
              <w:suppressLineNumbers w:val="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制度</w:t>
            </w:r>
          </w:p>
          <w:p w14:paraId="6665F389">
            <w:pPr>
              <w:spacing w:line="400" w:lineRule="exact"/>
              <w:jc w:val="center"/>
              <w:rPr>
                <w:rFonts w:hint="eastAsia" w:ascii="宋体" w:hAnsi="宋体" w:eastAsia="宋体" w:cs="宋体"/>
                <w:color w:val="auto"/>
                <w:kern w:val="0"/>
                <w:sz w:val="21"/>
                <w:szCs w:val="21"/>
                <w:highlight w:val="none"/>
                <w:lang w:val="en-US" w:eastAsia="zh-CN" w:bidi="ar-SA"/>
              </w:rPr>
            </w:pPr>
          </w:p>
        </w:tc>
        <w:tc>
          <w:tcPr>
            <w:tcW w:w="3275" w:type="pct"/>
            <w:tcBorders>
              <w:top w:val="outset" w:color="auto" w:sz="6" w:space="0"/>
              <w:left w:val="single" w:color="auto" w:sz="4" w:space="0"/>
              <w:bottom w:val="outset" w:color="auto" w:sz="6" w:space="0"/>
              <w:right w:val="single" w:color="auto" w:sz="4" w:space="0"/>
            </w:tcBorders>
            <w:noWrap w:val="0"/>
            <w:vAlign w:val="center"/>
          </w:tcPr>
          <w:p w14:paraId="60A41B6D">
            <w:pPr>
              <w:pStyle w:val="236"/>
              <w:widowControl/>
              <w:spacing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根据供应商提供的《组织管理制度》、《安全管理制度》、《档案管理制度》、《考勤管理制度》、《人员管理及培训管理制度》的齐全性、规范性评分，管理制度内容齐全详实得 6分，每小项内容存在缺陷的扣 1-1.5 分，未提供不得分。（缺陷是指：与本项目采购标的无关、方案内容前后不一致、前后逻辑错误、涉及的相关规范及标准错误、内容缺失、只有简单描述无实质性内容）。</w:t>
            </w:r>
          </w:p>
        </w:tc>
        <w:tc>
          <w:tcPr>
            <w:tcW w:w="413" w:type="pct"/>
            <w:gridSpan w:val="2"/>
            <w:tcBorders>
              <w:top w:val="single" w:color="auto" w:sz="4" w:space="0"/>
              <w:left w:val="single" w:color="auto" w:sz="4" w:space="0"/>
              <w:bottom w:val="single" w:color="auto" w:sz="4" w:space="0"/>
              <w:right w:val="single" w:color="auto" w:sz="4" w:space="0"/>
            </w:tcBorders>
            <w:noWrap w:val="0"/>
            <w:vAlign w:val="top"/>
          </w:tcPr>
          <w:p w14:paraId="1D60569F">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23F6FEDC">
            <w:pPr>
              <w:pStyle w:val="236"/>
              <w:widowControl/>
              <w:spacing w:line="360" w:lineRule="exact"/>
              <w:rPr>
                <w:rFonts w:hint="eastAsia" w:ascii="宋体" w:hAnsi="宋体" w:eastAsia="宋体" w:cs="宋体"/>
                <w:color w:val="auto"/>
                <w:kern w:val="0"/>
                <w:sz w:val="21"/>
                <w:szCs w:val="21"/>
                <w:highlight w:val="none"/>
                <w:lang w:val="en-US" w:eastAsia="zh-CN" w:bidi="ar-SA"/>
              </w:rPr>
            </w:pPr>
          </w:p>
          <w:p w14:paraId="1A972E38">
            <w:pPr>
              <w:pStyle w:val="236"/>
              <w:widowControl/>
              <w:spacing w:line="360" w:lineRule="exac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6分</w:t>
            </w:r>
          </w:p>
        </w:tc>
      </w:tr>
      <w:tr w14:paraId="62A1F94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29" w:hRule="atLeast"/>
        </w:trPr>
        <w:tc>
          <w:tcPr>
            <w:tcW w:w="200" w:type="pct"/>
            <w:vMerge w:val="continue"/>
            <w:tcBorders>
              <w:left w:val="outset" w:color="auto" w:sz="6" w:space="0"/>
              <w:right w:val="outset" w:color="auto" w:sz="6" w:space="0"/>
            </w:tcBorders>
            <w:noWrap w:val="0"/>
            <w:vAlign w:val="center"/>
          </w:tcPr>
          <w:p w14:paraId="5A25E11A">
            <w:pPr>
              <w:pStyle w:val="236"/>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FF0000"/>
                <w:kern w:val="0"/>
                <w:szCs w:val="21"/>
                <w:highlight w:val="none"/>
              </w:rPr>
            </w:pPr>
          </w:p>
        </w:tc>
        <w:tc>
          <w:tcPr>
            <w:tcW w:w="1111" w:type="pct"/>
            <w:gridSpan w:val="2"/>
            <w:tcBorders>
              <w:top w:val="single" w:color="auto" w:sz="4" w:space="0"/>
              <w:left w:val="outset" w:color="auto" w:sz="6" w:space="0"/>
              <w:bottom w:val="outset" w:color="auto" w:sz="6" w:space="0"/>
              <w:right w:val="outset" w:color="auto" w:sz="6" w:space="0"/>
            </w:tcBorders>
            <w:noWrap w:val="0"/>
            <w:vAlign w:val="center"/>
          </w:tcPr>
          <w:p w14:paraId="74C44CD8">
            <w:pPr>
              <w:pStyle w:val="106"/>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合计</w:t>
            </w:r>
          </w:p>
        </w:tc>
        <w:tc>
          <w:tcPr>
            <w:tcW w:w="3275" w:type="pct"/>
            <w:tcBorders>
              <w:top w:val="outset" w:color="auto" w:sz="6" w:space="0"/>
              <w:left w:val="outset" w:color="auto" w:sz="6" w:space="0"/>
              <w:bottom w:val="outset" w:color="auto" w:sz="6" w:space="0"/>
              <w:right w:val="outset" w:color="auto" w:sz="6" w:space="0"/>
            </w:tcBorders>
            <w:noWrap w:val="0"/>
            <w:vAlign w:val="center"/>
          </w:tcPr>
          <w:p w14:paraId="4F890701">
            <w:pPr>
              <w:pStyle w:val="106"/>
              <w:keepNext w:val="0"/>
              <w:keepLines w:val="0"/>
              <w:pageBreakBefore w:val="0"/>
              <w:kinsoku/>
              <w:wordWrap/>
              <w:overflowPunct/>
              <w:topLinePunct w:val="0"/>
              <w:autoSpaceDE/>
              <w:autoSpaceDN/>
              <w:bidi w:val="0"/>
              <w:adjustRightInd/>
              <w:snapToGrid/>
              <w:spacing w:line="320" w:lineRule="exact"/>
              <w:textAlignment w:val="auto"/>
              <w:rPr>
                <w:rFonts w:hint="eastAsia" w:ascii="宋体" w:hAnsi="宋体" w:eastAsia="宋体" w:cs="宋体"/>
                <w:b w:val="0"/>
                <w:color w:val="auto"/>
                <w:kern w:val="0"/>
                <w:sz w:val="21"/>
                <w:szCs w:val="21"/>
                <w:highlight w:val="none"/>
                <w:lang w:val="en-US" w:eastAsia="zh-CN" w:bidi="ar-SA"/>
              </w:rPr>
            </w:pPr>
          </w:p>
        </w:tc>
        <w:tc>
          <w:tcPr>
            <w:tcW w:w="413" w:type="pct"/>
            <w:gridSpan w:val="2"/>
            <w:tcBorders>
              <w:top w:val="single" w:color="auto" w:sz="4" w:space="0"/>
              <w:left w:val="outset" w:color="auto" w:sz="6" w:space="0"/>
              <w:bottom w:val="outset" w:color="auto" w:sz="6" w:space="0"/>
              <w:right w:val="outset" w:color="auto" w:sz="6" w:space="0"/>
            </w:tcBorders>
            <w:noWrap w:val="0"/>
            <w:vAlign w:val="center"/>
          </w:tcPr>
          <w:p w14:paraId="2D544340">
            <w:pPr>
              <w:pStyle w:val="236"/>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100</w:t>
            </w:r>
          </w:p>
        </w:tc>
      </w:tr>
      <w:tr w14:paraId="061B74B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14" w:hRule="atLeast"/>
        </w:trPr>
        <w:tc>
          <w:tcPr>
            <w:tcW w:w="200" w:type="pct"/>
            <w:vMerge w:val="continue"/>
            <w:tcBorders>
              <w:left w:val="outset" w:color="auto" w:sz="6" w:space="0"/>
              <w:bottom w:val="outset" w:color="auto" w:sz="6" w:space="0"/>
              <w:right w:val="outset" w:color="auto" w:sz="6" w:space="0"/>
            </w:tcBorders>
            <w:noWrap w:val="0"/>
            <w:vAlign w:val="center"/>
          </w:tcPr>
          <w:p w14:paraId="01DFF798">
            <w:pPr>
              <w:pStyle w:val="236"/>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Cs w:val="21"/>
                <w:highlight w:val="none"/>
              </w:rPr>
            </w:pPr>
          </w:p>
        </w:tc>
        <w:tc>
          <w:tcPr>
            <w:tcW w:w="4799" w:type="pct"/>
            <w:gridSpan w:val="5"/>
            <w:tcBorders>
              <w:top w:val="outset" w:color="auto" w:sz="6" w:space="0"/>
              <w:left w:val="outset" w:color="auto" w:sz="6" w:space="0"/>
              <w:bottom w:val="outset" w:color="auto" w:sz="6" w:space="0"/>
              <w:right w:val="outset" w:color="auto" w:sz="6" w:space="0"/>
            </w:tcBorders>
            <w:noWrap w:val="0"/>
            <w:vAlign w:val="center"/>
          </w:tcPr>
          <w:p w14:paraId="7BA8F2FF">
            <w:pPr>
              <w:pStyle w:val="236"/>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注：评分分值计算保留小数点后两位，小数点后第三位“四舍五入”</w:t>
            </w:r>
          </w:p>
        </w:tc>
      </w:tr>
    </w:tbl>
    <w:p w14:paraId="2F8979CD">
      <w:pPr>
        <w:jc w:val="center"/>
        <w:rPr>
          <w:rFonts w:hint="eastAsia" w:ascii="宋体" w:hAnsi="宋体" w:eastAsia="宋体" w:cs="宋体"/>
          <w:b/>
          <w:bCs/>
          <w:sz w:val="28"/>
          <w:szCs w:val="28"/>
        </w:rPr>
      </w:pPr>
      <w:r>
        <w:rPr>
          <w:rFonts w:hint="eastAsia" w:ascii="宋体" w:hAnsi="宋体" w:eastAsia="宋体" w:cs="宋体"/>
          <w:color w:val="auto"/>
          <w:kern w:val="0"/>
          <w:szCs w:val="21"/>
          <w:highlight w:val="none"/>
        </w:rPr>
        <w:br w:type="page"/>
      </w:r>
      <w:bookmarkEnd w:id="118"/>
      <w:bookmarkStart w:id="119" w:name="_Toc503463636"/>
      <w:bookmarkStart w:id="120" w:name="_Toc25505"/>
      <w:r>
        <w:rPr>
          <w:rFonts w:hint="eastAsia" w:ascii="宋体" w:hAnsi="宋体" w:eastAsia="宋体" w:cs="宋体"/>
          <w:b/>
          <w:bCs/>
          <w:sz w:val="28"/>
          <w:szCs w:val="28"/>
        </w:rPr>
        <w:t>第五部分  服务合同</w:t>
      </w:r>
    </w:p>
    <w:p w14:paraId="5536DFB6">
      <w:pPr>
        <w:jc w:val="center"/>
        <w:rPr>
          <w:rFonts w:hint="eastAsia" w:ascii="宋体" w:hAnsi="宋体" w:eastAsia="宋体" w:cs="宋体"/>
          <w:b/>
          <w:bCs/>
        </w:rPr>
      </w:pPr>
      <w:r>
        <w:rPr>
          <w:rFonts w:hint="eastAsia" w:ascii="宋体" w:hAnsi="宋体" w:eastAsia="宋体" w:cs="宋体"/>
          <w:b/>
          <w:bCs/>
        </w:rPr>
        <w:t>（此合同为参考模板，具体由甲乙双方按照有关要求约定）</w:t>
      </w:r>
    </w:p>
    <w:p w14:paraId="744B1A1D">
      <w:pPr>
        <w:jc w:val="center"/>
        <w:rPr>
          <w:rFonts w:hint="eastAsia" w:ascii="宋体" w:hAnsi="宋体" w:eastAsia="宋体" w:cs="宋体"/>
          <w:b/>
          <w:bCs/>
        </w:rPr>
      </w:pPr>
      <w:r>
        <w:rPr>
          <w:rFonts w:hint="eastAsia" w:ascii="宋体" w:hAnsi="宋体" w:eastAsia="宋体" w:cs="宋体"/>
          <w:b/>
          <w:bCs/>
        </w:rPr>
        <w:t>合同编号：</w:t>
      </w:r>
    </w:p>
    <w:p w14:paraId="3141A388">
      <w:pPr>
        <w:rPr>
          <w:rFonts w:hint="eastAsia" w:ascii="宋体" w:hAnsi="宋体" w:eastAsia="宋体" w:cs="宋体"/>
        </w:rPr>
      </w:pPr>
    </w:p>
    <w:p w14:paraId="31BDDCE0">
      <w:pPr>
        <w:rPr>
          <w:rFonts w:hint="eastAsia" w:ascii="宋体" w:hAnsi="宋体" w:eastAsia="宋体" w:cs="宋体"/>
        </w:rPr>
      </w:pPr>
    </w:p>
    <w:p w14:paraId="2A55C698">
      <w:pPr>
        <w:rPr>
          <w:rFonts w:hint="eastAsia" w:ascii="宋体" w:hAnsi="宋体" w:eastAsia="宋体" w:cs="宋体"/>
        </w:rPr>
      </w:pPr>
    </w:p>
    <w:p w14:paraId="4C544736">
      <w:pPr>
        <w:rPr>
          <w:rFonts w:hint="eastAsia" w:ascii="宋体" w:hAnsi="宋体" w:eastAsia="宋体" w:cs="宋体"/>
        </w:rPr>
      </w:pPr>
    </w:p>
    <w:p w14:paraId="4C886B36">
      <w:pPr>
        <w:rPr>
          <w:rFonts w:hint="eastAsia" w:ascii="宋体" w:hAnsi="宋体" w:eastAsia="宋体" w:cs="宋体"/>
        </w:rPr>
      </w:pPr>
    </w:p>
    <w:p w14:paraId="2B621D7B">
      <w:pPr>
        <w:jc w:val="center"/>
        <w:rPr>
          <w:rFonts w:hint="eastAsia" w:ascii="宋体" w:hAnsi="宋体" w:eastAsia="宋体" w:cs="宋体"/>
          <w:b/>
          <w:bCs/>
          <w:sz w:val="52"/>
          <w:szCs w:val="60"/>
        </w:rPr>
      </w:pPr>
      <w:r>
        <w:rPr>
          <w:rFonts w:hint="eastAsia" w:ascii="宋体" w:hAnsi="宋体" w:eastAsia="宋体" w:cs="宋体"/>
          <w:b/>
          <w:bCs/>
          <w:sz w:val="52"/>
          <w:szCs w:val="60"/>
        </w:rPr>
        <w:t>公交线路协管服务项目</w:t>
      </w:r>
    </w:p>
    <w:p w14:paraId="5EEB8087">
      <w:pPr>
        <w:jc w:val="center"/>
        <w:rPr>
          <w:rFonts w:hint="eastAsia" w:ascii="宋体" w:hAnsi="宋体" w:eastAsia="宋体" w:cs="宋体"/>
          <w:b/>
          <w:bCs/>
          <w:sz w:val="52"/>
          <w:szCs w:val="60"/>
        </w:rPr>
      </w:pPr>
    </w:p>
    <w:p w14:paraId="73E7A210">
      <w:pPr>
        <w:jc w:val="center"/>
        <w:rPr>
          <w:rFonts w:hint="eastAsia" w:ascii="宋体" w:hAnsi="宋体" w:eastAsia="宋体" w:cs="宋体"/>
          <w:b/>
          <w:bCs/>
          <w:sz w:val="52"/>
          <w:szCs w:val="60"/>
        </w:rPr>
      </w:pPr>
    </w:p>
    <w:p w14:paraId="5DD9FE3E">
      <w:pPr>
        <w:jc w:val="center"/>
        <w:rPr>
          <w:rFonts w:hint="eastAsia" w:ascii="宋体" w:hAnsi="宋体" w:eastAsia="宋体" w:cs="宋体"/>
          <w:b/>
          <w:bCs/>
          <w:sz w:val="52"/>
          <w:szCs w:val="60"/>
        </w:rPr>
      </w:pPr>
      <w:r>
        <w:rPr>
          <w:rFonts w:hint="eastAsia" w:ascii="宋体" w:hAnsi="宋体" w:eastAsia="宋体" w:cs="宋体"/>
          <w:b/>
          <w:bCs/>
          <w:sz w:val="52"/>
          <w:szCs w:val="60"/>
        </w:rPr>
        <w:t>服 务 合 同</w:t>
      </w:r>
    </w:p>
    <w:p w14:paraId="2E0E5AF9">
      <w:pPr>
        <w:rPr>
          <w:rFonts w:hint="eastAsia" w:ascii="宋体" w:hAnsi="宋体" w:eastAsia="宋体" w:cs="宋体"/>
        </w:rPr>
      </w:pPr>
    </w:p>
    <w:p w14:paraId="370AB7F3">
      <w:pPr>
        <w:rPr>
          <w:rFonts w:hint="eastAsia" w:ascii="宋体" w:hAnsi="宋体" w:eastAsia="宋体" w:cs="宋体"/>
        </w:rPr>
      </w:pPr>
    </w:p>
    <w:p w14:paraId="77C2D4B7">
      <w:pPr>
        <w:rPr>
          <w:rFonts w:hint="eastAsia" w:ascii="宋体" w:hAnsi="宋体" w:eastAsia="宋体" w:cs="宋体"/>
        </w:rPr>
      </w:pPr>
    </w:p>
    <w:p w14:paraId="5B0E14FA">
      <w:pPr>
        <w:rPr>
          <w:rFonts w:hint="eastAsia" w:ascii="宋体" w:hAnsi="宋体" w:eastAsia="宋体" w:cs="宋体"/>
        </w:rPr>
      </w:pPr>
    </w:p>
    <w:p w14:paraId="184E8A8A">
      <w:pPr>
        <w:rPr>
          <w:rFonts w:hint="eastAsia" w:ascii="宋体" w:hAnsi="宋体" w:eastAsia="宋体" w:cs="宋体"/>
        </w:rPr>
      </w:pPr>
    </w:p>
    <w:p w14:paraId="3599A021">
      <w:pPr>
        <w:rPr>
          <w:rFonts w:hint="eastAsia" w:ascii="宋体" w:hAnsi="宋体" w:eastAsia="宋体" w:cs="宋体"/>
        </w:rPr>
      </w:pPr>
    </w:p>
    <w:p w14:paraId="710B9FA1">
      <w:pPr>
        <w:rPr>
          <w:rFonts w:hint="eastAsia" w:ascii="宋体" w:hAnsi="宋体" w:eastAsia="宋体" w:cs="宋体"/>
        </w:rPr>
      </w:pPr>
    </w:p>
    <w:p w14:paraId="13288A4A">
      <w:pPr>
        <w:ind w:firstLine="964" w:firstLineChars="400"/>
        <w:jc w:val="left"/>
        <w:rPr>
          <w:rFonts w:hint="eastAsia" w:ascii="宋体" w:hAnsi="宋体" w:eastAsia="宋体" w:cs="宋体"/>
          <w:b/>
          <w:bCs/>
          <w:sz w:val="24"/>
          <w:szCs w:val="32"/>
        </w:rPr>
      </w:pPr>
      <w:r>
        <w:rPr>
          <w:rFonts w:hint="eastAsia" w:ascii="宋体" w:hAnsi="宋体" w:eastAsia="宋体" w:cs="宋体"/>
          <w:b/>
          <w:bCs/>
          <w:sz w:val="24"/>
          <w:szCs w:val="32"/>
        </w:rPr>
        <w:t>甲方：</w:t>
      </w:r>
    </w:p>
    <w:p w14:paraId="3FCF3DA4">
      <w:pPr>
        <w:jc w:val="left"/>
        <w:rPr>
          <w:rFonts w:hint="eastAsia" w:ascii="宋体" w:hAnsi="宋体" w:eastAsia="宋体" w:cs="宋体"/>
          <w:b/>
          <w:bCs/>
          <w:sz w:val="24"/>
          <w:szCs w:val="32"/>
        </w:rPr>
      </w:pPr>
    </w:p>
    <w:p w14:paraId="0761B88D">
      <w:pPr>
        <w:ind w:firstLine="964" w:firstLineChars="400"/>
        <w:jc w:val="left"/>
        <w:rPr>
          <w:rFonts w:hint="eastAsia" w:ascii="宋体" w:hAnsi="宋体" w:eastAsia="宋体" w:cs="宋体"/>
          <w:b/>
          <w:bCs/>
          <w:sz w:val="24"/>
          <w:szCs w:val="32"/>
        </w:rPr>
      </w:pPr>
      <w:r>
        <w:rPr>
          <w:rFonts w:hint="eastAsia" w:ascii="宋体" w:hAnsi="宋体" w:eastAsia="宋体" w:cs="宋体"/>
          <w:b/>
          <w:bCs/>
          <w:sz w:val="24"/>
          <w:szCs w:val="32"/>
        </w:rPr>
        <w:t>乙 方：</w:t>
      </w:r>
    </w:p>
    <w:p w14:paraId="7A19C3BA">
      <w:pPr>
        <w:jc w:val="left"/>
        <w:rPr>
          <w:rFonts w:hint="eastAsia" w:ascii="宋体" w:hAnsi="宋体" w:eastAsia="宋体" w:cs="宋体"/>
          <w:b/>
          <w:bCs/>
          <w:sz w:val="24"/>
          <w:szCs w:val="32"/>
        </w:rPr>
      </w:pPr>
    </w:p>
    <w:p w14:paraId="1860F89A">
      <w:pPr>
        <w:rPr>
          <w:rFonts w:hint="eastAsia" w:ascii="宋体" w:hAnsi="宋体" w:eastAsia="宋体" w:cs="宋体"/>
        </w:rPr>
        <w:sectPr>
          <w:pgSz w:w="11906" w:h="16838"/>
          <w:pgMar w:top="1134" w:right="1134" w:bottom="1134" w:left="1134" w:header="851" w:footer="992" w:gutter="0"/>
          <w:cols w:space="720" w:num="1"/>
          <w:docGrid w:type="lines" w:linePitch="312" w:charSpace="0"/>
        </w:sectPr>
      </w:pPr>
    </w:p>
    <w:p w14:paraId="628A0DF0">
      <w:pPr>
        <w:rPr>
          <w:rFonts w:hint="eastAsia" w:ascii="宋体" w:hAnsi="宋体" w:eastAsia="宋体" w:cs="宋体"/>
        </w:rPr>
      </w:pPr>
    </w:p>
    <w:p w14:paraId="6A96567E">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甲方：                           乙方：</w:t>
      </w:r>
    </w:p>
    <w:p w14:paraId="4A1F2214">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地址：                           地址：</w:t>
      </w:r>
    </w:p>
    <w:p w14:paraId="521AAF48">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邮编：                           邮编：</w:t>
      </w:r>
    </w:p>
    <w:p w14:paraId="66EE85EE">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电话：                           电话：</w:t>
      </w:r>
    </w:p>
    <w:p w14:paraId="541681E9">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传真：                           传真：</w:t>
      </w:r>
    </w:p>
    <w:p w14:paraId="022B25DF">
      <w:pPr>
        <w:spacing w:line="480" w:lineRule="auto"/>
        <w:rPr>
          <w:rFonts w:hint="eastAsia" w:ascii="宋体" w:hAnsi="宋体" w:eastAsia="宋体" w:cs="宋体"/>
          <w:sz w:val="24"/>
          <w:szCs w:val="24"/>
        </w:rPr>
      </w:pPr>
      <w:r>
        <w:rPr>
          <w:rFonts w:hint="eastAsia" w:ascii="宋体" w:hAnsi="宋体" w:eastAsia="宋体" w:cs="宋体"/>
          <w:sz w:val="24"/>
          <w:szCs w:val="24"/>
        </w:rPr>
        <w:t>甲、乙双方本着平等、自愿、诚信、协商一致的原则，就乙方向甲方提供服务人员一事依法达成如下协议。</w:t>
      </w:r>
    </w:p>
    <w:p w14:paraId="1027E20A">
      <w:pPr>
        <w:spacing w:line="480" w:lineRule="auto"/>
        <w:rPr>
          <w:rFonts w:hint="eastAsia" w:ascii="宋体" w:hAnsi="宋体" w:eastAsia="宋体" w:cs="宋体"/>
          <w:b/>
          <w:bCs/>
          <w:sz w:val="24"/>
          <w:szCs w:val="24"/>
        </w:rPr>
      </w:pPr>
      <w:r>
        <w:rPr>
          <w:rFonts w:hint="eastAsia" w:ascii="宋体" w:hAnsi="宋体" w:eastAsia="宋体" w:cs="宋体"/>
          <w:b/>
          <w:bCs/>
          <w:sz w:val="24"/>
          <w:szCs w:val="24"/>
        </w:rPr>
        <w:t>第一章  总则</w:t>
      </w:r>
    </w:p>
    <w:p w14:paraId="724EAE3B">
      <w:pPr>
        <w:spacing w:line="480" w:lineRule="auto"/>
        <w:rPr>
          <w:rFonts w:hint="eastAsia" w:ascii="宋体" w:hAnsi="宋体" w:eastAsia="宋体" w:cs="宋体"/>
          <w:sz w:val="24"/>
          <w:szCs w:val="24"/>
        </w:rPr>
      </w:pPr>
      <w:r>
        <w:rPr>
          <w:rFonts w:hint="eastAsia" w:ascii="宋体" w:hAnsi="宋体" w:eastAsia="宋体" w:cs="宋体"/>
          <w:sz w:val="24"/>
          <w:szCs w:val="24"/>
          <w:lang w:eastAsia="zh-CN"/>
        </w:rPr>
        <w:t>第一条</w:t>
      </w:r>
      <w:r>
        <w:rPr>
          <w:rFonts w:hint="eastAsia" w:ascii="宋体" w:hAnsi="宋体" w:eastAsia="宋体" w:cs="宋体"/>
          <w:sz w:val="24"/>
          <w:szCs w:val="24"/>
        </w:rPr>
        <w:t xml:space="preserve"> 甲、乙双方必须遵守《中华人民共和国劳动法》、《劳动合同法》、《民 法典》及其他相关法律法规、政策规定，以保证甲、乙双方及服务人员的合法权益。</w:t>
      </w:r>
    </w:p>
    <w:p w14:paraId="06D698C8">
      <w:pPr>
        <w:numPr>
          <w:ilvl w:val="0"/>
          <w:numId w:val="0"/>
        </w:numPr>
        <w:spacing w:line="480" w:lineRule="auto"/>
        <w:rPr>
          <w:rFonts w:hint="eastAsia" w:ascii="宋体" w:hAnsi="宋体" w:eastAsia="宋体" w:cs="宋体"/>
          <w:sz w:val="24"/>
          <w:szCs w:val="24"/>
        </w:rPr>
      </w:pPr>
      <w:r>
        <w:rPr>
          <w:rFonts w:hint="eastAsia" w:ascii="宋体" w:hAnsi="宋体" w:eastAsia="宋体" w:cs="宋体"/>
          <w:kern w:val="2"/>
          <w:sz w:val="24"/>
          <w:szCs w:val="24"/>
          <w:lang w:val="en-US" w:eastAsia="zh-CN" w:bidi="ar-SA"/>
        </w:rPr>
        <w:t>第二条</w:t>
      </w:r>
      <w:r>
        <w:rPr>
          <w:rFonts w:hint="eastAsia" w:ascii="宋体" w:hAnsi="宋体" w:eastAsia="宋体" w:cs="宋体"/>
          <w:sz w:val="24"/>
          <w:szCs w:val="24"/>
        </w:rPr>
        <w:t xml:space="preserve"> 甲方根据生产经营需要由乙方提供服务人员，服务人员工作地点为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地区，工作的岗位名称、数量和岗位性质见下表，具体需求岗位、岗位任职条件等书面形式确认。</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3"/>
        <w:gridCol w:w="2464"/>
        <w:gridCol w:w="2464"/>
      </w:tblGrid>
      <w:tr w14:paraId="4222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0B67DE79">
            <w:pPr>
              <w:numPr>
                <w:ilvl w:val="0"/>
                <w:numId w:val="0"/>
              </w:numPr>
              <w:spacing w:line="360" w:lineRule="auto"/>
              <w:ind w:firstLine="720" w:firstLineChars="300"/>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岗位名称</w:t>
            </w:r>
          </w:p>
        </w:tc>
        <w:tc>
          <w:tcPr>
            <w:tcW w:w="2463" w:type="dxa"/>
            <w:noWrap w:val="0"/>
            <w:vAlign w:val="top"/>
          </w:tcPr>
          <w:p w14:paraId="6A674D73">
            <w:pPr>
              <w:numPr>
                <w:ilvl w:val="0"/>
                <w:numId w:val="0"/>
              </w:numPr>
              <w:spacing w:line="360" w:lineRule="auto"/>
              <w:ind w:firstLine="480" w:firstLineChars="200"/>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岗位数量</w:t>
            </w:r>
          </w:p>
        </w:tc>
        <w:tc>
          <w:tcPr>
            <w:tcW w:w="2464" w:type="dxa"/>
            <w:noWrap w:val="0"/>
            <w:vAlign w:val="top"/>
          </w:tcPr>
          <w:p w14:paraId="4CE9474B">
            <w:pPr>
              <w:numPr>
                <w:ilvl w:val="0"/>
                <w:numId w:val="0"/>
              </w:numPr>
              <w:spacing w:line="360" w:lineRule="auto"/>
              <w:ind w:firstLine="720" w:firstLineChars="300"/>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岗位性质</w:t>
            </w:r>
          </w:p>
        </w:tc>
        <w:tc>
          <w:tcPr>
            <w:tcW w:w="2464" w:type="dxa"/>
            <w:noWrap w:val="0"/>
            <w:vAlign w:val="top"/>
          </w:tcPr>
          <w:p w14:paraId="46393F2B">
            <w:pPr>
              <w:numPr>
                <w:ilvl w:val="0"/>
                <w:numId w:val="0"/>
              </w:numPr>
              <w:spacing w:line="360" w:lineRule="auto"/>
              <w:ind w:firstLine="720" w:firstLineChars="300"/>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备注</w:t>
            </w:r>
          </w:p>
        </w:tc>
      </w:tr>
      <w:tr w14:paraId="7FBFE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235B7B49">
            <w:pPr>
              <w:numPr>
                <w:ilvl w:val="0"/>
                <w:numId w:val="0"/>
              </w:numPr>
              <w:spacing w:line="360" w:lineRule="auto"/>
              <w:rPr>
                <w:rFonts w:hint="eastAsia" w:ascii="宋体" w:hAnsi="宋体" w:eastAsia="宋体" w:cs="宋体"/>
                <w:sz w:val="24"/>
                <w:szCs w:val="24"/>
                <w:vertAlign w:val="baseline"/>
              </w:rPr>
            </w:pPr>
          </w:p>
        </w:tc>
        <w:tc>
          <w:tcPr>
            <w:tcW w:w="2463" w:type="dxa"/>
            <w:noWrap w:val="0"/>
            <w:vAlign w:val="top"/>
          </w:tcPr>
          <w:p w14:paraId="17D60509">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307AF191">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7910A3EF">
            <w:pPr>
              <w:numPr>
                <w:ilvl w:val="0"/>
                <w:numId w:val="0"/>
              </w:numPr>
              <w:spacing w:line="360" w:lineRule="auto"/>
              <w:rPr>
                <w:rFonts w:hint="eastAsia" w:ascii="宋体" w:hAnsi="宋体" w:eastAsia="宋体" w:cs="宋体"/>
                <w:sz w:val="24"/>
                <w:szCs w:val="24"/>
                <w:vertAlign w:val="baseline"/>
              </w:rPr>
            </w:pPr>
          </w:p>
        </w:tc>
      </w:tr>
      <w:tr w14:paraId="4B193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57B4FE4E">
            <w:pPr>
              <w:numPr>
                <w:ilvl w:val="0"/>
                <w:numId w:val="0"/>
              </w:numPr>
              <w:spacing w:line="360" w:lineRule="auto"/>
              <w:rPr>
                <w:rFonts w:hint="eastAsia" w:ascii="宋体" w:hAnsi="宋体" w:eastAsia="宋体" w:cs="宋体"/>
                <w:sz w:val="24"/>
                <w:szCs w:val="24"/>
                <w:vertAlign w:val="baseline"/>
              </w:rPr>
            </w:pPr>
          </w:p>
        </w:tc>
        <w:tc>
          <w:tcPr>
            <w:tcW w:w="2463" w:type="dxa"/>
            <w:noWrap w:val="0"/>
            <w:vAlign w:val="top"/>
          </w:tcPr>
          <w:p w14:paraId="19330BC0">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5C964CA7">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681396B5">
            <w:pPr>
              <w:numPr>
                <w:ilvl w:val="0"/>
                <w:numId w:val="0"/>
              </w:numPr>
              <w:spacing w:line="360" w:lineRule="auto"/>
              <w:rPr>
                <w:rFonts w:hint="eastAsia" w:ascii="宋体" w:hAnsi="宋体" w:eastAsia="宋体" w:cs="宋体"/>
                <w:sz w:val="24"/>
                <w:szCs w:val="24"/>
                <w:vertAlign w:val="baseline"/>
              </w:rPr>
            </w:pPr>
          </w:p>
        </w:tc>
      </w:tr>
      <w:tr w14:paraId="1C0FC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6106C4E8">
            <w:pPr>
              <w:numPr>
                <w:ilvl w:val="0"/>
                <w:numId w:val="0"/>
              </w:numPr>
              <w:spacing w:line="360" w:lineRule="auto"/>
              <w:rPr>
                <w:rFonts w:hint="eastAsia" w:ascii="宋体" w:hAnsi="宋体" w:eastAsia="宋体" w:cs="宋体"/>
                <w:sz w:val="24"/>
                <w:szCs w:val="24"/>
                <w:vertAlign w:val="baseline"/>
              </w:rPr>
            </w:pPr>
          </w:p>
        </w:tc>
        <w:tc>
          <w:tcPr>
            <w:tcW w:w="2463" w:type="dxa"/>
            <w:noWrap w:val="0"/>
            <w:vAlign w:val="top"/>
          </w:tcPr>
          <w:p w14:paraId="26A42517">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7EB7CD3A">
            <w:pPr>
              <w:numPr>
                <w:ilvl w:val="0"/>
                <w:numId w:val="0"/>
              </w:numPr>
              <w:spacing w:line="360" w:lineRule="auto"/>
              <w:rPr>
                <w:rFonts w:hint="eastAsia" w:ascii="宋体" w:hAnsi="宋体" w:eastAsia="宋体" w:cs="宋体"/>
                <w:sz w:val="24"/>
                <w:szCs w:val="24"/>
                <w:vertAlign w:val="baseline"/>
              </w:rPr>
            </w:pPr>
          </w:p>
        </w:tc>
        <w:tc>
          <w:tcPr>
            <w:tcW w:w="2464" w:type="dxa"/>
            <w:noWrap w:val="0"/>
            <w:vAlign w:val="top"/>
          </w:tcPr>
          <w:p w14:paraId="12A9B28E">
            <w:pPr>
              <w:numPr>
                <w:ilvl w:val="0"/>
                <w:numId w:val="0"/>
              </w:numPr>
              <w:spacing w:line="360" w:lineRule="auto"/>
              <w:rPr>
                <w:rFonts w:hint="eastAsia" w:ascii="宋体" w:hAnsi="宋体" w:eastAsia="宋体" w:cs="宋体"/>
                <w:sz w:val="24"/>
                <w:szCs w:val="24"/>
                <w:vertAlign w:val="baseline"/>
              </w:rPr>
            </w:pPr>
          </w:p>
        </w:tc>
      </w:tr>
    </w:tbl>
    <w:p w14:paraId="34A9EA09">
      <w:pPr>
        <w:numPr>
          <w:ilvl w:val="0"/>
          <w:numId w:val="0"/>
        </w:num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第三条</w:t>
      </w:r>
    </w:p>
    <w:p w14:paraId="52CEF6D6">
      <w:pPr>
        <w:spacing w:line="480" w:lineRule="auto"/>
        <w:rPr>
          <w:rFonts w:hint="eastAsia" w:ascii="宋体" w:hAnsi="宋体" w:eastAsia="宋体" w:cs="宋体"/>
          <w:sz w:val="24"/>
          <w:szCs w:val="24"/>
        </w:rPr>
      </w:pPr>
      <w:r>
        <w:rPr>
          <w:rFonts w:hint="eastAsia" w:ascii="宋体" w:hAnsi="宋体" w:eastAsia="宋体" w:cs="宋体"/>
          <w:sz w:val="24"/>
          <w:szCs w:val="24"/>
        </w:rPr>
        <w:t>对于每月具体工作岗位、数量及岗位性质，甲乙双方可以当月服务人员费用结算表进行确认。</w:t>
      </w:r>
    </w:p>
    <w:p w14:paraId="10347279">
      <w:pPr>
        <w:spacing w:line="480" w:lineRule="auto"/>
        <w:rPr>
          <w:rFonts w:hint="eastAsia" w:ascii="宋体" w:hAnsi="宋体" w:eastAsia="宋体" w:cs="宋体"/>
          <w:sz w:val="24"/>
          <w:szCs w:val="24"/>
        </w:rPr>
      </w:pPr>
      <w:r>
        <w:rPr>
          <w:rFonts w:hint="eastAsia" w:ascii="宋体" w:hAnsi="宋体" w:eastAsia="宋体" w:cs="宋体"/>
          <w:sz w:val="24"/>
          <w:szCs w:val="24"/>
        </w:rPr>
        <w:t>第 三 条 本 协 议 有 效 期 限 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日起至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r>
        <w:rPr>
          <w:rFonts w:hint="eastAsia" w:ascii="宋体" w:hAnsi="宋体" w:eastAsia="宋体" w:cs="宋体"/>
          <w:sz w:val="24"/>
          <w:szCs w:val="24"/>
          <w:lang w:eastAsia="zh-CN"/>
        </w:rPr>
        <w:t>经考核合格，</w:t>
      </w:r>
      <w:r>
        <w:rPr>
          <w:rFonts w:hint="eastAsia" w:ascii="宋体" w:hAnsi="宋体" w:eastAsia="宋体" w:cs="宋体"/>
          <w:sz w:val="24"/>
          <w:szCs w:val="24"/>
        </w:rPr>
        <w:t>协议期满双方无终止协议的书面请求，本协议自动延续一年。</w:t>
      </w:r>
    </w:p>
    <w:p w14:paraId="5FB67BE2">
      <w:pPr>
        <w:rPr>
          <w:rFonts w:hint="eastAsia" w:ascii="宋体" w:hAnsi="宋体" w:eastAsia="宋体" w:cs="宋体"/>
          <w:b/>
          <w:bCs/>
          <w:sz w:val="24"/>
          <w:szCs w:val="24"/>
        </w:rPr>
      </w:pPr>
      <w:r>
        <w:rPr>
          <w:rFonts w:hint="eastAsia" w:ascii="宋体" w:hAnsi="宋体" w:eastAsia="宋体" w:cs="宋体"/>
          <w:b/>
          <w:bCs/>
          <w:sz w:val="24"/>
          <w:szCs w:val="24"/>
        </w:rPr>
        <w:t>第二章  甲方的权利和义务</w:t>
      </w:r>
    </w:p>
    <w:p w14:paraId="4727936B">
      <w:p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第四条 甲方的权利：</w:t>
      </w:r>
      <w:bookmarkStart w:id="134" w:name="_GoBack"/>
      <w:bookmarkEnd w:id="134"/>
    </w:p>
    <w:p w14:paraId="2B989280">
      <w:p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1.确定服务人员的工作岗位、待遇和应具备的条件。</w:t>
      </w:r>
    </w:p>
    <w:p w14:paraId="535AE215">
      <w:p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2.有权安排或调整服务人员的工作岗位及工作任务，并按岗位要求进行管理，管理内容不限于考勤管理、工作分配、日常管理、安全防范等项目。</w:t>
      </w:r>
    </w:p>
    <w:p w14:paraId="0E9DDED9">
      <w:p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3.有权依据甲方的规章制度对服务人员进行管理和考核，并根据服务人员的工作表现及绩效考核结果进行奖励、处罚。</w:t>
      </w:r>
    </w:p>
    <w:p w14:paraId="26BE25B6">
      <w:pPr>
        <w:spacing w:line="48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第五条 甲方的义务：</w:t>
      </w:r>
    </w:p>
    <w:p w14:paraId="44F22B2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1.甲方须对服务人员履行下列义务：</w:t>
      </w:r>
    </w:p>
    <w:p w14:paraId="5126EAE5">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(1)甲方安排录用的服务人员从事相应岗位工作，须提供符合国家劳动标准的必要的工作条件和劳动保护。</w:t>
      </w:r>
    </w:p>
    <w:p w14:paraId="241DD32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(2)在服务人员上岗前必须以书面形式告知或组织服务人员学习甲方的各项规章制度、工作要求和劳动报酬。告知情况和学习情况必须经服务人员签字确认。</w:t>
      </w:r>
    </w:p>
    <w:p w14:paraId="4DDDF1E5">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(3)对服务人员进行思想政治和职业道德、劳动纪律、规章制度等方面的管理教育，并根据情况对服务人员进行工作指导和业务培训。</w:t>
      </w:r>
    </w:p>
    <w:p w14:paraId="0AA5C82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(4)应当按照同工同酬原则，对服务人员与本单位同类岗位的劳动者实行相同的劳动报酬分配办法，对本单位无同类岗位的，参照甲方所在地相同或相近岗位劳动者的劳动报酬确定。</w:t>
      </w:r>
    </w:p>
    <w:p w14:paraId="4EDED5B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(5)支付服务人员的加班费、绩效奖金，提供与工作岗位相关的福利待遇。</w:t>
      </w:r>
    </w:p>
    <w:p w14:paraId="68BDA975">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(6)服务人员在服务工作期间发生患病、非因工负伤、工伤或患职业病期间，在医疗、工伤保险等赔偿范围外，患病、非因工负伤、工伤或患职业病员工依法享有的治疗费、工资、社会保险金、陪护费用、死亡、职业病赔偿及解除劳动合同时一次性伤残就业补助金及医疗补助金，由甲方承担并向乙方支付，工伤医疗费甲方支付。甲方不应当使用退休人员、原单位缴纳社保人员、个人参保人员、超过法定年龄的参保人员、无法参保等其他原因人员。如果甲方执意雇佣以上人员，那么此类人员由甲方雇佣，再委托乙方代发工资，劳务合同期间出现的工伤、养老、失业、生育、医疗、大病、等问题由甲方承担。如果以上人员甲方执意使用，那么此类人员由甲方雇佣，再委托乙方代发工资，可由甲方出资让乙方代为购买雇主责任险，甲方还需承担雇主责任险以外所发生的所有赔偿责任。</w:t>
      </w:r>
    </w:p>
    <w:p w14:paraId="0DDCC67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（7）应当按照国家规定保障并支付服务人员“孕、产、哺乳期”期间合法权益及待遇。</w:t>
      </w:r>
    </w:p>
    <w:p w14:paraId="46937787">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(7)对在岗服务人员进行工作岗位所必须的培训。</w:t>
      </w:r>
    </w:p>
    <w:p w14:paraId="035F1F4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(8)连续用工的，实行正常的工资调整机制。</w:t>
      </w:r>
    </w:p>
    <w:p w14:paraId="463BDAF7">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（10）甲方应及时安排服务人员享受符合国家规定的年休假。</w:t>
      </w:r>
    </w:p>
    <w:p w14:paraId="7E03A88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(9)甲方不得将服务人员再派遣到其他用人单位。</w:t>
      </w:r>
    </w:p>
    <w:p w14:paraId="147C1E99">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2.负责服务人员在甲方服务期间按岗位要求进行管理，管理内容不限于考勤管理、工作分配、日常管理、安全防范等项目。</w:t>
      </w:r>
    </w:p>
    <w:p w14:paraId="00482065">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3.每月应当按时向乙方支付服务人员的服务费和乙方服务人员管理费，如甲方未及时支付派遣费用，导致乙方未及时发放服务人员劳动报酬及缴纳社会保险金等所产生的责任和费用甲方承担。</w:t>
      </w:r>
    </w:p>
    <w:p w14:paraId="29012EDB">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4.向乙方每月定期填写客户服务工作意见反馈表以及服务人员的工作表现和其它相关问题。</w:t>
      </w:r>
    </w:p>
    <w:p w14:paraId="5CE1A150">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5.应当每月以书面形式及时通知乙方增加或减少服务人员的情况，并协助乙方做好巡逻员工的实际数量统计。</w:t>
      </w:r>
    </w:p>
    <w:p w14:paraId="5EA3683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6.被服务人员在甲方因工作遭受事故伤害的，甲方应在事故发生第一时间以书面形式通知乙方并垫付医疗费，甲方应当协助工伤认定的调查核实工作。</w:t>
      </w:r>
    </w:p>
    <w:p w14:paraId="3FF9778F">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7.甲方用人需求岗位的工资标准应达到当地市场同岗位待遇标准，最低不低于当地最低工资标准。</w:t>
      </w:r>
    </w:p>
    <w:p w14:paraId="32E5FF3F">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8.服务人员劳动合同续签时，乙方应当提前45日通知甲方，甲方应在接到通知15日内确认是否继续使用，并书面通知乙方。</w:t>
      </w:r>
    </w:p>
    <w:p w14:paraId="14A596F0">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9.甲方协助乙方负责处理与服务人员的劳动纠纷。</w:t>
      </w:r>
    </w:p>
    <w:p w14:paraId="08265B0B">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10.服务人员造成的第三方损失由甲方承担。</w:t>
      </w:r>
    </w:p>
    <w:p w14:paraId="779E7E60">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11.劳动合同法规定的其他义务。</w:t>
      </w:r>
    </w:p>
    <w:p w14:paraId="3B6EF0F1">
      <w:pPr>
        <w:spacing w:line="480" w:lineRule="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第三章  乙方的权利和义务</w:t>
      </w:r>
    </w:p>
    <w:p w14:paraId="0B1B20E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第六条乙方的权利：</w:t>
      </w:r>
    </w:p>
    <w:p w14:paraId="2A4ACAE0">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1、定期调查了解服务人员的工作状况。</w:t>
      </w:r>
    </w:p>
    <w:p w14:paraId="126B39AF">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2、维护服务人员在甲方工作期间的合法权益。 </w:t>
      </w:r>
    </w:p>
    <w:p w14:paraId="2F4531B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3、按约定向甲方收取服务人员的各项费用。</w:t>
      </w:r>
    </w:p>
    <w:p w14:paraId="538D72AB">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4、与甲方核对服务人数增减情况。</w:t>
      </w:r>
    </w:p>
    <w:p w14:paraId="3A71356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5、双方商定的其他权利。 </w:t>
      </w:r>
    </w:p>
    <w:p w14:paraId="1E2D4D0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第七条乙方的义务：</w:t>
      </w:r>
    </w:p>
    <w:p w14:paraId="1807B38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1.乙方对服务人员履行下列义务：</w:t>
      </w:r>
    </w:p>
    <w:p w14:paraId="54FF76F7">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(1)应当如实告知服务人员在派遣期间工作内容、工作条件、工作地点、职业危害、安全生产状况、劳动报酬以及被派遣劳动者要求了解的其他情况。</w:t>
      </w:r>
    </w:p>
    <w:p w14:paraId="1EFA9E05">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(2)负责组织服务人员的岗前培训(培训内容：法律法规、职业道德、公共礼仪、安全教育等),使其具备相应的法律常识、职业道德和基本安全常识等上岗的基本条件。</w:t>
      </w:r>
    </w:p>
    <w:p w14:paraId="2268F9D6">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(3)按照国家规定和巡逻防控服务合同约定，依法支付服务人员的劳动报酬和相关待遇。</w:t>
      </w:r>
    </w:p>
    <w:p w14:paraId="2C26374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(4)按照国家规定和巡逻防控服务合同约定，依法为服务人员缴纳社会保险费，并办理社会保险相关手续。</w:t>
      </w:r>
    </w:p>
    <w:p w14:paraId="574DCE1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(5 )督促甲方依法为服务人员提供劳动保护和劳动安全卫生条件。</w:t>
      </w:r>
    </w:p>
    <w:p w14:paraId="3368656C">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(6 )乙方应按《劳动合同法》的规定与服务人员签订符合要求的劳动合同，并依法为服务人员出具解除或者终止劳动合同的证明。</w:t>
      </w:r>
    </w:p>
    <w:p w14:paraId="56FF1E09">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(7)协助处理服务人员与甲方的纠纷。</w:t>
      </w:r>
    </w:p>
    <w:p w14:paraId="2B619E13">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(8)法律、法规和规章规定的其他事项。</w:t>
      </w:r>
    </w:p>
    <w:p w14:paraId="6CD765AA">
      <w:pPr>
        <w:spacing w:line="480" w:lineRule="auto"/>
        <w:rPr>
          <w:rFonts w:hint="eastAsia" w:ascii="宋体" w:hAnsi="宋体" w:eastAsia="宋体" w:cs="宋体"/>
          <w:sz w:val="24"/>
          <w:szCs w:val="24"/>
        </w:rPr>
      </w:pPr>
      <w:r>
        <w:rPr>
          <w:rFonts w:hint="eastAsia" w:ascii="宋体" w:hAnsi="宋体" w:eastAsia="宋体" w:cs="宋体"/>
          <w:sz w:val="24"/>
          <w:szCs w:val="24"/>
        </w:rPr>
        <w:t>2.乙方按甲方提出的工作任务、岗位要求及聘用条件要求，及时提供符合条件的服务人员，提供真实齐备的服务人员个人资料，乙方应保证其提供的服务人员具备甲方要求的基本条件。</w:t>
      </w:r>
    </w:p>
    <w:p w14:paraId="2B724576">
      <w:pPr>
        <w:spacing w:line="480" w:lineRule="auto"/>
        <w:rPr>
          <w:rFonts w:hint="eastAsia" w:ascii="宋体" w:hAnsi="宋体" w:eastAsia="宋体" w:cs="宋体"/>
          <w:sz w:val="24"/>
          <w:szCs w:val="24"/>
        </w:rPr>
      </w:pPr>
      <w:r>
        <w:rPr>
          <w:rFonts w:hint="eastAsia" w:ascii="宋体" w:hAnsi="宋体" w:eastAsia="宋体" w:cs="宋体"/>
          <w:sz w:val="24"/>
          <w:szCs w:val="24"/>
        </w:rPr>
        <w:t>3.对服务人员进行思想政治教育，要求服务人员认真履行岗位职责，服从甲方管理，遵守甲方各项规章制度，保守甲方工作机密，按照要求完成甲方交给的工作任务。</w:t>
      </w:r>
    </w:p>
    <w:p w14:paraId="5C9398D4">
      <w:pPr>
        <w:spacing w:line="480" w:lineRule="auto"/>
        <w:rPr>
          <w:rFonts w:hint="eastAsia" w:ascii="宋体" w:hAnsi="宋体" w:eastAsia="宋体" w:cs="宋体"/>
          <w:sz w:val="24"/>
          <w:szCs w:val="24"/>
        </w:rPr>
      </w:pPr>
      <w:r>
        <w:rPr>
          <w:rFonts w:hint="eastAsia" w:ascii="宋体" w:hAnsi="宋体" w:eastAsia="宋体" w:cs="宋体"/>
          <w:sz w:val="24"/>
          <w:szCs w:val="24"/>
        </w:rPr>
        <w:t>4.根据甲方要求负责组织服务人员的入职体检。</w:t>
      </w:r>
    </w:p>
    <w:p w14:paraId="1A5203CA">
      <w:pPr>
        <w:spacing w:line="480" w:lineRule="auto"/>
        <w:rPr>
          <w:rFonts w:hint="eastAsia" w:ascii="宋体" w:hAnsi="宋体" w:eastAsia="宋体" w:cs="宋体"/>
          <w:sz w:val="24"/>
          <w:szCs w:val="24"/>
        </w:rPr>
      </w:pPr>
      <w:r>
        <w:rPr>
          <w:rFonts w:hint="eastAsia" w:ascii="宋体" w:hAnsi="宋体" w:eastAsia="宋体" w:cs="宋体"/>
          <w:sz w:val="24"/>
          <w:szCs w:val="24"/>
        </w:rPr>
        <w:t>5.负责办理服务人员录用、离职手续传递并出具相应人事、劳资关系证明。</w:t>
      </w:r>
    </w:p>
    <w:p w14:paraId="33D1A669">
      <w:pPr>
        <w:spacing w:line="480" w:lineRule="auto"/>
        <w:rPr>
          <w:rFonts w:hint="eastAsia" w:ascii="宋体" w:hAnsi="宋体" w:eastAsia="宋体" w:cs="宋体"/>
          <w:sz w:val="24"/>
          <w:szCs w:val="24"/>
        </w:rPr>
      </w:pPr>
      <w:r>
        <w:rPr>
          <w:rFonts w:hint="eastAsia" w:ascii="宋体" w:hAnsi="宋体" w:eastAsia="宋体" w:cs="宋体"/>
          <w:sz w:val="24"/>
          <w:szCs w:val="24"/>
        </w:rPr>
        <w:t>6.每月两次以上对甲方就防控服务事宜及服务人员情况进行回访和征求意见。</w:t>
      </w:r>
    </w:p>
    <w:p w14:paraId="17E76E6C">
      <w:pPr>
        <w:spacing w:line="480" w:lineRule="auto"/>
        <w:rPr>
          <w:rFonts w:hint="eastAsia" w:ascii="宋体" w:hAnsi="宋体" w:eastAsia="宋体" w:cs="宋体"/>
          <w:sz w:val="24"/>
          <w:szCs w:val="24"/>
        </w:rPr>
      </w:pPr>
      <w:r>
        <w:rPr>
          <w:rFonts w:hint="eastAsia" w:ascii="宋体" w:hAnsi="宋体" w:eastAsia="宋体" w:cs="宋体"/>
          <w:sz w:val="24"/>
          <w:szCs w:val="24"/>
        </w:rPr>
        <w:t>7.对服务人员每月最少回访一次，了解其工作、生活、学习、家庭等情况，掌握其思想动态，及时协助解决服务人员在工作中出现的相关问题。</w:t>
      </w:r>
    </w:p>
    <w:p w14:paraId="54AC895C">
      <w:pPr>
        <w:spacing w:line="480" w:lineRule="auto"/>
        <w:rPr>
          <w:rFonts w:hint="eastAsia" w:ascii="宋体" w:hAnsi="宋体" w:eastAsia="宋体" w:cs="宋体"/>
          <w:sz w:val="24"/>
          <w:szCs w:val="24"/>
        </w:rPr>
      </w:pPr>
      <w:r>
        <w:rPr>
          <w:rFonts w:hint="eastAsia" w:ascii="宋体" w:hAnsi="宋体" w:eastAsia="宋体" w:cs="宋体"/>
          <w:sz w:val="24"/>
          <w:szCs w:val="24"/>
        </w:rPr>
        <w:t>8.服务人员在甲方工作期间发生患病、生育、工伤、因工致残(死亡) 等情况时，乙方应按国家和自治区相关法律、法规，进行相关申报以及相关费用 的报销工作(工伤由劳动部门鉴定)。</w:t>
      </w:r>
    </w:p>
    <w:p w14:paraId="59371B0F">
      <w:pPr>
        <w:spacing w:line="480" w:lineRule="auto"/>
        <w:rPr>
          <w:rFonts w:hint="eastAsia" w:ascii="宋体" w:hAnsi="宋体" w:eastAsia="宋体" w:cs="宋体"/>
          <w:sz w:val="24"/>
          <w:szCs w:val="24"/>
        </w:rPr>
      </w:pPr>
      <w:r>
        <w:rPr>
          <w:rFonts w:hint="eastAsia" w:ascii="宋体" w:hAnsi="宋体" w:eastAsia="宋体" w:cs="宋体"/>
          <w:sz w:val="24"/>
          <w:szCs w:val="24"/>
        </w:rPr>
        <w:t>9.探望生病住院服务人员，帮助解决困难。</w:t>
      </w:r>
    </w:p>
    <w:p w14:paraId="6BBCB789">
      <w:pPr>
        <w:spacing w:line="480" w:lineRule="auto"/>
        <w:rPr>
          <w:rFonts w:hint="eastAsia" w:ascii="宋体" w:hAnsi="宋体" w:eastAsia="宋体" w:cs="宋体"/>
          <w:sz w:val="24"/>
          <w:szCs w:val="24"/>
        </w:rPr>
      </w:pPr>
      <w:r>
        <w:rPr>
          <w:rFonts w:hint="eastAsia" w:ascii="宋体" w:hAnsi="宋体" w:eastAsia="宋体" w:cs="宋体"/>
          <w:sz w:val="24"/>
          <w:szCs w:val="24"/>
        </w:rPr>
        <w:t>10.乙方安排到甲方的服务人员的劳动合同发生变更、终止和解除事宜时，乙方应提前45日以书面形式通知甲方。</w:t>
      </w:r>
    </w:p>
    <w:p w14:paraId="6B571562">
      <w:pPr>
        <w:spacing w:line="480" w:lineRule="auto"/>
        <w:rPr>
          <w:rFonts w:hint="eastAsia" w:ascii="宋体" w:hAnsi="宋体" w:eastAsia="宋体" w:cs="宋体"/>
          <w:sz w:val="24"/>
          <w:szCs w:val="24"/>
        </w:rPr>
      </w:pPr>
      <w:r>
        <w:rPr>
          <w:rFonts w:hint="eastAsia" w:ascii="宋体" w:hAnsi="宋体" w:eastAsia="宋体" w:cs="宋体"/>
          <w:sz w:val="24"/>
          <w:szCs w:val="24"/>
        </w:rPr>
        <w:t>11.劳动合同法规定的其他义务。</w:t>
      </w:r>
    </w:p>
    <w:p w14:paraId="7C0DA1C4">
      <w:pPr>
        <w:spacing w:line="480" w:lineRule="auto"/>
        <w:rPr>
          <w:rFonts w:hint="eastAsia" w:ascii="宋体" w:hAnsi="宋体" w:eastAsia="宋体" w:cs="宋体"/>
          <w:b/>
          <w:bCs/>
          <w:sz w:val="24"/>
          <w:szCs w:val="24"/>
        </w:rPr>
      </w:pPr>
      <w:r>
        <w:rPr>
          <w:rFonts w:hint="eastAsia" w:ascii="宋体" w:hAnsi="宋体" w:eastAsia="宋体" w:cs="宋体"/>
          <w:b/>
          <w:bCs/>
          <w:sz w:val="24"/>
          <w:szCs w:val="24"/>
        </w:rPr>
        <w:t>第四章人员退回</w:t>
      </w:r>
    </w:p>
    <w:p w14:paraId="27EDA37F">
      <w:pPr>
        <w:spacing w:line="480" w:lineRule="auto"/>
        <w:rPr>
          <w:rFonts w:hint="eastAsia" w:ascii="宋体" w:hAnsi="宋体" w:eastAsia="宋体" w:cs="宋体"/>
          <w:sz w:val="24"/>
          <w:szCs w:val="24"/>
        </w:rPr>
      </w:pPr>
      <w:r>
        <w:rPr>
          <w:rFonts w:hint="eastAsia" w:ascii="宋体" w:hAnsi="宋体" w:eastAsia="宋体" w:cs="宋体"/>
          <w:sz w:val="24"/>
          <w:szCs w:val="24"/>
        </w:rPr>
        <w:t>第八条服务人员有下列情形之一者，甲方有权将服务人员退回乙方，要求乙方及时更换，甲方退回服务人员时应以书面形式通知乙方，并附 证据材料，此类退回人员甲方无须向乙方支付服务人员的经济补偿金：</w:t>
      </w:r>
    </w:p>
    <w:p w14:paraId="3407F6B0">
      <w:pPr>
        <w:spacing w:line="480" w:lineRule="auto"/>
        <w:rPr>
          <w:rFonts w:hint="eastAsia" w:ascii="宋体" w:hAnsi="宋体" w:eastAsia="宋体" w:cs="宋体"/>
          <w:sz w:val="24"/>
          <w:szCs w:val="24"/>
        </w:rPr>
      </w:pPr>
      <w:r>
        <w:rPr>
          <w:rFonts w:hint="eastAsia" w:ascii="宋体" w:hAnsi="宋体" w:eastAsia="宋体" w:cs="宋体"/>
          <w:sz w:val="24"/>
          <w:szCs w:val="24"/>
        </w:rPr>
        <w:t>1.在试用期内被证明不符合录用条件的；</w:t>
      </w:r>
    </w:p>
    <w:p w14:paraId="232C65DE">
      <w:pPr>
        <w:spacing w:line="480" w:lineRule="auto"/>
        <w:rPr>
          <w:rFonts w:hint="eastAsia" w:ascii="宋体" w:hAnsi="宋体" w:eastAsia="宋体" w:cs="宋体"/>
          <w:sz w:val="24"/>
          <w:szCs w:val="24"/>
        </w:rPr>
      </w:pPr>
      <w:r>
        <w:rPr>
          <w:rFonts w:hint="eastAsia" w:ascii="宋体" w:hAnsi="宋体" w:eastAsia="宋体" w:cs="宋体"/>
          <w:sz w:val="24"/>
          <w:szCs w:val="24"/>
        </w:rPr>
        <w:t>2.严重违反甲方规章制度、操作规程的；</w:t>
      </w:r>
    </w:p>
    <w:p w14:paraId="7C5617E8">
      <w:pPr>
        <w:spacing w:line="480" w:lineRule="auto"/>
        <w:rPr>
          <w:rFonts w:hint="eastAsia" w:ascii="宋体" w:hAnsi="宋体" w:eastAsia="宋体" w:cs="宋体"/>
          <w:sz w:val="24"/>
          <w:szCs w:val="24"/>
        </w:rPr>
      </w:pPr>
      <w:r>
        <w:rPr>
          <w:rFonts w:hint="eastAsia" w:ascii="宋体" w:hAnsi="宋体" w:eastAsia="宋体" w:cs="宋体"/>
          <w:sz w:val="24"/>
          <w:szCs w:val="24"/>
        </w:rPr>
        <w:t>3.严重失职、营私舞弊，给甲方造成重大损害的；</w:t>
      </w:r>
    </w:p>
    <w:p w14:paraId="169039B3">
      <w:pPr>
        <w:spacing w:line="480" w:lineRule="auto"/>
        <w:rPr>
          <w:rFonts w:hint="eastAsia" w:ascii="宋体" w:hAnsi="宋体" w:eastAsia="宋体" w:cs="宋体"/>
          <w:sz w:val="24"/>
          <w:szCs w:val="24"/>
        </w:rPr>
      </w:pPr>
      <w:r>
        <w:rPr>
          <w:rFonts w:hint="eastAsia" w:ascii="宋体" w:hAnsi="宋体" w:eastAsia="宋体" w:cs="宋体"/>
          <w:sz w:val="24"/>
          <w:szCs w:val="24"/>
        </w:rPr>
        <w:t>4.同时与其他用人单位建立劳动关系，对完成本单位的工作任务造成严重影响，或者经用人单位提出，拒不改正的；</w:t>
      </w:r>
    </w:p>
    <w:p w14:paraId="6DBBE1ED">
      <w:pPr>
        <w:spacing w:line="480" w:lineRule="auto"/>
        <w:rPr>
          <w:rFonts w:hint="eastAsia" w:ascii="宋体" w:hAnsi="宋体" w:eastAsia="宋体" w:cs="宋体"/>
          <w:sz w:val="24"/>
          <w:szCs w:val="24"/>
        </w:rPr>
      </w:pPr>
      <w:r>
        <w:rPr>
          <w:rFonts w:hint="eastAsia" w:ascii="宋体" w:hAnsi="宋体" w:eastAsia="宋体" w:cs="宋体"/>
          <w:sz w:val="24"/>
          <w:szCs w:val="24"/>
        </w:rPr>
        <w:t>5.被依法追究刑事责任的；</w:t>
      </w:r>
    </w:p>
    <w:p w14:paraId="3723ACD9">
      <w:pPr>
        <w:spacing w:line="480" w:lineRule="auto"/>
        <w:rPr>
          <w:rFonts w:hint="eastAsia" w:ascii="宋体" w:hAnsi="宋体" w:eastAsia="宋体" w:cs="宋体"/>
          <w:sz w:val="24"/>
          <w:szCs w:val="24"/>
        </w:rPr>
      </w:pPr>
      <w:r>
        <w:rPr>
          <w:rFonts w:hint="eastAsia" w:ascii="宋体" w:hAnsi="宋体" w:eastAsia="宋体" w:cs="宋体"/>
          <w:sz w:val="24"/>
          <w:szCs w:val="24"/>
        </w:rPr>
        <w:t>6.涉嫌违法犯罪被有关机关收容审查、拘留或逮捕在其限制人身自由期间的；</w:t>
      </w:r>
    </w:p>
    <w:p w14:paraId="519E95EA">
      <w:pPr>
        <w:spacing w:line="480" w:lineRule="auto"/>
        <w:rPr>
          <w:rFonts w:hint="eastAsia" w:ascii="宋体" w:hAnsi="宋体" w:eastAsia="宋体" w:cs="宋体"/>
          <w:sz w:val="24"/>
          <w:szCs w:val="24"/>
        </w:rPr>
      </w:pPr>
      <w:r>
        <w:rPr>
          <w:rFonts w:hint="eastAsia" w:ascii="宋体" w:hAnsi="宋体" w:eastAsia="宋体" w:cs="宋体"/>
          <w:sz w:val="24"/>
          <w:szCs w:val="24"/>
        </w:rPr>
        <w:t>7.被强制戒毒期间的；</w:t>
      </w:r>
    </w:p>
    <w:p w14:paraId="76A155B5">
      <w:pPr>
        <w:spacing w:line="480" w:lineRule="auto"/>
        <w:rPr>
          <w:rFonts w:hint="eastAsia" w:ascii="宋体" w:hAnsi="宋体" w:eastAsia="宋体" w:cs="宋体"/>
          <w:sz w:val="24"/>
          <w:szCs w:val="24"/>
        </w:rPr>
      </w:pPr>
      <w:r>
        <w:rPr>
          <w:rFonts w:hint="eastAsia" w:ascii="宋体" w:hAnsi="宋体" w:eastAsia="宋体" w:cs="宋体"/>
          <w:sz w:val="24"/>
          <w:szCs w:val="24"/>
        </w:rPr>
        <w:t>8.服务人员主动提出辞职的；</w:t>
      </w:r>
    </w:p>
    <w:p w14:paraId="67A43CC7">
      <w:pPr>
        <w:spacing w:line="480" w:lineRule="auto"/>
        <w:rPr>
          <w:rFonts w:hint="eastAsia" w:ascii="宋体" w:hAnsi="宋体" w:eastAsia="宋体" w:cs="宋体"/>
          <w:sz w:val="24"/>
          <w:szCs w:val="24"/>
        </w:rPr>
      </w:pPr>
      <w:r>
        <w:rPr>
          <w:rFonts w:hint="eastAsia" w:ascii="宋体" w:hAnsi="宋体" w:eastAsia="宋体" w:cs="宋体"/>
          <w:sz w:val="24"/>
          <w:szCs w:val="24"/>
        </w:rPr>
        <w:t>9. 法律法规规定的其他情形。</w:t>
      </w:r>
    </w:p>
    <w:p w14:paraId="486FE9C8">
      <w:pPr>
        <w:spacing w:line="480" w:lineRule="auto"/>
        <w:rPr>
          <w:rFonts w:hint="eastAsia" w:ascii="宋体" w:hAnsi="宋体" w:eastAsia="宋体" w:cs="宋体"/>
          <w:sz w:val="24"/>
          <w:szCs w:val="24"/>
        </w:rPr>
      </w:pPr>
      <w:r>
        <w:rPr>
          <w:rFonts w:hint="eastAsia" w:ascii="宋体" w:hAnsi="宋体" w:eastAsia="宋体" w:cs="宋体"/>
          <w:sz w:val="24"/>
          <w:szCs w:val="24"/>
        </w:rPr>
        <w:t>第九条服务人员有下列情形之一 的，在服务期限届满前，甲方不得将服务人员退回乙方；服务期限届满的，应当延续至相应情形消失时方可退回。</w:t>
      </w:r>
    </w:p>
    <w:p w14:paraId="3681DB8D">
      <w:pPr>
        <w:spacing w:line="480" w:lineRule="auto"/>
        <w:rPr>
          <w:rFonts w:hint="eastAsia" w:ascii="宋体" w:hAnsi="宋体" w:eastAsia="宋体" w:cs="宋体"/>
          <w:sz w:val="24"/>
          <w:szCs w:val="24"/>
        </w:rPr>
      </w:pPr>
      <w:r>
        <w:rPr>
          <w:rFonts w:hint="eastAsia" w:ascii="宋体" w:hAnsi="宋体" w:eastAsia="宋体" w:cs="宋体"/>
          <w:sz w:val="24"/>
          <w:szCs w:val="24"/>
        </w:rPr>
        <w:t>1.从事接触职业病危害作业的劳动者未进行离岗前职业健康检查，或者疑似 职业病人在诊断或者医学观察期间的。</w:t>
      </w:r>
    </w:p>
    <w:p w14:paraId="00B838B8">
      <w:pPr>
        <w:spacing w:line="480" w:lineRule="auto"/>
        <w:rPr>
          <w:rFonts w:hint="eastAsia" w:ascii="宋体" w:hAnsi="宋体" w:eastAsia="宋体" w:cs="宋体"/>
          <w:sz w:val="24"/>
          <w:szCs w:val="24"/>
        </w:rPr>
      </w:pPr>
      <w:r>
        <w:rPr>
          <w:rFonts w:hint="eastAsia" w:ascii="宋体" w:hAnsi="宋体" w:eastAsia="宋体" w:cs="宋体"/>
          <w:sz w:val="24"/>
          <w:szCs w:val="24"/>
        </w:rPr>
        <w:t>2.在本单位患职业病或者因工负伤并被确认丧失或者部分丧失劳动能力的。</w:t>
      </w:r>
    </w:p>
    <w:p w14:paraId="240E80DA">
      <w:pPr>
        <w:spacing w:line="480" w:lineRule="auto"/>
        <w:rPr>
          <w:rFonts w:hint="eastAsia" w:ascii="宋体" w:hAnsi="宋体" w:eastAsia="宋体" w:cs="宋体"/>
          <w:sz w:val="24"/>
          <w:szCs w:val="24"/>
        </w:rPr>
      </w:pPr>
      <w:r>
        <w:rPr>
          <w:rFonts w:hint="eastAsia" w:ascii="宋体" w:hAnsi="宋体" w:eastAsia="宋体" w:cs="宋体"/>
          <w:sz w:val="24"/>
          <w:szCs w:val="24"/>
        </w:rPr>
        <w:t>3.患病或者非因工负伤，在规定的医疗期内的；</w:t>
      </w:r>
    </w:p>
    <w:p w14:paraId="2ACDC428">
      <w:pPr>
        <w:spacing w:line="480" w:lineRule="auto"/>
        <w:rPr>
          <w:rFonts w:hint="eastAsia" w:ascii="宋体" w:hAnsi="宋体" w:eastAsia="宋体" w:cs="宋体"/>
          <w:sz w:val="24"/>
          <w:szCs w:val="24"/>
        </w:rPr>
      </w:pPr>
      <w:r>
        <w:rPr>
          <w:rFonts w:hint="eastAsia" w:ascii="宋体" w:hAnsi="宋体" w:eastAsia="宋体" w:cs="宋体"/>
          <w:sz w:val="24"/>
          <w:szCs w:val="24"/>
        </w:rPr>
        <w:t>4.女职工在孕期、产期、哺乳期的；</w:t>
      </w:r>
    </w:p>
    <w:p w14:paraId="11F2CBD6">
      <w:pPr>
        <w:spacing w:line="480" w:lineRule="auto"/>
        <w:rPr>
          <w:rFonts w:hint="eastAsia" w:ascii="宋体" w:hAnsi="宋体" w:eastAsia="宋体" w:cs="宋体"/>
          <w:sz w:val="24"/>
          <w:szCs w:val="24"/>
        </w:rPr>
      </w:pPr>
      <w:r>
        <w:rPr>
          <w:rFonts w:hint="eastAsia" w:ascii="宋体" w:hAnsi="宋体" w:eastAsia="宋体" w:cs="宋体"/>
          <w:sz w:val="24"/>
          <w:szCs w:val="24"/>
        </w:rPr>
        <w:t xml:space="preserve">5.在本单位连续工作满十五年，且距法定退休年龄不足五年的； </w:t>
      </w:r>
    </w:p>
    <w:p w14:paraId="584A6349">
      <w:pPr>
        <w:spacing w:line="480" w:lineRule="auto"/>
        <w:rPr>
          <w:rFonts w:hint="eastAsia" w:ascii="宋体" w:hAnsi="宋体" w:eastAsia="宋体" w:cs="宋体"/>
          <w:sz w:val="24"/>
          <w:szCs w:val="24"/>
        </w:rPr>
      </w:pPr>
      <w:r>
        <w:rPr>
          <w:rFonts w:hint="eastAsia" w:ascii="宋体" w:hAnsi="宋体" w:eastAsia="宋体" w:cs="宋体"/>
          <w:sz w:val="24"/>
          <w:szCs w:val="24"/>
        </w:rPr>
        <w:t>6.法律、行政法规规定的其他情形。</w:t>
      </w:r>
    </w:p>
    <w:p w14:paraId="34986B60">
      <w:pPr>
        <w:spacing w:line="480" w:lineRule="auto"/>
        <w:rPr>
          <w:rFonts w:hint="eastAsia" w:ascii="宋体" w:hAnsi="宋体" w:eastAsia="宋体" w:cs="宋体"/>
          <w:sz w:val="24"/>
          <w:szCs w:val="24"/>
        </w:rPr>
      </w:pPr>
      <w:r>
        <w:rPr>
          <w:rFonts w:hint="eastAsia" w:ascii="宋体" w:hAnsi="宋体" w:eastAsia="宋体" w:cs="宋体"/>
          <w:sz w:val="24"/>
          <w:szCs w:val="24"/>
        </w:rPr>
        <w:t>第十条服务人员有下列情形之一的，甲方可以提前四十五日以书面形式通知乙方或者额外支付服务人员一个月工资后，可以退回乙方，并按服务人员在甲方服务年限按劳动合同法规定支付经济补偿金：</w:t>
      </w:r>
    </w:p>
    <w:p w14:paraId="1DD5C25C">
      <w:pPr>
        <w:spacing w:line="480" w:lineRule="auto"/>
        <w:rPr>
          <w:rFonts w:hint="eastAsia" w:ascii="宋体" w:hAnsi="宋体" w:eastAsia="宋体" w:cs="宋体"/>
          <w:sz w:val="24"/>
          <w:szCs w:val="24"/>
        </w:rPr>
      </w:pPr>
      <w:r>
        <w:rPr>
          <w:rFonts w:hint="eastAsia" w:ascii="宋体" w:hAnsi="宋体" w:eastAsia="宋体" w:cs="宋体"/>
          <w:sz w:val="24"/>
          <w:szCs w:val="24"/>
        </w:rPr>
        <w:t>1.劳动者患病或者非因工负伤，在规定的医疗期满后不能从事原工作，也不能从事由用人单位另行安排的工作的；</w:t>
      </w:r>
    </w:p>
    <w:p w14:paraId="5FD89AF7">
      <w:pPr>
        <w:spacing w:line="480" w:lineRule="auto"/>
        <w:rPr>
          <w:rFonts w:hint="eastAsia" w:ascii="宋体" w:hAnsi="宋体" w:eastAsia="宋体" w:cs="宋体"/>
          <w:sz w:val="24"/>
          <w:szCs w:val="24"/>
        </w:rPr>
      </w:pPr>
      <w:r>
        <w:rPr>
          <w:rFonts w:hint="eastAsia" w:ascii="宋体" w:hAnsi="宋体" w:eastAsia="宋体" w:cs="宋体"/>
          <w:sz w:val="24"/>
          <w:szCs w:val="24"/>
        </w:rPr>
        <w:t>2.劳动者不能胜任工作，经过培训或者调整工作</w:t>
      </w:r>
      <w:r>
        <w:rPr>
          <w:rFonts w:hint="eastAsia" w:ascii="宋体" w:hAnsi="宋体" w:eastAsia="宋体" w:cs="宋体"/>
          <w:sz w:val="24"/>
          <w:szCs w:val="24"/>
          <w:lang w:eastAsia="zh-CN"/>
        </w:rPr>
        <w:t>岗位</w:t>
      </w:r>
      <w:r>
        <w:rPr>
          <w:rFonts w:hint="eastAsia" w:ascii="宋体" w:hAnsi="宋体" w:eastAsia="宋体" w:cs="宋体"/>
          <w:sz w:val="24"/>
          <w:szCs w:val="24"/>
        </w:rPr>
        <w:t xml:space="preserve">，仍不能胜任工作的；第十一条若本协议在协议期内、到期、提前终止，甲方无故辞退或不再使用乙方服务人员，产生经济补偿情形的，甲方应支付服务人员经济补偿金。 </w:t>
      </w:r>
    </w:p>
    <w:p w14:paraId="7BCF86E6">
      <w:pPr>
        <w:spacing w:line="480" w:lineRule="auto"/>
        <w:rPr>
          <w:rFonts w:hint="eastAsia" w:ascii="宋体" w:hAnsi="宋体" w:eastAsia="宋体" w:cs="宋体"/>
          <w:sz w:val="24"/>
          <w:szCs w:val="24"/>
        </w:rPr>
      </w:pPr>
      <w:r>
        <w:rPr>
          <w:rFonts w:hint="eastAsia" w:ascii="宋体" w:hAnsi="宋体" w:eastAsia="宋体" w:cs="宋体"/>
          <w:b/>
          <w:bCs/>
          <w:sz w:val="24"/>
          <w:szCs w:val="24"/>
        </w:rPr>
        <w:t>第五章服务费及管理费费用结算</w:t>
      </w:r>
    </w:p>
    <w:p w14:paraId="62DB6F43">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第十二条甲方根据实际使用服务人员的数量按月向乙方支付服务费用及服务人员管理费。服务费用为服务人员工资、服务人员社会保险金。各项费用标准为：</w:t>
      </w:r>
    </w:p>
    <w:p w14:paraId="19EF95E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 服务人员工资符合同工同酬的原则，根据人员岗位书面确认。</w:t>
      </w:r>
    </w:p>
    <w:p w14:paraId="2423A71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2.社保单位部分：按上年度平均工资标准缴纳，全年平均工资低于最低社保基数时按最低社保基数缴纳。由于未能按照实际发放工资基数缴纳社保产生社保补费或滞纳金等情形的费用由甲方支付。</w:t>
      </w:r>
    </w:p>
    <w:p w14:paraId="2EC8B72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3.工会经费和残联保障金每月结算标准为应发工资总额的</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6D25F4B">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第十三条服务人员工资、社会保险金或住房公积金及服务人员管理费由甲方以网银形式支付乙方基本账户结算，以上费用结算日期为每月</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日以前，甲方应当按时支付，乙方应向甲方出具正规税务发票。</w:t>
      </w:r>
    </w:p>
    <w:p w14:paraId="29A48CF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如果遇节假日或其它特殊情况，甲方需要提前支付服务人员的服务费，乙方应予以配合，并在合理时间内向服务人员发放工资。</w:t>
      </w:r>
    </w:p>
    <w:p w14:paraId="2B49A0C4">
      <w:pPr>
        <w:spacing w:line="480" w:lineRule="auto"/>
        <w:rPr>
          <w:rFonts w:hint="eastAsia" w:ascii="宋体" w:hAnsi="宋体" w:eastAsia="宋体" w:cs="宋体"/>
          <w:sz w:val="24"/>
          <w:szCs w:val="24"/>
        </w:rPr>
      </w:pPr>
      <w:r>
        <w:rPr>
          <w:rFonts w:hint="eastAsia" w:ascii="宋体" w:hAnsi="宋体" w:eastAsia="宋体" w:cs="宋体"/>
          <w:sz w:val="24"/>
          <w:szCs w:val="24"/>
        </w:rPr>
        <w:t>开户名称：</w:t>
      </w:r>
    </w:p>
    <w:p w14:paraId="7CA250F3">
      <w:pPr>
        <w:spacing w:line="480" w:lineRule="auto"/>
        <w:rPr>
          <w:rFonts w:hint="eastAsia" w:ascii="宋体" w:hAnsi="宋体" w:eastAsia="宋体" w:cs="宋体"/>
          <w:sz w:val="24"/>
          <w:szCs w:val="24"/>
        </w:rPr>
      </w:pPr>
      <w:r>
        <w:rPr>
          <w:rFonts w:hint="eastAsia" w:ascii="宋体" w:hAnsi="宋体" w:eastAsia="宋体" w:cs="宋体"/>
          <w:sz w:val="24"/>
          <w:szCs w:val="24"/>
        </w:rPr>
        <w:t>乙方开户行：</w:t>
      </w:r>
    </w:p>
    <w:p w14:paraId="7C638DED">
      <w:pPr>
        <w:spacing w:line="480" w:lineRule="auto"/>
        <w:rPr>
          <w:rFonts w:hint="eastAsia" w:ascii="宋体" w:hAnsi="宋体" w:eastAsia="宋体" w:cs="宋体"/>
          <w:sz w:val="24"/>
          <w:szCs w:val="24"/>
        </w:rPr>
      </w:pPr>
      <w:r>
        <w:rPr>
          <w:rFonts w:hint="eastAsia" w:ascii="宋体" w:hAnsi="宋体" w:eastAsia="宋体" w:cs="宋体"/>
          <w:sz w:val="24"/>
          <w:szCs w:val="24"/>
        </w:rPr>
        <w:t>乌鲁木齐西虹东路支行乙方帐号：</w:t>
      </w:r>
    </w:p>
    <w:p w14:paraId="5EDE9F53">
      <w:pPr>
        <w:spacing w:line="480" w:lineRule="auto"/>
        <w:rPr>
          <w:rFonts w:hint="eastAsia" w:ascii="宋体" w:hAnsi="宋体" w:eastAsia="宋体" w:cs="宋体"/>
          <w:sz w:val="24"/>
          <w:szCs w:val="24"/>
        </w:rPr>
      </w:pPr>
      <w:r>
        <w:rPr>
          <w:rFonts w:hint="eastAsia" w:ascii="宋体" w:hAnsi="宋体" w:eastAsia="宋体" w:cs="宋体"/>
          <w:sz w:val="24"/>
          <w:szCs w:val="24"/>
        </w:rPr>
        <w:t>第十四条服务人员的劳动报酬、社会保险金等费用必须通过乙方发放和缴纳，以保证为服务人员按时足额发放和缴纳各项费用。</w:t>
      </w:r>
    </w:p>
    <w:p w14:paraId="6D3F5163">
      <w:pPr>
        <w:spacing w:line="480" w:lineRule="auto"/>
        <w:rPr>
          <w:rFonts w:hint="eastAsia" w:ascii="宋体" w:hAnsi="宋体" w:eastAsia="宋体" w:cs="宋体"/>
          <w:b/>
          <w:bCs/>
          <w:sz w:val="24"/>
          <w:szCs w:val="24"/>
        </w:rPr>
      </w:pPr>
      <w:r>
        <w:rPr>
          <w:rFonts w:hint="eastAsia" w:ascii="宋体" w:hAnsi="宋体" w:eastAsia="宋体" w:cs="宋体"/>
          <w:b/>
          <w:bCs/>
          <w:sz w:val="24"/>
          <w:szCs w:val="24"/>
        </w:rPr>
        <w:t>第六章违约责任及解除协议</w:t>
      </w:r>
    </w:p>
    <w:p w14:paraId="2F0B14F3">
      <w:pPr>
        <w:spacing w:line="480" w:lineRule="auto"/>
        <w:rPr>
          <w:rFonts w:hint="eastAsia" w:ascii="宋体" w:hAnsi="宋体" w:eastAsia="宋体" w:cs="宋体"/>
          <w:sz w:val="24"/>
          <w:szCs w:val="24"/>
        </w:rPr>
      </w:pPr>
      <w:r>
        <w:rPr>
          <w:rFonts w:hint="eastAsia" w:ascii="宋体" w:hAnsi="宋体" w:eastAsia="宋体" w:cs="宋体"/>
          <w:sz w:val="24"/>
          <w:szCs w:val="24"/>
        </w:rPr>
        <w:t>第十五条乙方违约责任</w:t>
      </w:r>
    </w:p>
    <w:p w14:paraId="47D1E579">
      <w:pPr>
        <w:spacing w:line="480" w:lineRule="auto"/>
        <w:rPr>
          <w:rFonts w:hint="eastAsia" w:ascii="宋体" w:hAnsi="宋体" w:eastAsia="宋体" w:cs="宋体"/>
          <w:sz w:val="24"/>
          <w:szCs w:val="24"/>
        </w:rPr>
      </w:pPr>
      <w:r>
        <w:rPr>
          <w:rFonts w:hint="eastAsia" w:ascii="宋体" w:hAnsi="宋体" w:eastAsia="宋体" w:cs="宋体"/>
          <w:sz w:val="24"/>
          <w:szCs w:val="24"/>
        </w:rPr>
        <w:t>1.乙方应按甲方要求提供、更换服务人员，甲方对服务人员劳动合同内容约定未及时提出异议视同同意乙方按照劳动合同法履行劳动合同。</w:t>
      </w:r>
    </w:p>
    <w:p w14:paraId="22B4FE26">
      <w:pPr>
        <w:spacing w:line="480" w:lineRule="auto"/>
        <w:rPr>
          <w:rFonts w:hint="eastAsia" w:ascii="宋体" w:hAnsi="宋体" w:eastAsia="宋体" w:cs="宋体"/>
          <w:sz w:val="24"/>
          <w:szCs w:val="24"/>
        </w:rPr>
      </w:pPr>
      <w:r>
        <w:rPr>
          <w:rFonts w:hint="eastAsia" w:ascii="宋体" w:hAnsi="宋体" w:eastAsia="宋体" w:cs="宋体"/>
          <w:sz w:val="24"/>
          <w:szCs w:val="24"/>
        </w:rPr>
        <w:t>2.服务人员应遵守甲方的各项工作规则、纪律，注意安全生产，爱护甲方财物，不得损坏、丢弃，如有损坏等行为的乙方服务人员应承担赔偿责任。服务人员违反甲方规章制度造成他人损失的，由服务人员承担赔偿责任。</w:t>
      </w:r>
    </w:p>
    <w:p w14:paraId="104D098B">
      <w:pPr>
        <w:spacing w:line="480" w:lineRule="auto"/>
        <w:rPr>
          <w:rFonts w:hint="eastAsia" w:ascii="宋体" w:hAnsi="宋体" w:eastAsia="宋体" w:cs="宋体"/>
          <w:sz w:val="24"/>
          <w:szCs w:val="24"/>
        </w:rPr>
      </w:pPr>
      <w:r>
        <w:rPr>
          <w:rFonts w:hint="eastAsia" w:ascii="宋体" w:hAnsi="宋体" w:eastAsia="宋体" w:cs="宋体"/>
          <w:sz w:val="24"/>
          <w:szCs w:val="24"/>
        </w:rPr>
        <w:t>3.乙方未经甲方同意，撤回或调换服务人员给甲方造成损失的，乙方应对甲方由此产生的实际经济损失负责赔偿。</w:t>
      </w:r>
    </w:p>
    <w:p w14:paraId="37A2FE7B">
      <w:pPr>
        <w:spacing w:line="480" w:lineRule="auto"/>
        <w:rPr>
          <w:rFonts w:hint="eastAsia" w:ascii="宋体" w:hAnsi="宋体" w:eastAsia="宋体" w:cs="宋体"/>
          <w:sz w:val="24"/>
          <w:szCs w:val="24"/>
        </w:rPr>
      </w:pPr>
      <w:r>
        <w:rPr>
          <w:rFonts w:hint="eastAsia" w:ascii="宋体" w:hAnsi="宋体" w:eastAsia="宋体" w:cs="宋体"/>
          <w:sz w:val="24"/>
          <w:szCs w:val="24"/>
        </w:rPr>
        <w:t>4.乙方不得克扣、无故拖欠或挪用甲方按照巡逻防控服务合同支付给服务人员的劳动报酬等各项费用。否则甲方有权要求乙方退还侵占、挪用的部分，并根据 违规发生金额扣除乙方服务人员管理费，如年内发生2次上述情况，乙方除应承 担上述违约责任外，双方合作即终止，甲方将有权通过法律途径解决乙方的违法行为。</w:t>
      </w:r>
    </w:p>
    <w:p w14:paraId="23CE45E4">
      <w:pPr>
        <w:spacing w:line="480" w:lineRule="auto"/>
        <w:rPr>
          <w:rFonts w:hint="eastAsia" w:ascii="宋体" w:hAnsi="宋体" w:eastAsia="宋体" w:cs="宋体"/>
          <w:sz w:val="24"/>
          <w:szCs w:val="24"/>
        </w:rPr>
      </w:pPr>
      <w:r>
        <w:rPr>
          <w:rFonts w:hint="eastAsia" w:ascii="宋体" w:hAnsi="宋体" w:eastAsia="宋体" w:cs="宋体"/>
          <w:sz w:val="24"/>
          <w:szCs w:val="24"/>
        </w:rPr>
        <w:t>5. 依本协议乙方在收到应当支付给服务人员的相关费用后，无故拖延服务人员工资发放、延迟缴纳或不缴纳社会保险及其它应当缴纳的费用，乙方应对甲方及服务人员由此承受的实际损失承担赔偿责任，并承担由此产生的一切后果。</w:t>
      </w:r>
    </w:p>
    <w:p w14:paraId="30EB31B8">
      <w:pPr>
        <w:spacing w:line="480" w:lineRule="auto"/>
        <w:rPr>
          <w:rFonts w:hint="eastAsia" w:ascii="宋体" w:hAnsi="宋体" w:eastAsia="宋体" w:cs="宋体"/>
          <w:sz w:val="24"/>
          <w:szCs w:val="24"/>
        </w:rPr>
      </w:pPr>
      <w:r>
        <w:rPr>
          <w:rFonts w:hint="eastAsia" w:ascii="宋体" w:hAnsi="宋体" w:eastAsia="宋体" w:cs="宋体"/>
          <w:sz w:val="24"/>
          <w:szCs w:val="24"/>
        </w:rPr>
        <w:t>第十六条甲方违约责任</w:t>
      </w:r>
    </w:p>
    <w:p w14:paraId="13F309C0">
      <w:pPr>
        <w:spacing w:line="480" w:lineRule="auto"/>
        <w:rPr>
          <w:rFonts w:hint="eastAsia" w:ascii="宋体" w:hAnsi="宋体" w:eastAsia="宋体" w:cs="宋体"/>
          <w:sz w:val="24"/>
          <w:szCs w:val="24"/>
        </w:rPr>
      </w:pPr>
      <w:r>
        <w:rPr>
          <w:rFonts w:hint="eastAsia" w:ascii="宋体" w:hAnsi="宋体" w:eastAsia="宋体" w:cs="宋体"/>
          <w:sz w:val="24"/>
          <w:szCs w:val="24"/>
        </w:rPr>
        <w:t>1.甲方根据实际录用服务人员的数量按月及时向乙方支付服务费用。甲 方若不能按时向乙方支付服务人员劳动报酬、社会保险费用及服务人员 管理费等，给乙方及服务人员造成损失的，相关问题和相关责任应由甲方承 担，由此而引起相关费用由甲方支付。</w:t>
      </w:r>
    </w:p>
    <w:p w14:paraId="0AB5193C">
      <w:pPr>
        <w:spacing w:line="480" w:lineRule="auto"/>
        <w:rPr>
          <w:rFonts w:hint="eastAsia" w:ascii="宋体" w:hAnsi="宋体" w:eastAsia="宋体" w:cs="宋体"/>
          <w:sz w:val="24"/>
          <w:szCs w:val="24"/>
        </w:rPr>
      </w:pPr>
      <w:r>
        <w:rPr>
          <w:rFonts w:hint="eastAsia" w:ascii="宋体" w:hAnsi="宋体" w:eastAsia="宋体" w:cs="宋体"/>
          <w:sz w:val="24"/>
          <w:szCs w:val="24"/>
        </w:rPr>
        <w:t>2.甲方承担服务人员在甲方服务期间的各项现场管理工作，如因甲方直接管理服务人员的管理者未按甲方规章制度管理服务人员，从而放任服务人员违反甲方规章制度造成甲方经济损失及服务人员伤害的，由甲方承担相应责任及损失。</w:t>
      </w:r>
    </w:p>
    <w:p w14:paraId="1A80A7A4">
      <w:pPr>
        <w:spacing w:line="480" w:lineRule="auto"/>
        <w:rPr>
          <w:rFonts w:hint="eastAsia" w:ascii="宋体" w:hAnsi="宋体" w:eastAsia="宋体" w:cs="宋体"/>
          <w:sz w:val="24"/>
          <w:szCs w:val="24"/>
        </w:rPr>
      </w:pPr>
      <w:r>
        <w:rPr>
          <w:rFonts w:hint="eastAsia" w:ascii="宋体" w:hAnsi="宋体" w:eastAsia="宋体" w:cs="宋体"/>
          <w:sz w:val="24"/>
          <w:szCs w:val="24"/>
        </w:rPr>
        <w:t>3.甲方违反劳动合同法、民法典等法律法规使用、退回服务人员的，给 乙方及服务人员造成损失的，由甲方承担相应赔偿责任。</w:t>
      </w:r>
    </w:p>
    <w:p w14:paraId="6452218E">
      <w:pPr>
        <w:spacing w:line="480" w:lineRule="auto"/>
        <w:rPr>
          <w:rFonts w:hint="eastAsia" w:ascii="宋体" w:hAnsi="宋体" w:eastAsia="宋体" w:cs="宋体"/>
          <w:sz w:val="24"/>
          <w:szCs w:val="24"/>
        </w:rPr>
      </w:pPr>
      <w:r>
        <w:rPr>
          <w:rFonts w:hint="eastAsia" w:ascii="宋体" w:hAnsi="宋体" w:eastAsia="宋体" w:cs="宋体"/>
          <w:sz w:val="24"/>
          <w:szCs w:val="24"/>
        </w:rPr>
        <w:t>第十七条本协议所约定的所有赔偿金、违约金，有支付义务的一方应在接到对方书面通知1个月内向对方支付，延期支付，每延迟一天增加支付应付金额的1%作为延迟支付的违约金。</w:t>
      </w:r>
    </w:p>
    <w:p w14:paraId="74F35FAA">
      <w:pPr>
        <w:spacing w:line="480" w:lineRule="auto"/>
        <w:rPr>
          <w:rFonts w:hint="eastAsia" w:ascii="宋体" w:hAnsi="宋体" w:eastAsia="宋体" w:cs="宋体"/>
          <w:sz w:val="24"/>
          <w:szCs w:val="24"/>
        </w:rPr>
      </w:pPr>
      <w:r>
        <w:rPr>
          <w:rFonts w:hint="eastAsia" w:ascii="宋体" w:hAnsi="宋体" w:eastAsia="宋体" w:cs="宋体"/>
          <w:sz w:val="24"/>
          <w:szCs w:val="24"/>
        </w:rPr>
        <w:t>第十八条协议的解除</w:t>
      </w:r>
    </w:p>
    <w:p w14:paraId="121CBF5D">
      <w:pPr>
        <w:spacing w:line="480" w:lineRule="auto"/>
        <w:rPr>
          <w:rFonts w:hint="eastAsia" w:ascii="宋体" w:hAnsi="宋体" w:eastAsia="宋体" w:cs="宋体"/>
          <w:sz w:val="24"/>
          <w:szCs w:val="24"/>
        </w:rPr>
      </w:pPr>
      <w:r>
        <w:rPr>
          <w:rFonts w:hint="eastAsia" w:ascii="宋体" w:hAnsi="宋体" w:eastAsia="宋体" w:cs="宋体"/>
          <w:sz w:val="24"/>
          <w:szCs w:val="24"/>
        </w:rPr>
        <w:t>1.如遇法律规定的情形与事由，致使有一方或双方无法履行协议，任何一方均有解除协议的权利，双方均不承担违约责任。如双方均未提出异议，自法定情形、事由消失之日起，双方继续履行本协议。</w:t>
      </w:r>
    </w:p>
    <w:p w14:paraId="63A32C40">
      <w:pPr>
        <w:spacing w:line="480" w:lineRule="auto"/>
        <w:rPr>
          <w:rFonts w:hint="eastAsia" w:ascii="宋体" w:hAnsi="宋体" w:eastAsia="宋体" w:cs="宋体"/>
          <w:sz w:val="24"/>
          <w:szCs w:val="24"/>
        </w:rPr>
      </w:pPr>
      <w:r>
        <w:rPr>
          <w:rFonts w:hint="eastAsia" w:ascii="宋体" w:hAnsi="宋体" w:eastAsia="宋体" w:cs="宋体"/>
          <w:sz w:val="24"/>
          <w:szCs w:val="24"/>
        </w:rPr>
        <w:t>2.一方如有严重违法、违约行为，造成对方重大损失，守约方有权解除本协议，并保留向违约方追偿相关损失的权利。</w:t>
      </w:r>
    </w:p>
    <w:p w14:paraId="57E61E32">
      <w:pPr>
        <w:spacing w:line="480" w:lineRule="auto"/>
        <w:rPr>
          <w:rFonts w:hint="eastAsia" w:ascii="宋体" w:hAnsi="宋体" w:eastAsia="宋体" w:cs="宋体"/>
          <w:sz w:val="24"/>
          <w:szCs w:val="24"/>
        </w:rPr>
      </w:pPr>
      <w:r>
        <w:rPr>
          <w:rFonts w:hint="eastAsia" w:ascii="宋体" w:hAnsi="宋体" w:eastAsia="宋体" w:cs="宋体"/>
          <w:sz w:val="24"/>
          <w:szCs w:val="24"/>
        </w:rPr>
        <w:t>3.协议解除后，双方应妥善处理后续事宜，造成一方损失的，由责任方承担赔偿责任。</w:t>
      </w:r>
    </w:p>
    <w:p w14:paraId="52F27EFA">
      <w:pPr>
        <w:spacing w:line="480" w:lineRule="auto"/>
        <w:rPr>
          <w:rFonts w:hint="eastAsia" w:ascii="宋体" w:hAnsi="宋体" w:eastAsia="宋体" w:cs="宋体"/>
          <w:sz w:val="24"/>
          <w:szCs w:val="24"/>
        </w:rPr>
      </w:pPr>
      <w:r>
        <w:rPr>
          <w:rFonts w:hint="eastAsia" w:ascii="宋体" w:hAnsi="宋体" w:eastAsia="宋体" w:cs="宋体"/>
          <w:sz w:val="24"/>
          <w:szCs w:val="24"/>
        </w:rPr>
        <w:t>第七章  附 则</w:t>
      </w:r>
    </w:p>
    <w:p w14:paraId="0156FA28">
      <w:pPr>
        <w:spacing w:line="480" w:lineRule="auto"/>
        <w:rPr>
          <w:rFonts w:hint="eastAsia" w:ascii="宋体" w:hAnsi="宋体" w:eastAsia="宋体" w:cs="宋体"/>
          <w:sz w:val="24"/>
          <w:szCs w:val="24"/>
        </w:rPr>
      </w:pPr>
      <w:r>
        <w:rPr>
          <w:rFonts w:hint="eastAsia" w:ascii="宋体" w:hAnsi="宋体" w:eastAsia="宋体" w:cs="宋体"/>
          <w:sz w:val="24"/>
          <w:szCs w:val="24"/>
        </w:rPr>
        <w:t>第十九条甲乙双方因履行本协议所发生的一切争议，由双方按照国家有关法律规定，本着互谅互让的精神协商解决；无法协调解决的，通过法律途径解决。</w:t>
      </w:r>
    </w:p>
    <w:p w14:paraId="444C3C41">
      <w:pPr>
        <w:spacing w:line="480" w:lineRule="auto"/>
        <w:rPr>
          <w:rFonts w:hint="eastAsia" w:ascii="宋体" w:hAnsi="宋体" w:eastAsia="宋体" w:cs="宋体"/>
          <w:sz w:val="24"/>
          <w:szCs w:val="24"/>
        </w:rPr>
      </w:pPr>
    </w:p>
    <w:p w14:paraId="345A81DA">
      <w:pPr>
        <w:spacing w:line="480" w:lineRule="auto"/>
        <w:rPr>
          <w:rFonts w:hint="eastAsia" w:ascii="宋体" w:hAnsi="宋体" w:eastAsia="宋体" w:cs="宋体"/>
          <w:sz w:val="24"/>
          <w:szCs w:val="24"/>
        </w:rPr>
      </w:pPr>
      <w:r>
        <w:rPr>
          <w:rFonts w:hint="eastAsia" w:ascii="宋体" w:hAnsi="宋体" w:eastAsia="宋体" w:cs="宋体"/>
          <w:sz w:val="24"/>
          <w:szCs w:val="24"/>
        </w:rPr>
        <w:t>第二十条  本协议的变更、解除或终止依照《中华人民共和国民法典》等有关规定执行。</w:t>
      </w:r>
    </w:p>
    <w:p w14:paraId="7F14E38F">
      <w:pPr>
        <w:spacing w:line="480" w:lineRule="auto"/>
        <w:rPr>
          <w:rFonts w:hint="eastAsia" w:ascii="宋体" w:hAnsi="宋体" w:eastAsia="宋体" w:cs="宋体"/>
          <w:sz w:val="24"/>
          <w:szCs w:val="24"/>
        </w:rPr>
      </w:pPr>
      <w:r>
        <w:rPr>
          <w:rFonts w:hint="eastAsia" w:ascii="宋体" w:hAnsi="宋体" w:eastAsia="宋体" w:cs="宋体"/>
          <w:sz w:val="24"/>
          <w:szCs w:val="24"/>
        </w:rPr>
        <w:t>第二十一条  本协议一式贰份，甲方乙方各执一份。</w:t>
      </w:r>
    </w:p>
    <w:p w14:paraId="13242FD0">
      <w:pPr>
        <w:spacing w:line="480" w:lineRule="auto"/>
        <w:rPr>
          <w:rFonts w:hint="eastAsia" w:ascii="宋体" w:hAnsi="宋体" w:eastAsia="宋体" w:cs="宋体"/>
          <w:sz w:val="24"/>
          <w:szCs w:val="24"/>
        </w:rPr>
      </w:pPr>
      <w:r>
        <w:rPr>
          <w:rFonts w:hint="eastAsia" w:ascii="宋体" w:hAnsi="宋体" w:eastAsia="宋体" w:cs="宋体"/>
          <w:sz w:val="24"/>
          <w:szCs w:val="24"/>
        </w:rPr>
        <w:t>第二十二条  本协议未尽事宜，双方可通过协商签订补充条款，作为此协议的组成部分，与本协议具有同等法律效力。</w:t>
      </w:r>
    </w:p>
    <w:p w14:paraId="75CD3581">
      <w:pPr>
        <w:spacing w:line="480" w:lineRule="auto"/>
        <w:rPr>
          <w:rFonts w:hint="eastAsia" w:ascii="宋体" w:hAnsi="宋体" w:eastAsia="宋体" w:cs="宋体"/>
          <w:sz w:val="24"/>
          <w:szCs w:val="24"/>
        </w:rPr>
      </w:pPr>
    </w:p>
    <w:p w14:paraId="6181CC21">
      <w:pPr>
        <w:rPr>
          <w:rFonts w:hint="eastAsia" w:ascii="宋体" w:hAnsi="宋体" w:eastAsia="宋体" w:cs="宋体"/>
          <w:sz w:val="24"/>
          <w:szCs w:val="24"/>
        </w:rPr>
      </w:pPr>
    </w:p>
    <w:p w14:paraId="245AF4E8">
      <w:pPr>
        <w:rPr>
          <w:rFonts w:hint="eastAsia" w:ascii="宋体" w:hAnsi="宋体" w:eastAsia="宋体" w:cs="宋体"/>
          <w:sz w:val="24"/>
          <w:szCs w:val="24"/>
        </w:rPr>
      </w:pPr>
    </w:p>
    <w:p w14:paraId="09B40E3D">
      <w:pPr>
        <w:spacing w:line="480" w:lineRule="auto"/>
        <w:rPr>
          <w:rFonts w:hint="eastAsia" w:ascii="宋体" w:hAnsi="宋体" w:eastAsia="宋体" w:cs="宋体"/>
          <w:sz w:val="24"/>
          <w:szCs w:val="24"/>
        </w:rPr>
      </w:pPr>
    </w:p>
    <w:p w14:paraId="7D92BF2A">
      <w:pPr>
        <w:spacing w:line="480" w:lineRule="auto"/>
        <w:rPr>
          <w:rFonts w:hint="eastAsia" w:ascii="宋体" w:hAnsi="宋体" w:eastAsia="宋体" w:cs="宋体"/>
          <w:sz w:val="24"/>
          <w:szCs w:val="24"/>
        </w:rPr>
      </w:pPr>
      <w:r>
        <w:rPr>
          <w:rFonts w:hint="eastAsia" w:ascii="宋体" w:hAnsi="宋体" w:eastAsia="宋体" w:cs="宋体"/>
          <w:sz w:val="24"/>
          <w:szCs w:val="24"/>
        </w:rPr>
        <w:t>甲方（盖章）：                     乙方(盖章):</w:t>
      </w:r>
    </w:p>
    <w:p w14:paraId="4A824A88">
      <w:pPr>
        <w:spacing w:line="480" w:lineRule="auto"/>
        <w:rPr>
          <w:rFonts w:hint="eastAsia" w:ascii="宋体" w:hAnsi="宋体" w:eastAsia="宋体" w:cs="宋体"/>
          <w:sz w:val="24"/>
          <w:szCs w:val="24"/>
        </w:rPr>
      </w:pPr>
      <w:r>
        <w:rPr>
          <w:rFonts w:hint="eastAsia" w:ascii="宋体" w:hAnsi="宋体" w:eastAsia="宋体" w:cs="宋体"/>
          <w:sz w:val="24"/>
          <w:szCs w:val="24"/>
        </w:rPr>
        <w:t>法定代表人或授权委托代理人(签名)   法定代表人或授权委托代理人(签名)</w:t>
      </w:r>
    </w:p>
    <w:p w14:paraId="6ECA063F">
      <w:pPr>
        <w:spacing w:line="480" w:lineRule="auto"/>
        <w:rPr>
          <w:rFonts w:hint="eastAsia" w:ascii="宋体" w:hAnsi="宋体" w:eastAsia="宋体" w:cs="宋体"/>
          <w:sz w:val="24"/>
          <w:szCs w:val="24"/>
        </w:rPr>
      </w:pPr>
      <w:r>
        <w:rPr>
          <w:rFonts w:hint="eastAsia" w:ascii="宋体" w:hAnsi="宋体" w:eastAsia="宋体" w:cs="宋体"/>
          <w:sz w:val="24"/>
          <w:szCs w:val="24"/>
        </w:rPr>
        <w:t>年    月    日                      年    月       日</w:t>
      </w:r>
    </w:p>
    <w:p w14:paraId="78441B74">
      <w:pPr>
        <w:rPr>
          <w:rFonts w:hint="eastAsia" w:ascii="宋体" w:hAnsi="宋体" w:eastAsia="宋体" w:cs="宋体"/>
          <w:color w:val="auto"/>
          <w:highlight w:val="none"/>
        </w:rPr>
      </w:pPr>
    </w:p>
    <w:p w14:paraId="504DDE1F">
      <w:pPr>
        <w:pStyle w:val="41"/>
        <w:rPr>
          <w:rFonts w:hint="eastAsia" w:ascii="宋体" w:hAnsi="宋体" w:eastAsia="宋体" w:cs="宋体"/>
          <w:color w:val="auto"/>
          <w:highlight w:val="none"/>
        </w:rPr>
      </w:pPr>
    </w:p>
    <w:p w14:paraId="55235465">
      <w:pPr>
        <w:pStyle w:val="41"/>
        <w:rPr>
          <w:rFonts w:hint="eastAsia" w:ascii="宋体" w:hAnsi="宋体" w:eastAsia="宋体" w:cs="宋体"/>
          <w:color w:val="auto"/>
          <w:highlight w:val="none"/>
        </w:rPr>
      </w:pPr>
    </w:p>
    <w:p w14:paraId="3833303B">
      <w:pPr>
        <w:pStyle w:val="41"/>
        <w:rPr>
          <w:rFonts w:hint="eastAsia" w:ascii="宋体" w:hAnsi="宋体" w:eastAsia="宋体" w:cs="宋体"/>
          <w:color w:val="auto"/>
          <w:highlight w:val="none"/>
        </w:rPr>
      </w:pPr>
    </w:p>
    <w:p w14:paraId="39622D4D">
      <w:pPr>
        <w:pStyle w:val="41"/>
        <w:rPr>
          <w:rFonts w:hint="eastAsia" w:ascii="宋体" w:hAnsi="宋体" w:eastAsia="宋体" w:cs="宋体"/>
          <w:color w:val="auto"/>
          <w:highlight w:val="none"/>
        </w:rPr>
      </w:pPr>
    </w:p>
    <w:p w14:paraId="3C0F6905">
      <w:pPr>
        <w:rPr>
          <w:rFonts w:hint="eastAsia" w:ascii="宋体" w:hAnsi="宋体" w:eastAsia="宋体" w:cs="宋体"/>
          <w:color w:val="auto"/>
          <w:highlight w:val="none"/>
        </w:rPr>
      </w:pPr>
    </w:p>
    <w:p w14:paraId="15ADD382">
      <w:pPr>
        <w:rPr>
          <w:rFonts w:hint="eastAsia" w:ascii="宋体" w:hAnsi="宋体" w:eastAsia="宋体" w:cs="宋体"/>
          <w:color w:val="auto"/>
          <w:highlight w:val="none"/>
        </w:rPr>
      </w:pPr>
    </w:p>
    <w:p w14:paraId="09BB48CF">
      <w:pPr>
        <w:rPr>
          <w:rFonts w:hint="eastAsia" w:ascii="宋体" w:hAnsi="宋体" w:eastAsia="宋体" w:cs="宋体"/>
          <w:color w:val="auto"/>
          <w:highlight w:val="none"/>
        </w:rPr>
        <w:sectPr>
          <w:pgSz w:w="11906" w:h="16838"/>
          <w:pgMar w:top="1134" w:right="1134" w:bottom="1134" w:left="1134" w:header="851" w:footer="992" w:gutter="0"/>
          <w:pgNumType w:fmt="decimal"/>
          <w:cols w:space="720" w:num="1"/>
          <w:titlePg/>
          <w:rtlGutter w:val="0"/>
          <w:docGrid w:linePitch="312" w:charSpace="0"/>
        </w:sectPr>
      </w:pPr>
    </w:p>
    <w:bookmarkEnd w:id="119"/>
    <w:bookmarkEnd w:id="120"/>
    <w:p w14:paraId="67961B60">
      <w:pPr>
        <w:pStyle w:val="259"/>
        <w:pageBreakBefore w:val="0"/>
        <w:widowControl/>
        <w:tabs>
          <w:tab w:val="left" w:pos="0"/>
        </w:tabs>
        <w:kinsoku/>
        <w:wordWrap/>
        <w:overflowPunct/>
        <w:topLinePunct w:val="0"/>
        <w:bidi w:val="0"/>
        <w:snapToGrid/>
        <w:spacing w:before="0" w:beforeAutospacing="0" w:after="0" w:afterAutospacing="0" w:line="360" w:lineRule="auto"/>
        <w:ind w:left="0" w:leftChars="0" w:firstLine="0" w:firstLineChars="0"/>
        <w:jc w:val="center"/>
        <w:textAlignment w:val="baseline"/>
        <w:outlineLvl w:val="0"/>
        <w:rPr>
          <w:rStyle w:val="260"/>
          <w:rFonts w:hint="eastAsia" w:ascii="宋体" w:hAnsi="宋体" w:eastAsia="宋体" w:cs="宋体"/>
          <w:b/>
          <w:i w:val="0"/>
          <w:caps w:val="0"/>
          <w:color w:val="auto"/>
          <w:spacing w:val="0"/>
          <w:w w:val="100"/>
          <w:kern w:val="2"/>
          <w:position w:val="0"/>
          <w:sz w:val="36"/>
          <w:szCs w:val="24"/>
          <w:highlight w:val="none"/>
          <w:lang w:val="en-US" w:eastAsia="zh-CN" w:bidi="ar-SA"/>
        </w:rPr>
      </w:pPr>
      <w:bookmarkStart w:id="121" w:name="_Toc12417"/>
      <w:bookmarkStart w:id="122" w:name="_Toc32160"/>
      <w:bookmarkStart w:id="123" w:name="_Toc11018"/>
      <w:bookmarkStart w:id="124" w:name="_Toc256000081"/>
      <w:bookmarkStart w:id="125" w:name="_Toc107369344"/>
      <w:bookmarkStart w:id="126" w:name="_Toc23929"/>
      <w:r>
        <w:rPr>
          <w:rStyle w:val="260"/>
          <w:rFonts w:hint="eastAsia" w:ascii="宋体" w:hAnsi="宋体" w:eastAsia="宋体" w:cs="宋体"/>
          <w:b/>
          <w:i w:val="0"/>
          <w:caps w:val="0"/>
          <w:color w:val="auto"/>
          <w:spacing w:val="0"/>
          <w:w w:val="100"/>
          <w:kern w:val="2"/>
          <w:position w:val="0"/>
          <w:sz w:val="36"/>
          <w:szCs w:val="24"/>
          <w:highlight w:val="none"/>
          <w:lang w:val="en-US" w:eastAsia="zh-CN" w:bidi="ar-SA"/>
        </w:rPr>
        <w:t>第六部分   投标文件格式</w:t>
      </w:r>
      <w:bookmarkEnd w:id="121"/>
      <w:bookmarkEnd w:id="122"/>
    </w:p>
    <w:p w14:paraId="50853B51">
      <w:pPr>
        <w:pageBreakBefore w:val="0"/>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val="0"/>
          <w:i w:val="0"/>
          <w:caps w:val="0"/>
          <w:color w:val="auto"/>
          <w:spacing w:val="0"/>
          <w:w w:val="100"/>
          <w:kern w:val="2"/>
          <w:position w:val="0"/>
          <w:sz w:val="21"/>
          <w:szCs w:val="22"/>
          <w:highlight w:val="none"/>
          <w:lang w:val="en-US" w:eastAsia="zh-CN" w:bidi="ar-SA"/>
        </w:rPr>
      </w:pPr>
    </w:p>
    <w:p w14:paraId="6A40A9E4">
      <w:pPr>
        <w:pStyle w:val="262"/>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bookmarkStart w:id="127" w:name="_Toc32127"/>
      <w:r>
        <w:rPr>
          <w:rStyle w:val="260"/>
          <w:rFonts w:hint="eastAsia" w:ascii="宋体" w:hAnsi="宋体" w:eastAsia="宋体" w:cs="宋体"/>
          <w:b/>
          <w:i w:val="0"/>
          <w:caps w:val="0"/>
          <w:color w:val="auto"/>
          <w:spacing w:val="0"/>
          <w:w w:val="100"/>
          <w:position w:val="0"/>
          <w:sz w:val="32"/>
          <w:szCs w:val="24"/>
          <w:highlight w:val="none"/>
          <w:lang w:bidi="ar-SA"/>
        </w:rPr>
        <w:t>投标文件封面</w:t>
      </w:r>
      <w:bookmarkEnd w:id="127"/>
    </w:p>
    <w:p w14:paraId="4F600936">
      <w:pPr>
        <w:pStyle w:val="263"/>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5EFA6710">
      <w:pPr>
        <w:pStyle w:val="263"/>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065EE76F">
      <w:pPr>
        <w:pStyle w:val="263"/>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35EBC06B">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0994724">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bCs/>
          <w:i w:val="0"/>
          <w:caps w:val="0"/>
          <w:color w:val="auto"/>
          <w:spacing w:val="0"/>
          <w:w w:val="100"/>
          <w:kern w:val="2"/>
          <w:position w:val="0"/>
          <w:sz w:val="52"/>
          <w:szCs w:val="52"/>
          <w:highlight w:val="none"/>
          <w:lang w:val="en-US" w:eastAsia="zh-CN" w:bidi="ar-SA"/>
        </w:rPr>
      </w:pPr>
      <w:r>
        <w:rPr>
          <w:rStyle w:val="260"/>
          <w:rFonts w:hint="eastAsia" w:ascii="宋体" w:hAnsi="宋体" w:eastAsia="宋体" w:cs="宋体"/>
          <w:b/>
          <w:bCs/>
          <w:i w:val="0"/>
          <w:caps w:val="0"/>
          <w:color w:val="auto"/>
          <w:spacing w:val="0"/>
          <w:w w:val="100"/>
          <w:kern w:val="2"/>
          <w:position w:val="0"/>
          <w:sz w:val="52"/>
          <w:szCs w:val="52"/>
          <w:highlight w:val="none"/>
          <w:u w:val="single"/>
          <w:lang w:val="en-US" w:eastAsia="zh-CN" w:bidi="ar-SA"/>
        </w:rPr>
        <w:t xml:space="preserve">                     </w:t>
      </w:r>
      <w:r>
        <w:rPr>
          <w:rStyle w:val="260"/>
          <w:rFonts w:hint="eastAsia" w:ascii="宋体" w:hAnsi="宋体" w:eastAsia="宋体" w:cs="宋体"/>
          <w:b/>
          <w:bCs/>
          <w:i w:val="0"/>
          <w:caps w:val="0"/>
          <w:color w:val="auto"/>
          <w:spacing w:val="0"/>
          <w:w w:val="100"/>
          <w:kern w:val="2"/>
          <w:position w:val="0"/>
          <w:sz w:val="52"/>
          <w:szCs w:val="52"/>
          <w:highlight w:val="none"/>
          <w:lang w:val="en-US" w:eastAsia="zh-CN" w:bidi="ar-SA"/>
        </w:rPr>
        <w:t xml:space="preserve"> （项目名称）</w:t>
      </w:r>
    </w:p>
    <w:p w14:paraId="3F83187A">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pPr>
    </w:p>
    <w:p w14:paraId="31FAC0AE">
      <w:pPr>
        <w:pStyle w:val="263"/>
        <w:pageBreakBefore w:val="0"/>
        <w:kinsoku/>
        <w:wordWrap/>
        <w:overflowPunct/>
        <w:topLinePunct w:val="0"/>
        <w:bidi w:val="0"/>
        <w:snapToGrid/>
        <w:spacing w:before="0" w:beforeAutospacing="0" w:after="0" w:afterAutospacing="0" w:line="360" w:lineRule="auto"/>
        <w:ind w:firstLine="1680" w:firstLineChars="600"/>
        <w:jc w:val="both"/>
        <w:textAlignment w:val="baseline"/>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pPr>
      <w:r>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t xml:space="preserve">     项目编号：</w:t>
      </w:r>
      <w:r>
        <w:rPr>
          <w:rStyle w:val="260"/>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p>
    <w:p w14:paraId="6A488E6B">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AFC7261">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584D0246">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41312445">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513BC70">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i w:val="0"/>
          <w:caps w:val="0"/>
          <w:color w:val="auto"/>
          <w:spacing w:val="0"/>
          <w:w w:val="100"/>
          <w:kern w:val="2"/>
          <w:position w:val="0"/>
          <w:sz w:val="72"/>
          <w:szCs w:val="72"/>
          <w:highlight w:val="none"/>
          <w:lang w:val="en-US" w:eastAsia="zh-CN" w:bidi="ar-SA"/>
        </w:rPr>
      </w:pPr>
      <w:r>
        <w:rPr>
          <w:rStyle w:val="260"/>
          <w:rFonts w:hint="eastAsia" w:ascii="宋体" w:hAnsi="宋体" w:eastAsia="宋体" w:cs="宋体"/>
          <w:b/>
          <w:i w:val="0"/>
          <w:caps w:val="0"/>
          <w:color w:val="auto"/>
          <w:spacing w:val="0"/>
          <w:w w:val="100"/>
          <w:kern w:val="2"/>
          <w:position w:val="0"/>
          <w:sz w:val="72"/>
          <w:szCs w:val="72"/>
          <w:highlight w:val="none"/>
          <w:lang w:val="en-US" w:eastAsia="zh-CN" w:bidi="ar-SA"/>
        </w:rPr>
        <w:t>投标文件</w:t>
      </w:r>
    </w:p>
    <w:p w14:paraId="76C5ECEE">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E85D72F">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CC3858E">
      <w:pPr>
        <w:pStyle w:val="263"/>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6BD31BA4">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7E5A78A7">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40C1D40C">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128E0CEB">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i w:val="0"/>
          <w:caps w:val="0"/>
          <w:color w:val="auto"/>
          <w:spacing w:val="0"/>
          <w:w w:val="100"/>
          <w:kern w:val="2"/>
          <w:position w:val="0"/>
          <w:sz w:val="24"/>
          <w:szCs w:val="24"/>
          <w:highlight w:val="none"/>
          <w:lang w:val="en-US" w:eastAsia="zh-CN" w:bidi="ar-SA"/>
        </w:rPr>
      </w:pPr>
    </w:p>
    <w:p w14:paraId="1D6AA7DF">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t>供应商</w:t>
      </w:r>
      <w:r>
        <w:rPr>
          <w:rStyle w:val="260"/>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t>（盖章）</w:t>
      </w:r>
    </w:p>
    <w:p w14:paraId="6AC8844A">
      <w:pPr>
        <w:pStyle w:val="108"/>
        <w:pageBreakBefore w:val="0"/>
        <w:kinsoku/>
        <w:wordWrap/>
        <w:overflowPunct/>
        <w:topLinePunct w:val="0"/>
        <w:bidi w:val="0"/>
        <w:spacing w:line="360" w:lineRule="auto"/>
        <w:jc w:val="center"/>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lang w:val="en-US" w:eastAsia="zh-CN"/>
        </w:rPr>
        <w:t xml:space="preserve">        </w:t>
      </w:r>
      <w:r>
        <w:rPr>
          <w:rFonts w:hint="eastAsia" w:ascii="宋体" w:hAnsi="宋体" w:eastAsia="宋体" w:cs="宋体"/>
          <w:color w:val="auto"/>
          <w:spacing w:val="0"/>
          <w:position w:val="0"/>
          <w:sz w:val="28"/>
          <w:szCs w:val="28"/>
          <w:highlight w:val="none"/>
        </w:rPr>
        <w:t>法定代表人</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（签字或盖章）</w:t>
      </w:r>
    </w:p>
    <w:p w14:paraId="58A1CDCA">
      <w:pPr>
        <w:pStyle w:val="263"/>
        <w:pageBreakBefore w:val="0"/>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t>日期</w:t>
      </w:r>
      <w:r>
        <w:rPr>
          <w:rStyle w:val="260"/>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8"/>
          <w:szCs w:val="28"/>
          <w:highlight w:val="none"/>
          <w:lang w:val="en-US" w:eastAsia="zh-CN" w:bidi="ar-SA"/>
        </w:rPr>
        <w:t>（年/月/日）</w:t>
      </w:r>
    </w:p>
    <w:p w14:paraId="6F522F5A">
      <w:pPr>
        <w:pStyle w:val="264"/>
        <w:pageBreakBefore w:val="0"/>
        <w:widowControl/>
        <w:kinsoku/>
        <w:wordWrap/>
        <w:overflowPunct/>
        <w:topLinePunct w:val="0"/>
        <w:bidi w:val="0"/>
        <w:snapToGrid/>
        <w:spacing w:before="0" w:beforeAutospacing="0" w:after="0" w:afterAutospacing="0" w:line="240" w:lineRule="auto"/>
        <w:jc w:val="center"/>
        <w:textAlignment w:val="baseline"/>
        <w:rPr>
          <w:rStyle w:val="260"/>
          <w:rFonts w:hint="eastAsia" w:ascii="宋体" w:hAnsi="宋体" w:eastAsia="宋体" w:cs="宋体"/>
          <w:b/>
          <w:i w:val="0"/>
          <w:caps w:val="0"/>
          <w:color w:val="auto"/>
          <w:spacing w:val="0"/>
          <w:w w:val="100"/>
          <w:position w:val="0"/>
          <w:sz w:val="32"/>
          <w:szCs w:val="24"/>
          <w:highlight w:val="none"/>
          <w:lang w:val="en-US" w:eastAsia="zh-CN" w:bidi="ar-SA"/>
        </w:rPr>
      </w:pPr>
    </w:p>
    <w:p w14:paraId="1C3BDE19">
      <w:pPr>
        <w:pStyle w:val="264"/>
        <w:pageBreakBefore w:val="0"/>
        <w:widowControl/>
        <w:kinsoku/>
        <w:wordWrap/>
        <w:overflowPunct/>
        <w:topLinePunct w:val="0"/>
        <w:bidi w:val="0"/>
        <w:snapToGrid/>
        <w:spacing w:before="0" w:beforeAutospacing="0" w:after="0" w:afterAutospacing="0" w:line="240" w:lineRule="auto"/>
        <w:jc w:val="center"/>
        <w:textAlignment w:val="baseline"/>
        <w:rPr>
          <w:rStyle w:val="260"/>
          <w:rFonts w:hint="eastAsia" w:ascii="宋体" w:hAnsi="宋体" w:eastAsia="宋体" w:cs="宋体"/>
          <w:b/>
          <w:i w:val="0"/>
          <w:caps w:val="0"/>
          <w:color w:val="auto"/>
          <w:spacing w:val="0"/>
          <w:w w:val="100"/>
          <w:position w:val="0"/>
          <w:sz w:val="28"/>
          <w:szCs w:val="28"/>
          <w:highlight w:val="none"/>
          <w:lang w:eastAsia="zh-CN" w:bidi="ar-SA"/>
        </w:rPr>
      </w:pPr>
      <w:bookmarkStart w:id="128" w:name="_Toc10702"/>
    </w:p>
    <w:p w14:paraId="32BCE34E">
      <w:pPr>
        <w:pStyle w:val="264"/>
        <w:pageBreakBefore w:val="0"/>
        <w:widowControl/>
        <w:kinsoku/>
        <w:wordWrap/>
        <w:overflowPunct/>
        <w:topLinePunct w:val="0"/>
        <w:bidi w:val="0"/>
        <w:snapToGrid/>
        <w:spacing w:before="0" w:beforeAutospacing="0" w:after="0" w:afterAutospacing="0" w:line="240" w:lineRule="auto"/>
        <w:jc w:val="center"/>
        <w:textAlignment w:val="baseline"/>
        <w:outlineLvl w:val="0"/>
        <w:rPr>
          <w:rStyle w:val="260"/>
          <w:rFonts w:hint="eastAsia" w:ascii="宋体" w:hAnsi="宋体" w:eastAsia="宋体" w:cs="宋体"/>
          <w:b/>
          <w:i w:val="0"/>
          <w:caps w:val="0"/>
          <w:color w:val="auto"/>
          <w:spacing w:val="0"/>
          <w:w w:val="100"/>
          <w:position w:val="0"/>
          <w:sz w:val="28"/>
          <w:szCs w:val="28"/>
          <w:highlight w:val="none"/>
          <w:lang w:eastAsia="zh-CN" w:bidi="ar-SA"/>
        </w:rPr>
      </w:pPr>
      <w:bookmarkStart w:id="129" w:name="_Toc9725"/>
      <w:r>
        <w:rPr>
          <w:rStyle w:val="260"/>
          <w:rFonts w:hint="eastAsia" w:ascii="宋体" w:hAnsi="宋体" w:eastAsia="宋体" w:cs="宋体"/>
          <w:b/>
          <w:i w:val="0"/>
          <w:caps w:val="0"/>
          <w:color w:val="auto"/>
          <w:spacing w:val="0"/>
          <w:w w:val="100"/>
          <w:position w:val="0"/>
          <w:sz w:val="28"/>
          <w:szCs w:val="28"/>
          <w:highlight w:val="none"/>
          <w:lang w:eastAsia="zh-CN" w:bidi="ar-SA"/>
        </w:rPr>
        <w:t>目录</w:t>
      </w:r>
    </w:p>
    <w:p w14:paraId="772CA6F6">
      <w:pPr>
        <w:pStyle w:val="264"/>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260"/>
          <w:rFonts w:hint="eastAsia" w:ascii="宋体" w:hAnsi="宋体" w:eastAsia="宋体" w:cs="宋体"/>
          <w:b/>
          <w:i w:val="0"/>
          <w:caps w:val="0"/>
          <w:color w:val="auto"/>
          <w:spacing w:val="0"/>
          <w:w w:val="100"/>
          <w:position w:val="0"/>
          <w:sz w:val="24"/>
          <w:szCs w:val="24"/>
          <w:highlight w:val="none"/>
          <w:lang w:eastAsia="zh-CN" w:bidi="ar-SA"/>
        </w:rPr>
      </w:pPr>
    </w:p>
    <w:p w14:paraId="3398374D">
      <w:pPr>
        <w:pStyle w:val="264"/>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260"/>
          <w:rFonts w:hint="default"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24"/>
          <w:szCs w:val="24"/>
          <w:highlight w:val="none"/>
          <w:lang w:eastAsia="zh-CN" w:bidi="ar-SA"/>
        </w:rPr>
        <w:t>一</w:t>
      </w:r>
      <w:r>
        <w:rPr>
          <w:rStyle w:val="260"/>
          <w:rFonts w:hint="eastAsia" w:ascii="宋体" w:hAnsi="宋体" w:eastAsia="宋体" w:cs="宋体"/>
          <w:b/>
          <w:i w:val="0"/>
          <w:caps w:val="0"/>
          <w:color w:val="auto"/>
          <w:spacing w:val="0"/>
          <w:w w:val="100"/>
          <w:position w:val="0"/>
          <w:sz w:val="24"/>
          <w:szCs w:val="24"/>
          <w:highlight w:val="none"/>
          <w:lang w:val="en-US" w:eastAsia="zh-CN" w:bidi="ar-SA"/>
        </w:rPr>
        <w:t>.</w:t>
      </w:r>
      <w:r>
        <w:rPr>
          <w:rStyle w:val="260"/>
          <w:rFonts w:hint="eastAsia" w:ascii="宋体" w:hAnsi="宋体" w:eastAsia="宋体" w:cs="宋体"/>
          <w:b/>
          <w:i w:val="0"/>
          <w:caps w:val="0"/>
          <w:color w:val="auto"/>
          <w:spacing w:val="0"/>
          <w:w w:val="100"/>
          <w:position w:val="0"/>
          <w:sz w:val="24"/>
          <w:szCs w:val="24"/>
          <w:highlight w:val="none"/>
          <w:lang w:bidi="ar-SA"/>
        </w:rPr>
        <w:t>资格审查材料</w:t>
      </w:r>
      <w:bookmarkEnd w:id="128"/>
      <w:bookmarkEnd w:id="129"/>
      <w:r>
        <w:rPr>
          <w:rStyle w:val="260"/>
          <w:rFonts w:hint="eastAsia" w:ascii="宋体" w:hAnsi="宋体" w:eastAsia="宋体" w:cs="宋体"/>
          <w:b/>
          <w:i w:val="0"/>
          <w:caps w:val="0"/>
          <w:color w:val="auto"/>
          <w:spacing w:val="0"/>
          <w:w w:val="100"/>
          <w:position w:val="0"/>
          <w:sz w:val="24"/>
          <w:szCs w:val="24"/>
          <w:highlight w:val="none"/>
          <w:lang w:val="en-US" w:eastAsia="zh-CN" w:bidi="ar-SA"/>
        </w:rPr>
        <w:t>........................................................</w:t>
      </w:r>
    </w:p>
    <w:p w14:paraId="4AD95315">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7FE83777">
      <w:pPr>
        <w:pStyle w:val="26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default" w:ascii="宋体" w:hAnsi="宋体" w:eastAsia="宋体" w:cs="宋体"/>
          <w:b/>
          <w:bCs/>
          <w:i w:val="0"/>
          <w:caps w:val="0"/>
          <w:color w:val="auto"/>
          <w:spacing w:val="0"/>
          <w:w w:val="100"/>
          <w:kern w:val="0"/>
          <w:position w:val="0"/>
          <w:sz w:val="24"/>
          <w:szCs w:val="24"/>
          <w:highlight w:val="none"/>
          <w:lang w:val="en-US" w:eastAsia="zh-CN" w:bidi="ar-SA"/>
        </w:rPr>
      </w:pPr>
      <w:r>
        <w:rPr>
          <w:rFonts w:hint="eastAsia" w:ascii="宋体" w:hAnsi="宋体" w:eastAsia="宋体" w:cs="宋体"/>
          <w:b/>
          <w:bCs/>
          <w:i w:val="0"/>
          <w:caps w:val="0"/>
          <w:color w:val="auto"/>
          <w:spacing w:val="0"/>
          <w:w w:val="100"/>
          <w:kern w:val="0"/>
          <w:position w:val="0"/>
          <w:sz w:val="24"/>
          <w:szCs w:val="24"/>
          <w:lang w:val="en-US" w:eastAsia="zh-CN" w:bidi="ar-SA"/>
        </w:rPr>
        <w:t>二、</w:t>
      </w: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商务文件.............................................................</w:t>
      </w:r>
    </w:p>
    <w:p w14:paraId="04ABD062">
      <w:pPr>
        <w:pStyle w:val="26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6DBFF3B9">
      <w:pPr>
        <w:pStyle w:val="26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default" w:ascii="宋体" w:hAnsi="宋体" w:eastAsia="宋体" w:cs="宋体"/>
          <w:b/>
          <w:bCs/>
          <w:i w:val="0"/>
          <w:caps w:val="0"/>
          <w:color w:val="auto"/>
          <w:spacing w:val="0"/>
          <w:w w:val="100"/>
          <w:kern w:val="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三、服务文件..............................................................</w:t>
      </w:r>
    </w:p>
    <w:p w14:paraId="7676E991">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须提供以下资料：</w:t>
      </w:r>
    </w:p>
    <w:p w14:paraId="01E413C2">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t>1</w:t>
      </w:r>
      <w:r>
        <w:rPr>
          <w:rStyle w:val="260"/>
          <w:rFonts w:hint="eastAsia" w:ascii="宋体" w:hAnsi="宋体" w:cs="宋体"/>
          <w:b/>
          <w:bCs/>
          <w:i w:val="0"/>
          <w:caps w:val="0"/>
          <w:color w:val="auto"/>
          <w:spacing w:val="0"/>
          <w:w w:val="100"/>
          <w:kern w:val="2"/>
          <w:position w:val="0"/>
          <w:sz w:val="24"/>
          <w:szCs w:val="24"/>
          <w:highlight w:val="none"/>
          <w:lang w:val="en-US" w:eastAsia="zh-CN" w:bidi="ar-SA"/>
        </w:rPr>
        <w:t>.</w:t>
      </w:r>
      <w:r>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t>具有独立承担民事责任的能力</w:t>
      </w:r>
      <w:r>
        <w:rPr>
          <w:rStyle w:val="260"/>
          <w:rFonts w:hint="eastAsia" w:ascii="宋体" w:hAnsi="宋体" w:eastAsia="宋体" w:cs="宋体"/>
          <w:b w:val="0"/>
          <w:bCs w:val="0"/>
          <w:i w:val="0"/>
          <w:caps w:val="0"/>
          <w:color w:val="auto"/>
          <w:spacing w:val="0"/>
          <w:w w:val="100"/>
          <w:kern w:val="2"/>
          <w:position w:val="0"/>
          <w:sz w:val="24"/>
          <w:szCs w:val="24"/>
          <w:highlight w:val="none"/>
          <w:lang w:val="en-US" w:eastAsia="zh-CN" w:bidi="ar-SA"/>
        </w:rPr>
        <w:t>如投标人是企业，应提供在工商部门注册有效的营业执照；如投标人是事业单位，应提供有效的事业单位法人证书；投标人为非企业专业服务机构的，应提供执业许可证等证明文件；如投标人是个体工商户，应提供有效的个体工商户营业执照；如投标人是自然人，应提供有效的自然人身份证明。</w:t>
      </w:r>
    </w:p>
    <w:p w14:paraId="21D27E20">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390019D6">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6CC43CFC">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t>2</w:t>
      </w:r>
      <w:r>
        <w:rPr>
          <w:rStyle w:val="260"/>
          <w:rFonts w:hint="eastAsia" w:ascii="宋体" w:hAnsi="宋体" w:cs="宋体"/>
          <w:b/>
          <w:bCs/>
          <w:i w:val="0"/>
          <w:caps w:val="0"/>
          <w:color w:val="auto"/>
          <w:spacing w:val="0"/>
          <w:w w:val="100"/>
          <w:kern w:val="2"/>
          <w:position w:val="0"/>
          <w:sz w:val="24"/>
          <w:szCs w:val="24"/>
          <w:highlight w:val="none"/>
          <w:lang w:val="en-US" w:eastAsia="zh-CN" w:bidi="ar-SA"/>
        </w:rPr>
        <w:t>.</w:t>
      </w:r>
      <w:r>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t>具有良好的商业信誉和健全的财务会计制度</w:t>
      </w:r>
      <w:r>
        <w:rPr>
          <w:rStyle w:val="260"/>
          <w:rFonts w:hint="eastAsia" w:ascii="宋体" w:hAnsi="宋体" w:eastAsia="宋体" w:cs="宋体"/>
          <w:b w:val="0"/>
          <w:bCs w:val="0"/>
          <w:i w:val="0"/>
          <w:caps w:val="0"/>
          <w:color w:val="auto"/>
          <w:spacing w:val="0"/>
          <w:w w:val="100"/>
          <w:kern w:val="2"/>
          <w:position w:val="0"/>
          <w:sz w:val="24"/>
          <w:szCs w:val="24"/>
          <w:highlight w:val="none"/>
          <w:lang w:val="en-US" w:eastAsia="zh-CN" w:bidi="ar-SA"/>
        </w:rPr>
        <w:t>（须提供近两年度（任意一年）经审计的财务审计报告（报告中须包括资产负债表、利润表、现金流量表等），或其基本银行在开标日期前三个月内开具的资信证明）；</w:t>
      </w:r>
    </w:p>
    <w:p w14:paraId="6330364A">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59565F95">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750B9BFD">
      <w:pPr>
        <w:pStyle w:val="269"/>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position w:val="0"/>
          <w:sz w:val="24"/>
          <w:szCs w:val="24"/>
          <w:highlight w:val="none"/>
          <w:lang w:bidi="ar-SA"/>
        </w:rPr>
      </w:pPr>
      <w:r>
        <w:rPr>
          <w:rStyle w:val="260"/>
          <w:rFonts w:hint="eastAsia" w:ascii="宋体" w:hAnsi="宋体" w:cs="宋体"/>
          <w:b/>
          <w:bCs/>
          <w:i w:val="0"/>
          <w:caps w:val="0"/>
          <w:color w:val="auto"/>
          <w:spacing w:val="0"/>
          <w:w w:val="100"/>
          <w:kern w:val="2"/>
          <w:position w:val="0"/>
          <w:sz w:val="24"/>
          <w:szCs w:val="24"/>
          <w:highlight w:val="none"/>
          <w:lang w:val="en-US" w:eastAsia="zh-CN" w:bidi="ar-SA"/>
        </w:rPr>
        <w:t>3.</w:t>
      </w:r>
      <w:r>
        <w:rPr>
          <w:rStyle w:val="260"/>
          <w:rFonts w:hint="eastAsia" w:ascii="宋体" w:hAnsi="宋体" w:eastAsia="宋体" w:cs="宋体"/>
          <w:b/>
          <w:bCs/>
          <w:i w:val="0"/>
          <w:caps w:val="0"/>
          <w:color w:val="auto"/>
          <w:spacing w:val="0"/>
          <w:w w:val="100"/>
          <w:position w:val="0"/>
          <w:sz w:val="24"/>
          <w:szCs w:val="24"/>
          <w:highlight w:val="none"/>
          <w:lang w:bidi="ar-SA"/>
        </w:rPr>
        <w:t>具有履行合同所必需的设备和专业技术能力</w:t>
      </w:r>
    </w:p>
    <w:p w14:paraId="2B90375B">
      <w:pPr>
        <w:pStyle w:val="269"/>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bCs/>
          <w:i w:val="0"/>
          <w:caps w:val="0"/>
          <w:color w:val="auto"/>
          <w:spacing w:val="0"/>
          <w:w w:val="100"/>
          <w:position w:val="0"/>
          <w:sz w:val="24"/>
          <w:szCs w:val="24"/>
          <w:highlight w:val="none"/>
          <w:lang w:eastAsia="zh-CN" w:bidi="ar-SA"/>
        </w:rPr>
        <w:t>（提供履行合同所必需的设备和专业技术能力的书面声明）；</w:t>
      </w:r>
    </w:p>
    <w:p w14:paraId="641025A8">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260"/>
          <w:rFonts w:hint="default"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声明书</w:t>
      </w:r>
    </w:p>
    <w:p w14:paraId="65F8896C">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240" w:firstLineChars="100"/>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本供应商郑重声明：</w:t>
      </w:r>
    </w:p>
    <w:p w14:paraId="33C1CA96">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5129A4FF">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47105F45">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9DE69D5">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000E4B5E">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7B240423">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6AD97B1A">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56726774">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63E5D54A">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42C897B3">
      <w:pPr>
        <w:keepNext w:val="0"/>
        <w:keepLines w:val="0"/>
        <w:widowControl/>
        <w:suppressLineNumbers w:val="0"/>
        <w:jc w:val="left"/>
        <w:rPr>
          <w:rStyle w:val="260"/>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2"/>
          <w:position w:val="0"/>
          <w:sz w:val="24"/>
          <w:szCs w:val="24"/>
          <w:highlight w:val="none"/>
          <w:lang w:val="en-US" w:eastAsia="zh-CN" w:bidi="ar-SA"/>
        </w:rPr>
        <w:t>4、有依法缴纳税收和社会保障资金的良好记录</w:t>
      </w:r>
      <w:r>
        <w:rPr>
          <w:rFonts w:hint="eastAsia" w:ascii="宋体" w:hAnsi="宋体" w:eastAsia="宋体" w:cs="宋体"/>
          <w:color w:val="000000"/>
          <w:kern w:val="0"/>
          <w:sz w:val="24"/>
          <w:szCs w:val="24"/>
          <w:lang w:val="en-US" w:eastAsia="zh-CN" w:bidi="ar"/>
        </w:rPr>
        <w:t>提供近半年内任意一月依法缴纳税收证明，当月新成立公司不需提供；无需纳税或免税的也需提供相应证明材料；提供依法缴纳社会保障资金证明（近半年内任意一月缴纳社会保障资金证明，当月新成立公司不需提供）</w:t>
      </w:r>
      <w:r>
        <w:rPr>
          <w:rStyle w:val="260"/>
          <w:rFonts w:hint="eastAsia" w:ascii="宋体" w:hAnsi="宋体" w:eastAsia="宋体" w:cs="宋体"/>
          <w:b w:val="0"/>
          <w:bCs w:val="0"/>
          <w:i w:val="0"/>
          <w:caps w:val="0"/>
          <w:color w:val="auto"/>
          <w:spacing w:val="0"/>
          <w:w w:val="100"/>
          <w:kern w:val="2"/>
          <w:position w:val="0"/>
          <w:sz w:val="24"/>
          <w:szCs w:val="24"/>
          <w:highlight w:val="none"/>
          <w:lang w:val="en-US" w:eastAsia="zh-CN" w:bidi="ar-SA"/>
        </w:rPr>
        <w:t>。</w:t>
      </w:r>
    </w:p>
    <w:p w14:paraId="689CF992">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4BB521F8">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18B458FE">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351D8755">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5、参加政府采购活动前三年内，在经营活动中没有重大违法记录</w:t>
      </w: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（提供参加政府采购活动前三年内，在经营活动中没有重大违法记录的书面声明）； </w:t>
      </w:r>
    </w:p>
    <w:p w14:paraId="35598D33">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书面声明格式：</w:t>
      </w:r>
    </w:p>
    <w:p w14:paraId="2C2EC9AE">
      <w:pPr>
        <w:pStyle w:val="269"/>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p>
    <w:p w14:paraId="6C06FD24">
      <w:pPr>
        <w:pStyle w:val="269"/>
        <w:rPr>
          <w:rStyle w:val="260"/>
          <w:rFonts w:hint="default"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cs="宋体"/>
          <w:b w:val="0"/>
          <w:i w:val="0"/>
          <w:caps w:val="0"/>
          <w:color w:val="auto"/>
          <w:spacing w:val="0"/>
          <w:w w:val="100"/>
          <w:kern w:val="0"/>
          <w:position w:val="0"/>
          <w:sz w:val="24"/>
          <w:szCs w:val="24"/>
          <w:highlight w:val="none"/>
          <w:lang w:val="en-US" w:eastAsia="zh-CN" w:bidi="ar-SA"/>
        </w:rPr>
        <w:t xml:space="preserve">                                声明书</w:t>
      </w:r>
    </w:p>
    <w:p w14:paraId="58D6C43F">
      <w:pPr>
        <w:pStyle w:val="269"/>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p>
    <w:p w14:paraId="017443BA">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我单位郑重声明： </w:t>
      </w:r>
    </w:p>
    <w:p w14:paraId="48347AE8">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060BA76B">
      <w:pPr>
        <w:pStyle w:val="2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63AC8F20">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58DB4A9E">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50D258F6">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6BDD938F">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日期：年月日</w:t>
      </w:r>
    </w:p>
    <w:p w14:paraId="3F1C6855">
      <w:pPr>
        <w:pStyle w:val="26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566F98BE">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72087747">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084E82B">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4136B641">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F41EE68">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2CC7823">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4AFC962D">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0D4274FE">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6F7A066">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6C245B98">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C8929C5">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C68BBB9">
      <w:pPr>
        <w:pStyle w:val="27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6413C22">
      <w:pPr>
        <w:pStyle w:val="273"/>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sectPr>
          <w:pgSz w:w="11906" w:h="16838"/>
          <w:pgMar w:top="1134" w:right="1134" w:bottom="1134" w:left="1134" w:header="851" w:footer="992" w:gutter="0"/>
          <w:pgNumType w:fmt="decimal"/>
          <w:cols w:space="720" w:num="1"/>
          <w:titlePg/>
          <w:rtlGutter w:val="0"/>
          <w:docGrid w:linePitch="312" w:charSpace="0"/>
        </w:sectPr>
      </w:pPr>
      <w:r>
        <w:rPr>
          <w:rStyle w:val="260"/>
          <w:rFonts w:hint="eastAsia" w:ascii="宋体" w:hAnsi="宋体" w:eastAsia="宋体" w:cs="宋体"/>
          <w:b/>
          <w:i w:val="0"/>
          <w:caps w:val="0"/>
          <w:color w:val="auto"/>
          <w:spacing w:val="0"/>
          <w:w w:val="100"/>
          <w:position w:val="0"/>
          <w:sz w:val="32"/>
          <w:szCs w:val="24"/>
          <w:highlight w:val="none"/>
          <w:lang w:bidi="ar-SA"/>
        </w:rPr>
        <w:br w:type="page"/>
      </w:r>
    </w:p>
    <w:p w14:paraId="5A98B605">
      <w:pPr>
        <w:pStyle w:val="273"/>
        <w:pageBreakBefore w:val="0"/>
        <w:widowControl/>
        <w:kinsoku/>
        <w:wordWrap/>
        <w:overflowPunct/>
        <w:topLinePunct w:val="0"/>
        <w:bidi w:val="0"/>
        <w:snapToGrid/>
        <w:spacing w:before="0" w:beforeAutospacing="0" w:after="0" w:afterAutospacing="0" w:line="240" w:lineRule="auto"/>
        <w:jc w:val="both"/>
        <w:textAlignment w:val="baseline"/>
        <w:rPr>
          <w:rStyle w:val="260"/>
          <w:rFonts w:hint="default" w:ascii="宋体" w:hAnsi="宋体" w:eastAsia="宋体" w:cs="宋体"/>
          <w:b w:val="0"/>
          <w:bCs/>
          <w:i w:val="0"/>
          <w:caps w:val="0"/>
          <w:color w:val="auto"/>
          <w:spacing w:val="0"/>
          <w:w w:val="10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r>
        <w:rPr>
          <w:rStyle w:val="260"/>
          <w:rFonts w:hint="eastAsia" w:ascii="宋体" w:hAnsi="宋体" w:eastAsia="宋体" w:cs="宋体"/>
          <w:b/>
          <w:i w:val="0"/>
          <w:caps w:val="0"/>
          <w:color w:val="auto"/>
          <w:spacing w:val="0"/>
          <w:w w:val="100"/>
          <w:position w:val="0"/>
          <w:sz w:val="24"/>
          <w:szCs w:val="24"/>
          <w:highlight w:val="none"/>
          <w:lang w:val="en-US" w:eastAsia="zh-CN" w:bidi="ar-SA"/>
        </w:rPr>
        <w:t>6.财务状况报告</w:t>
      </w:r>
      <w:r>
        <w:rPr>
          <w:rStyle w:val="260"/>
          <w:rFonts w:hint="eastAsia" w:ascii="宋体" w:hAnsi="宋体" w:eastAsia="宋体" w:cs="宋体"/>
          <w:b w:val="0"/>
          <w:bCs/>
          <w:i w:val="0"/>
          <w:caps w:val="0"/>
          <w:color w:val="auto"/>
          <w:spacing w:val="0"/>
          <w:w w:val="100"/>
          <w:position w:val="0"/>
          <w:sz w:val="24"/>
          <w:szCs w:val="24"/>
          <w:highlight w:val="none"/>
          <w:lang w:val="en-US" w:eastAsia="zh-CN" w:bidi="ar-SA"/>
        </w:rPr>
        <w:t>具有良好的商业信誉和健全的财务会计制度（须提供近两年度（任意一年）经审计的完整的财务审计报告复印件，或银行在开标日期前三个月内开具的资信证明）</w:t>
      </w:r>
    </w:p>
    <w:p w14:paraId="65324B4E">
      <w:pPr>
        <w:bidi w:val="0"/>
        <w:rPr>
          <w:rStyle w:val="260"/>
          <w:rFonts w:hint="default" w:ascii="宋体" w:hAnsi="宋体" w:eastAsia="宋体" w:cs="宋体"/>
          <w:b w:val="0"/>
          <w:bCs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7.提供无重大违法记录声明书</w:t>
      </w:r>
      <w:r>
        <w:rPr>
          <w:rStyle w:val="260"/>
          <w:rFonts w:hint="eastAsia" w:ascii="宋体" w:hAnsi="宋体" w:eastAsia="宋体" w:cs="宋体"/>
          <w:b w:val="0"/>
          <w:bCs w:val="0"/>
          <w:i w:val="0"/>
          <w:caps w:val="0"/>
          <w:color w:val="auto"/>
          <w:spacing w:val="0"/>
          <w:w w:val="100"/>
          <w:kern w:val="0"/>
          <w:position w:val="0"/>
          <w:sz w:val="24"/>
          <w:szCs w:val="24"/>
          <w:highlight w:val="none"/>
          <w:lang w:val="en-US" w:eastAsia="zh-CN" w:bidi="ar-SA"/>
        </w:rPr>
        <w:t>提供具有履行合同所必需的设备和专业技术能力相关证明材料或声明函</w:t>
      </w:r>
    </w:p>
    <w:p w14:paraId="115F51BA">
      <w:pPr>
        <w:bidi w:val="0"/>
        <w:rPr>
          <w:rStyle w:val="260"/>
          <w:rFonts w:hint="eastAsia" w:ascii="宋体" w:hAnsi="宋体" w:eastAsia="宋体" w:cs="宋体"/>
          <w:b/>
          <w:i w:val="0"/>
          <w:caps w:val="0"/>
          <w:color w:val="auto"/>
          <w:spacing w:val="0"/>
          <w:w w:val="100"/>
          <w:position w:val="0"/>
          <w:sz w:val="32"/>
          <w:szCs w:val="24"/>
          <w:highlight w:val="none"/>
          <w:lang w:bidi="ar-SA"/>
        </w:rPr>
      </w:pPr>
    </w:p>
    <w:p w14:paraId="0835F4CB">
      <w:pPr>
        <w:bidi w:val="0"/>
        <w:rPr>
          <w:rStyle w:val="260"/>
          <w:rFonts w:hint="eastAsia" w:ascii="宋体" w:hAnsi="宋体" w:eastAsia="宋体" w:cs="宋体"/>
          <w:b/>
          <w:i w:val="0"/>
          <w:caps w:val="0"/>
          <w:color w:val="auto"/>
          <w:spacing w:val="0"/>
          <w:w w:val="100"/>
          <w:position w:val="0"/>
          <w:sz w:val="32"/>
          <w:szCs w:val="24"/>
          <w:highlight w:val="none"/>
          <w:lang w:bidi="ar-SA"/>
        </w:rPr>
        <w:sectPr>
          <w:pgSz w:w="11906" w:h="16838"/>
          <w:pgMar w:top="1134" w:right="1134" w:bottom="1134" w:left="1134" w:header="851" w:footer="992" w:gutter="0"/>
          <w:pgNumType w:fmt="decimal"/>
          <w:cols w:space="720" w:num="1"/>
          <w:titlePg/>
          <w:rtlGutter w:val="0"/>
          <w:docGrid w:linePitch="312" w:charSpace="0"/>
        </w:sectPr>
      </w:pPr>
    </w:p>
    <w:p w14:paraId="31501823">
      <w:pPr>
        <w:bidi w:val="0"/>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8.（1）单位负责人为同一人或者存在直接控股、管理关系的不同供应商不得参加本项目的投标； （2）供应商未列入过“信用中国”网站（www.creditchina.gov.cn）失信被执行人、重大税收违法案件当事人名单、中国政府采购网（www.ccgp.gov.cn）政府采购严重违法失信行为记录名单的供应商</w:t>
      </w:r>
    </w:p>
    <w:p w14:paraId="0E93BBE4">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0F35530">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274023AC">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348E533">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33FBE341">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6ED8615E">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7FAD38A">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547B590">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56AB3169">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42397CF6">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49EE1CE9">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26D46F19">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658384A">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5C383168">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31AE24F">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2494A38E">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27F7BF6">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554D9135">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578BC32">
      <w:pPr>
        <w:pStyle w:val="274"/>
        <w:rPr>
          <w:rFonts w:hint="eastAsia"/>
          <w:lang w:val="en-US" w:eastAsia="zh-CN"/>
        </w:rPr>
      </w:pPr>
    </w:p>
    <w:p w14:paraId="18D09847">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1E242C61">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297E77C4">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EACBA9E">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CEF17A2">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DEEEF01">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F9EB2BE">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6A1902BB">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ABE6018">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3C7A9F54">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33D0FAF2">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27EFF85">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050FA2A3">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6B6D16CA">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60C5A3E8">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40A52857">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4D692BDF">
      <w:pPr>
        <w:bidi w:val="0"/>
        <w:rPr>
          <w:rStyle w:val="260"/>
          <w:rFonts w:hint="eastAsia" w:ascii="宋体" w:hAnsi="宋体" w:eastAsia="宋体" w:cs="宋体"/>
          <w:b/>
          <w:i w:val="0"/>
          <w:caps w:val="0"/>
          <w:color w:val="auto"/>
          <w:spacing w:val="0"/>
          <w:w w:val="100"/>
          <w:kern w:val="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583554F6">
      <w:pPr>
        <w:pageBreakBefore w:val="0"/>
        <w:kinsoku/>
        <w:wordWrap/>
        <w:topLinePunct w:val="0"/>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rPr>
        <w:t>工程、服务</w:t>
      </w:r>
      <w:r>
        <w:rPr>
          <w:rFonts w:hint="eastAsia" w:ascii="宋体" w:hAnsi="宋体" w:cs="宋体"/>
          <w:b/>
          <w:color w:val="auto"/>
          <w:sz w:val="32"/>
          <w:szCs w:val="32"/>
          <w:highlight w:val="none"/>
          <w:lang w:eastAsia="zh-CN"/>
        </w:rPr>
        <w:t>）</w:t>
      </w:r>
    </w:p>
    <w:p w14:paraId="2929A5AC">
      <w:pPr>
        <w:pStyle w:val="2"/>
        <w:pageBreakBefore w:val="0"/>
        <w:kinsoku/>
        <w:wordWrap/>
        <w:topLinePunct w:val="0"/>
        <w:bidi w:val="0"/>
        <w:spacing w:line="360" w:lineRule="auto"/>
        <w:rPr>
          <w:rFonts w:hint="eastAsia"/>
          <w:color w:val="auto"/>
          <w:highlight w:val="none"/>
        </w:rPr>
      </w:pPr>
    </w:p>
    <w:p w14:paraId="176790B1">
      <w:pPr>
        <w:pageBreakBefore w:val="0"/>
        <w:kinsoku/>
        <w:wordWrap/>
        <w:topLinePunct w:val="0"/>
        <w:bidi w:val="0"/>
        <w:snapToGrid w:val="0"/>
        <w:spacing w:line="360" w:lineRule="auto"/>
        <w:ind w:firstLine="480" w:firstLineChars="200"/>
        <w:rPr>
          <w:rFonts w:hint="eastAsia"/>
          <w:color w:val="auto"/>
          <w:highlight w:val="none"/>
        </w:rPr>
      </w:pPr>
      <w:r>
        <w:rPr>
          <w:rFonts w:hint="eastAsia" w:ascii="宋体" w:hAnsi="宋体" w:eastAsia="宋体" w:cs="宋体"/>
          <w:i w:val="0"/>
          <w:iCs w:val="0"/>
          <w:color w:val="auto"/>
          <w:sz w:val="24"/>
          <w:szCs w:val="24"/>
          <w:highlight w:val="none"/>
        </w:rPr>
        <w:t>本公司（联合体）郑重声明，根据《政府采购促进中小企业发展管理办法》（财库</w:t>
      </w:r>
      <w:r>
        <w:rPr>
          <w:rFonts w:hint="eastAsia" w:ascii="宋体" w:hAnsi="宋体" w:cs="宋体"/>
          <w:i w:val="0"/>
          <w:iCs w:val="0"/>
          <w:color w:val="auto"/>
          <w:sz w:val="24"/>
          <w:szCs w:val="24"/>
          <w:highlight w:val="none"/>
          <w:lang w:eastAsia="zh-CN"/>
        </w:rPr>
        <w:t>〔2020〕46号</w:t>
      </w:r>
      <w:r>
        <w:rPr>
          <w:rFonts w:hint="eastAsia" w:ascii="宋体" w:hAnsi="宋体" w:eastAsia="宋体" w:cs="宋体"/>
          <w:i w:val="0"/>
          <w:iCs w:val="0"/>
          <w:color w:val="auto"/>
          <w:sz w:val="24"/>
          <w:szCs w:val="24"/>
          <w:highlight w:val="none"/>
        </w:rPr>
        <w:t>）的规定，本公司（联合体）参加</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4461D29">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w:t>
      </w:r>
      <w:r>
        <w:rPr>
          <w:rStyle w:val="52"/>
          <w:rFonts w:hint="eastAsia" w:ascii="宋体" w:hAnsi="宋体" w:eastAsia="宋体" w:cs="宋体"/>
          <w:i w:val="0"/>
          <w:iCs w:val="0"/>
          <w:color w:val="auto"/>
          <w:sz w:val="24"/>
          <w:szCs w:val="24"/>
          <w:highlight w:val="none"/>
        </w:rPr>
        <w:footnoteReference w:id="0"/>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526F5860">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 </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66000FD6">
      <w:pPr>
        <w:pageBreakBefore w:val="0"/>
        <w:kinsoku/>
        <w:wordWrap/>
        <w:topLinePunct w:val="0"/>
        <w:bidi w:val="0"/>
        <w:snapToGrid w:val="0"/>
        <w:spacing w:line="360" w:lineRule="auto"/>
        <w:ind w:firstLine="480" w:firstLineChars="200"/>
        <w:rPr>
          <w:rFonts w:hint="eastAsia"/>
          <w:color w:val="auto"/>
          <w:highlight w:val="none"/>
        </w:rPr>
      </w:pPr>
      <w:r>
        <w:rPr>
          <w:rFonts w:hint="eastAsia" w:ascii="宋体" w:hAnsi="宋体" w:eastAsia="宋体" w:cs="宋体"/>
          <w:i w:val="0"/>
          <w:iCs w:val="0"/>
          <w:color w:val="auto"/>
          <w:sz w:val="24"/>
          <w:szCs w:val="24"/>
          <w:highlight w:val="none"/>
        </w:rPr>
        <w:t>……</w:t>
      </w:r>
    </w:p>
    <w:p w14:paraId="72C97BDC">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以上企业，不属于大企业的分支机构，不存在控股股东为大企业的情形，也不存在与大企业的负责人为同一人的情形。</w:t>
      </w:r>
    </w:p>
    <w:p w14:paraId="22FD7BC6">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本企业对上述声明内容的真实性负责。如有虚假，将依法承担相应责任。</w:t>
      </w:r>
    </w:p>
    <w:p w14:paraId="5BC15C12">
      <w:pPr>
        <w:pageBreakBefore w:val="0"/>
        <w:kinsoku/>
        <w:wordWrap/>
        <w:topLinePunct w:val="0"/>
        <w:bidi w:val="0"/>
        <w:snapToGrid w:val="0"/>
        <w:spacing w:line="360" w:lineRule="auto"/>
        <w:rPr>
          <w:rFonts w:hint="eastAsia" w:ascii="宋体" w:hAnsi="宋体" w:eastAsia="宋体" w:cs="宋体"/>
          <w:i w:val="0"/>
          <w:iCs w:val="0"/>
          <w:color w:val="auto"/>
          <w:sz w:val="24"/>
          <w:szCs w:val="24"/>
          <w:highlight w:val="none"/>
        </w:rPr>
      </w:pPr>
    </w:p>
    <w:p w14:paraId="0DD24C56">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企业名称（盖章）：</w:t>
      </w:r>
    </w:p>
    <w:p w14:paraId="6DC67393">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日期：</w:t>
      </w:r>
    </w:p>
    <w:p w14:paraId="07972685">
      <w:pPr>
        <w:pStyle w:val="80"/>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p>
    <w:p w14:paraId="67421B60">
      <w:pPr>
        <w:pStyle w:val="80"/>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w:t>
      </w:r>
    </w:p>
    <w:p w14:paraId="42099515">
      <w:pPr>
        <w:pStyle w:val="80"/>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1、从业人员、营业收入、资产总额填报上一年度数据，无上一年度数据的新成立企业可不填报。</w:t>
      </w:r>
    </w:p>
    <w:p w14:paraId="2C4D9631">
      <w:pPr>
        <w:pageBreakBefore w:val="0"/>
        <w:widowControl/>
        <w:kinsoku/>
        <w:overflowPunct/>
        <w:bidi w:val="0"/>
        <w:spacing w:line="440" w:lineRule="exact"/>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position w:val="0"/>
          <w:sz w:val="24"/>
          <w:szCs w:val="24"/>
          <w:highlight w:val="none"/>
        </w:rPr>
        <w:t>2、</w:t>
      </w:r>
      <w:r>
        <w:rPr>
          <w:rFonts w:hint="eastAsia" w:ascii="宋体" w:hAnsi="宋体" w:eastAsia="宋体" w:cs="宋体"/>
          <w:color w:val="auto"/>
          <w:spacing w:val="0"/>
          <w:kern w:val="0"/>
          <w:position w:val="0"/>
          <w:sz w:val="24"/>
          <w:szCs w:val="24"/>
          <w:highlight w:val="none"/>
        </w:rPr>
        <w:t>若为监狱企业或残疾人企业，须提供监狱企业或残疾人企业声明函（格式自拟）</w:t>
      </w:r>
    </w:p>
    <w:p w14:paraId="32DF95B2">
      <w:pPr>
        <w:pStyle w:val="80"/>
        <w:keepNext w:val="0"/>
        <w:keepLines w:val="0"/>
        <w:pageBreakBefore w:val="0"/>
        <w:tabs>
          <w:tab w:val="left" w:pos="-120"/>
        </w:tabs>
        <w:kinsoku/>
        <w:wordWrap/>
        <w:overflowPunct/>
        <w:topLinePunct w:val="0"/>
        <w:autoSpaceDE/>
        <w:autoSpaceDN/>
        <w:bidi w:val="0"/>
        <w:adjustRightInd/>
        <w:snapToGrid/>
        <w:spacing w:line="440" w:lineRule="exact"/>
        <w:ind w:right="0" w:firstLine="0" w:firstLineChars="0"/>
        <w:rPr>
          <w:rStyle w:val="260"/>
          <w:rFonts w:hint="eastAsia" w:ascii="宋体" w:hAnsi="宋体" w:eastAsia="宋体" w:cs="宋体"/>
          <w:b/>
          <w:i w:val="0"/>
          <w:caps w:val="0"/>
          <w:color w:val="auto"/>
          <w:spacing w:val="0"/>
          <w:w w:val="100"/>
          <w:position w:val="0"/>
          <w:sz w:val="32"/>
          <w:szCs w:val="24"/>
          <w:highlight w:val="none"/>
          <w:lang w:bidi="ar-SA"/>
        </w:rPr>
      </w:pPr>
      <w:r>
        <w:rPr>
          <w:rFonts w:hint="eastAsia" w:ascii="宋体" w:hAnsi="宋体" w:eastAsia="宋体" w:cs="宋体"/>
          <w:color w:val="auto"/>
          <w:spacing w:val="0"/>
          <w:kern w:val="0"/>
          <w:position w:val="0"/>
          <w:sz w:val="24"/>
          <w:szCs w:val="24"/>
          <w:highlight w:val="none"/>
        </w:rPr>
        <w:t>3、中标的供应商的《中小微企业声明函》将作为中标结果公告一并公示。</w:t>
      </w:r>
    </w:p>
    <w:p w14:paraId="68EF0CFA">
      <w:pPr>
        <w:pStyle w:val="264"/>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260"/>
          <w:rFonts w:hint="eastAsia" w:ascii="宋体" w:hAnsi="宋体" w:eastAsia="宋体" w:cs="宋体"/>
          <w:b/>
          <w:i w:val="0"/>
          <w:caps w:val="0"/>
          <w:color w:val="auto"/>
          <w:spacing w:val="0"/>
          <w:w w:val="100"/>
          <w:position w:val="0"/>
          <w:sz w:val="28"/>
          <w:szCs w:val="28"/>
          <w:highlight w:val="none"/>
          <w:lang w:eastAsia="zh-CN" w:bidi="ar-SA"/>
        </w:rPr>
        <w:sectPr>
          <w:pgSz w:w="11906" w:h="16838"/>
          <w:pgMar w:top="1134" w:right="1134" w:bottom="1134" w:left="1134" w:header="851" w:footer="992" w:gutter="0"/>
          <w:pgNumType w:fmt="decimal"/>
          <w:cols w:space="720" w:num="1"/>
          <w:titlePg/>
          <w:rtlGutter w:val="0"/>
          <w:docGrid w:linePitch="312" w:charSpace="0"/>
        </w:sectPr>
      </w:pPr>
      <w:bookmarkStart w:id="130" w:name="_Toc19840"/>
      <w:bookmarkStart w:id="131" w:name="_Toc13781"/>
    </w:p>
    <w:p w14:paraId="31060B33">
      <w:pPr>
        <w:pStyle w:val="264"/>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260"/>
          <w:rFonts w:hint="eastAsia" w:ascii="宋体" w:hAnsi="宋体" w:eastAsia="宋体" w:cs="宋体"/>
          <w:b/>
          <w:i w:val="0"/>
          <w:caps w:val="0"/>
          <w:color w:val="auto"/>
          <w:spacing w:val="0"/>
          <w:w w:val="100"/>
          <w:position w:val="0"/>
          <w:sz w:val="28"/>
          <w:szCs w:val="28"/>
          <w:highlight w:val="none"/>
          <w:lang w:eastAsia="zh-CN" w:bidi="ar-SA"/>
        </w:rPr>
      </w:pPr>
      <w:r>
        <w:rPr>
          <w:rStyle w:val="260"/>
          <w:rFonts w:hint="eastAsia" w:ascii="宋体" w:hAnsi="宋体" w:eastAsia="宋体" w:cs="宋体"/>
          <w:b/>
          <w:i w:val="0"/>
          <w:caps w:val="0"/>
          <w:color w:val="auto"/>
          <w:spacing w:val="0"/>
          <w:w w:val="100"/>
          <w:position w:val="0"/>
          <w:sz w:val="28"/>
          <w:szCs w:val="28"/>
          <w:highlight w:val="none"/>
          <w:lang w:eastAsia="zh-CN" w:bidi="ar-SA"/>
        </w:rPr>
        <w:t>二、商务文件</w:t>
      </w:r>
      <w:bookmarkEnd w:id="130"/>
      <w:bookmarkEnd w:id="131"/>
    </w:p>
    <w:p w14:paraId="6EB69865">
      <w:pPr>
        <w:pStyle w:val="265"/>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24"/>
          <w:szCs w:val="24"/>
          <w:highlight w:val="none"/>
          <w:lang w:val="en-US" w:eastAsia="zh-CN" w:bidi="ar-SA"/>
        </w:rPr>
        <w:t>2.1投标函</w:t>
      </w:r>
    </w:p>
    <w:p w14:paraId="523AF1AE">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w:t>
      </w:r>
    </w:p>
    <w:p w14:paraId="6B17DFAA">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(供应商名称)授权</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(供应商授权代理人姓名)</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(职务、职称)为我方代表，参加贵方组织的</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(标项名称、项目编号)招标的有关活动，并对此项目进行投标。为此：</w:t>
      </w:r>
    </w:p>
    <w:p w14:paraId="2BE144B7">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1、我方同意在本项目招标文件中规定的投标有效期内遵守本投标文件中的承诺且在此期限期满之前均具有约束力。</w:t>
      </w:r>
    </w:p>
    <w:p w14:paraId="2927D62B">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2、我方承诺已经具备《中华人民共和国政府采购法》中规定的参加政府采购活动的供应商应当具备的条件：</w:t>
      </w:r>
    </w:p>
    <w:p w14:paraId="5EA43D3C">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1）具有独立承担民事责任的能力；</w:t>
      </w:r>
    </w:p>
    <w:p w14:paraId="0BCAD2E3">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2）具有良好的商业信誉和健全的财务会计制度；</w:t>
      </w:r>
    </w:p>
    <w:p w14:paraId="6E411D00">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3）具有履行合同所必需的设备和专业技术能力；</w:t>
      </w:r>
    </w:p>
    <w:p w14:paraId="07158310">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4）有依法缴纳税收和社会保障资金的良好记录；</w:t>
      </w:r>
    </w:p>
    <w:p w14:paraId="4A5F208E">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5）参加此项采购活动前三年内，在经营活动中没有重大违法记录；</w:t>
      </w:r>
    </w:p>
    <w:p w14:paraId="18B79F05">
      <w:pPr>
        <w:pStyle w:val="279"/>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6）法律、行政法规规定的其他条件。</w:t>
      </w:r>
    </w:p>
    <w:p w14:paraId="2173DE86">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3、提供供应商须知规定的全部投标文件。</w:t>
      </w:r>
    </w:p>
    <w:p w14:paraId="22D52BA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4、按招标文件要求提供和交付的货物及相关服务的投标报价详见开标一览表。</w:t>
      </w:r>
    </w:p>
    <w:p w14:paraId="5661F943">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5、保证忠实地执行双方所签订的合同，并承担合同规定的责任和义务。</w:t>
      </w:r>
    </w:p>
    <w:p w14:paraId="3F67F37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6、我方承诺完全满足和响应招标文件中的各项技术和服务要求，若有偏差，已在投标文件偏离表中予以明确特别说明。</w:t>
      </w:r>
    </w:p>
    <w:p w14:paraId="3C82B66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7、我方承诺：完全理解投标报价若超过项目预算时，投标将被拒绝。</w:t>
      </w:r>
    </w:p>
    <w:p w14:paraId="0CD5173C">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8、我方承诺：与在本项目中设计编制技术规格的机构及其附属机构无任何直接隶属关系和利益关联。</w:t>
      </w:r>
    </w:p>
    <w:p w14:paraId="5FD6F5B3">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9、如果在开标后规定的投标有效期内撤回投标，我方的投标保证金可被贵方没收。</w:t>
      </w:r>
    </w:p>
    <w:p w14:paraId="20537A1D">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10、我方完全理解贵方不一定接受最低价的投标或收到的任何投标。</w:t>
      </w:r>
    </w:p>
    <w:p w14:paraId="126777E5">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11、我方承诺：投标文件所提供的一切资料及政采云交易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11CC87FF">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12、我方已详细审核全部投标文件，包括投标文件修改书（如有的话）、参考资料及有关附件，确认无误。</w:t>
      </w:r>
    </w:p>
    <w:p w14:paraId="05A4BE1A">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13、我方承诺：采购人若需追加采购本项目招标文件所列货物及相关服务的，在不改变合同其他实质性条款的前提下，按相同或更优惠的折扣率保证供货。</w:t>
      </w:r>
    </w:p>
    <w:p w14:paraId="577549F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14、我方承诺：如所报货物属国家强制认证产品的，均已通过认证且在有效期内，否则，由此产生的一切法律责任由我方承担。</w:t>
      </w:r>
    </w:p>
    <w:p w14:paraId="42B4714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15、我方承诺：接受招标文件中的全部条款且无任何异议，保证遵守招标文件的规定。</w:t>
      </w:r>
    </w:p>
    <w:p w14:paraId="5DD88AC1">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A086F20">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1）提供虚假材料谋取中标、成交的；</w:t>
      </w:r>
    </w:p>
    <w:p w14:paraId="1E8CE7F8">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2）采取不正当手段诋毁、排挤其他供应商的；</w:t>
      </w:r>
    </w:p>
    <w:p w14:paraId="49C8EAE2">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3）与采购人、其他供应商或者采购代理机构工作人员恶意串通的；</w:t>
      </w:r>
    </w:p>
    <w:p w14:paraId="1552B4F4">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4）向采购人、采购代理机构工作人员行贿或者提供其他不正当利益的；</w:t>
      </w:r>
    </w:p>
    <w:p w14:paraId="65A6A4DF">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5）在采购过程中与采购人进行协商谈判的；</w:t>
      </w:r>
    </w:p>
    <w:p w14:paraId="61D3216B">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2"/>
          <w:position w:val="0"/>
          <w:sz w:val="21"/>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6）拒绝有关部门监督检查或提供虚假情况的。</w:t>
      </w:r>
    </w:p>
    <w:p w14:paraId="58CDDB63">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与本投标有关的一切往来通讯请寄：</w:t>
      </w:r>
    </w:p>
    <w:p w14:paraId="636C6125">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地址：____________</w:t>
      </w:r>
    </w:p>
    <w:p w14:paraId="598AF756">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邮编：____________　</w:t>
      </w:r>
    </w:p>
    <w:p w14:paraId="00523B85">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电话：____________　</w:t>
      </w:r>
    </w:p>
    <w:p w14:paraId="03C72B93">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传真：____________</w:t>
      </w:r>
    </w:p>
    <w:p w14:paraId="2DD3C85F">
      <w:pPr>
        <w:pStyle w:val="278"/>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供应商法定代表人或授权代理人联系电话，e-mail：</w:t>
      </w:r>
      <w:r>
        <w:rPr>
          <w:rStyle w:val="260"/>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p>
    <w:p w14:paraId="493421BF">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p>
    <w:p w14:paraId="293B8E05">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1C07D9EB">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18388957">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  年  月  日</w:t>
      </w:r>
    </w:p>
    <w:p w14:paraId="17230451">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5137C3E2">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p w14:paraId="72FE8B8D">
      <w:pPr>
        <w:pStyle w:val="278"/>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260"/>
          <w:rFonts w:hint="eastAsia" w:ascii="宋体" w:hAnsi="宋体" w:eastAsia="宋体" w:cs="宋体"/>
          <w:b/>
          <w:i w:val="0"/>
          <w:caps w:val="0"/>
          <w:color w:val="auto"/>
          <w:spacing w:val="0"/>
          <w:w w:val="100"/>
          <w:kern w:val="0"/>
          <w:position w:val="0"/>
          <w:sz w:val="24"/>
          <w:szCs w:val="24"/>
          <w:highlight w:val="none"/>
          <w:lang w:val="en-US" w:eastAsia="zh-CN" w:bidi="ar-SA"/>
        </w:rPr>
        <w:t>说明：除可填报项目外，对本投标函的任何修改将被视为非实质性响应投标，从而导致该投标被拒绝。</w:t>
      </w:r>
    </w:p>
    <w:p w14:paraId="1BA8D476">
      <w:pPr>
        <w:pStyle w:val="265"/>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p>
    <w:p w14:paraId="13EE5DE8">
      <w:pPr>
        <w:pStyle w:val="265"/>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24"/>
          <w:szCs w:val="24"/>
          <w:highlight w:val="none"/>
          <w:lang w:val="en-US" w:eastAsia="zh-CN" w:bidi="ar-SA"/>
        </w:rPr>
        <w:t>2.2法定代表人身份证明及授权委托书</w:t>
      </w:r>
    </w:p>
    <w:p w14:paraId="3A3204DD">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0"/>
          <w:position w:val="0"/>
          <w:sz w:val="24"/>
          <w:szCs w:val="24"/>
          <w:highlight w:val="none"/>
          <w:lang w:eastAsia="zh-CN" w:bidi="ar-SA"/>
        </w:rPr>
      </w:pPr>
      <w:r>
        <w:rPr>
          <w:rStyle w:val="260"/>
          <w:rFonts w:hint="eastAsia" w:ascii="宋体" w:hAnsi="宋体" w:eastAsia="宋体" w:cs="宋体"/>
          <w:b w:val="0"/>
          <w:i w:val="0"/>
          <w:caps w:val="0"/>
          <w:color w:val="auto"/>
          <w:spacing w:val="0"/>
          <w:w w:val="100"/>
          <w:kern w:val="0"/>
          <w:position w:val="0"/>
          <w:sz w:val="24"/>
          <w:szCs w:val="24"/>
          <w:highlight w:val="none"/>
          <w:lang w:bidi="ar-SA"/>
        </w:rPr>
        <w:t>法定代表人资格证明文件</w:t>
      </w:r>
    </w:p>
    <w:p w14:paraId="42EC5273">
      <w:pPr>
        <w:pStyle w:val="281"/>
        <w:pageBreakBefore w:val="0"/>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（代理机构名称）</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750C5DF8">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兹有</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cs="宋体"/>
          <w:b w:val="0"/>
          <w:i w:val="0"/>
          <w:caps w:val="0"/>
          <w:color w:val="auto"/>
          <w:spacing w:val="0"/>
          <w:w w:val="100"/>
          <w:kern w:val="2"/>
          <w:position w:val="0"/>
          <w:sz w:val="24"/>
          <w:szCs w:val="24"/>
          <w:highlight w:val="none"/>
          <w:u w:val="single" w:color="000000"/>
          <w:lang w:val="en-US" w:eastAsia="zh-CN" w:bidi="ar-SA"/>
        </w:rPr>
        <w:t>（姓名）</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为</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cs="宋体"/>
          <w:b w:val="0"/>
          <w:i w:val="0"/>
          <w:caps w:val="0"/>
          <w:color w:val="auto"/>
          <w:spacing w:val="0"/>
          <w:w w:val="100"/>
          <w:kern w:val="2"/>
          <w:position w:val="0"/>
          <w:sz w:val="24"/>
          <w:szCs w:val="24"/>
          <w:highlight w:val="none"/>
          <w:u w:val="single" w:color="000000"/>
          <w:lang w:val="en-US" w:eastAsia="zh-CN" w:bidi="ar-SA"/>
        </w:rPr>
        <w:t>（单位名称）</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法定代表人，代表我公司办理一切社会公务事宜，具有法律效力。 </w:t>
      </w:r>
    </w:p>
    <w:p w14:paraId="6F11C2A7">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附法定代表人基本情况： </w:t>
      </w:r>
    </w:p>
    <w:p w14:paraId="1CF1A942">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姓名：</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性别：</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年龄：</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职务：</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59A08779">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身份证号码：</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7638E030">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通讯地址：</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73FA1D56">
      <w:pPr>
        <w:pStyle w:val="281"/>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电话号码：</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邮政编码：</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138AFC5">
      <w:pPr>
        <w:pStyle w:val="281"/>
        <w:pageBreakBefore w:val="0"/>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tbl>
      <w:tblPr>
        <w:tblStyle w:val="44"/>
        <w:tblW w:w="68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04"/>
      </w:tblGrid>
      <w:tr w14:paraId="1F5AFD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8" w:hRule="atLeast"/>
          <w:jc w:val="center"/>
        </w:trPr>
        <w:tc>
          <w:tcPr>
            <w:tcW w:w="6804" w:type="dxa"/>
            <w:tcBorders>
              <w:top w:val="single" w:color="000000" w:sz="4" w:space="0"/>
              <w:left w:val="single" w:color="000000" w:sz="4" w:space="0"/>
              <w:bottom w:val="single" w:color="000000" w:sz="4" w:space="0"/>
              <w:right w:val="single" w:color="000000" w:sz="4" w:space="0"/>
            </w:tcBorders>
            <w:noWrap w:val="0"/>
            <w:vAlign w:val="top"/>
          </w:tcPr>
          <w:p w14:paraId="4AE1B759">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69640BF">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B7AB8F1">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法定代表人身份证正反面</w:t>
            </w:r>
          </w:p>
        </w:tc>
      </w:tr>
    </w:tbl>
    <w:p w14:paraId="7914F022">
      <w:pPr>
        <w:pStyle w:val="281"/>
        <w:pageBreakBefore w:val="0"/>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9694FD9">
      <w:pPr>
        <w:pStyle w:val="281"/>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ab/>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2C944C37">
      <w:pPr>
        <w:pStyle w:val="281"/>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3B6939B">
      <w:pPr>
        <w:pStyle w:val="281"/>
        <w:pageBreakBefore w:val="0"/>
        <w:tabs>
          <w:tab w:val="left" w:pos="750"/>
        </w:tabs>
        <w:kinsoku/>
        <w:wordWrap/>
        <w:overflowPunct/>
        <w:topLinePunct w:val="0"/>
        <w:bidi w:val="0"/>
        <w:snapToGrid w:val="0"/>
        <w:spacing w:before="0" w:beforeAutospacing="0" w:after="0" w:afterAutospacing="0" w:line="500" w:lineRule="exact"/>
        <w:ind w:firstLine="720" w:firstLineChars="3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法定代表人（签字或盖章） ：</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6014A08">
      <w:pPr>
        <w:pStyle w:val="281"/>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4FEE9DD8">
      <w:pPr>
        <w:pStyle w:val="281"/>
        <w:pageBreakBefore w:val="0"/>
        <w:tabs>
          <w:tab w:val="left" w:pos="750"/>
        </w:tabs>
        <w:kinsoku/>
        <w:wordWrap/>
        <w:overflowPunct/>
        <w:topLinePunct w:val="0"/>
        <w:bidi w:val="0"/>
        <w:snapToGrid w:val="0"/>
        <w:spacing w:before="0" w:beforeAutospacing="0" w:after="0" w:afterAutospacing="0" w:line="500" w:lineRule="exact"/>
        <w:ind w:firstLine="720" w:firstLineChars="3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50D344E9">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i w:val="0"/>
          <w:caps w:val="0"/>
          <w:color w:val="auto"/>
          <w:spacing w:val="0"/>
          <w:w w:val="100"/>
          <w:kern w:val="0"/>
          <w:position w:val="0"/>
          <w:sz w:val="28"/>
          <w:szCs w:val="28"/>
          <w:highlight w:val="none"/>
          <w:lang w:eastAsia="zh-CN" w:bidi="ar-SA"/>
        </w:rPr>
      </w:pPr>
      <w:r>
        <w:rPr>
          <w:rStyle w:val="260"/>
          <w:rFonts w:hint="eastAsia" w:ascii="宋体" w:hAnsi="宋体" w:eastAsia="宋体" w:cs="宋体"/>
          <w:b/>
          <w:i w:val="0"/>
          <w:caps w:val="0"/>
          <w:color w:val="auto"/>
          <w:spacing w:val="0"/>
          <w:w w:val="100"/>
          <w:kern w:val="0"/>
          <w:position w:val="0"/>
          <w:sz w:val="28"/>
          <w:szCs w:val="28"/>
          <w:highlight w:val="none"/>
          <w:lang w:bidi="ar-SA"/>
        </w:rPr>
        <w:t xml:space="preserve"> </w:t>
      </w:r>
    </w:p>
    <w:p w14:paraId="0BA6205B">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i w:val="0"/>
          <w:caps w:val="0"/>
          <w:color w:val="auto"/>
          <w:spacing w:val="0"/>
          <w:w w:val="100"/>
          <w:kern w:val="0"/>
          <w:position w:val="0"/>
          <w:sz w:val="28"/>
          <w:szCs w:val="28"/>
          <w:highlight w:val="none"/>
          <w:lang w:eastAsia="zh-CN" w:bidi="ar-SA"/>
        </w:rPr>
      </w:pPr>
    </w:p>
    <w:p w14:paraId="44483986">
      <w:pPr>
        <w:pStyle w:val="281"/>
        <w:pageBreakBefore w:val="0"/>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val="0"/>
          <w:i w:val="0"/>
          <w:caps w:val="0"/>
          <w:color w:val="auto"/>
          <w:spacing w:val="0"/>
          <w:w w:val="100"/>
          <w:kern w:val="2"/>
          <w:position w:val="0"/>
          <w:sz w:val="28"/>
          <w:szCs w:val="22"/>
          <w:highlight w:val="none"/>
          <w:lang w:val="en-US" w:eastAsia="zh-CN" w:bidi="ar-SA"/>
        </w:rPr>
      </w:pPr>
    </w:p>
    <w:p w14:paraId="1553556D">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i w:val="0"/>
          <w:caps w:val="0"/>
          <w:color w:val="auto"/>
          <w:spacing w:val="0"/>
          <w:w w:val="100"/>
          <w:kern w:val="0"/>
          <w:position w:val="0"/>
          <w:sz w:val="28"/>
          <w:szCs w:val="28"/>
          <w:highlight w:val="none"/>
          <w:lang w:eastAsia="zh-CN" w:bidi="ar-SA"/>
        </w:rPr>
      </w:pPr>
    </w:p>
    <w:p w14:paraId="6B126F53">
      <w:pPr>
        <w:pStyle w:val="281"/>
        <w:rPr>
          <w:rFonts w:hint="eastAsia"/>
          <w:lang w:eastAsia="zh-CN"/>
        </w:rPr>
      </w:pPr>
    </w:p>
    <w:p w14:paraId="2ED925E0">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0"/>
          <w:position w:val="0"/>
          <w:sz w:val="28"/>
          <w:szCs w:val="28"/>
          <w:highlight w:val="none"/>
          <w:lang w:bidi="ar-SA"/>
        </w:rPr>
        <w:sectPr>
          <w:pgSz w:w="11906" w:h="16838"/>
          <w:pgMar w:top="1134" w:right="1134" w:bottom="1134" w:left="1134" w:header="851" w:footer="992" w:gutter="0"/>
          <w:pgNumType w:fmt="decimal"/>
          <w:cols w:space="720" w:num="1"/>
          <w:titlePg/>
          <w:rtlGutter w:val="0"/>
          <w:docGrid w:linePitch="312" w:charSpace="0"/>
        </w:sectPr>
      </w:pPr>
    </w:p>
    <w:p w14:paraId="64939A23">
      <w:pPr>
        <w:pStyle w:val="280"/>
        <w:pageBreakBefore w:val="0"/>
        <w:widowControl/>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0"/>
          <w:position w:val="0"/>
          <w:sz w:val="24"/>
          <w:szCs w:val="24"/>
          <w:highlight w:val="none"/>
          <w:lang w:bidi="ar-SA"/>
        </w:rPr>
      </w:pPr>
      <w:r>
        <w:rPr>
          <w:rStyle w:val="260"/>
          <w:rFonts w:hint="eastAsia" w:ascii="宋体" w:hAnsi="宋体" w:eastAsia="宋体" w:cs="宋体"/>
          <w:b w:val="0"/>
          <w:i w:val="0"/>
          <w:caps w:val="0"/>
          <w:color w:val="auto"/>
          <w:spacing w:val="0"/>
          <w:w w:val="100"/>
          <w:kern w:val="0"/>
          <w:position w:val="0"/>
          <w:sz w:val="28"/>
          <w:szCs w:val="28"/>
          <w:highlight w:val="none"/>
          <w:lang w:bidi="ar-SA"/>
        </w:rPr>
        <w:t xml:space="preserve"> </w:t>
      </w:r>
      <w:r>
        <w:rPr>
          <w:rStyle w:val="260"/>
          <w:rFonts w:hint="eastAsia" w:ascii="宋体" w:hAnsi="宋体" w:eastAsia="宋体" w:cs="宋体"/>
          <w:b/>
          <w:bCs/>
          <w:i w:val="0"/>
          <w:caps w:val="0"/>
          <w:color w:val="auto"/>
          <w:spacing w:val="0"/>
          <w:w w:val="100"/>
          <w:kern w:val="0"/>
          <w:position w:val="0"/>
          <w:sz w:val="24"/>
          <w:szCs w:val="24"/>
          <w:highlight w:val="none"/>
          <w:lang w:bidi="ar-SA"/>
        </w:rPr>
        <w:t>法定代表人授权书</w:t>
      </w:r>
    </w:p>
    <w:p w14:paraId="1F6DE056">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（代理机构名称）</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6773DAE4">
      <w:pPr>
        <w:pStyle w:val="281"/>
        <w:pageBreakBefore w:val="0"/>
        <w:kinsoku/>
        <w:wordWrap/>
        <w:overflowPunct/>
        <w:topLinePunct w:val="0"/>
        <w:bidi w:val="0"/>
        <w:snapToGrid/>
        <w:spacing w:before="0" w:beforeAutospacing="0" w:after="0" w:afterAutospacing="0" w:line="500" w:lineRule="exact"/>
        <w:ind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兹授权</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同志为我公司参加贵单位组织的编号为</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（项目编号）</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的</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（项目名称）</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采购活动的投标代表人，全权代表我公司处理在该项目采购活动中的一切事宜。代理期限从</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日起至</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日止。 </w:t>
      </w:r>
    </w:p>
    <w:p w14:paraId="08BD5D50">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供应商（盖章）：</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D1AEE37">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法定代表人（签字或盖章）：</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21BFD6A">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签发日期：</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3DCEF78A">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附：</w:t>
      </w:r>
    </w:p>
    <w:p w14:paraId="06A29536">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代理人工作单位：</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DF09C49">
      <w:pPr>
        <w:pStyle w:val="281"/>
        <w:pageBreakBefore w:val="0"/>
        <w:kinsoku/>
        <w:wordWrap/>
        <w:overflowPunct/>
        <w:topLinePunct w:val="0"/>
        <w:bidi w:val="0"/>
        <w:snapToGrid/>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职务：</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性别：</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D88A624">
      <w:pPr>
        <w:pStyle w:val="281"/>
        <w:pageBreakBefore w:val="0"/>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身份证号码：</w:t>
      </w:r>
      <w:r>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tbl>
      <w:tblPr>
        <w:tblStyle w:val="44"/>
        <w:tblW w:w="64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460"/>
      </w:tblGrid>
      <w:tr w14:paraId="7E44E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88" w:hRule="atLeast"/>
          <w:jc w:val="center"/>
        </w:trPr>
        <w:tc>
          <w:tcPr>
            <w:tcW w:w="6460" w:type="dxa"/>
            <w:tcBorders>
              <w:top w:val="single" w:color="000000" w:sz="4" w:space="0"/>
              <w:left w:val="single" w:color="000000" w:sz="4" w:space="0"/>
              <w:bottom w:val="single" w:color="000000" w:sz="4" w:space="0"/>
              <w:right w:val="single" w:color="000000" w:sz="4" w:space="0"/>
            </w:tcBorders>
            <w:noWrap w:val="0"/>
            <w:vAlign w:val="top"/>
          </w:tcPr>
          <w:p w14:paraId="129887C4">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58DB42A">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A3A0134">
            <w:pPr>
              <w:pStyle w:val="281"/>
              <w:pageBreakBefore w:val="0"/>
              <w:kinsoku/>
              <w:wordWrap/>
              <w:overflowPunct/>
              <w:topLinePunct w:val="0"/>
              <w:bidi w:val="0"/>
              <w:snapToGrid w:val="0"/>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法定代表人身份证正反面</w:t>
            </w:r>
          </w:p>
        </w:tc>
      </w:tr>
    </w:tbl>
    <w:p w14:paraId="1A0B1113">
      <w:pPr>
        <w:pStyle w:val="281"/>
        <w:pageBreakBefore w:val="0"/>
        <w:kinsoku/>
        <w:wordWrap/>
        <w:overflowPunct/>
        <w:topLinePunct w:val="0"/>
        <w:bidi w:val="0"/>
        <w:snapToGrid w:val="0"/>
        <w:spacing w:before="0" w:beforeAutospacing="0" w:after="0" w:afterAutospacing="0" w:line="50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p>
    <w:tbl>
      <w:tblPr>
        <w:tblStyle w:val="44"/>
        <w:tblW w:w="64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499"/>
      </w:tblGrid>
      <w:tr w14:paraId="1DB2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2" w:hRule="atLeast"/>
          <w:jc w:val="center"/>
        </w:trPr>
        <w:tc>
          <w:tcPr>
            <w:tcW w:w="6499" w:type="dxa"/>
            <w:tcBorders>
              <w:top w:val="single" w:color="000000" w:sz="4" w:space="0"/>
              <w:left w:val="single" w:color="000000" w:sz="4" w:space="0"/>
              <w:bottom w:val="single" w:color="000000" w:sz="4" w:space="0"/>
              <w:right w:val="single" w:color="000000" w:sz="4" w:space="0"/>
            </w:tcBorders>
            <w:noWrap w:val="0"/>
            <w:vAlign w:val="center"/>
          </w:tcPr>
          <w:p w14:paraId="55BD11F6">
            <w:pPr>
              <w:pStyle w:val="281"/>
              <w:pageBreakBefore w:val="0"/>
              <w:kinsoku/>
              <w:wordWrap/>
              <w:overflowPunct/>
              <w:topLinePunct w:val="0"/>
              <w:bidi w:val="0"/>
              <w:snapToGrid/>
              <w:spacing w:before="0" w:beforeAutospacing="0" w:after="0" w:afterAutospacing="0" w:line="500" w:lineRule="exact"/>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委托代理人身份证正反面</w:t>
            </w:r>
          </w:p>
        </w:tc>
      </w:tr>
    </w:tbl>
    <w:p w14:paraId="5692F047">
      <w:pPr>
        <w:pStyle w:val="282"/>
        <w:pageBreakBefore w:val="0"/>
        <w:widowControl/>
        <w:kinsoku/>
        <w:wordWrap/>
        <w:overflowPunct/>
        <w:topLinePunct w:val="0"/>
        <w:bidi w:val="0"/>
        <w:snapToGrid/>
        <w:spacing w:before="0" w:beforeAutospacing="0" w:after="0" w:afterAutospacing="0" w:line="240" w:lineRule="auto"/>
        <w:jc w:val="center"/>
        <w:textAlignment w:val="baseline"/>
        <w:rPr>
          <w:rStyle w:val="260"/>
          <w:rFonts w:hint="eastAsia" w:ascii="宋体" w:hAnsi="宋体" w:eastAsia="宋体" w:cs="宋体"/>
          <w:b/>
          <w:i w:val="0"/>
          <w:caps w:val="0"/>
          <w:color w:val="auto"/>
          <w:spacing w:val="0"/>
          <w:w w:val="100"/>
          <w:position w:val="0"/>
          <w:sz w:val="32"/>
          <w:szCs w:val="24"/>
          <w:highlight w:val="none"/>
          <w:lang w:bidi="ar-SA"/>
        </w:rPr>
      </w:pPr>
      <w:r>
        <w:rPr>
          <w:rStyle w:val="260"/>
          <w:rFonts w:hint="eastAsia" w:ascii="宋体" w:hAnsi="宋体" w:eastAsia="宋体" w:cs="宋体"/>
          <w:b/>
          <w:i w:val="0"/>
          <w:caps w:val="0"/>
          <w:color w:val="auto"/>
          <w:spacing w:val="0"/>
          <w:w w:val="100"/>
          <w:position w:val="0"/>
          <w:sz w:val="32"/>
          <w:szCs w:val="24"/>
          <w:highlight w:val="none"/>
          <w:lang w:bidi="ar-SA"/>
        </w:rPr>
        <w:br w:type="page"/>
      </w:r>
      <w:r>
        <w:rPr>
          <w:rStyle w:val="260"/>
          <w:rFonts w:hint="eastAsia" w:ascii="宋体" w:hAnsi="宋体" w:eastAsia="宋体" w:cs="宋体"/>
          <w:b/>
          <w:i w:val="0"/>
          <w:caps w:val="0"/>
          <w:color w:val="auto"/>
          <w:spacing w:val="0"/>
          <w:w w:val="100"/>
          <w:position w:val="0"/>
          <w:sz w:val="24"/>
          <w:szCs w:val="24"/>
          <w:highlight w:val="none"/>
          <w:lang w:val="en-US" w:eastAsia="zh-CN" w:bidi="ar-SA"/>
        </w:rPr>
        <w:t>2.3开标一览表</w:t>
      </w:r>
    </w:p>
    <w:p w14:paraId="6D359554">
      <w:pPr>
        <w:pStyle w:val="283"/>
        <w:pageBreakBefore w:val="0"/>
        <w:widowControl/>
        <w:kinsoku/>
        <w:wordWrap/>
        <w:overflowPunct/>
        <w:topLinePunct w:val="0"/>
        <w:bidi w:val="0"/>
        <w:snapToGrid/>
        <w:spacing w:before="0" w:beforeAutospacing="0" w:after="0" w:afterAutospacing="0" w:line="360" w:lineRule="auto"/>
        <w:ind w:firstLine="482" w:firstLineChars="200"/>
        <w:jc w:val="both"/>
        <w:textAlignment w:val="baseline"/>
        <w:rPr>
          <w:rStyle w:val="260"/>
          <w:rFonts w:hint="eastAsia" w:ascii="宋体" w:hAnsi="宋体" w:eastAsia="宋体" w:cs="宋体"/>
          <w:b/>
          <w:i w:val="0"/>
          <w:caps w:val="0"/>
          <w:color w:val="auto"/>
          <w:spacing w:val="0"/>
          <w:w w:val="100"/>
          <w:kern w:val="0"/>
          <w:position w:val="0"/>
          <w:sz w:val="24"/>
          <w:szCs w:val="24"/>
          <w:highlight w:val="none"/>
          <w:lang w:val="en-US" w:eastAsia="zh-CN" w:bidi="ar-SA"/>
        </w:rPr>
      </w:pPr>
    </w:p>
    <w:tbl>
      <w:tblPr>
        <w:tblStyle w:val="44"/>
        <w:tblW w:w="91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10"/>
        <w:gridCol w:w="6770"/>
      </w:tblGrid>
      <w:tr w14:paraId="74151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2410" w:type="dxa"/>
            <w:tcBorders>
              <w:top w:val="single" w:color="000000" w:sz="4" w:space="0"/>
              <w:left w:val="single" w:color="000000" w:sz="4" w:space="0"/>
              <w:bottom w:val="single" w:color="000000" w:sz="4" w:space="0"/>
              <w:right w:val="single" w:color="000000" w:sz="4" w:space="0"/>
            </w:tcBorders>
            <w:noWrap w:val="0"/>
            <w:vAlign w:val="center"/>
          </w:tcPr>
          <w:p w14:paraId="11D8BA6D">
            <w:pPr>
              <w:pStyle w:val="284"/>
              <w:pageBreakBefore w:val="0"/>
              <w:tabs>
                <w:tab w:val="left" w:pos="1337"/>
              </w:tabs>
              <w:kinsoku/>
              <w:wordWrap/>
              <w:overflowPunct/>
              <w:topLinePunct w:val="0"/>
              <w:bidi w:val="0"/>
              <w:snapToGrid/>
              <w:spacing w:before="0" w:beforeAutospacing="0" w:after="0" w:afterAutospacing="0" w:line="36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bCs/>
                <w:i w:val="0"/>
                <w:caps w:val="0"/>
                <w:color w:val="auto"/>
                <w:spacing w:val="0"/>
                <w:w w:val="100"/>
                <w:kern w:val="2"/>
                <w:position w:val="0"/>
                <w:sz w:val="24"/>
                <w:szCs w:val="24"/>
                <w:highlight w:val="none"/>
                <w:lang w:val="en-US" w:eastAsia="zh-CN" w:bidi="ar-SA"/>
              </w:rPr>
              <w:t>项</w:t>
            </w:r>
            <w:r>
              <w:rPr>
                <w:rStyle w:val="260"/>
                <w:rFonts w:hint="eastAsia" w:ascii="宋体" w:hAnsi="宋体" w:cs="宋体"/>
                <w:b w:val="0"/>
                <w:bCs/>
                <w:i w:val="0"/>
                <w:caps w:val="0"/>
                <w:color w:val="auto"/>
                <w:spacing w:val="0"/>
                <w:w w:val="100"/>
                <w:kern w:val="2"/>
                <w:position w:val="0"/>
                <w:sz w:val="24"/>
                <w:szCs w:val="24"/>
                <w:highlight w:val="none"/>
                <w:lang w:val="en-US" w:eastAsia="zh-CN" w:bidi="ar-SA"/>
              </w:rPr>
              <w:t>目</w:t>
            </w:r>
            <w:r>
              <w:rPr>
                <w:rStyle w:val="260"/>
                <w:rFonts w:hint="eastAsia" w:ascii="宋体" w:hAnsi="宋体" w:eastAsia="宋体" w:cs="宋体"/>
                <w:b w:val="0"/>
                <w:bCs/>
                <w:i w:val="0"/>
                <w:caps w:val="0"/>
                <w:color w:val="auto"/>
                <w:spacing w:val="0"/>
                <w:w w:val="100"/>
                <w:kern w:val="2"/>
                <w:position w:val="0"/>
                <w:sz w:val="24"/>
                <w:szCs w:val="24"/>
                <w:highlight w:val="none"/>
                <w:lang w:val="en-US" w:eastAsia="zh-CN" w:bidi="ar-SA"/>
              </w:rPr>
              <w:t>名称</w:t>
            </w:r>
          </w:p>
        </w:tc>
        <w:tc>
          <w:tcPr>
            <w:tcW w:w="6770" w:type="dxa"/>
            <w:tcBorders>
              <w:top w:val="single" w:color="000000" w:sz="4" w:space="0"/>
              <w:left w:val="single" w:color="000000" w:sz="4" w:space="0"/>
              <w:bottom w:val="single" w:color="000000" w:sz="4" w:space="0"/>
              <w:right w:val="single" w:color="000000" w:sz="4" w:space="0"/>
            </w:tcBorders>
            <w:noWrap w:val="0"/>
            <w:vAlign w:val="center"/>
          </w:tcPr>
          <w:p w14:paraId="3F38BA50">
            <w:pPr>
              <w:pStyle w:val="284"/>
              <w:pageBreakBefore w:val="0"/>
              <w:tabs>
                <w:tab w:val="left" w:pos="1337"/>
              </w:tabs>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1"/>
                <w:szCs w:val="24"/>
                <w:highlight w:val="none"/>
                <w:u w:val="single" w:color="000000"/>
                <w:lang w:val="en-US" w:eastAsia="zh-CN" w:bidi="ar-SA"/>
              </w:rPr>
              <w:t xml:space="preserve">                                </w:t>
            </w:r>
          </w:p>
        </w:tc>
      </w:tr>
      <w:tr w14:paraId="366A3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2410" w:type="dxa"/>
            <w:tcBorders>
              <w:top w:val="single" w:color="000000" w:sz="4" w:space="0"/>
              <w:left w:val="single" w:color="000000" w:sz="4" w:space="0"/>
              <w:bottom w:val="single" w:color="000000" w:sz="4" w:space="0"/>
              <w:right w:val="single" w:color="000000" w:sz="4" w:space="0"/>
            </w:tcBorders>
            <w:noWrap w:val="0"/>
            <w:vAlign w:val="center"/>
          </w:tcPr>
          <w:p w14:paraId="58352D6C">
            <w:pPr>
              <w:pStyle w:val="25"/>
              <w:autoSpaceDE w:val="0"/>
              <w:autoSpaceDN w:val="0"/>
              <w:adjustRightInd w:val="0"/>
              <w:spacing w:line="360" w:lineRule="auto"/>
              <w:jc w:val="cente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z w:val="24"/>
                <w:szCs w:val="24"/>
                <w:highlight w:val="none"/>
              </w:rPr>
              <w:t>投标</w:t>
            </w:r>
            <w:r>
              <w:rPr>
                <w:rFonts w:hint="eastAsia" w:ascii="宋体" w:hAnsi="宋体" w:cs="宋体"/>
                <w:color w:val="auto"/>
                <w:sz w:val="24"/>
                <w:szCs w:val="24"/>
                <w:highlight w:val="none"/>
                <w:lang w:val="en-US" w:eastAsia="zh-CN"/>
              </w:rPr>
              <w:t>报价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eastAsia="zh-CN"/>
              </w:rPr>
              <w:t>）</w:t>
            </w:r>
          </w:p>
        </w:tc>
        <w:tc>
          <w:tcPr>
            <w:tcW w:w="6770" w:type="dxa"/>
            <w:tcBorders>
              <w:top w:val="single" w:color="000000" w:sz="4" w:space="0"/>
              <w:left w:val="single" w:color="000000" w:sz="4" w:space="0"/>
              <w:bottom w:val="single" w:color="000000" w:sz="4" w:space="0"/>
              <w:right w:val="single" w:color="000000" w:sz="4" w:space="0"/>
            </w:tcBorders>
            <w:noWrap w:val="0"/>
            <w:vAlign w:val="center"/>
          </w:tcPr>
          <w:p w14:paraId="4E4B8167">
            <w:pPr>
              <w:pStyle w:val="25"/>
              <w:autoSpaceDE w:val="0"/>
              <w:autoSpaceDN w:val="0"/>
              <w:adjustRightInd w:val="0"/>
              <w:spacing w:line="360" w:lineRule="auto"/>
              <w:jc w:val="left"/>
              <w:rPr>
                <w:rFonts w:hint="eastAsia" w:ascii="宋体" w:hAnsi="宋体" w:eastAsia="宋体" w:cs="宋体"/>
                <w:color w:val="FF0000"/>
                <w:sz w:val="24"/>
                <w:szCs w:val="24"/>
                <w:highlight w:val="none"/>
              </w:rPr>
            </w:pPr>
            <w:r>
              <w:rPr>
                <w:rFonts w:hint="eastAsia" w:ascii="宋体" w:hAnsi="宋体" w:eastAsia="宋体" w:cs="宋体"/>
                <w:color w:val="auto"/>
                <w:sz w:val="24"/>
                <w:szCs w:val="24"/>
                <w:highlight w:val="none"/>
              </w:rPr>
              <w:t>小写：</w:t>
            </w:r>
          </w:p>
          <w:p w14:paraId="445504BD">
            <w:pPr>
              <w:pStyle w:val="25"/>
              <w:autoSpaceDE w:val="0"/>
              <w:autoSpaceDN w:val="0"/>
              <w:adjustRightInd w:val="0"/>
              <w:spacing w:line="360" w:lineRule="auto"/>
              <w:jc w:val="left"/>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z w:val="24"/>
                <w:szCs w:val="24"/>
                <w:highlight w:val="none"/>
              </w:rPr>
              <w:t>大写：</w:t>
            </w:r>
          </w:p>
        </w:tc>
      </w:tr>
      <w:tr w14:paraId="4AD23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2410" w:type="dxa"/>
            <w:tcBorders>
              <w:top w:val="single" w:color="000000" w:sz="4" w:space="0"/>
              <w:left w:val="single" w:color="000000" w:sz="4" w:space="0"/>
              <w:bottom w:val="single" w:color="000000" w:sz="4" w:space="0"/>
              <w:right w:val="single" w:color="000000" w:sz="4" w:space="0"/>
            </w:tcBorders>
            <w:noWrap w:val="0"/>
            <w:vAlign w:val="center"/>
          </w:tcPr>
          <w:p w14:paraId="5F017B98">
            <w:pPr>
              <w:pStyle w:val="110"/>
              <w:pageBreakBefore w:val="0"/>
              <w:kinsoku/>
              <w:wordWrap/>
              <w:overflowPunct/>
              <w:topLinePunct w:val="0"/>
              <w:bidi w:val="0"/>
              <w:snapToGrid w:val="0"/>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合同履行期限</w:t>
            </w:r>
          </w:p>
        </w:tc>
        <w:tc>
          <w:tcPr>
            <w:tcW w:w="6770" w:type="dxa"/>
            <w:tcBorders>
              <w:top w:val="single" w:color="000000" w:sz="4" w:space="0"/>
              <w:left w:val="single" w:color="000000" w:sz="4" w:space="0"/>
              <w:bottom w:val="single" w:color="000000" w:sz="4" w:space="0"/>
              <w:right w:val="single" w:color="000000" w:sz="4" w:space="0"/>
            </w:tcBorders>
            <w:noWrap w:val="0"/>
            <w:vAlign w:val="center"/>
          </w:tcPr>
          <w:p w14:paraId="3DF4CF49">
            <w:pPr>
              <w:pStyle w:val="284"/>
              <w:pageBreakBefore w:val="0"/>
              <w:tabs>
                <w:tab w:val="left" w:pos="1337"/>
              </w:tabs>
              <w:kinsoku/>
              <w:wordWrap/>
              <w:overflowPunct/>
              <w:topLinePunct w:val="0"/>
              <w:bidi w:val="0"/>
              <w:snapToGrid/>
              <w:spacing w:before="0" w:beforeAutospacing="0" w:after="0" w:afterAutospacing="0" w:line="360" w:lineRule="auto"/>
              <w:jc w:val="both"/>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自签订合同之日起一年</w:t>
            </w:r>
          </w:p>
        </w:tc>
      </w:tr>
      <w:tr w14:paraId="12A4B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9180" w:type="dxa"/>
            <w:gridSpan w:val="2"/>
            <w:tcBorders>
              <w:top w:val="single" w:color="000000" w:sz="4" w:space="0"/>
              <w:left w:val="single" w:color="000000" w:sz="4" w:space="0"/>
              <w:bottom w:val="single" w:color="000000" w:sz="4" w:space="0"/>
              <w:right w:val="single" w:color="000000" w:sz="4" w:space="0"/>
            </w:tcBorders>
            <w:noWrap w:val="0"/>
            <w:vAlign w:val="top"/>
          </w:tcPr>
          <w:p w14:paraId="388E94DD">
            <w:pPr>
              <w:pStyle w:val="284"/>
              <w:pageBreakBefore w:val="0"/>
              <w:tabs>
                <w:tab w:val="left" w:pos="1337"/>
              </w:tabs>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备注：</w:t>
            </w:r>
            <w:r>
              <w:rPr>
                <w:rStyle w:val="260"/>
                <w:rFonts w:hint="eastAsia" w:ascii="宋体" w:hAnsi="宋体" w:eastAsia="宋体" w:cs="宋体"/>
                <w:b w:val="0"/>
                <w:i w:val="0"/>
                <w:caps w:val="0"/>
                <w:color w:val="FF0000"/>
                <w:spacing w:val="0"/>
                <w:w w:val="100"/>
                <w:kern w:val="2"/>
                <w:position w:val="0"/>
                <w:sz w:val="24"/>
                <w:szCs w:val="24"/>
                <w:highlight w:val="none"/>
                <w:lang w:val="en-US" w:eastAsia="zh-CN" w:bidi="ar-SA"/>
              </w:rPr>
              <w:t>投标报价包括但不限于人员工资（含社保等）、设备费、企业管理费、企业利润、风险费、税金、规费等一切费用，采购人不再支付其他任何费用。</w:t>
            </w:r>
            <w:r>
              <w:rPr>
                <w:rStyle w:val="260"/>
                <w:rFonts w:hint="eastAsia" w:ascii="宋体" w:hAnsi="宋体" w:eastAsia="宋体" w:cs="宋体"/>
                <w:b w:val="0"/>
                <w:i w:val="0"/>
                <w:caps w:val="0"/>
                <w:color w:val="auto"/>
                <w:spacing w:val="0"/>
                <w:w w:val="100"/>
                <w:kern w:val="2"/>
                <w:position w:val="0"/>
                <w:sz w:val="21"/>
                <w:szCs w:val="24"/>
                <w:highlight w:val="none"/>
                <w:u w:val="single" w:color="000000"/>
                <w:lang w:val="en-US" w:eastAsia="zh-CN" w:bidi="ar-SA"/>
              </w:rPr>
              <w:t xml:space="preserve">                                           </w:t>
            </w:r>
          </w:p>
        </w:tc>
      </w:tr>
    </w:tbl>
    <w:p w14:paraId="6CA55E50">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10C1630">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08D10FD6">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AAE6541">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16B6B4D4">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8B7FAA4">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日期：年月日</w:t>
      </w:r>
    </w:p>
    <w:p w14:paraId="30523AE8">
      <w:pPr>
        <w:pStyle w:val="284"/>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614B4A4">
      <w:pPr>
        <w:pStyle w:val="284"/>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4A076201">
      <w:pPr>
        <w:pStyle w:val="284"/>
        <w:pageBreakBefore w:val="0"/>
        <w:kinsoku/>
        <w:wordWrap/>
        <w:overflowPunct/>
        <w:topLinePunct w:val="0"/>
        <w:bidi w:val="0"/>
        <w:snapToGrid/>
        <w:spacing w:before="0" w:beforeAutospacing="0" w:after="0" w:afterAutospacing="0" w:line="36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B6315B8">
      <w:pPr>
        <w:pStyle w:val="285"/>
        <w:keepNext w:val="0"/>
        <w:keepLines w:val="0"/>
        <w:pageBreakBefore w:val="0"/>
        <w:kinsoku/>
        <w:wordWrap/>
        <w:overflowPunct/>
        <w:topLinePunct w:val="0"/>
        <w:bidi w:val="0"/>
        <w:adjustRightInd/>
        <w:spacing w:before="0" w:line="440" w:lineRule="exact"/>
        <w:jc w:val="center"/>
        <w:textAlignment w:val="auto"/>
        <w:outlineLvl w:val="9"/>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32"/>
          <w:szCs w:val="24"/>
          <w:highlight w:val="none"/>
          <w:lang w:bidi="ar-SA"/>
        </w:rPr>
        <w:br w:type="page"/>
      </w:r>
      <w:r>
        <w:rPr>
          <w:rStyle w:val="260"/>
          <w:rFonts w:hint="eastAsia" w:ascii="宋体" w:hAnsi="宋体" w:eastAsia="宋体" w:cs="宋体"/>
          <w:b/>
          <w:i w:val="0"/>
          <w:caps w:val="0"/>
          <w:color w:val="auto"/>
          <w:spacing w:val="0"/>
          <w:w w:val="100"/>
          <w:position w:val="0"/>
          <w:sz w:val="24"/>
          <w:szCs w:val="24"/>
          <w:highlight w:val="none"/>
          <w:lang w:val="en-US" w:eastAsia="zh-CN" w:bidi="ar-SA"/>
        </w:rPr>
        <w:t>2.4商务条款偏离说明表</w:t>
      </w:r>
    </w:p>
    <w:tbl>
      <w:tblPr>
        <w:tblStyle w:val="44"/>
        <w:tblW w:w="88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1"/>
        <w:gridCol w:w="2420"/>
        <w:gridCol w:w="2420"/>
        <w:gridCol w:w="1417"/>
        <w:gridCol w:w="1941"/>
      </w:tblGrid>
      <w:tr w14:paraId="2484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51" w:type="dxa"/>
            <w:tcBorders>
              <w:top w:val="single" w:color="auto" w:sz="4" w:space="0"/>
              <w:left w:val="single" w:color="auto" w:sz="4" w:space="0"/>
              <w:bottom w:val="single" w:color="auto" w:sz="4" w:space="0"/>
              <w:right w:val="single" w:color="auto" w:sz="4" w:space="0"/>
            </w:tcBorders>
            <w:shd w:val="pct10" w:color="auto" w:fill="auto"/>
            <w:noWrap w:val="0"/>
            <w:vAlign w:val="center"/>
          </w:tcPr>
          <w:p w14:paraId="1750AC1C">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bidi="ar"/>
              </w:rPr>
              <w:t>序号</w:t>
            </w:r>
          </w:p>
        </w:tc>
        <w:tc>
          <w:tcPr>
            <w:tcW w:w="2420" w:type="dxa"/>
            <w:tcBorders>
              <w:top w:val="single" w:color="auto" w:sz="4" w:space="0"/>
              <w:left w:val="single" w:color="auto" w:sz="4" w:space="0"/>
              <w:bottom w:val="single" w:color="auto" w:sz="4" w:space="0"/>
              <w:right w:val="single" w:color="auto" w:sz="4" w:space="0"/>
            </w:tcBorders>
            <w:shd w:val="pct10" w:color="auto" w:fill="auto"/>
            <w:noWrap w:val="0"/>
            <w:vAlign w:val="center"/>
          </w:tcPr>
          <w:p w14:paraId="3541CB5B">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bidi="ar"/>
              </w:rPr>
              <w:t>招标</w:t>
            </w:r>
            <w:r>
              <w:rPr>
                <w:rFonts w:hint="eastAsia" w:ascii="宋体" w:hAnsi="宋体" w:eastAsia="宋体" w:cs="宋体"/>
                <w:color w:val="auto"/>
                <w:spacing w:val="0"/>
                <w:position w:val="0"/>
                <w:sz w:val="24"/>
                <w:szCs w:val="24"/>
                <w:highlight w:val="none"/>
                <w:lang w:bidi="ar"/>
              </w:rPr>
              <w:t>文件条款内容</w:t>
            </w:r>
          </w:p>
        </w:tc>
        <w:tc>
          <w:tcPr>
            <w:tcW w:w="2420" w:type="dxa"/>
            <w:tcBorders>
              <w:top w:val="single" w:color="auto" w:sz="4" w:space="0"/>
              <w:left w:val="single" w:color="auto" w:sz="4" w:space="0"/>
              <w:bottom w:val="single" w:color="auto" w:sz="4" w:space="0"/>
              <w:right w:val="single" w:color="auto" w:sz="4" w:space="0"/>
            </w:tcBorders>
            <w:shd w:val="pct10" w:color="auto" w:fill="auto"/>
            <w:noWrap w:val="0"/>
            <w:vAlign w:val="center"/>
          </w:tcPr>
          <w:p w14:paraId="7EB9757D">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bidi="ar"/>
              </w:rPr>
              <w:t>投标</w:t>
            </w:r>
            <w:r>
              <w:rPr>
                <w:rFonts w:hint="eastAsia" w:ascii="宋体" w:hAnsi="宋体" w:eastAsia="宋体" w:cs="宋体"/>
                <w:color w:val="auto"/>
                <w:spacing w:val="0"/>
                <w:position w:val="0"/>
                <w:sz w:val="24"/>
                <w:szCs w:val="24"/>
                <w:highlight w:val="none"/>
                <w:lang w:bidi="ar"/>
              </w:rPr>
              <w:t>文件条款部分</w:t>
            </w:r>
          </w:p>
        </w:tc>
        <w:tc>
          <w:tcPr>
            <w:tcW w:w="1417" w:type="dxa"/>
            <w:tcBorders>
              <w:top w:val="single" w:color="auto" w:sz="4" w:space="0"/>
              <w:left w:val="single" w:color="auto" w:sz="4" w:space="0"/>
              <w:bottom w:val="single" w:color="auto" w:sz="4" w:space="0"/>
              <w:right w:val="single" w:color="auto" w:sz="4" w:space="0"/>
            </w:tcBorders>
            <w:shd w:val="pct10" w:color="auto" w:fill="auto"/>
            <w:noWrap w:val="0"/>
            <w:vAlign w:val="center"/>
          </w:tcPr>
          <w:p w14:paraId="17AF783E">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bidi="ar"/>
              </w:rPr>
              <w:t>偏离说明</w:t>
            </w:r>
          </w:p>
        </w:tc>
        <w:tc>
          <w:tcPr>
            <w:tcW w:w="1941" w:type="dxa"/>
            <w:tcBorders>
              <w:top w:val="single" w:color="auto" w:sz="4" w:space="0"/>
              <w:left w:val="single" w:color="auto" w:sz="4" w:space="0"/>
              <w:bottom w:val="single" w:color="auto" w:sz="4" w:space="0"/>
              <w:right w:val="single" w:color="auto" w:sz="4" w:space="0"/>
            </w:tcBorders>
            <w:shd w:val="pct10" w:color="auto" w:fill="auto"/>
            <w:noWrap w:val="0"/>
            <w:vAlign w:val="top"/>
          </w:tcPr>
          <w:p w14:paraId="1C0C9AF4">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bidi="ar"/>
              </w:rPr>
              <w:t>投标</w:t>
            </w:r>
            <w:r>
              <w:rPr>
                <w:rFonts w:hint="eastAsia" w:ascii="宋体" w:hAnsi="宋体" w:eastAsia="宋体" w:cs="宋体"/>
                <w:color w:val="auto"/>
                <w:spacing w:val="0"/>
                <w:position w:val="0"/>
                <w:sz w:val="24"/>
                <w:szCs w:val="24"/>
                <w:highlight w:val="none"/>
                <w:lang w:bidi="ar"/>
              </w:rPr>
              <w:t>文件中对应的页码</w:t>
            </w:r>
          </w:p>
        </w:tc>
      </w:tr>
      <w:tr w14:paraId="5CBD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043C3D1C">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153C092F">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4B1D0BD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A34A1AF">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5CDEC77E">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35CB4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7D4D753C">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6D800FF1">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1EA048CE">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76E28DB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05D9AC61">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0872E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2EF59193">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3F001876">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5421A3D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90192E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4BDBF659">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4C86D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7AB26AC4">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011CB24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72AB657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B11BED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39C9ADA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07BDB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77B907E9">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31A8728D">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386EA86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759D427B">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522ED9E4">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34B5B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noWrap w:val="0"/>
            <w:vAlign w:val="center"/>
          </w:tcPr>
          <w:p w14:paraId="0C8F0DF9">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bidi="ar"/>
              </w:rPr>
              <w:t>…</w:t>
            </w:r>
          </w:p>
        </w:tc>
        <w:tc>
          <w:tcPr>
            <w:tcW w:w="2420" w:type="dxa"/>
            <w:tcBorders>
              <w:top w:val="single" w:color="auto" w:sz="4" w:space="0"/>
              <w:left w:val="single" w:color="auto" w:sz="4" w:space="0"/>
              <w:bottom w:val="single" w:color="auto" w:sz="4" w:space="0"/>
              <w:right w:val="single" w:color="auto" w:sz="4" w:space="0"/>
            </w:tcBorders>
            <w:noWrap w:val="0"/>
            <w:vAlign w:val="center"/>
          </w:tcPr>
          <w:p w14:paraId="7FEA776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noWrap w:val="0"/>
            <w:vAlign w:val="center"/>
          </w:tcPr>
          <w:p w14:paraId="27DB78EC">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center"/>
          </w:tcPr>
          <w:p w14:paraId="1AB35B59">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941" w:type="dxa"/>
            <w:tcBorders>
              <w:top w:val="single" w:color="auto" w:sz="4" w:space="0"/>
              <w:left w:val="single" w:color="auto" w:sz="4" w:space="0"/>
              <w:bottom w:val="single" w:color="auto" w:sz="4" w:space="0"/>
              <w:right w:val="single" w:color="auto" w:sz="4" w:space="0"/>
            </w:tcBorders>
            <w:noWrap w:val="0"/>
            <w:vAlign w:val="center"/>
          </w:tcPr>
          <w:p w14:paraId="5D224B8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bl>
    <w:p w14:paraId="195BF9A1">
      <w:pPr>
        <w:pageBreakBefore w:val="0"/>
        <w:kinsoku/>
        <w:wordWrap/>
        <w:overflowPunct/>
        <w:topLinePunct w:val="0"/>
        <w:bidi w:val="0"/>
        <w:snapToGrid/>
        <w:spacing w:before="0" w:beforeAutospacing="0" w:after="0" w:afterAutospacing="0" w:line="360" w:lineRule="auto"/>
        <w:ind w:left="0" w:right="0" w:firstLine="480" w:firstLineChars="2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73BF81A">
      <w:pPr>
        <w:pageBreakBefore w:val="0"/>
        <w:widowControl/>
        <w:kinsoku/>
        <w:wordWrap/>
        <w:overflowPunct/>
        <w:topLinePunct w:val="0"/>
        <w:bidi w:val="0"/>
        <w:snapToGrid/>
        <w:spacing w:before="0" w:beforeAutospacing="0" w:after="0" w:afterAutospacing="0" w:line="360" w:lineRule="auto"/>
        <w:jc w:val="left"/>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rPr>
        <w:t>注：供应商须对照招标文件的商务条款进行逐项说明是否满足要求，并附相关证明文件，同时将相关证明文件的相应页码填写到上表“投标文件中对应的页码”中。</w:t>
      </w:r>
    </w:p>
    <w:p w14:paraId="17647FDD">
      <w:pPr>
        <w:pStyle w:val="287"/>
        <w:pageBreakBefore w:val="0"/>
        <w:widowControl/>
        <w:kinsoku/>
        <w:wordWrap/>
        <w:overflowPunct/>
        <w:topLinePunct w:val="0"/>
        <w:bidi w:val="0"/>
        <w:snapToGrid/>
        <w:spacing w:before="0" w:beforeAutospacing="0" w:after="0" w:afterAutospacing="0" w:line="240" w:lineRule="auto"/>
        <w:jc w:val="center"/>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32"/>
          <w:szCs w:val="24"/>
          <w:highlight w:val="none"/>
          <w:lang w:bidi="ar-SA"/>
        </w:rPr>
        <w:br w:type="page"/>
      </w:r>
      <w:r>
        <w:rPr>
          <w:rStyle w:val="260"/>
          <w:rFonts w:hint="eastAsia" w:ascii="宋体" w:hAnsi="宋体" w:eastAsia="宋体" w:cs="宋体"/>
          <w:b/>
          <w:bCs/>
          <w:i w:val="0"/>
          <w:caps w:val="0"/>
          <w:color w:val="auto"/>
          <w:spacing w:val="0"/>
          <w:w w:val="100"/>
          <w:kern w:val="0"/>
          <w:position w:val="0"/>
          <w:sz w:val="24"/>
          <w:szCs w:val="24"/>
          <w:highlight w:val="none"/>
          <w:lang w:val="en-US" w:eastAsia="zh-CN" w:bidi="ar-SA"/>
        </w:rPr>
        <w:t>2.5类似项目业绩表</w:t>
      </w:r>
    </w:p>
    <w:tbl>
      <w:tblPr>
        <w:tblStyle w:val="44"/>
        <w:tblW w:w="91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908"/>
        <w:gridCol w:w="7200"/>
      </w:tblGrid>
      <w:tr w14:paraId="2679F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793A2C94">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序号</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722D3382">
            <w:pPr>
              <w:pStyle w:val="288"/>
              <w:tabs>
                <w:tab w:val="left" w:pos="2265"/>
              </w:tabs>
              <w:snapToGrid/>
              <w:spacing w:before="0" w:beforeAutospacing="0" w:after="0" w:afterAutospacing="0" w:line="24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57917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033E737E">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项目名称</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33F2D2C8">
            <w:pPr>
              <w:pStyle w:val="288"/>
              <w:tabs>
                <w:tab w:val="left" w:pos="2265"/>
              </w:tabs>
              <w:snapToGrid/>
              <w:spacing w:before="0" w:beforeAutospacing="0" w:after="0" w:afterAutospacing="0" w:line="24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ab/>
            </w:r>
          </w:p>
        </w:tc>
      </w:tr>
      <w:tr w14:paraId="5D62F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0594D2ED">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采购人名称</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7A4AE697">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A7ED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2755934F">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采购人联系人姓名及联系方式</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66A7DE2E">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6C77D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6D715D6E">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合同金额</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56A4C884">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E3D0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783FE7B3">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项目负责人姓名</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15F47FB7">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3896F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064C3A51">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项目实施时间</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5A0BDCCB">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53638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jc w:val="center"/>
        </w:trPr>
        <w:tc>
          <w:tcPr>
            <w:tcW w:w="1908" w:type="dxa"/>
            <w:tcBorders>
              <w:top w:val="single" w:color="000000" w:sz="4" w:space="0"/>
              <w:left w:val="single" w:color="000000" w:sz="4" w:space="0"/>
              <w:bottom w:val="single" w:color="000000" w:sz="4" w:space="0"/>
              <w:right w:val="single" w:color="000000" w:sz="4" w:space="0"/>
            </w:tcBorders>
            <w:noWrap w:val="0"/>
            <w:vAlign w:val="center"/>
          </w:tcPr>
          <w:p w14:paraId="66CAE850">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项目内容说明</w:t>
            </w:r>
          </w:p>
        </w:tc>
        <w:tc>
          <w:tcPr>
            <w:tcW w:w="7200" w:type="dxa"/>
            <w:tcBorders>
              <w:top w:val="single" w:color="000000" w:sz="4" w:space="0"/>
              <w:left w:val="single" w:color="000000" w:sz="4" w:space="0"/>
              <w:bottom w:val="single" w:color="000000" w:sz="4" w:space="0"/>
              <w:right w:val="single" w:color="000000" w:sz="4" w:space="0"/>
            </w:tcBorders>
            <w:noWrap w:val="0"/>
            <w:vAlign w:val="top"/>
          </w:tcPr>
          <w:p w14:paraId="2E2D145F">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E950892">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AAAD332">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26FACA1">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AFA6334">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A86DE2A">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0D49AC0">
            <w:pPr>
              <w:pStyle w:val="288"/>
              <w:snapToGrid/>
              <w:spacing w:before="0" w:beforeAutospacing="0" w:after="0" w:afterAutospacing="0" w:line="240" w:lineRule="auto"/>
              <w:jc w:val="center"/>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bl>
    <w:p w14:paraId="58B9A4E9">
      <w:pPr>
        <w:pStyle w:val="288"/>
        <w:snapToGrid/>
        <w:spacing w:before="0" w:beforeAutospacing="0" w:after="0" w:afterAutospacing="0" w:line="360" w:lineRule="auto"/>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说明：1</w:t>
      </w:r>
      <w:r>
        <w:rPr>
          <w:rStyle w:val="260"/>
          <w:rFonts w:hint="eastAsia" w:ascii="宋体" w:hAnsi="宋体" w:cs="宋体"/>
          <w:b w:val="0"/>
          <w:i w:val="0"/>
          <w:caps w:val="0"/>
          <w:color w:val="auto"/>
          <w:spacing w:val="0"/>
          <w:w w:val="100"/>
          <w:kern w:val="2"/>
          <w:position w:val="0"/>
          <w:sz w:val="24"/>
          <w:szCs w:val="24"/>
          <w:highlight w:val="none"/>
          <w:lang w:val="en-US" w:eastAsia="zh-CN" w:bidi="ar-SA"/>
        </w:rPr>
        <w:t>.</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每个业绩须单独附表，并附上业绩相关证明材料，否则专家在评审时将不予采信；</w:t>
      </w:r>
    </w:p>
    <w:p w14:paraId="31FBCF17">
      <w:pPr>
        <w:pStyle w:val="288"/>
        <w:snapToGrid/>
        <w:spacing w:before="0" w:beforeAutospacing="0" w:after="0" w:afterAutospacing="0" w:line="360" w:lineRule="auto"/>
        <w:ind w:firstLine="720" w:firstLineChars="300"/>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2</w:t>
      </w:r>
      <w:r>
        <w:rPr>
          <w:rStyle w:val="260"/>
          <w:rFonts w:hint="eastAsia" w:ascii="宋体" w:hAnsi="宋体" w:cs="宋体"/>
          <w:b w:val="0"/>
          <w:i w:val="0"/>
          <w:caps w:val="0"/>
          <w:color w:val="auto"/>
          <w:spacing w:val="0"/>
          <w:w w:val="100"/>
          <w:kern w:val="2"/>
          <w:position w:val="0"/>
          <w:sz w:val="24"/>
          <w:szCs w:val="24"/>
          <w:highlight w:val="none"/>
          <w:lang w:val="en-US" w:eastAsia="zh-CN" w:bidi="ar-SA"/>
        </w:rPr>
        <w:t>.</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项目内容请详细说明所承担的具体工作内容；</w:t>
      </w:r>
    </w:p>
    <w:p w14:paraId="2786AFCB">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0385CFB4">
      <w:pPr>
        <w:pStyle w:val="27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7D9BD24A">
      <w:pPr>
        <w:pStyle w:val="269"/>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260"/>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260"/>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4B9C8264">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506A2A2F">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71D7C7B3">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00DD0C8C">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63B6150C">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24DD1579">
      <w:pPr>
        <w:pStyle w:val="287"/>
        <w:pageBreakBefore w:val="0"/>
        <w:widowControl/>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p>
    <w:p w14:paraId="13126967">
      <w:pPr>
        <w:pStyle w:val="80"/>
        <w:keepNext w:val="0"/>
        <w:keepLines w:val="0"/>
        <w:pageBreakBefore w:val="0"/>
        <w:tabs>
          <w:tab w:val="left" w:pos="-120"/>
        </w:tabs>
        <w:kinsoku/>
        <w:wordWrap/>
        <w:overflowPunct/>
        <w:topLinePunct w:val="0"/>
        <w:autoSpaceDE/>
        <w:autoSpaceDN/>
        <w:bidi w:val="0"/>
        <w:adjustRightInd/>
        <w:snapToGrid/>
        <w:spacing w:line="440" w:lineRule="exact"/>
        <w:ind w:right="0" w:firstLine="0" w:firstLineChars="0"/>
        <w:rPr>
          <w:rFonts w:hint="eastAsia" w:ascii="宋体" w:hAnsi="宋体" w:eastAsia="宋体" w:cs="宋体"/>
          <w:color w:val="auto"/>
          <w:spacing w:val="0"/>
          <w:kern w:val="0"/>
          <w:position w:val="0"/>
          <w:sz w:val="24"/>
          <w:szCs w:val="24"/>
          <w:highlight w:val="none"/>
        </w:rPr>
      </w:pPr>
    </w:p>
    <w:p w14:paraId="7803D382">
      <w:pPr>
        <w:tabs>
          <w:tab w:val="left" w:pos="3777"/>
          <w:tab w:val="center" w:pos="4819"/>
        </w:tabs>
        <w:spacing w:line="500" w:lineRule="exact"/>
        <w:jc w:val="center"/>
        <w:rPr>
          <w:rFonts w:ascii="宋体" w:hAnsi="宋体" w:cs="宋体"/>
          <w:sz w:val="24"/>
          <w:szCs w:val="24"/>
        </w:rPr>
      </w:pPr>
      <w:r>
        <w:rPr>
          <w:rFonts w:hint="eastAsia" w:ascii="宋体" w:hAnsi="宋体" w:cs="宋体"/>
          <w:b/>
          <w:sz w:val="24"/>
          <w:szCs w:val="24"/>
          <w:lang w:val="en-US" w:eastAsia="zh-CN"/>
        </w:rPr>
        <w:t>2.6</w:t>
      </w:r>
      <w:r>
        <w:rPr>
          <w:rFonts w:hint="eastAsia" w:ascii="宋体" w:hAnsi="宋体" w:cs="宋体"/>
          <w:b/>
          <w:sz w:val="24"/>
          <w:szCs w:val="24"/>
        </w:rPr>
        <w:t>组织机构及人员配备情况表</w:t>
      </w:r>
    </w:p>
    <w:tbl>
      <w:tblPr>
        <w:tblStyle w:val="44"/>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8"/>
        <w:gridCol w:w="2395"/>
        <w:gridCol w:w="1158"/>
        <w:gridCol w:w="980"/>
        <w:gridCol w:w="1189"/>
        <w:gridCol w:w="2548"/>
      </w:tblGrid>
      <w:tr w14:paraId="6F55A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8" w:type="dxa"/>
            <w:tcBorders>
              <w:bottom w:val="nil"/>
            </w:tcBorders>
            <w:noWrap w:val="0"/>
            <w:vAlign w:val="center"/>
          </w:tcPr>
          <w:p w14:paraId="55FBF578">
            <w:pPr>
              <w:spacing w:line="360" w:lineRule="auto"/>
              <w:jc w:val="center"/>
              <w:rPr>
                <w:rFonts w:ascii="宋体" w:hAnsi="宋体" w:cs="宋体"/>
                <w:b w:val="0"/>
                <w:bCs/>
                <w:sz w:val="24"/>
                <w:szCs w:val="24"/>
              </w:rPr>
            </w:pPr>
            <w:r>
              <w:rPr>
                <w:rFonts w:hint="eastAsia" w:ascii="宋体" w:hAnsi="宋体" w:cs="宋体"/>
                <w:b w:val="0"/>
                <w:bCs/>
                <w:sz w:val="24"/>
                <w:szCs w:val="24"/>
              </w:rPr>
              <w:t>序号</w:t>
            </w:r>
          </w:p>
        </w:tc>
        <w:tc>
          <w:tcPr>
            <w:tcW w:w="2395" w:type="dxa"/>
            <w:tcBorders>
              <w:bottom w:val="nil"/>
            </w:tcBorders>
            <w:noWrap w:val="0"/>
            <w:vAlign w:val="center"/>
          </w:tcPr>
          <w:p w14:paraId="0F22EBA6">
            <w:pPr>
              <w:spacing w:line="360" w:lineRule="auto"/>
              <w:jc w:val="center"/>
              <w:rPr>
                <w:rFonts w:ascii="宋体" w:hAnsi="宋体" w:cs="宋体"/>
                <w:b w:val="0"/>
                <w:bCs/>
                <w:sz w:val="24"/>
                <w:szCs w:val="24"/>
              </w:rPr>
            </w:pPr>
            <w:r>
              <w:rPr>
                <w:rFonts w:hint="eastAsia" w:ascii="宋体" w:hAnsi="宋体" w:cs="宋体"/>
                <w:b w:val="0"/>
                <w:bCs/>
                <w:sz w:val="24"/>
                <w:szCs w:val="24"/>
              </w:rPr>
              <w:t>姓名</w:t>
            </w:r>
          </w:p>
        </w:tc>
        <w:tc>
          <w:tcPr>
            <w:tcW w:w="1158" w:type="dxa"/>
            <w:tcBorders>
              <w:bottom w:val="nil"/>
            </w:tcBorders>
            <w:noWrap w:val="0"/>
            <w:vAlign w:val="center"/>
          </w:tcPr>
          <w:p w14:paraId="3208B093">
            <w:pPr>
              <w:spacing w:line="360" w:lineRule="auto"/>
              <w:jc w:val="center"/>
              <w:rPr>
                <w:rFonts w:hint="eastAsia" w:ascii="宋体" w:hAnsi="宋体" w:eastAsia="等线" w:cs="宋体"/>
                <w:b w:val="0"/>
                <w:bCs/>
                <w:sz w:val="24"/>
                <w:szCs w:val="24"/>
                <w:lang w:eastAsia="zh-CN"/>
              </w:rPr>
            </w:pPr>
            <w:r>
              <w:rPr>
                <w:rFonts w:hint="eastAsia" w:ascii="宋体" w:hAnsi="宋体" w:cs="宋体"/>
                <w:b w:val="0"/>
                <w:bCs/>
                <w:sz w:val="24"/>
                <w:szCs w:val="24"/>
                <w:lang w:eastAsia="zh-CN"/>
              </w:rPr>
              <w:t>学历</w:t>
            </w:r>
          </w:p>
        </w:tc>
        <w:tc>
          <w:tcPr>
            <w:tcW w:w="980" w:type="dxa"/>
            <w:tcBorders>
              <w:bottom w:val="nil"/>
            </w:tcBorders>
            <w:noWrap w:val="0"/>
            <w:vAlign w:val="center"/>
          </w:tcPr>
          <w:p w14:paraId="22130B4D">
            <w:pPr>
              <w:spacing w:line="360" w:lineRule="auto"/>
              <w:jc w:val="center"/>
              <w:rPr>
                <w:rFonts w:hint="eastAsia" w:ascii="宋体" w:hAnsi="宋体" w:eastAsia="等线" w:cs="宋体"/>
                <w:b w:val="0"/>
                <w:bCs/>
                <w:sz w:val="24"/>
                <w:szCs w:val="24"/>
                <w:lang w:eastAsia="zh-CN"/>
              </w:rPr>
            </w:pPr>
            <w:r>
              <w:rPr>
                <w:rFonts w:hint="eastAsia" w:ascii="宋体" w:hAnsi="宋体" w:cs="宋体"/>
                <w:b w:val="0"/>
                <w:bCs/>
                <w:sz w:val="24"/>
                <w:szCs w:val="24"/>
                <w:lang w:eastAsia="zh-CN"/>
              </w:rPr>
              <w:t>年龄</w:t>
            </w:r>
          </w:p>
        </w:tc>
        <w:tc>
          <w:tcPr>
            <w:tcW w:w="1189" w:type="dxa"/>
            <w:tcBorders>
              <w:bottom w:val="nil"/>
            </w:tcBorders>
            <w:noWrap w:val="0"/>
            <w:vAlign w:val="center"/>
          </w:tcPr>
          <w:p w14:paraId="7B5205AD">
            <w:pPr>
              <w:spacing w:line="360" w:lineRule="auto"/>
              <w:jc w:val="center"/>
              <w:rPr>
                <w:rFonts w:hint="eastAsia" w:ascii="宋体" w:hAnsi="宋体" w:eastAsia="等线" w:cs="宋体"/>
                <w:b w:val="0"/>
                <w:bCs/>
                <w:sz w:val="24"/>
                <w:szCs w:val="24"/>
                <w:lang w:eastAsia="zh-CN"/>
              </w:rPr>
            </w:pPr>
            <w:r>
              <w:rPr>
                <w:rFonts w:hint="eastAsia" w:ascii="宋体" w:hAnsi="宋体" w:cs="宋体"/>
                <w:b w:val="0"/>
                <w:bCs/>
                <w:sz w:val="24"/>
                <w:szCs w:val="24"/>
                <w:lang w:eastAsia="zh-CN"/>
              </w:rPr>
              <w:t>民族</w:t>
            </w:r>
          </w:p>
        </w:tc>
        <w:tc>
          <w:tcPr>
            <w:tcW w:w="2548" w:type="dxa"/>
            <w:tcBorders>
              <w:bottom w:val="nil"/>
            </w:tcBorders>
            <w:noWrap w:val="0"/>
            <w:vAlign w:val="center"/>
          </w:tcPr>
          <w:p w14:paraId="292A01D3">
            <w:pPr>
              <w:spacing w:line="360" w:lineRule="auto"/>
              <w:jc w:val="center"/>
              <w:rPr>
                <w:rFonts w:hint="eastAsia" w:ascii="宋体" w:hAnsi="宋体" w:eastAsia="等线" w:cs="宋体"/>
                <w:b w:val="0"/>
                <w:bCs/>
                <w:sz w:val="24"/>
                <w:szCs w:val="24"/>
                <w:lang w:eastAsia="zh-CN"/>
              </w:rPr>
            </w:pPr>
            <w:r>
              <w:rPr>
                <w:rFonts w:hint="eastAsia" w:ascii="宋体" w:hAnsi="宋体" w:cs="宋体"/>
                <w:b w:val="0"/>
                <w:bCs/>
                <w:sz w:val="24"/>
                <w:szCs w:val="24"/>
                <w:lang w:eastAsia="zh-CN"/>
              </w:rPr>
              <w:t>备注</w:t>
            </w:r>
          </w:p>
        </w:tc>
      </w:tr>
      <w:tr w14:paraId="32092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8" w:type="dxa"/>
            <w:tcBorders>
              <w:bottom w:val="nil"/>
            </w:tcBorders>
            <w:noWrap w:val="0"/>
            <w:vAlign w:val="center"/>
          </w:tcPr>
          <w:p w14:paraId="4A62425B">
            <w:pPr>
              <w:spacing w:line="360" w:lineRule="auto"/>
              <w:jc w:val="center"/>
              <w:rPr>
                <w:rFonts w:ascii="宋体" w:hAnsi="宋体" w:cs="宋体"/>
                <w:b w:val="0"/>
                <w:bCs/>
                <w:sz w:val="24"/>
                <w:szCs w:val="24"/>
              </w:rPr>
            </w:pPr>
          </w:p>
        </w:tc>
        <w:tc>
          <w:tcPr>
            <w:tcW w:w="2395" w:type="dxa"/>
            <w:tcBorders>
              <w:bottom w:val="nil"/>
            </w:tcBorders>
            <w:noWrap w:val="0"/>
            <w:vAlign w:val="center"/>
          </w:tcPr>
          <w:p w14:paraId="1956BA7A">
            <w:pPr>
              <w:spacing w:line="360" w:lineRule="auto"/>
              <w:jc w:val="center"/>
              <w:rPr>
                <w:rFonts w:ascii="宋体" w:hAnsi="宋体" w:cs="宋体"/>
                <w:b w:val="0"/>
                <w:bCs/>
                <w:sz w:val="24"/>
                <w:szCs w:val="24"/>
              </w:rPr>
            </w:pPr>
          </w:p>
        </w:tc>
        <w:tc>
          <w:tcPr>
            <w:tcW w:w="1158" w:type="dxa"/>
            <w:tcBorders>
              <w:bottom w:val="nil"/>
            </w:tcBorders>
            <w:noWrap w:val="0"/>
            <w:vAlign w:val="center"/>
          </w:tcPr>
          <w:p w14:paraId="709AF28C">
            <w:pPr>
              <w:spacing w:line="360" w:lineRule="auto"/>
              <w:jc w:val="center"/>
              <w:rPr>
                <w:rFonts w:ascii="宋体" w:hAnsi="宋体" w:cs="宋体"/>
                <w:b w:val="0"/>
                <w:bCs/>
                <w:sz w:val="24"/>
                <w:szCs w:val="24"/>
              </w:rPr>
            </w:pPr>
          </w:p>
        </w:tc>
        <w:tc>
          <w:tcPr>
            <w:tcW w:w="980" w:type="dxa"/>
            <w:tcBorders>
              <w:bottom w:val="nil"/>
            </w:tcBorders>
            <w:noWrap w:val="0"/>
            <w:vAlign w:val="center"/>
          </w:tcPr>
          <w:p w14:paraId="1AF3C7F7">
            <w:pPr>
              <w:pStyle w:val="291"/>
              <w:spacing w:beforeLines="50" w:after="120" w:afterLines="50" w:line="360" w:lineRule="auto"/>
              <w:outlineLvl w:val="9"/>
              <w:rPr>
                <w:rFonts w:ascii="宋体" w:hAnsi="宋体" w:cs="宋体"/>
                <w:b w:val="0"/>
                <w:bCs/>
                <w:kern w:val="2"/>
                <w:sz w:val="24"/>
              </w:rPr>
            </w:pPr>
          </w:p>
        </w:tc>
        <w:tc>
          <w:tcPr>
            <w:tcW w:w="1189" w:type="dxa"/>
            <w:tcBorders>
              <w:bottom w:val="nil"/>
            </w:tcBorders>
            <w:noWrap w:val="0"/>
            <w:vAlign w:val="center"/>
          </w:tcPr>
          <w:p w14:paraId="7F87503D">
            <w:pPr>
              <w:pStyle w:val="291"/>
              <w:spacing w:beforeLines="50" w:after="120" w:afterLines="50" w:line="360" w:lineRule="auto"/>
              <w:outlineLvl w:val="9"/>
              <w:rPr>
                <w:rFonts w:ascii="宋体" w:hAnsi="宋体" w:cs="宋体"/>
                <w:b w:val="0"/>
                <w:bCs/>
                <w:kern w:val="2"/>
                <w:sz w:val="24"/>
              </w:rPr>
            </w:pPr>
          </w:p>
        </w:tc>
        <w:tc>
          <w:tcPr>
            <w:tcW w:w="2548" w:type="dxa"/>
            <w:tcBorders>
              <w:bottom w:val="nil"/>
            </w:tcBorders>
            <w:noWrap w:val="0"/>
            <w:vAlign w:val="center"/>
          </w:tcPr>
          <w:p w14:paraId="53E593FB">
            <w:pPr>
              <w:spacing w:line="360" w:lineRule="auto"/>
              <w:jc w:val="center"/>
              <w:rPr>
                <w:rFonts w:ascii="宋体" w:hAnsi="宋体" w:cs="宋体"/>
                <w:b w:val="0"/>
                <w:bCs/>
                <w:sz w:val="24"/>
                <w:szCs w:val="24"/>
              </w:rPr>
            </w:pPr>
          </w:p>
        </w:tc>
      </w:tr>
      <w:tr w14:paraId="00BC4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8" w:type="dxa"/>
            <w:noWrap w:val="0"/>
            <w:vAlign w:val="center"/>
          </w:tcPr>
          <w:p w14:paraId="4AF85242">
            <w:pPr>
              <w:spacing w:line="360" w:lineRule="auto"/>
              <w:jc w:val="center"/>
              <w:rPr>
                <w:rFonts w:ascii="宋体" w:hAnsi="宋体" w:cs="宋体"/>
                <w:b w:val="0"/>
                <w:bCs/>
                <w:sz w:val="24"/>
                <w:szCs w:val="24"/>
              </w:rPr>
            </w:pPr>
          </w:p>
        </w:tc>
        <w:tc>
          <w:tcPr>
            <w:tcW w:w="2395" w:type="dxa"/>
            <w:noWrap w:val="0"/>
            <w:vAlign w:val="center"/>
          </w:tcPr>
          <w:p w14:paraId="7859B6BD">
            <w:pPr>
              <w:spacing w:line="360" w:lineRule="auto"/>
              <w:jc w:val="center"/>
              <w:rPr>
                <w:rFonts w:ascii="宋体" w:hAnsi="宋体" w:cs="宋体"/>
                <w:b w:val="0"/>
                <w:bCs/>
                <w:sz w:val="24"/>
                <w:szCs w:val="24"/>
              </w:rPr>
            </w:pPr>
          </w:p>
        </w:tc>
        <w:tc>
          <w:tcPr>
            <w:tcW w:w="1158" w:type="dxa"/>
            <w:noWrap w:val="0"/>
            <w:vAlign w:val="center"/>
          </w:tcPr>
          <w:p w14:paraId="645015E6">
            <w:pPr>
              <w:spacing w:line="360" w:lineRule="auto"/>
              <w:jc w:val="center"/>
              <w:rPr>
                <w:rFonts w:ascii="宋体" w:hAnsi="宋体" w:cs="宋体"/>
                <w:b w:val="0"/>
                <w:bCs/>
                <w:sz w:val="24"/>
                <w:szCs w:val="24"/>
              </w:rPr>
            </w:pPr>
          </w:p>
        </w:tc>
        <w:tc>
          <w:tcPr>
            <w:tcW w:w="980" w:type="dxa"/>
            <w:noWrap w:val="0"/>
            <w:vAlign w:val="center"/>
          </w:tcPr>
          <w:p w14:paraId="59673823">
            <w:pPr>
              <w:spacing w:line="360" w:lineRule="auto"/>
              <w:jc w:val="center"/>
              <w:rPr>
                <w:rFonts w:ascii="宋体" w:hAnsi="宋体" w:cs="宋体"/>
                <w:b w:val="0"/>
                <w:bCs/>
                <w:sz w:val="24"/>
                <w:szCs w:val="24"/>
              </w:rPr>
            </w:pPr>
          </w:p>
        </w:tc>
        <w:tc>
          <w:tcPr>
            <w:tcW w:w="1189" w:type="dxa"/>
            <w:noWrap w:val="0"/>
            <w:vAlign w:val="center"/>
          </w:tcPr>
          <w:p w14:paraId="3B4ECCE2">
            <w:pPr>
              <w:spacing w:line="360" w:lineRule="auto"/>
              <w:jc w:val="center"/>
              <w:rPr>
                <w:rFonts w:ascii="宋体" w:hAnsi="宋体" w:cs="宋体"/>
                <w:b w:val="0"/>
                <w:bCs/>
                <w:sz w:val="24"/>
                <w:szCs w:val="24"/>
              </w:rPr>
            </w:pPr>
          </w:p>
        </w:tc>
        <w:tc>
          <w:tcPr>
            <w:tcW w:w="2548" w:type="dxa"/>
            <w:noWrap w:val="0"/>
            <w:vAlign w:val="center"/>
          </w:tcPr>
          <w:p w14:paraId="00FBD200">
            <w:pPr>
              <w:spacing w:line="360" w:lineRule="auto"/>
              <w:jc w:val="center"/>
              <w:rPr>
                <w:rFonts w:ascii="宋体" w:hAnsi="宋体" w:cs="宋体"/>
                <w:b w:val="0"/>
                <w:bCs/>
                <w:sz w:val="24"/>
                <w:szCs w:val="24"/>
              </w:rPr>
            </w:pPr>
          </w:p>
        </w:tc>
      </w:tr>
      <w:tr w14:paraId="5750D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8" w:type="dxa"/>
            <w:noWrap w:val="0"/>
            <w:vAlign w:val="center"/>
          </w:tcPr>
          <w:p w14:paraId="33416359">
            <w:pPr>
              <w:spacing w:line="360" w:lineRule="auto"/>
              <w:jc w:val="center"/>
              <w:rPr>
                <w:rFonts w:ascii="宋体" w:hAnsi="宋体" w:cs="宋体"/>
                <w:b w:val="0"/>
                <w:bCs/>
                <w:sz w:val="24"/>
                <w:szCs w:val="24"/>
              </w:rPr>
            </w:pPr>
          </w:p>
        </w:tc>
        <w:tc>
          <w:tcPr>
            <w:tcW w:w="2395" w:type="dxa"/>
            <w:noWrap w:val="0"/>
            <w:vAlign w:val="center"/>
          </w:tcPr>
          <w:p w14:paraId="7D3EAC68">
            <w:pPr>
              <w:spacing w:line="360" w:lineRule="auto"/>
              <w:jc w:val="center"/>
              <w:rPr>
                <w:rFonts w:ascii="宋体" w:hAnsi="宋体" w:cs="宋体"/>
                <w:b w:val="0"/>
                <w:bCs/>
                <w:sz w:val="24"/>
                <w:szCs w:val="24"/>
              </w:rPr>
            </w:pPr>
          </w:p>
        </w:tc>
        <w:tc>
          <w:tcPr>
            <w:tcW w:w="1158" w:type="dxa"/>
            <w:noWrap w:val="0"/>
            <w:vAlign w:val="center"/>
          </w:tcPr>
          <w:p w14:paraId="23BA4E95">
            <w:pPr>
              <w:spacing w:line="360" w:lineRule="auto"/>
              <w:jc w:val="center"/>
              <w:rPr>
                <w:rFonts w:ascii="宋体" w:hAnsi="宋体" w:cs="宋体"/>
                <w:b w:val="0"/>
                <w:bCs/>
                <w:sz w:val="24"/>
                <w:szCs w:val="24"/>
              </w:rPr>
            </w:pPr>
          </w:p>
        </w:tc>
        <w:tc>
          <w:tcPr>
            <w:tcW w:w="980" w:type="dxa"/>
            <w:noWrap w:val="0"/>
            <w:vAlign w:val="center"/>
          </w:tcPr>
          <w:p w14:paraId="63628A96">
            <w:pPr>
              <w:spacing w:line="360" w:lineRule="auto"/>
              <w:jc w:val="center"/>
              <w:rPr>
                <w:rFonts w:ascii="宋体" w:hAnsi="宋体" w:cs="宋体"/>
                <w:b w:val="0"/>
                <w:bCs/>
                <w:sz w:val="24"/>
                <w:szCs w:val="24"/>
              </w:rPr>
            </w:pPr>
          </w:p>
        </w:tc>
        <w:tc>
          <w:tcPr>
            <w:tcW w:w="1189" w:type="dxa"/>
            <w:noWrap w:val="0"/>
            <w:vAlign w:val="center"/>
          </w:tcPr>
          <w:p w14:paraId="479A9552">
            <w:pPr>
              <w:spacing w:line="360" w:lineRule="auto"/>
              <w:jc w:val="center"/>
              <w:rPr>
                <w:rFonts w:ascii="宋体" w:hAnsi="宋体" w:cs="宋体"/>
                <w:b w:val="0"/>
                <w:bCs/>
                <w:sz w:val="24"/>
                <w:szCs w:val="24"/>
              </w:rPr>
            </w:pPr>
          </w:p>
        </w:tc>
        <w:tc>
          <w:tcPr>
            <w:tcW w:w="2548" w:type="dxa"/>
            <w:noWrap w:val="0"/>
            <w:vAlign w:val="center"/>
          </w:tcPr>
          <w:p w14:paraId="6796E97F">
            <w:pPr>
              <w:spacing w:line="360" w:lineRule="auto"/>
              <w:jc w:val="center"/>
              <w:rPr>
                <w:rFonts w:ascii="宋体" w:hAnsi="宋体" w:cs="宋体"/>
                <w:b w:val="0"/>
                <w:bCs/>
                <w:sz w:val="24"/>
                <w:szCs w:val="24"/>
              </w:rPr>
            </w:pPr>
          </w:p>
        </w:tc>
      </w:tr>
      <w:tr w14:paraId="5972E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8" w:type="dxa"/>
            <w:noWrap w:val="0"/>
            <w:vAlign w:val="center"/>
          </w:tcPr>
          <w:p w14:paraId="7E9E9E37">
            <w:pPr>
              <w:spacing w:line="360" w:lineRule="auto"/>
              <w:jc w:val="center"/>
              <w:rPr>
                <w:rFonts w:ascii="宋体" w:hAnsi="宋体" w:cs="宋体"/>
                <w:b w:val="0"/>
                <w:bCs/>
                <w:sz w:val="24"/>
                <w:szCs w:val="24"/>
              </w:rPr>
            </w:pPr>
          </w:p>
        </w:tc>
        <w:tc>
          <w:tcPr>
            <w:tcW w:w="2395" w:type="dxa"/>
            <w:noWrap w:val="0"/>
            <w:vAlign w:val="center"/>
          </w:tcPr>
          <w:p w14:paraId="3154E844">
            <w:pPr>
              <w:spacing w:line="360" w:lineRule="auto"/>
              <w:jc w:val="center"/>
              <w:rPr>
                <w:rFonts w:ascii="宋体" w:hAnsi="宋体" w:cs="宋体"/>
                <w:b w:val="0"/>
                <w:bCs/>
                <w:sz w:val="24"/>
                <w:szCs w:val="24"/>
              </w:rPr>
            </w:pPr>
          </w:p>
        </w:tc>
        <w:tc>
          <w:tcPr>
            <w:tcW w:w="1158" w:type="dxa"/>
            <w:noWrap w:val="0"/>
            <w:vAlign w:val="center"/>
          </w:tcPr>
          <w:p w14:paraId="50F8F885">
            <w:pPr>
              <w:spacing w:line="360" w:lineRule="auto"/>
              <w:jc w:val="center"/>
              <w:rPr>
                <w:rFonts w:ascii="宋体" w:hAnsi="宋体" w:cs="宋体"/>
                <w:b w:val="0"/>
                <w:bCs/>
                <w:sz w:val="24"/>
                <w:szCs w:val="24"/>
              </w:rPr>
            </w:pPr>
          </w:p>
        </w:tc>
        <w:tc>
          <w:tcPr>
            <w:tcW w:w="980" w:type="dxa"/>
            <w:noWrap w:val="0"/>
            <w:vAlign w:val="center"/>
          </w:tcPr>
          <w:p w14:paraId="7CEB3E5D">
            <w:pPr>
              <w:spacing w:line="360" w:lineRule="auto"/>
              <w:jc w:val="center"/>
              <w:rPr>
                <w:rFonts w:ascii="宋体" w:hAnsi="宋体" w:cs="宋体"/>
                <w:b w:val="0"/>
                <w:bCs/>
                <w:sz w:val="24"/>
                <w:szCs w:val="24"/>
              </w:rPr>
            </w:pPr>
          </w:p>
        </w:tc>
        <w:tc>
          <w:tcPr>
            <w:tcW w:w="1189" w:type="dxa"/>
            <w:noWrap w:val="0"/>
            <w:vAlign w:val="center"/>
          </w:tcPr>
          <w:p w14:paraId="700BE801">
            <w:pPr>
              <w:spacing w:line="360" w:lineRule="auto"/>
              <w:jc w:val="center"/>
              <w:rPr>
                <w:rFonts w:ascii="宋体" w:hAnsi="宋体" w:cs="宋体"/>
                <w:b w:val="0"/>
                <w:bCs/>
                <w:sz w:val="24"/>
                <w:szCs w:val="24"/>
              </w:rPr>
            </w:pPr>
          </w:p>
        </w:tc>
        <w:tc>
          <w:tcPr>
            <w:tcW w:w="2548" w:type="dxa"/>
            <w:noWrap w:val="0"/>
            <w:vAlign w:val="center"/>
          </w:tcPr>
          <w:p w14:paraId="6F8E565B">
            <w:pPr>
              <w:spacing w:line="360" w:lineRule="auto"/>
              <w:jc w:val="center"/>
              <w:rPr>
                <w:rFonts w:ascii="宋体" w:hAnsi="宋体" w:cs="宋体"/>
                <w:b w:val="0"/>
                <w:bCs/>
                <w:sz w:val="24"/>
                <w:szCs w:val="24"/>
              </w:rPr>
            </w:pPr>
          </w:p>
        </w:tc>
      </w:tr>
    </w:tbl>
    <w:p w14:paraId="6B1C8421">
      <w:pPr>
        <w:pStyle w:val="289"/>
        <w:pageBreakBefore w:val="0"/>
        <w:widowControl/>
        <w:kinsoku/>
        <w:wordWrap/>
        <w:overflowPunct/>
        <w:topLinePunct w:val="0"/>
        <w:bidi w:val="0"/>
        <w:snapToGrid/>
        <w:spacing w:before="0" w:beforeAutospacing="0" w:after="0" w:afterAutospacing="0" w:line="240" w:lineRule="auto"/>
        <w:ind w:firstLine="241" w:firstLineChars="100"/>
        <w:jc w:val="both"/>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sectPr>
          <w:pgSz w:w="11906" w:h="16838"/>
          <w:pgMar w:top="1134" w:right="1134" w:bottom="1134" w:left="1134" w:header="851" w:footer="992" w:gutter="0"/>
          <w:pgNumType w:fmt="decimal"/>
          <w:cols w:space="720" w:num="1"/>
          <w:titlePg/>
          <w:rtlGutter w:val="0"/>
          <w:docGrid w:linePitch="312" w:charSpace="0"/>
        </w:sectPr>
      </w:pPr>
      <w:r>
        <w:rPr>
          <w:rStyle w:val="260"/>
          <w:rFonts w:hint="eastAsia" w:ascii="宋体" w:hAnsi="宋体" w:eastAsia="宋体" w:cs="宋体"/>
          <w:b/>
          <w:i w:val="0"/>
          <w:caps w:val="0"/>
          <w:color w:val="auto"/>
          <w:spacing w:val="0"/>
          <w:w w:val="100"/>
          <w:position w:val="0"/>
          <w:sz w:val="24"/>
          <w:szCs w:val="24"/>
          <w:highlight w:val="none"/>
          <w:lang w:val="en-US" w:eastAsia="zh-CN" w:bidi="ar-SA"/>
        </w:rPr>
        <w:t>后附相关证明材料</w:t>
      </w:r>
    </w:p>
    <w:p w14:paraId="09DE274A">
      <w:pPr>
        <w:pStyle w:val="289"/>
        <w:pageBreakBefore w:val="0"/>
        <w:widowControl/>
        <w:kinsoku/>
        <w:wordWrap/>
        <w:overflowPunct/>
        <w:topLinePunct w:val="0"/>
        <w:bidi w:val="0"/>
        <w:snapToGrid/>
        <w:spacing w:before="0" w:beforeAutospacing="0" w:after="0" w:afterAutospacing="0" w:line="240" w:lineRule="auto"/>
        <w:jc w:val="center"/>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24"/>
          <w:szCs w:val="24"/>
          <w:highlight w:val="none"/>
          <w:lang w:val="en-US" w:eastAsia="zh-CN" w:bidi="ar-SA"/>
        </w:rPr>
        <w:t>2.7招标文件要求及供应商认为有必要提供的声明及其他文件</w:t>
      </w:r>
    </w:p>
    <w:p w14:paraId="3C8932A6">
      <w:pPr>
        <w:pStyle w:val="273"/>
        <w:pageBreakBefore w:val="0"/>
        <w:widowControl/>
        <w:kinsoku/>
        <w:wordWrap/>
        <w:overflowPunct/>
        <w:topLinePunct w:val="0"/>
        <w:bidi w:val="0"/>
        <w:snapToGrid/>
        <w:spacing w:before="0" w:beforeAutospacing="0" w:after="0" w:afterAutospacing="0" w:line="240" w:lineRule="auto"/>
        <w:ind w:firstLine="2650" w:firstLineChars="1100"/>
        <w:jc w:val="both"/>
        <w:textAlignment w:val="baseline"/>
        <w:rPr>
          <w:rStyle w:val="260"/>
          <w:rFonts w:hint="eastAsia" w:ascii="宋体" w:hAnsi="宋体" w:eastAsia="宋体" w:cs="宋体"/>
          <w:b/>
          <w:i w:val="0"/>
          <w:caps w:val="0"/>
          <w:color w:val="auto"/>
          <w:spacing w:val="0"/>
          <w:w w:val="100"/>
          <w:position w:val="0"/>
          <w:sz w:val="24"/>
          <w:szCs w:val="24"/>
          <w:highlight w:val="none"/>
          <w:lang w:val="en-US" w:eastAsia="zh-CN" w:bidi="ar-SA"/>
        </w:rPr>
      </w:pPr>
      <w:r>
        <w:rPr>
          <w:rStyle w:val="260"/>
          <w:rFonts w:hint="eastAsia" w:ascii="宋体" w:hAnsi="宋体" w:eastAsia="宋体" w:cs="宋体"/>
          <w:b/>
          <w:i w:val="0"/>
          <w:caps w:val="0"/>
          <w:color w:val="auto"/>
          <w:spacing w:val="0"/>
          <w:w w:val="100"/>
          <w:position w:val="0"/>
          <w:sz w:val="24"/>
          <w:szCs w:val="24"/>
          <w:highlight w:val="none"/>
          <w:lang w:val="en-US" w:eastAsia="zh-CN" w:bidi="ar-SA"/>
        </w:rPr>
        <w:t>投标保证金缴纳凭证</w:t>
      </w:r>
    </w:p>
    <w:p w14:paraId="6C635899">
      <w:pPr>
        <w:pStyle w:val="290"/>
        <w:pageBreakBefore w:val="0"/>
        <w:kinsoku/>
        <w:wordWrap/>
        <w:overflowPunct/>
        <w:topLinePunct w:val="0"/>
        <w:bidi w:val="0"/>
        <w:snapToGrid/>
        <w:spacing w:before="0" w:beforeAutospacing="0" w:after="0" w:afterAutospacing="0" w:line="240" w:lineRule="auto"/>
        <w:jc w:val="both"/>
        <w:textAlignment w:val="baseline"/>
        <w:rPr>
          <w:rStyle w:val="260"/>
          <w:rFonts w:hint="eastAsia" w:ascii="宋体" w:hAnsi="宋体" w:eastAsia="宋体" w:cs="宋体"/>
          <w:b/>
          <w:i w:val="0"/>
          <w:caps w:val="0"/>
          <w:color w:val="auto"/>
          <w:spacing w:val="0"/>
          <w:w w:val="100"/>
          <w:position w:val="0"/>
          <w:sz w:val="32"/>
          <w:szCs w:val="24"/>
          <w:highlight w:val="none"/>
          <w:lang w:bidi="ar-SA"/>
        </w:rPr>
      </w:pPr>
      <w:r>
        <w:rPr>
          <w:rStyle w:val="260"/>
          <w:rFonts w:hint="eastAsia" w:ascii="宋体" w:hAnsi="宋体" w:eastAsia="宋体" w:cs="宋体"/>
          <w:b/>
          <w:i w:val="0"/>
          <w:caps w:val="0"/>
          <w:color w:val="auto"/>
          <w:spacing w:val="0"/>
          <w:w w:val="100"/>
          <w:position w:val="0"/>
          <w:sz w:val="32"/>
          <w:szCs w:val="24"/>
          <w:highlight w:val="none"/>
          <w:lang w:bidi="ar-SA"/>
        </w:rPr>
        <w:br w:type="page"/>
      </w:r>
      <w:bookmarkStart w:id="132" w:name="_Toc1983"/>
      <w:r>
        <w:rPr>
          <w:rStyle w:val="260"/>
          <w:rFonts w:hint="eastAsia" w:ascii="宋体" w:hAnsi="宋体" w:eastAsia="宋体" w:cs="宋体"/>
          <w:b/>
          <w:i w:val="0"/>
          <w:caps w:val="0"/>
          <w:color w:val="auto"/>
          <w:spacing w:val="0"/>
          <w:w w:val="100"/>
          <w:position w:val="0"/>
          <w:sz w:val="28"/>
          <w:szCs w:val="28"/>
          <w:highlight w:val="none"/>
          <w:lang w:eastAsia="zh-CN" w:bidi="ar-SA"/>
        </w:rPr>
        <w:t>三、</w:t>
      </w:r>
      <w:bookmarkEnd w:id="132"/>
      <w:bookmarkStart w:id="133" w:name="_Toc19312"/>
      <w:r>
        <w:rPr>
          <w:rStyle w:val="260"/>
          <w:rFonts w:hint="eastAsia" w:ascii="宋体" w:hAnsi="宋体" w:eastAsia="宋体" w:cs="宋体"/>
          <w:b/>
          <w:i w:val="0"/>
          <w:caps w:val="0"/>
          <w:color w:val="auto"/>
          <w:spacing w:val="0"/>
          <w:w w:val="100"/>
          <w:kern w:val="0"/>
          <w:position w:val="0"/>
          <w:sz w:val="28"/>
          <w:szCs w:val="28"/>
          <w:highlight w:val="none"/>
          <w:lang w:val="en-US" w:eastAsia="zh-CN" w:bidi="ar-SA"/>
        </w:rPr>
        <w:t>服务文件</w:t>
      </w:r>
      <w:bookmarkEnd w:id="133"/>
    </w:p>
    <w:p w14:paraId="22E834F1">
      <w:pPr>
        <w:spacing w:line="360" w:lineRule="auto"/>
        <w:ind w:firstLine="405" w:firstLineChars="16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文件》要求的内容，对完成整个项目提出相应的项目实施方案工作的大纲内容（纲要内容），描述自身对本项目的理解等。方案编写可用文字结合图文进行编制（供应商应尽可能用表格或框图的方式编写，以便</w:t>
      </w:r>
      <w:r>
        <w:rPr>
          <w:rFonts w:hint="eastAsia" w:ascii="宋体" w:hAnsi="宋体" w:eastAsia="宋体" w:cs="宋体"/>
          <w:color w:val="auto"/>
          <w:sz w:val="24"/>
          <w:szCs w:val="24"/>
          <w:highlight w:val="none"/>
          <w:lang w:eastAsia="zh-CN"/>
        </w:rPr>
        <w:t>评标委员会</w:t>
      </w:r>
      <w:r>
        <w:rPr>
          <w:rFonts w:hint="eastAsia" w:ascii="宋体" w:hAnsi="宋体" w:eastAsia="宋体" w:cs="宋体"/>
          <w:color w:val="auto"/>
          <w:sz w:val="24"/>
          <w:szCs w:val="24"/>
          <w:highlight w:val="none"/>
        </w:rPr>
        <w:t>评审），必须条理清晰、突出重点、科学合理、细致周全。</w:t>
      </w:r>
    </w:p>
    <w:p w14:paraId="231F095A">
      <w:pPr>
        <w:pStyle w:val="5"/>
        <w:rPr>
          <w:rFonts w:hint="eastAsia" w:ascii="宋体" w:hAnsi="宋体" w:eastAsia="宋体" w:cs="宋体"/>
          <w:color w:val="auto"/>
          <w:sz w:val="24"/>
          <w:szCs w:val="24"/>
          <w:highlight w:val="none"/>
        </w:rPr>
      </w:pPr>
    </w:p>
    <w:p w14:paraId="5142E0AA">
      <w:pPr>
        <w:rPr>
          <w:rFonts w:hint="eastAsia" w:ascii="宋体" w:hAnsi="宋体" w:eastAsia="宋体" w:cs="宋体"/>
          <w:color w:val="auto"/>
          <w:sz w:val="24"/>
          <w:szCs w:val="24"/>
          <w:highlight w:val="none"/>
        </w:rPr>
      </w:pPr>
    </w:p>
    <w:bookmarkEnd w:id="123"/>
    <w:bookmarkEnd w:id="124"/>
    <w:bookmarkEnd w:id="125"/>
    <w:bookmarkEnd w:id="126"/>
    <w:p w14:paraId="5D61231B">
      <w:pPr>
        <w:pStyle w:val="181"/>
        <w:spacing w:line="360" w:lineRule="auto"/>
        <w:rPr>
          <w:rFonts w:hint="eastAsia" w:ascii="宋体" w:hAnsi="宋体" w:eastAsia="宋体" w:cs="宋体"/>
          <w:color w:val="auto"/>
          <w:highlight w:val="none"/>
        </w:rPr>
      </w:pPr>
    </w:p>
    <w:sectPr>
      <w:footerReference r:id="rId8" w:type="default"/>
      <w:pgSz w:w="11906" w:h="16838"/>
      <w:pgMar w:top="1440" w:right="1803" w:bottom="1440" w:left="1803" w:header="851" w:footer="992" w:gutter="0"/>
      <w:pgNumType w:fmt="decimal"/>
      <w:cols w:space="720" w:num="1"/>
      <w:docGrid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MS Sans Serif">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A67CA">
    <w:pPr>
      <w:pStyle w:val="3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AF1F9D">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3tAs3gEAAL8DAAAOAAAAAAAA&#10;AAEAIAAAAB4BAABkcnMvZTJvRG9jLnhtbFBLBQYAAAAABgAGAFkBAABuBQAAAAA=&#10;">
              <v:fill on="f" focussize="0,0"/>
              <v:stroke on="f"/>
              <v:imagedata o:title=""/>
              <o:lock v:ext="edit" aspectratio="f"/>
              <v:textbox inset="0mm,0mm,0mm,0mm" style="mso-fit-shape-to-text:t;">
                <w:txbxContent>
                  <w:p w14:paraId="43AF1F9D">
                    <w:pPr>
                      <w:pStyle w:val="3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C4521">
    <w:pPr>
      <w:pStyle w:val="3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89B14C">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uTjLS98BAAC/AwAADgAAAAAA&#10;AAABACAAAAAeAQAAZHJzL2Uyb0RvYy54bWxQSwUGAAAAAAYABgBZAQAAbwUAAAAA&#10;">
              <v:fill on="f" focussize="0,0"/>
              <v:stroke on="f"/>
              <v:imagedata o:title=""/>
              <o:lock v:ext="edit" aspectratio="f"/>
              <v:textbox inset="0mm,0mm,0mm,0mm" style="mso-fit-shape-to-text:t;">
                <w:txbxContent>
                  <w:p w14:paraId="0A89B14C">
                    <w:pPr>
                      <w:pStyle w:val="3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A8A8F">
    <w:pPr>
      <w:pStyle w:val="33"/>
      <w:jc w:val="center"/>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D77528">
                          <w:pPr>
                            <w:pStyle w:val="33"/>
                          </w:pPr>
                          <w:r>
                            <w:fldChar w:fldCharType="begin"/>
                          </w:r>
                          <w:r>
                            <w:instrText xml:space="preserve"> PAGE  \* MERGEFORMAT </w:instrText>
                          </w:r>
                          <w:r>
                            <w:fldChar w:fldCharType="separate"/>
                          </w:r>
                          <w:r>
                            <w:t>70</w:t>
                          </w:r>
                          <w:r>
                            <w:fldChar w:fldCharType="end"/>
                          </w:r>
                        </w:p>
                      </w:txbxContent>
                    </wps:txbx>
                    <wps:bodyPr vert="horz" wrap="none" lIns="0" tIns="0" rIns="0" bIns="0" anchor="t" anchorCtr="0"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BJ70Q33gEAAL8DAAAOAAAAAAAA&#10;AAEAIAAAAB4BAABkcnMvZTJvRG9jLnhtbFBLBQYAAAAABgAGAFkBAABuBQAAAAA=&#10;">
              <v:fill on="f" focussize="0,0"/>
              <v:stroke on="f"/>
              <v:imagedata o:title=""/>
              <o:lock v:ext="edit" aspectratio="f"/>
              <v:textbox inset="0mm,0mm,0mm,0mm" style="mso-fit-shape-to-text:t;">
                <w:txbxContent>
                  <w:p w14:paraId="29D77528">
                    <w:pPr>
                      <w:pStyle w:val="3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3749EE3D">
      <w:pPr>
        <w:pStyle w:val="37"/>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09C1F">
    <w:pPr>
      <w:pStyle w:val="34"/>
      <w:pBdr>
        <w:bottom w:val="none" w:color="auto" w:sz="0" w:space="0"/>
      </w:pBdr>
      <w:jc w:val="right"/>
      <w:rPr>
        <w:rFonts w:hint="eastAsia"/>
      </w:rPr>
    </w:pPr>
    <w:r>
      <w:rPr>
        <w:rFonts w:hint="eastAsia" w:ascii="Times New Roman" w:hAnsi="Times New Roman"/>
        <w:color w:val="000000"/>
        <w:sz w:val="28"/>
        <w:szCs w:val="28"/>
      </w:rPr>
      <w:drawing>
        <wp:anchor distT="0" distB="0" distL="114300" distR="114300" simplePos="0" relativeHeight="251659264" behindDoc="0" locked="0" layoutInCell="1" allowOverlap="1">
          <wp:simplePos x="0" y="0"/>
          <wp:positionH relativeFrom="column">
            <wp:posOffset>100965</wp:posOffset>
          </wp:positionH>
          <wp:positionV relativeFrom="paragraph">
            <wp:posOffset>28575</wp:posOffset>
          </wp:positionV>
          <wp:extent cx="257810" cy="230505"/>
          <wp:effectExtent l="0" t="0" r="8890" b="17145"/>
          <wp:wrapNone/>
          <wp:docPr id="2" name="图片 29" descr="1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9" descr="1J"/>
                  <pic:cNvPicPr>
                    <a:picLocks noChangeAspect="1"/>
                  </pic:cNvPicPr>
                </pic:nvPicPr>
                <pic:blipFill>
                  <a:blip r:embed="rId1"/>
                  <a:stretch>
                    <a:fillRect/>
                  </a:stretch>
                </pic:blipFill>
                <pic:spPr>
                  <a:xfrm>
                    <a:off x="0" y="0"/>
                    <a:ext cx="257810" cy="230505"/>
                  </a:xfrm>
                  <a:prstGeom prst="rect">
                    <a:avLst/>
                  </a:prstGeom>
                  <a:noFill/>
                  <a:ln>
                    <a:noFill/>
                  </a:ln>
                </pic:spPr>
              </pic:pic>
            </a:graphicData>
          </a:graphic>
        </wp:anchor>
      </w:drawing>
    </w:r>
    <w:r>
      <w:rPr>
        <w:rFonts w:hint="eastAsia"/>
      </w:rPr>
      <w:t xml:space="preserve">                                                                 </w:t>
    </w:r>
  </w:p>
  <w:p w14:paraId="57E64615">
    <w:pPr>
      <w:pStyle w:val="34"/>
      <w:pBdr>
        <w:bottom w:val="double" w:color="auto" w:sz="8" w:space="0"/>
      </w:pBdr>
      <w:jc w:val="right"/>
      <w:rPr>
        <w:b/>
        <w:bCs/>
      </w:rPr>
    </w:pPr>
    <w:r>
      <w:rPr>
        <w:rFonts w:hint="eastAsia"/>
        <w:b/>
        <w:bCs/>
      </w:rPr>
      <w:t>新疆金锦鑫项目管理咨询服务有限公司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1C694">
    <w:pPr>
      <w:pStyle w:val="34"/>
      <w:pBdr>
        <w:bottom w:val="none" w:color="auto" w:sz="0" w:space="1"/>
      </w:pBdr>
      <w:rPr>
        <w:rFonts w:hint="eastAsia"/>
      </w:rPr>
    </w:pPr>
    <w:r>
      <w:rPr>
        <w:rFonts w:hint="eastAsia" w:ascii="Times New Roman" w:hAnsi="Times New Roman"/>
        <w:b/>
        <w:bCs/>
        <w:color w:val="000000"/>
        <w:sz w:val="28"/>
        <w:szCs w:val="28"/>
      </w:rPr>
      <w:drawing>
        <wp:anchor distT="0" distB="0" distL="114300" distR="114300" simplePos="0" relativeHeight="251663360" behindDoc="0" locked="0" layoutInCell="1" allowOverlap="1">
          <wp:simplePos x="0" y="0"/>
          <wp:positionH relativeFrom="column">
            <wp:posOffset>100965</wp:posOffset>
          </wp:positionH>
          <wp:positionV relativeFrom="paragraph">
            <wp:posOffset>70485</wp:posOffset>
          </wp:positionV>
          <wp:extent cx="257810" cy="230505"/>
          <wp:effectExtent l="0" t="0" r="8890" b="17145"/>
          <wp:wrapNone/>
          <wp:docPr id="6" name="图片 29" descr="1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9" descr="1J"/>
                  <pic:cNvPicPr>
                    <a:picLocks noChangeAspect="1"/>
                  </pic:cNvPicPr>
                </pic:nvPicPr>
                <pic:blipFill>
                  <a:blip r:embed="rId1"/>
                  <a:stretch>
                    <a:fillRect/>
                  </a:stretch>
                </pic:blipFill>
                <pic:spPr>
                  <a:xfrm>
                    <a:off x="0" y="0"/>
                    <a:ext cx="257810" cy="230505"/>
                  </a:xfrm>
                  <a:prstGeom prst="rect">
                    <a:avLst/>
                  </a:prstGeom>
                  <a:noFill/>
                  <a:ln>
                    <a:noFill/>
                  </a:ln>
                </pic:spPr>
              </pic:pic>
            </a:graphicData>
          </a:graphic>
        </wp:anchor>
      </w:drawing>
    </w:r>
  </w:p>
  <w:p w14:paraId="48CEF02D">
    <w:pPr>
      <w:pStyle w:val="34"/>
      <w:pBdr>
        <w:bottom w:val="double" w:color="auto" w:sz="8" w:space="1"/>
      </w:pBdr>
      <w:rPr>
        <w:b/>
        <w:bCs/>
      </w:rPr>
    </w:pPr>
    <w:r>
      <w:rPr>
        <w:rFonts w:hint="eastAsia"/>
        <w:lang w:val="en-US" w:eastAsia="zh-CN"/>
      </w:rPr>
      <w:t xml:space="preserve">                                                                    </w:t>
    </w:r>
    <w:r>
      <w:rPr>
        <w:rFonts w:hint="eastAsia"/>
        <w:b/>
        <w:bCs/>
        <w:lang w:val="en-US" w:eastAsia="zh-CN"/>
      </w:rPr>
      <w:t xml:space="preserve">   </w:t>
    </w:r>
    <w:r>
      <w:rPr>
        <w:rFonts w:hint="eastAsia"/>
        <w:b/>
        <w:bCs/>
      </w:rPr>
      <w:t>新疆金锦鑫项目管理咨询服务有限公司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249"/>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
    <w:nsid w:val="4D986D11"/>
    <w:multiLevelType w:val="singleLevel"/>
    <w:tmpl w:val="4D986D11"/>
    <w:lvl w:ilvl="0" w:tentative="0">
      <w:start w:val="2"/>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dit="readOnly" w:enforcement="0"/>
  <w:defaultTabStop w:val="420"/>
  <w:hyphenationZone w:val="360"/>
  <w:drawingGridHorizontalSpacing w:val="105"/>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wZjEzODM0YWZhMWIxODg2ZDRmMjhkMzc2OWFiNWQifQ=="/>
    <w:docVar w:name="KSO_WPS_MARK_KEY" w:val="76a5cb94-e58d-4c38-8d25-e669dfabce37"/>
  </w:docVars>
  <w:rsids>
    <w:rsidRoot w:val="0006420E"/>
    <w:rsid w:val="0000146F"/>
    <w:rsid w:val="000021BF"/>
    <w:rsid w:val="00005D70"/>
    <w:rsid w:val="00006B6E"/>
    <w:rsid w:val="00006F7B"/>
    <w:rsid w:val="00007B89"/>
    <w:rsid w:val="00007CCC"/>
    <w:rsid w:val="00013A51"/>
    <w:rsid w:val="00016DC9"/>
    <w:rsid w:val="00020064"/>
    <w:rsid w:val="00024D30"/>
    <w:rsid w:val="0003122A"/>
    <w:rsid w:val="00037192"/>
    <w:rsid w:val="0004007C"/>
    <w:rsid w:val="00040A43"/>
    <w:rsid w:val="0004226B"/>
    <w:rsid w:val="00046D23"/>
    <w:rsid w:val="00047A69"/>
    <w:rsid w:val="00047B1A"/>
    <w:rsid w:val="000514BF"/>
    <w:rsid w:val="00052837"/>
    <w:rsid w:val="0006066A"/>
    <w:rsid w:val="000614C3"/>
    <w:rsid w:val="0006420E"/>
    <w:rsid w:val="0006518E"/>
    <w:rsid w:val="00066A47"/>
    <w:rsid w:val="00077732"/>
    <w:rsid w:val="0008632C"/>
    <w:rsid w:val="00095802"/>
    <w:rsid w:val="000967F3"/>
    <w:rsid w:val="000A0D1F"/>
    <w:rsid w:val="000A2776"/>
    <w:rsid w:val="000A7FF0"/>
    <w:rsid w:val="000B7B92"/>
    <w:rsid w:val="000C23ED"/>
    <w:rsid w:val="000C4FB2"/>
    <w:rsid w:val="000C6C52"/>
    <w:rsid w:val="000D2790"/>
    <w:rsid w:val="000D441F"/>
    <w:rsid w:val="000D4EF8"/>
    <w:rsid w:val="000D5990"/>
    <w:rsid w:val="000D7C11"/>
    <w:rsid w:val="000E1974"/>
    <w:rsid w:val="000E2A1F"/>
    <w:rsid w:val="000E55A8"/>
    <w:rsid w:val="000E6763"/>
    <w:rsid w:val="000F3A6B"/>
    <w:rsid w:val="000F5A05"/>
    <w:rsid w:val="00101891"/>
    <w:rsid w:val="001060F8"/>
    <w:rsid w:val="00106FC5"/>
    <w:rsid w:val="00112301"/>
    <w:rsid w:val="00112BC6"/>
    <w:rsid w:val="00120627"/>
    <w:rsid w:val="00120A20"/>
    <w:rsid w:val="00122B26"/>
    <w:rsid w:val="00123A13"/>
    <w:rsid w:val="00125894"/>
    <w:rsid w:val="0012791D"/>
    <w:rsid w:val="00132BCA"/>
    <w:rsid w:val="00133DDB"/>
    <w:rsid w:val="00135703"/>
    <w:rsid w:val="00136728"/>
    <w:rsid w:val="00137950"/>
    <w:rsid w:val="00142BB6"/>
    <w:rsid w:val="00144476"/>
    <w:rsid w:val="0014493B"/>
    <w:rsid w:val="001509EB"/>
    <w:rsid w:val="0015188F"/>
    <w:rsid w:val="00152953"/>
    <w:rsid w:val="0015519F"/>
    <w:rsid w:val="00156746"/>
    <w:rsid w:val="00157AD7"/>
    <w:rsid w:val="00165DAE"/>
    <w:rsid w:val="00171B59"/>
    <w:rsid w:val="001720AA"/>
    <w:rsid w:val="0017554A"/>
    <w:rsid w:val="00181A0D"/>
    <w:rsid w:val="00185991"/>
    <w:rsid w:val="001907C7"/>
    <w:rsid w:val="001909E2"/>
    <w:rsid w:val="00191CFF"/>
    <w:rsid w:val="00194083"/>
    <w:rsid w:val="001A0793"/>
    <w:rsid w:val="001A6598"/>
    <w:rsid w:val="001A70DB"/>
    <w:rsid w:val="001B6F5B"/>
    <w:rsid w:val="001C2170"/>
    <w:rsid w:val="001C4A73"/>
    <w:rsid w:val="001C5526"/>
    <w:rsid w:val="001C582F"/>
    <w:rsid w:val="001D0156"/>
    <w:rsid w:val="001D3CB4"/>
    <w:rsid w:val="001D5EC4"/>
    <w:rsid w:val="001D6249"/>
    <w:rsid w:val="001E4248"/>
    <w:rsid w:val="001E5ED9"/>
    <w:rsid w:val="001E69E1"/>
    <w:rsid w:val="001F1CC3"/>
    <w:rsid w:val="001F2265"/>
    <w:rsid w:val="002019D5"/>
    <w:rsid w:val="00201DAC"/>
    <w:rsid w:val="002023C4"/>
    <w:rsid w:val="00204044"/>
    <w:rsid w:val="00206715"/>
    <w:rsid w:val="0020743F"/>
    <w:rsid w:val="0021000F"/>
    <w:rsid w:val="00216044"/>
    <w:rsid w:val="00221E9D"/>
    <w:rsid w:val="002229CD"/>
    <w:rsid w:val="00241149"/>
    <w:rsid w:val="0024556C"/>
    <w:rsid w:val="0025191C"/>
    <w:rsid w:val="0025378E"/>
    <w:rsid w:val="00257DFC"/>
    <w:rsid w:val="00257E04"/>
    <w:rsid w:val="00264C0A"/>
    <w:rsid w:val="00265B3B"/>
    <w:rsid w:val="0026648B"/>
    <w:rsid w:val="00270CD2"/>
    <w:rsid w:val="00272246"/>
    <w:rsid w:val="00273622"/>
    <w:rsid w:val="00273AE6"/>
    <w:rsid w:val="00275180"/>
    <w:rsid w:val="00275F0A"/>
    <w:rsid w:val="00280A5C"/>
    <w:rsid w:val="00282987"/>
    <w:rsid w:val="00282D24"/>
    <w:rsid w:val="0028334D"/>
    <w:rsid w:val="00293366"/>
    <w:rsid w:val="00296302"/>
    <w:rsid w:val="00297036"/>
    <w:rsid w:val="002B0AAC"/>
    <w:rsid w:val="002B132C"/>
    <w:rsid w:val="002B1408"/>
    <w:rsid w:val="002B170A"/>
    <w:rsid w:val="002B1D34"/>
    <w:rsid w:val="002B3058"/>
    <w:rsid w:val="002B60D0"/>
    <w:rsid w:val="002B6F79"/>
    <w:rsid w:val="002C3676"/>
    <w:rsid w:val="002C68B7"/>
    <w:rsid w:val="002D7862"/>
    <w:rsid w:val="002D79A9"/>
    <w:rsid w:val="002E2A70"/>
    <w:rsid w:val="002E2C9F"/>
    <w:rsid w:val="002E2FCC"/>
    <w:rsid w:val="002E3965"/>
    <w:rsid w:val="002E6535"/>
    <w:rsid w:val="0030471C"/>
    <w:rsid w:val="0031024B"/>
    <w:rsid w:val="0031231E"/>
    <w:rsid w:val="00313158"/>
    <w:rsid w:val="00314D59"/>
    <w:rsid w:val="00315155"/>
    <w:rsid w:val="0032016D"/>
    <w:rsid w:val="003202D9"/>
    <w:rsid w:val="00324C62"/>
    <w:rsid w:val="00324DFE"/>
    <w:rsid w:val="003263AA"/>
    <w:rsid w:val="003322A8"/>
    <w:rsid w:val="00334463"/>
    <w:rsid w:val="003345A9"/>
    <w:rsid w:val="00336E35"/>
    <w:rsid w:val="00342A84"/>
    <w:rsid w:val="0034441E"/>
    <w:rsid w:val="003463D5"/>
    <w:rsid w:val="003516DD"/>
    <w:rsid w:val="00351C0E"/>
    <w:rsid w:val="003525D7"/>
    <w:rsid w:val="00357A86"/>
    <w:rsid w:val="00361B75"/>
    <w:rsid w:val="0037147F"/>
    <w:rsid w:val="00372D8C"/>
    <w:rsid w:val="003760B2"/>
    <w:rsid w:val="003770AB"/>
    <w:rsid w:val="00381AEB"/>
    <w:rsid w:val="003878B8"/>
    <w:rsid w:val="00387F66"/>
    <w:rsid w:val="00391024"/>
    <w:rsid w:val="00392215"/>
    <w:rsid w:val="0039392A"/>
    <w:rsid w:val="00393B4E"/>
    <w:rsid w:val="003A00F6"/>
    <w:rsid w:val="003A02B1"/>
    <w:rsid w:val="003A0763"/>
    <w:rsid w:val="003A3638"/>
    <w:rsid w:val="003A379B"/>
    <w:rsid w:val="003A7EFB"/>
    <w:rsid w:val="003B4B4B"/>
    <w:rsid w:val="003B61D1"/>
    <w:rsid w:val="003B7EB6"/>
    <w:rsid w:val="003C1206"/>
    <w:rsid w:val="003D1BA1"/>
    <w:rsid w:val="003D1D4E"/>
    <w:rsid w:val="003D7968"/>
    <w:rsid w:val="003E305C"/>
    <w:rsid w:val="003E34C8"/>
    <w:rsid w:val="003E7BDF"/>
    <w:rsid w:val="003F0749"/>
    <w:rsid w:val="00402D6B"/>
    <w:rsid w:val="004063F7"/>
    <w:rsid w:val="00406776"/>
    <w:rsid w:val="00414CD8"/>
    <w:rsid w:val="0041706E"/>
    <w:rsid w:val="00417EF4"/>
    <w:rsid w:val="0042576A"/>
    <w:rsid w:val="00426AD8"/>
    <w:rsid w:val="0043586F"/>
    <w:rsid w:val="0043633D"/>
    <w:rsid w:val="00444713"/>
    <w:rsid w:val="00450986"/>
    <w:rsid w:val="00457771"/>
    <w:rsid w:val="004618DA"/>
    <w:rsid w:val="00465BBB"/>
    <w:rsid w:val="004718D0"/>
    <w:rsid w:val="0047758F"/>
    <w:rsid w:val="004800B2"/>
    <w:rsid w:val="00481056"/>
    <w:rsid w:val="00483A49"/>
    <w:rsid w:val="004919E6"/>
    <w:rsid w:val="00496AF1"/>
    <w:rsid w:val="004A1AA9"/>
    <w:rsid w:val="004A3B15"/>
    <w:rsid w:val="004A5CE7"/>
    <w:rsid w:val="004A6F0A"/>
    <w:rsid w:val="004B502F"/>
    <w:rsid w:val="004B6768"/>
    <w:rsid w:val="004B7574"/>
    <w:rsid w:val="004C0B4C"/>
    <w:rsid w:val="004C59EC"/>
    <w:rsid w:val="004C6655"/>
    <w:rsid w:val="004C77EB"/>
    <w:rsid w:val="004D17FB"/>
    <w:rsid w:val="004D1ADB"/>
    <w:rsid w:val="004E3385"/>
    <w:rsid w:val="004E34BC"/>
    <w:rsid w:val="004E3EBC"/>
    <w:rsid w:val="004E72BE"/>
    <w:rsid w:val="004F017F"/>
    <w:rsid w:val="0050209A"/>
    <w:rsid w:val="00503996"/>
    <w:rsid w:val="00511990"/>
    <w:rsid w:val="00515A3C"/>
    <w:rsid w:val="005165E2"/>
    <w:rsid w:val="00520EEA"/>
    <w:rsid w:val="00521BFA"/>
    <w:rsid w:val="00522A12"/>
    <w:rsid w:val="00524D3D"/>
    <w:rsid w:val="00530723"/>
    <w:rsid w:val="005317FB"/>
    <w:rsid w:val="00535E3F"/>
    <w:rsid w:val="0053724B"/>
    <w:rsid w:val="00540F58"/>
    <w:rsid w:val="00542C5F"/>
    <w:rsid w:val="00544BD3"/>
    <w:rsid w:val="00546650"/>
    <w:rsid w:val="00554736"/>
    <w:rsid w:val="00554B3E"/>
    <w:rsid w:val="0056037C"/>
    <w:rsid w:val="00563E58"/>
    <w:rsid w:val="00565A4F"/>
    <w:rsid w:val="0057206A"/>
    <w:rsid w:val="00572795"/>
    <w:rsid w:val="00586D25"/>
    <w:rsid w:val="005875E0"/>
    <w:rsid w:val="00587DDB"/>
    <w:rsid w:val="005974F1"/>
    <w:rsid w:val="005A172D"/>
    <w:rsid w:val="005A682F"/>
    <w:rsid w:val="005B0560"/>
    <w:rsid w:val="005C3079"/>
    <w:rsid w:val="005C406B"/>
    <w:rsid w:val="005C46B5"/>
    <w:rsid w:val="005D03F6"/>
    <w:rsid w:val="005D0868"/>
    <w:rsid w:val="005D15F6"/>
    <w:rsid w:val="005D5C0A"/>
    <w:rsid w:val="005D677F"/>
    <w:rsid w:val="005D70E2"/>
    <w:rsid w:val="005E1106"/>
    <w:rsid w:val="005E5319"/>
    <w:rsid w:val="005E7622"/>
    <w:rsid w:val="005E77A1"/>
    <w:rsid w:val="005F2B1B"/>
    <w:rsid w:val="00601772"/>
    <w:rsid w:val="0060536E"/>
    <w:rsid w:val="00605A03"/>
    <w:rsid w:val="006062C9"/>
    <w:rsid w:val="0060777C"/>
    <w:rsid w:val="006100A8"/>
    <w:rsid w:val="00611176"/>
    <w:rsid w:val="00611DB0"/>
    <w:rsid w:val="006120A8"/>
    <w:rsid w:val="00614799"/>
    <w:rsid w:val="00617E36"/>
    <w:rsid w:val="00622633"/>
    <w:rsid w:val="00622AE1"/>
    <w:rsid w:val="0062331A"/>
    <w:rsid w:val="006242E5"/>
    <w:rsid w:val="00632A8E"/>
    <w:rsid w:val="0063556D"/>
    <w:rsid w:val="0064055F"/>
    <w:rsid w:val="00654C48"/>
    <w:rsid w:val="00667A1A"/>
    <w:rsid w:val="00675B4B"/>
    <w:rsid w:val="00677A6B"/>
    <w:rsid w:val="00687A75"/>
    <w:rsid w:val="006920C7"/>
    <w:rsid w:val="00693848"/>
    <w:rsid w:val="00696D1E"/>
    <w:rsid w:val="006A56FB"/>
    <w:rsid w:val="006A5A3E"/>
    <w:rsid w:val="006A5A58"/>
    <w:rsid w:val="006A6BB7"/>
    <w:rsid w:val="006A6D9A"/>
    <w:rsid w:val="006A6F58"/>
    <w:rsid w:val="006A6FBF"/>
    <w:rsid w:val="006A7064"/>
    <w:rsid w:val="006B1F0D"/>
    <w:rsid w:val="006B259A"/>
    <w:rsid w:val="006B2FA4"/>
    <w:rsid w:val="006C0AF6"/>
    <w:rsid w:val="006C0E0A"/>
    <w:rsid w:val="006C229C"/>
    <w:rsid w:val="006C73FD"/>
    <w:rsid w:val="006D11A1"/>
    <w:rsid w:val="006D1ADA"/>
    <w:rsid w:val="006D72EA"/>
    <w:rsid w:val="006E24EF"/>
    <w:rsid w:val="006E4284"/>
    <w:rsid w:val="006F27DD"/>
    <w:rsid w:val="006F2AA4"/>
    <w:rsid w:val="006F44BB"/>
    <w:rsid w:val="006F4585"/>
    <w:rsid w:val="006F513A"/>
    <w:rsid w:val="006F6A76"/>
    <w:rsid w:val="00704ADB"/>
    <w:rsid w:val="0071102A"/>
    <w:rsid w:val="00711461"/>
    <w:rsid w:val="00712766"/>
    <w:rsid w:val="007131DE"/>
    <w:rsid w:val="007132AD"/>
    <w:rsid w:val="007165AC"/>
    <w:rsid w:val="007276F9"/>
    <w:rsid w:val="00730C4B"/>
    <w:rsid w:val="00732954"/>
    <w:rsid w:val="00737B00"/>
    <w:rsid w:val="00737F69"/>
    <w:rsid w:val="0074155E"/>
    <w:rsid w:val="00741A64"/>
    <w:rsid w:val="00743D69"/>
    <w:rsid w:val="007475F0"/>
    <w:rsid w:val="007476D5"/>
    <w:rsid w:val="00750077"/>
    <w:rsid w:val="0075442C"/>
    <w:rsid w:val="0076539C"/>
    <w:rsid w:val="0076618F"/>
    <w:rsid w:val="00766C5C"/>
    <w:rsid w:val="00766F36"/>
    <w:rsid w:val="00772520"/>
    <w:rsid w:val="0077391E"/>
    <w:rsid w:val="007804B6"/>
    <w:rsid w:val="00780D17"/>
    <w:rsid w:val="0078119A"/>
    <w:rsid w:val="0078182E"/>
    <w:rsid w:val="007822D2"/>
    <w:rsid w:val="00783AB0"/>
    <w:rsid w:val="0078717C"/>
    <w:rsid w:val="007911C2"/>
    <w:rsid w:val="0079465F"/>
    <w:rsid w:val="007A3408"/>
    <w:rsid w:val="007B1B00"/>
    <w:rsid w:val="007B4A29"/>
    <w:rsid w:val="007C1A57"/>
    <w:rsid w:val="007C1E3D"/>
    <w:rsid w:val="007C2B78"/>
    <w:rsid w:val="007C39A9"/>
    <w:rsid w:val="007C4BA9"/>
    <w:rsid w:val="007D059E"/>
    <w:rsid w:val="007D3A20"/>
    <w:rsid w:val="007D641A"/>
    <w:rsid w:val="007E37B4"/>
    <w:rsid w:val="007E760A"/>
    <w:rsid w:val="007F5302"/>
    <w:rsid w:val="00810104"/>
    <w:rsid w:val="0081157F"/>
    <w:rsid w:val="00811ABC"/>
    <w:rsid w:val="00811D85"/>
    <w:rsid w:val="00815B3A"/>
    <w:rsid w:val="00820086"/>
    <w:rsid w:val="00821F06"/>
    <w:rsid w:val="00823025"/>
    <w:rsid w:val="00824C49"/>
    <w:rsid w:val="00824C6A"/>
    <w:rsid w:val="00833A57"/>
    <w:rsid w:val="00834798"/>
    <w:rsid w:val="00835F22"/>
    <w:rsid w:val="00837984"/>
    <w:rsid w:val="00846F49"/>
    <w:rsid w:val="00847483"/>
    <w:rsid w:val="00850BF0"/>
    <w:rsid w:val="00870630"/>
    <w:rsid w:val="008714BD"/>
    <w:rsid w:val="00871F09"/>
    <w:rsid w:val="00876E4E"/>
    <w:rsid w:val="00887E7C"/>
    <w:rsid w:val="00890D87"/>
    <w:rsid w:val="008911FB"/>
    <w:rsid w:val="00892849"/>
    <w:rsid w:val="00895252"/>
    <w:rsid w:val="008960F8"/>
    <w:rsid w:val="008A385A"/>
    <w:rsid w:val="008A5C22"/>
    <w:rsid w:val="008A700C"/>
    <w:rsid w:val="008A7B25"/>
    <w:rsid w:val="008B1282"/>
    <w:rsid w:val="008B24A9"/>
    <w:rsid w:val="008B2B70"/>
    <w:rsid w:val="008B645A"/>
    <w:rsid w:val="008B7638"/>
    <w:rsid w:val="008C1488"/>
    <w:rsid w:val="008C35B2"/>
    <w:rsid w:val="008C4BBF"/>
    <w:rsid w:val="008C4FE3"/>
    <w:rsid w:val="008C5047"/>
    <w:rsid w:val="008C68B5"/>
    <w:rsid w:val="008D1446"/>
    <w:rsid w:val="008D1690"/>
    <w:rsid w:val="008D7E4F"/>
    <w:rsid w:val="008E0564"/>
    <w:rsid w:val="008E1F27"/>
    <w:rsid w:val="008F4586"/>
    <w:rsid w:val="008F6348"/>
    <w:rsid w:val="009077B9"/>
    <w:rsid w:val="009104C5"/>
    <w:rsid w:val="00910947"/>
    <w:rsid w:val="009129E1"/>
    <w:rsid w:val="0091384A"/>
    <w:rsid w:val="00920460"/>
    <w:rsid w:val="009208B7"/>
    <w:rsid w:val="00921124"/>
    <w:rsid w:val="009223B0"/>
    <w:rsid w:val="00922D5F"/>
    <w:rsid w:val="0092382A"/>
    <w:rsid w:val="0092558F"/>
    <w:rsid w:val="00937D72"/>
    <w:rsid w:val="00937F0E"/>
    <w:rsid w:val="00941A40"/>
    <w:rsid w:val="0094228B"/>
    <w:rsid w:val="0094244A"/>
    <w:rsid w:val="00942D84"/>
    <w:rsid w:val="0095129D"/>
    <w:rsid w:val="00957541"/>
    <w:rsid w:val="00960144"/>
    <w:rsid w:val="00962114"/>
    <w:rsid w:val="00964DDD"/>
    <w:rsid w:val="00965AE6"/>
    <w:rsid w:val="00966623"/>
    <w:rsid w:val="00973E26"/>
    <w:rsid w:val="009800D2"/>
    <w:rsid w:val="0098115C"/>
    <w:rsid w:val="0098429E"/>
    <w:rsid w:val="00987B56"/>
    <w:rsid w:val="00991243"/>
    <w:rsid w:val="009917AF"/>
    <w:rsid w:val="00996137"/>
    <w:rsid w:val="009A17E9"/>
    <w:rsid w:val="009A7D60"/>
    <w:rsid w:val="009B289F"/>
    <w:rsid w:val="009C23C0"/>
    <w:rsid w:val="009C43D4"/>
    <w:rsid w:val="009C459C"/>
    <w:rsid w:val="009C4F93"/>
    <w:rsid w:val="009D12E0"/>
    <w:rsid w:val="009D2008"/>
    <w:rsid w:val="009D3DCC"/>
    <w:rsid w:val="009E4160"/>
    <w:rsid w:val="009E5640"/>
    <w:rsid w:val="009F0AD6"/>
    <w:rsid w:val="009F18C3"/>
    <w:rsid w:val="009F7516"/>
    <w:rsid w:val="00A03879"/>
    <w:rsid w:val="00A03886"/>
    <w:rsid w:val="00A042CB"/>
    <w:rsid w:val="00A107C2"/>
    <w:rsid w:val="00A11227"/>
    <w:rsid w:val="00A142A6"/>
    <w:rsid w:val="00A145AE"/>
    <w:rsid w:val="00A201C5"/>
    <w:rsid w:val="00A224B3"/>
    <w:rsid w:val="00A22D82"/>
    <w:rsid w:val="00A25318"/>
    <w:rsid w:val="00A27463"/>
    <w:rsid w:val="00A30DEE"/>
    <w:rsid w:val="00A3211A"/>
    <w:rsid w:val="00A32255"/>
    <w:rsid w:val="00A3500D"/>
    <w:rsid w:val="00A36AD7"/>
    <w:rsid w:val="00A36DE9"/>
    <w:rsid w:val="00A3707C"/>
    <w:rsid w:val="00A436D8"/>
    <w:rsid w:val="00A46540"/>
    <w:rsid w:val="00A47881"/>
    <w:rsid w:val="00A5130E"/>
    <w:rsid w:val="00A519F1"/>
    <w:rsid w:val="00A549D6"/>
    <w:rsid w:val="00A60E8F"/>
    <w:rsid w:val="00A677DD"/>
    <w:rsid w:val="00A72875"/>
    <w:rsid w:val="00A728E6"/>
    <w:rsid w:val="00A74BE6"/>
    <w:rsid w:val="00A8062F"/>
    <w:rsid w:val="00A92572"/>
    <w:rsid w:val="00A92E0F"/>
    <w:rsid w:val="00A93528"/>
    <w:rsid w:val="00A95AB1"/>
    <w:rsid w:val="00A95CA8"/>
    <w:rsid w:val="00A97D99"/>
    <w:rsid w:val="00AA3CEC"/>
    <w:rsid w:val="00AB63E5"/>
    <w:rsid w:val="00AC211F"/>
    <w:rsid w:val="00AC762E"/>
    <w:rsid w:val="00AD14EB"/>
    <w:rsid w:val="00AD2A15"/>
    <w:rsid w:val="00AD3C76"/>
    <w:rsid w:val="00AE5EB2"/>
    <w:rsid w:val="00AF14BA"/>
    <w:rsid w:val="00AF1B1B"/>
    <w:rsid w:val="00AF2E2A"/>
    <w:rsid w:val="00AF430C"/>
    <w:rsid w:val="00AF5CF6"/>
    <w:rsid w:val="00AF69A5"/>
    <w:rsid w:val="00AF6D03"/>
    <w:rsid w:val="00B00B2A"/>
    <w:rsid w:val="00B0402A"/>
    <w:rsid w:val="00B0451B"/>
    <w:rsid w:val="00B06496"/>
    <w:rsid w:val="00B07DF6"/>
    <w:rsid w:val="00B113E2"/>
    <w:rsid w:val="00B13A19"/>
    <w:rsid w:val="00B14AB8"/>
    <w:rsid w:val="00B15BD5"/>
    <w:rsid w:val="00B2348B"/>
    <w:rsid w:val="00B2354F"/>
    <w:rsid w:val="00B24255"/>
    <w:rsid w:val="00B26501"/>
    <w:rsid w:val="00B27491"/>
    <w:rsid w:val="00B27F93"/>
    <w:rsid w:val="00B304D4"/>
    <w:rsid w:val="00B30E23"/>
    <w:rsid w:val="00B3178D"/>
    <w:rsid w:val="00B342AB"/>
    <w:rsid w:val="00B36A6E"/>
    <w:rsid w:val="00B37E21"/>
    <w:rsid w:val="00B44E6E"/>
    <w:rsid w:val="00B4614E"/>
    <w:rsid w:val="00B47BDB"/>
    <w:rsid w:val="00B50033"/>
    <w:rsid w:val="00B503B1"/>
    <w:rsid w:val="00B52E10"/>
    <w:rsid w:val="00B54272"/>
    <w:rsid w:val="00B5534D"/>
    <w:rsid w:val="00B558A6"/>
    <w:rsid w:val="00B573AB"/>
    <w:rsid w:val="00B609E1"/>
    <w:rsid w:val="00B65BF5"/>
    <w:rsid w:val="00B73806"/>
    <w:rsid w:val="00B76E5B"/>
    <w:rsid w:val="00B774C6"/>
    <w:rsid w:val="00B800A4"/>
    <w:rsid w:val="00B823C2"/>
    <w:rsid w:val="00B92005"/>
    <w:rsid w:val="00B93D2C"/>
    <w:rsid w:val="00BA4E44"/>
    <w:rsid w:val="00BA5C3B"/>
    <w:rsid w:val="00BA64BF"/>
    <w:rsid w:val="00BA729B"/>
    <w:rsid w:val="00BB3EBB"/>
    <w:rsid w:val="00BB5A8B"/>
    <w:rsid w:val="00BC2D87"/>
    <w:rsid w:val="00BC4770"/>
    <w:rsid w:val="00BC58A7"/>
    <w:rsid w:val="00BC5BB6"/>
    <w:rsid w:val="00BC6D5E"/>
    <w:rsid w:val="00BD219B"/>
    <w:rsid w:val="00BD2480"/>
    <w:rsid w:val="00BD520A"/>
    <w:rsid w:val="00BD6B44"/>
    <w:rsid w:val="00BE17CB"/>
    <w:rsid w:val="00BE2A7E"/>
    <w:rsid w:val="00BE4F09"/>
    <w:rsid w:val="00BE6CF9"/>
    <w:rsid w:val="00BF046E"/>
    <w:rsid w:val="00BF1BC1"/>
    <w:rsid w:val="00BF2B45"/>
    <w:rsid w:val="00BF7665"/>
    <w:rsid w:val="00C00901"/>
    <w:rsid w:val="00C05290"/>
    <w:rsid w:val="00C059B7"/>
    <w:rsid w:val="00C34DAD"/>
    <w:rsid w:val="00C354E5"/>
    <w:rsid w:val="00C35E3D"/>
    <w:rsid w:val="00C4000A"/>
    <w:rsid w:val="00C401EC"/>
    <w:rsid w:val="00C40B30"/>
    <w:rsid w:val="00C46594"/>
    <w:rsid w:val="00C5195D"/>
    <w:rsid w:val="00C536C2"/>
    <w:rsid w:val="00C541F4"/>
    <w:rsid w:val="00C60229"/>
    <w:rsid w:val="00C61FDA"/>
    <w:rsid w:val="00C62FF9"/>
    <w:rsid w:val="00C63A90"/>
    <w:rsid w:val="00C6482A"/>
    <w:rsid w:val="00C65E4E"/>
    <w:rsid w:val="00C73BA6"/>
    <w:rsid w:val="00C820C7"/>
    <w:rsid w:val="00C83034"/>
    <w:rsid w:val="00C860F7"/>
    <w:rsid w:val="00C96715"/>
    <w:rsid w:val="00CA2D28"/>
    <w:rsid w:val="00CA568C"/>
    <w:rsid w:val="00CA720C"/>
    <w:rsid w:val="00CB6DBB"/>
    <w:rsid w:val="00CB709F"/>
    <w:rsid w:val="00CC0945"/>
    <w:rsid w:val="00CC1BFD"/>
    <w:rsid w:val="00CC2A47"/>
    <w:rsid w:val="00CC3860"/>
    <w:rsid w:val="00CC3E7E"/>
    <w:rsid w:val="00CC484D"/>
    <w:rsid w:val="00CC5700"/>
    <w:rsid w:val="00CD0393"/>
    <w:rsid w:val="00CD04F1"/>
    <w:rsid w:val="00CD0B94"/>
    <w:rsid w:val="00CD2880"/>
    <w:rsid w:val="00CD28F3"/>
    <w:rsid w:val="00CD31BC"/>
    <w:rsid w:val="00CD3905"/>
    <w:rsid w:val="00CD3F26"/>
    <w:rsid w:val="00CD4231"/>
    <w:rsid w:val="00CD7D2F"/>
    <w:rsid w:val="00CE4010"/>
    <w:rsid w:val="00CF5BA2"/>
    <w:rsid w:val="00CF6748"/>
    <w:rsid w:val="00D06DE4"/>
    <w:rsid w:val="00D12763"/>
    <w:rsid w:val="00D20A82"/>
    <w:rsid w:val="00D22457"/>
    <w:rsid w:val="00D23510"/>
    <w:rsid w:val="00D23A14"/>
    <w:rsid w:val="00D25E81"/>
    <w:rsid w:val="00D26053"/>
    <w:rsid w:val="00D26469"/>
    <w:rsid w:val="00D31E1F"/>
    <w:rsid w:val="00D31FCF"/>
    <w:rsid w:val="00D34136"/>
    <w:rsid w:val="00D34F36"/>
    <w:rsid w:val="00D36FD8"/>
    <w:rsid w:val="00D426D1"/>
    <w:rsid w:val="00D44C27"/>
    <w:rsid w:val="00D46B99"/>
    <w:rsid w:val="00D51EBA"/>
    <w:rsid w:val="00D54C62"/>
    <w:rsid w:val="00D55E48"/>
    <w:rsid w:val="00D5690B"/>
    <w:rsid w:val="00D66977"/>
    <w:rsid w:val="00D67EE5"/>
    <w:rsid w:val="00D709E3"/>
    <w:rsid w:val="00D7267B"/>
    <w:rsid w:val="00D75AE5"/>
    <w:rsid w:val="00D76E7D"/>
    <w:rsid w:val="00D80271"/>
    <w:rsid w:val="00D8571C"/>
    <w:rsid w:val="00D8768F"/>
    <w:rsid w:val="00D93537"/>
    <w:rsid w:val="00D9513B"/>
    <w:rsid w:val="00D9531F"/>
    <w:rsid w:val="00D953EC"/>
    <w:rsid w:val="00D95542"/>
    <w:rsid w:val="00D96009"/>
    <w:rsid w:val="00D968DE"/>
    <w:rsid w:val="00DA17B8"/>
    <w:rsid w:val="00DC7295"/>
    <w:rsid w:val="00DC7B69"/>
    <w:rsid w:val="00DD0F3C"/>
    <w:rsid w:val="00DD34B8"/>
    <w:rsid w:val="00DD53ED"/>
    <w:rsid w:val="00DD7766"/>
    <w:rsid w:val="00DE1714"/>
    <w:rsid w:val="00DE4324"/>
    <w:rsid w:val="00DE7FA0"/>
    <w:rsid w:val="00DF466D"/>
    <w:rsid w:val="00DF5D65"/>
    <w:rsid w:val="00DF64C0"/>
    <w:rsid w:val="00DF7852"/>
    <w:rsid w:val="00E020D1"/>
    <w:rsid w:val="00E0565D"/>
    <w:rsid w:val="00E066DD"/>
    <w:rsid w:val="00E151B5"/>
    <w:rsid w:val="00E1571C"/>
    <w:rsid w:val="00E1711C"/>
    <w:rsid w:val="00E1737D"/>
    <w:rsid w:val="00E20306"/>
    <w:rsid w:val="00E20C09"/>
    <w:rsid w:val="00E2697E"/>
    <w:rsid w:val="00E30A67"/>
    <w:rsid w:val="00E33983"/>
    <w:rsid w:val="00E355C2"/>
    <w:rsid w:val="00E37855"/>
    <w:rsid w:val="00E402FA"/>
    <w:rsid w:val="00E4641D"/>
    <w:rsid w:val="00E51D7C"/>
    <w:rsid w:val="00E559A7"/>
    <w:rsid w:val="00E55F7A"/>
    <w:rsid w:val="00E61DDB"/>
    <w:rsid w:val="00E63AE0"/>
    <w:rsid w:val="00E6448D"/>
    <w:rsid w:val="00E645F8"/>
    <w:rsid w:val="00E649EF"/>
    <w:rsid w:val="00E65929"/>
    <w:rsid w:val="00E66830"/>
    <w:rsid w:val="00E7056F"/>
    <w:rsid w:val="00E7097B"/>
    <w:rsid w:val="00E75BAF"/>
    <w:rsid w:val="00E80799"/>
    <w:rsid w:val="00E8188B"/>
    <w:rsid w:val="00E83063"/>
    <w:rsid w:val="00E84A6A"/>
    <w:rsid w:val="00E90740"/>
    <w:rsid w:val="00E924B3"/>
    <w:rsid w:val="00E94EF2"/>
    <w:rsid w:val="00E95CC8"/>
    <w:rsid w:val="00EA4927"/>
    <w:rsid w:val="00EA4F61"/>
    <w:rsid w:val="00EA57CD"/>
    <w:rsid w:val="00EA5DED"/>
    <w:rsid w:val="00EA5F87"/>
    <w:rsid w:val="00EB2D73"/>
    <w:rsid w:val="00EB4FC3"/>
    <w:rsid w:val="00EC4D04"/>
    <w:rsid w:val="00EC6D3C"/>
    <w:rsid w:val="00ED4733"/>
    <w:rsid w:val="00EE03CE"/>
    <w:rsid w:val="00EE3794"/>
    <w:rsid w:val="00EF70EA"/>
    <w:rsid w:val="00F0127A"/>
    <w:rsid w:val="00F1089B"/>
    <w:rsid w:val="00F14762"/>
    <w:rsid w:val="00F14BBB"/>
    <w:rsid w:val="00F15392"/>
    <w:rsid w:val="00F15E97"/>
    <w:rsid w:val="00F16653"/>
    <w:rsid w:val="00F208A6"/>
    <w:rsid w:val="00F218E2"/>
    <w:rsid w:val="00F21B11"/>
    <w:rsid w:val="00F26C23"/>
    <w:rsid w:val="00F35DFC"/>
    <w:rsid w:val="00F40751"/>
    <w:rsid w:val="00F41265"/>
    <w:rsid w:val="00F43F7F"/>
    <w:rsid w:val="00F50A24"/>
    <w:rsid w:val="00F54290"/>
    <w:rsid w:val="00F6042A"/>
    <w:rsid w:val="00F61DC7"/>
    <w:rsid w:val="00F6307F"/>
    <w:rsid w:val="00F661CD"/>
    <w:rsid w:val="00F758A7"/>
    <w:rsid w:val="00F765C0"/>
    <w:rsid w:val="00F87FB6"/>
    <w:rsid w:val="00F90724"/>
    <w:rsid w:val="00F92732"/>
    <w:rsid w:val="00FA15FE"/>
    <w:rsid w:val="00FA42A5"/>
    <w:rsid w:val="00FA58BB"/>
    <w:rsid w:val="00FA5B71"/>
    <w:rsid w:val="00FB10C1"/>
    <w:rsid w:val="00FB1D45"/>
    <w:rsid w:val="00FB3A4C"/>
    <w:rsid w:val="00FB3BB3"/>
    <w:rsid w:val="00FC1334"/>
    <w:rsid w:val="00FC3246"/>
    <w:rsid w:val="00FC4172"/>
    <w:rsid w:val="00FC5215"/>
    <w:rsid w:val="00FC6691"/>
    <w:rsid w:val="00FD3359"/>
    <w:rsid w:val="00FD6CE5"/>
    <w:rsid w:val="00FE3B8D"/>
    <w:rsid w:val="00FF4DBD"/>
    <w:rsid w:val="00FF5F50"/>
    <w:rsid w:val="0119785A"/>
    <w:rsid w:val="011C1106"/>
    <w:rsid w:val="012A7AF5"/>
    <w:rsid w:val="013E2554"/>
    <w:rsid w:val="014A2045"/>
    <w:rsid w:val="014B08FF"/>
    <w:rsid w:val="015C3606"/>
    <w:rsid w:val="01806305"/>
    <w:rsid w:val="0183453D"/>
    <w:rsid w:val="01A41DAE"/>
    <w:rsid w:val="01AD0A5B"/>
    <w:rsid w:val="01CB5FDA"/>
    <w:rsid w:val="01F22DC1"/>
    <w:rsid w:val="01FD58CF"/>
    <w:rsid w:val="01FE5971"/>
    <w:rsid w:val="02015AE4"/>
    <w:rsid w:val="020874E3"/>
    <w:rsid w:val="020C3484"/>
    <w:rsid w:val="0214619C"/>
    <w:rsid w:val="021728CC"/>
    <w:rsid w:val="02235B0E"/>
    <w:rsid w:val="022E5970"/>
    <w:rsid w:val="024F56D9"/>
    <w:rsid w:val="02555E80"/>
    <w:rsid w:val="02601621"/>
    <w:rsid w:val="02765C33"/>
    <w:rsid w:val="02817D27"/>
    <w:rsid w:val="02A11C60"/>
    <w:rsid w:val="02AB00C5"/>
    <w:rsid w:val="02AD5EBD"/>
    <w:rsid w:val="02B50900"/>
    <w:rsid w:val="02C10E79"/>
    <w:rsid w:val="02DA63DE"/>
    <w:rsid w:val="02DF0ED1"/>
    <w:rsid w:val="02E3014B"/>
    <w:rsid w:val="02E57613"/>
    <w:rsid w:val="02EE296B"/>
    <w:rsid w:val="03100052"/>
    <w:rsid w:val="03146BDF"/>
    <w:rsid w:val="03340854"/>
    <w:rsid w:val="033A54AA"/>
    <w:rsid w:val="034C72DC"/>
    <w:rsid w:val="03557185"/>
    <w:rsid w:val="036416D2"/>
    <w:rsid w:val="036E5B30"/>
    <w:rsid w:val="03836961"/>
    <w:rsid w:val="03844451"/>
    <w:rsid w:val="03A13B63"/>
    <w:rsid w:val="03A762C0"/>
    <w:rsid w:val="03AC228A"/>
    <w:rsid w:val="03AC7B94"/>
    <w:rsid w:val="03B83FF2"/>
    <w:rsid w:val="03CA1FAF"/>
    <w:rsid w:val="03F159A7"/>
    <w:rsid w:val="04253A0F"/>
    <w:rsid w:val="04337F58"/>
    <w:rsid w:val="043830E0"/>
    <w:rsid w:val="04474D22"/>
    <w:rsid w:val="045A77D7"/>
    <w:rsid w:val="048019AC"/>
    <w:rsid w:val="04862D7A"/>
    <w:rsid w:val="048E7480"/>
    <w:rsid w:val="04964EEA"/>
    <w:rsid w:val="04C248AE"/>
    <w:rsid w:val="04C850B7"/>
    <w:rsid w:val="04CA3E99"/>
    <w:rsid w:val="04EA48C4"/>
    <w:rsid w:val="04F06D02"/>
    <w:rsid w:val="04F57A38"/>
    <w:rsid w:val="050339C8"/>
    <w:rsid w:val="05035BC7"/>
    <w:rsid w:val="050D64D6"/>
    <w:rsid w:val="050F74B6"/>
    <w:rsid w:val="05104339"/>
    <w:rsid w:val="05171224"/>
    <w:rsid w:val="051B08D0"/>
    <w:rsid w:val="053A4F12"/>
    <w:rsid w:val="054162A1"/>
    <w:rsid w:val="054B47A9"/>
    <w:rsid w:val="05575AC4"/>
    <w:rsid w:val="056062C2"/>
    <w:rsid w:val="05781409"/>
    <w:rsid w:val="057D200D"/>
    <w:rsid w:val="059960DD"/>
    <w:rsid w:val="059A73BF"/>
    <w:rsid w:val="05B64AC7"/>
    <w:rsid w:val="05DC3F8F"/>
    <w:rsid w:val="05E05ABA"/>
    <w:rsid w:val="05EF21A1"/>
    <w:rsid w:val="05FB28DB"/>
    <w:rsid w:val="062E6916"/>
    <w:rsid w:val="06421594"/>
    <w:rsid w:val="06464EB8"/>
    <w:rsid w:val="064E4B8E"/>
    <w:rsid w:val="066761DB"/>
    <w:rsid w:val="066B3A08"/>
    <w:rsid w:val="066E30C6"/>
    <w:rsid w:val="067508F8"/>
    <w:rsid w:val="0699013F"/>
    <w:rsid w:val="06C867AC"/>
    <w:rsid w:val="06D575E9"/>
    <w:rsid w:val="06D73FBB"/>
    <w:rsid w:val="06DF1002"/>
    <w:rsid w:val="06EC34E9"/>
    <w:rsid w:val="06F2501A"/>
    <w:rsid w:val="071A4CC5"/>
    <w:rsid w:val="07204C3C"/>
    <w:rsid w:val="07230354"/>
    <w:rsid w:val="075D4AA1"/>
    <w:rsid w:val="07631F85"/>
    <w:rsid w:val="076D75BF"/>
    <w:rsid w:val="07911C71"/>
    <w:rsid w:val="07B439F4"/>
    <w:rsid w:val="07BC3BC1"/>
    <w:rsid w:val="07D91B54"/>
    <w:rsid w:val="07D95D21"/>
    <w:rsid w:val="07DF24E9"/>
    <w:rsid w:val="07E93ACA"/>
    <w:rsid w:val="07EC4E4C"/>
    <w:rsid w:val="07ED0DB2"/>
    <w:rsid w:val="07FE58E0"/>
    <w:rsid w:val="080A50CD"/>
    <w:rsid w:val="08123F24"/>
    <w:rsid w:val="08141821"/>
    <w:rsid w:val="081B3BDB"/>
    <w:rsid w:val="08362309"/>
    <w:rsid w:val="08500402"/>
    <w:rsid w:val="08536A17"/>
    <w:rsid w:val="085E3693"/>
    <w:rsid w:val="088E7A4F"/>
    <w:rsid w:val="088F5575"/>
    <w:rsid w:val="089922AB"/>
    <w:rsid w:val="08EE1091"/>
    <w:rsid w:val="090C437A"/>
    <w:rsid w:val="09293C1C"/>
    <w:rsid w:val="093920B1"/>
    <w:rsid w:val="094840A2"/>
    <w:rsid w:val="095737AA"/>
    <w:rsid w:val="09903920"/>
    <w:rsid w:val="099D6B31"/>
    <w:rsid w:val="09A536E1"/>
    <w:rsid w:val="09A84666"/>
    <w:rsid w:val="09AA43EE"/>
    <w:rsid w:val="09B94900"/>
    <w:rsid w:val="09BB3687"/>
    <w:rsid w:val="09BB7E03"/>
    <w:rsid w:val="09D45935"/>
    <w:rsid w:val="09EA6954"/>
    <w:rsid w:val="09ED3AD6"/>
    <w:rsid w:val="09FB55B8"/>
    <w:rsid w:val="0A0F530F"/>
    <w:rsid w:val="0A1C6BA3"/>
    <w:rsid w:val="0A852D4F"/>
    <w:rsid w:val="0A884507"/>
    <w:rsid w:val="0A8E01DA"/>
    <w:rsid w:val="0A9877F2"/>
    <w:rsid w:val="0A9B1041"/>
    <w:rsid w:val="0A9F69E9"/>
    <w:rsid w:val="0AC05EBA"/>
    <w:rsid w:val="0AC1455B"/>
    <w:rsid w:val="0AF57CC7"/>
    <w:rsid w:val="0AFC0001"/>
    <w:rsid w:val="0AFF1FA9"/>
    <w:rsid w:val="0AFF5FD8"/>
    <w:rsid w:val="0B244611"/>
    <w:rsid w:val="0B93628B"/>
    <w:rsid w:val="0BB31493"/>
    <w:rsid w:val="0BC550D9"/>
    <w:rsid w:val="0BD460C1"/>
    <w:rsid w:val="0BE43E2A"/>
    <w:rsid w:val="0BEB7CE0"/>
    <w:rsid w:val="0C126EAF"/>
    <w:rsid w:val="0C28597F"/>
    <w:rsid w:val="0C3E51F4"/>
    <w:rsid w:val="0C484578"/>
    <w:rsid w:val="0C4B72F4"/>
    <w:rsid w:val="0C545C02"/>
    <w:rsid w:val="0C776A4C"/>
    <w:rsid w:val="0C825B79"/>
    <w:rsid w:val="0C8F7AED"/>
    <w:rsid w:val="0C9E1C1C"/>
    <w:rsid w:val="0C9F46C4"/>
    <w:rsid w:val="0CA82ECF"/>
    <w:rsid w:val="0CA912FB"/>
    <w:rsid w:val="0CD06839"/>
    <w:rsid w:val="0CD65E68"/>
    <w:rsid w:val="0CF622FE"/>
    <w:rsid w:val="0CFB3D32"/>
    <w:rsid w:val="0D077DD0"/>
    <w:rsid w:val="0D0A3588"/>
    <w:rsid w:val="0D0D08FC"/>
    <w:rsid w:val="0D3B5CCB"/>
    <w:rsid w:val="0D4B23B2"/>
    <w:rsid w:val="0D4C5AE1"/>
    <w:rsid w:val="0D932E37"/>
    <w:rsid w:val="0D9755F8"/>
    <w:rsid w:val="0DAB2AA7"/>
    <w:rsid w:val="0DD3343C"/>
    <w:rsid w:val="0DE15FD5"/>
    <w:rsid w:val="0DE553AC"/>
    <w:rsid w:val="0E1367B1"/>
    <w:rsid w:val="0E19612F"/>
    <w:rsid w:val="0E1C70B3"/>
    <w:rsid w:val="0E252C04"/>
    <w:rsid w:val="0E364E11"/>
    <w:rsid w:val="0E3746E5"/>
    <w:rsid w:val="0E39045D"/>
    <w:rsid w:val="0E403DF0"/>
    <w:rsid w:val="0E5F3020"/>
    <w:rsid w:val="0E7A264A"/>
    <w:rsid w:val="0E7C03D1"/>
    <w:rsid w:val="0E8A7410"/>
    <w:rsid w:val="0E925DBF"/>
    <w:rsid w:val="0E9C279A"/>
    <w:rsid w:val="0EAC329C"/>
    <w:rsid w:val="0EB26482"/>
    <w:rsid w:val="0EEC1973"/>
    <w:rsid w:val="0EF6634E"/>
    <w:rsid w:val="0F046D82"/>
    <w:rsid w:val="0F0C34F9"/>
    <w:rsid w:val="0F126346"/>
    <w:rsid w:val="0F18601E"/>
    <w:rsid w:val="0F2618CE"/>
    <w:rsid w:val="0F474DFC"/>
    <w:rsid w:val="0F864220"/>
    <w:rsid w:val="0FAB4FC7"/>
    <w:rsid w:val="0FB121B6"/>
    <w:rsid w:val="0FC30666"/>
    <w:rsid w:val="0FF05D35"/>
    <w:rsid w:val="0FF3288D"/>
    <w:rsid w:val="10227FB8"/>
    <w:rsid w:val="102B26A9"/>
    <w:rsid w:val="104846F5"/>
    <w:rsid w:val="10484C93"/>
    <w:rsid w:val="104F68C5"/>
    <w:rsid w:val="105B5E6F"/>
    <w:rsid w:val="10994EC9"/>
    <w:rsid w:val="10C1060B"/>
    <w:rsid w:val="10CF23F4"/>
    <w:rsid w:val="10E3030B"/>
    <w:rsid w:val="10F07965"/>
    <w:rsid w:val="11115E0C"/>
    <w:rsid w:val="111365EE"/>
    <w:rsid w:val="11380EA0"/>
    <w:rsid w:val="113D5BD1"/>
    <w:rsid w:val="11576A31"/>
    <w:rsid w:val="11B379CA"/>
    <w:rsid w:val="11CB5D5E"/>
    <w:rsid w:val="11E2588B"/>
    <w:rsid w:val="12171A15"/>
    <w:rsid w:val="12181C5C"/>
    <w:rsid w:val="121F0548"/>
    <w:rsid w:val="12244F80"/>
    <w:rsid w:val="123F0A7C"/>
    <w:rsid w:val="12442512"/>
    <w:rsid w:val="12622818"/>
    <w:rsid w:val="127B4CFC"/>
    <w:rsid w:val="127E7668"/>
    <w:rsid w:val="12D270D2"/>
    <w:rsid w:val="12F62DC0"/>
    <w:rsid w:val="13054DB2"/>
    <w:rsid w:val="13434E37"/>
    <w:rsid w:val="134F4DD6"/>
    <w:rsid w:val="136E59FB"/>
    <w:rsid w:val="136F1459"/>
    <w:rsid w:val="13864617"/>
    <w:rsid w:val="13C23177"/>
    <w:rsid w:val="13CE1647"/>
    <w:rsid w:val="13D44784"/>
    <w:rsid w:val="13D75EF1"/>
    <w:rsid w:val="13E15C2A"/>
    <w:rsid w:val="13E93FF7"/>
    <w:rsid w:val="13E97E92"/>
    <w:rsid w:val="140F7BE3"/>
    <w:rsid w:val="141638BA"/>
    <w:rsid w:val="14224495"/>
    <w:rsid w:val="142A22C9"/>
    <w:rsid w:val="14314AB0"/>
    <w:rsid w:val="145814B0"/>
    <w:rsid w:val="14795EF0"/>
    <w:rsid w:val="14860174"/>
    <w:rsid w:val="148B752A"/>
    <w:rsid w:val="14A5684C"/>
    <w:rsid w:val="14B46A8F"/>
    <w:rsid w:val="14C33848"/>
    <w:rsid w:val="14C52A4A"/>
    <w:rsid w:val="14CD492E"/>
    <w:rsid w:val="14E1184E"/>
    <w:rsid w:val="14FB79FC"/>
    <w:rsid w:val="150B2214"/>
    <w:rsid w:val="15121A08"/>
    <w:rsid w:val="15142B24"/>
    <w:rsid w:val="15166027"/>
    <w:rsid w:val="1523533D"/>
    <w:rsid w:val="152F6116"/>
    <w:rsid w:val="153241BD"/>
    <w:rsid w:val="15681628"/>
    <w:rsid w:val="157463C1"/>
    <w:rsid w:val="15770A30"/>
    <w:rsid w:val="157B1AFE"/>
    <w:rsid w:val="158964E5"/>
    <w:rsid w:val="15956753"/>
    <w:rsid w:val="1597787A"/>
    <w:rsid w:val="15A563D8"/>
    <w:rsid w:val="15B844BA"/>
    <w:rsid w:val="15C5126A"/>
    <w:rsid w:val="15EA052C"/>
    <w:rsid w:val="15F01D49"/>
    <w:rsid w:val="15F26C8F"/>
    <w:rsid w:val="15F76F20"/>
    <w:rsid w:val="1606331B"/>
    <w:rsid w:val="161B0D26"/>
    <w:rsid w:val="16203CAD"/>
    <w:rsid w:val="16296F1B"/>
    <w:rsid w:val="164F4857"/>
    <w:rsid w:val="16542D6D"/>
    <w:rsid w:val="1658169C"/>
    <w:rsid w:val="166746BB"/>
    <w:rsid w:val="167C29CF"/>
    <w:rsid w:val="168170E0"/>
    <w:rsid w:val="16825149"/>
    <w:rsid w:val="169E6DA8"/>
    <w:rsid w:val="16A11295"/>
    <w:rsid w:val="16A754B9"/>
    <w:rsid w:val="16B001E7"/>
    <w:rsid w:val="16B22245"/>
    <w:rsid w:val="16C3700B"/>
    <w:rsid w:val="16DE179A"/>
    <w:rsid w:val="16EE208E"/>
    <w:rsid w:val="17084E70"/>
    <w:rsid w:val="17730085"/>
    <w:rsid w:val="179135DB"/>
    <w:rsid w:val="17A70B2D"/>
    <w:rsid w:val="17A91C4F"/>
    <w:rsid w:val="17C85590"/>
    <w:rsid w:val="17CF1F0B"/>
    <w:rsid w:val="17DE2FB7"/>
    <w:rsid w:val="17EC7D4E"/>
    <w:rsid w:val="17F263D4"/>
    <w:rsid w:val="17F3167D"/>
    <w:rsid w:val="17F7048F"/>
    <w:rsid w:val="181A7599"/>
    <w:rsid w:val="18202ECE"/>
    <w:rsid w:val="18266C2F"/>
    <w:rsid w:val="18391B2C"/>
    <w:rsid w:val="186802BC"/>
    <w:rsid w:val="18787DD4"/>
    <w:rsid w:val="188E690D"/>
    <w:rsid w:val="18934C0E"/>
    <w:rsid w:val="18AA3DBB"/>
    <w:rsid w:val="18B776AA"/>
    <w:rsid w:val="18BD3D06"/>
    <w:rsid w:val="18EB6B88"/>
    <w:rsid w:val="18EC46CC"/>
    <w:rsid w:val="18F43C99"/>
    <w:rsid w:val="191E0DAD"/>
    <w:rsid w:val="191F46F3"/>
    <w:rsid w:val="192561AE"/>
    <w:rsid w:val="193720F9"/>
    <w:rsid w:val="1948321D"/>
    <w:rsid w:val="19573E8D"/>
    <w:rsid w:val="19751DD4"/>
    <w:rsid w:val="19782D58"/>
    <w:rsid w:val="197902A7"/>
    <w:rsid w:val="197E58BE"/>
    <w:rsid w:val="197F0851"/>
    <w:rsid w:val="19856C4C"/>
    <w:rsid w:val="19957D02"/>
    <w:rsid w:val="19A86E99"/>
    <w:rsid w:val="19AE3232"/>
    <w:rsid w:val="19C95346"/>
    <w:rsid w:val="19F83C9F"/>
    <w:rsid w:val="19FB6F0E"/>
    <w:rsid w:val="1A225770"/>
    <w:rsid w:val="1A4C65B4"/>
    <w:rsid w:val="1A8707A2"/>
    <w:rsid w:val="1AA2738A"/>
    <w:rsid w:val="1AB87E61"/>
    <w:rsid w:val="1AC16522"/>
    <w:rsid w:val="1AE01026"/>
    <w:rsid w:val="1AF5354A"/>
    <w:rsid w:val="1B0B1E6A"/>
    <w:rsid w:val="1B114FED"/>
    <w:rsid w:val="1B261D69"/>
    <w:rsid w:val="1B4C62D1"/>
    <w:rsid w:val="1B5A4F55"/>
    <w:rsid w:val="1B843D93"/>
    <w:rsid w:val="1B8B6070"/>
    <w:rsid w:val="1B8B7EF3"/>
    <w:rsid w:val="1B966EEF"/>
    <w:rsid w:val="1BBF1999"/>
    <w:rsid w:val="1BD9703F"/>
    <w:rsid w:val="1BDA4AC1"/>
    <w:rsid w:val="1BE608D3"/>
    <w:rsid w:val="1BFB6ADD"/>
    <w:rsid w:val="1C0302FC"/>
    <w:rsid w:val="1C146065"/>
    <w:rsid w:val="1C166EA4"/>
    <w:rsid w:val="1C243C3B"/>
    <w:rsid w:val="1C31452C"/>
    <w:rsid w:val="1C393DD5"/>
    <w:rsid w:val="1C5D5C5E"/>
    <w:rsid w:val="1C6E70F6"/>
    <w:rsid w:val="1C827473"/>
    <w:rsid w:val="1C980B66"/>
    <w:rsid w:val="1CA67605"/>
    <w:rsid w:val="1CB908AC"/>
    <w:rsid w:val="1CC255C0"/>
    <w:rsid w:val="1CDD31C8"/>
    <w:rsid w:val="1D035828"/>
    <w:rsid w:val="1D0C6137"/>
    <w:rsid w:val="1D0D3BB9"/>
    <w:rsid w:val="1D322C47"/>
    <w:rsid w:val="1D331687"/>
    <w:rsid w:val="1D3A3784"/>
    <w:rsid w:val="1D434E54"/>
    <w:rsid w:val="1D491D3F"/>
    <w:rsid w:val="1D5A46AC"/>
    <w:rsid w:val="1D5B6F7F"/>
    <w:rsid w:val="1D5F0140"/>
    <w:rsid w:val="1D85403B"/>
    <w:rsid w:val="1E0B5246"/>
    <w:rsid w:val="1E1B2A71"/>
    <w:rsid w:val="1E380731"/>
    <w:rsid w:val="1E383279"/>
    <w:rsid w:val="1E4876D2"/>
    <w:rsid w:val="1E4F2032"/>
    <w:rsid w:val="1E595D0A"/>
    <w:rsid w:val="1E722A97"/>
    <w:rsid w:val="1E763007"/>
    <w:rsid w:val="1E877441"/>
    <w:rsid w:val="1E8E1471"/>
    <w:rsid w:val="1E9004B2"/>
    <w:rsid w:val="1E917E41"/>
    <w:rsid w:val="1EA76B4D"/>
    <w:rsid w:val="1ED94129"/>
    <w:rsid w:val="1EDC730E"/>
    <w:rsid w:val="1F0A3E35"/>
    <w:rsid w:val="1F0B53DA"/>
    <w:rsid w:val="1F10795B"/>
    <w:rsid w:val="1F2F3237"/>
    <w:rsid w:val="1F3762AF"/>
    <w:rsid w:val="1F3F5AEF"/>
    <w:rsid w:val="1F566F76"/>
    <w:rsid w:val="1F5B5487"/>
    <w:rsid w:val="1F696F02"/>
    <w:rsid w:val="1F83778A"/>
    <w:rsid w:val="1F9C084C"/>
    <w:rsid w:val="1FA0658E"/>
    <w:rsid w:val="1FD61FB0"/>
    <w:rsid w:val="1FDB38E4"/>
    <w:rsid w:val="1FE3205D"/>
    <w:rsid w:val="1FE773A7"/>
    <w:rsid w:val="1FEA5C8C"/>
    <w:rsid w:val="1FF468DA"/>
    <w:rsid w:val="200A707B"/>
    <w:rsid w:val="20126477"/>
    <w:rsid w:val="201B3E66"/>
    <w:rsid w:val="20657133"/>
    <w:rsid w:val="20672636"/>
    <w:rsid w:val="20695C2B"/>
    <w:rsid w:val="206F50E2"/>
    <w:rsid w:val="2085546A"/>
    <w:rsid w:val="20914128"/>
    <w:rsid w:val="20934234"/>
    <w:rsid w:val="209F6845"/>
    <w:rsid w:val="20A86923"/>
    <w:rsid w:val="20BF5E24"/>
    <w:rsid w:val="20C4005A"/>
    <w:rsid w:val="20D47CEE"/>
    <w:rsid w:val="20EF60D5"/>
    <w:rsid w:val="20FD17BE"/>
    <w:rsid w:val="2108711C"/>
    <w:rsid w:val="210E7527"/>
    <w:rsid w:val="211A3BAD"/>
    <w:rsid w:val="211A595D"/>
    <w:rsid w:val="213555DA"/>
    <w:rsid w:val="214C7431"/>
    <w:rsid w:val="214D162F"/>
    <w:rsid w:val="215325F3"/>
    <w:rsid w:val="21590CC5"/>
    <w:rsid w:val="215F7D83"/>
    <w:rsid w:val="21656CD6"/>
    <w:rsid w:val="216D06F2"/>
    <w:rsid w:val="216D5DDE"/>
    <w:rsid w:val="217750CC"/>
    <w:rsid w:val="21784979"/>
    <w:rsid w:val="2178696B"/>
    <w:rsid w:val="219E39B8"/>
    <w:rsid w:val="21B34858"/>
    <w:rsid w:val="21B46321"/>
    <w:rsid w:val="21CA7E47"/>
    <w:rsid w:val="21D5280D"/>
    <w:rsid w:val="21D94A96"/>
    <w:rsid w:val="21DD072F"/>
    <w:rsid w:val="21EF70E8"/>
    <w:rsid w:val="22182C3A"/>
    <w:rsid w:val="221D3573"/>
    <w:rsid w:val="2224384D"/>
    <w:rsid w:val="22297D19"/>
    <w:rsid w:val="222A326B"/>
    <w:rsid w:val="22430F56"/>
    <w:rsid w:val="224E3E5B"/>
    <w:rsid w:val="22557968"/>
    <w:rsid w:val="22746E93"/>
    <w:rsid w:val="22877591"/>
    <w:rsid w:val="2288155B"/>
    <w:rsid w:val="228E6B17"/>
    <w:rsid w:val="228F13B8"/>
    <w:rsid w:val="22A763E9"/>
    <w:rsid w:val="22BD0DAC"/>
    <w:rsid w:val="22BE1557"/>
    <w:rsid w:val="22F11CE0"/>
    <w:rsid w:val="230570F7"/>
    <w:rsid w:val="23152BC8"/>
    <w:rsid w:val="2320282F"/>
    <w:rsid w:val="233B037C"/>
    <w:rsid w:val="23411E36"/>
    <w:rsid w:val="236A19AA"/>
    <w:rsid w:val="23815C4F"/>
    <w:rsid w:val="2398757C"/>
    <w:rsid w:val="23A04402"/>
    <w:rsid w:val="23BF113C"/>
    <w:rsid w:val="23E30A96"/>
    <w:rsid w:val="23E66539"/>
    <w:rsid w:val="23EF3093"/>
    <w:rsid w:val="24443C9B"/>
    <w:rsid w:val="245108D2"/>
    <w:rsid w:val="24527538"/>
    <w:rsid w:val="24704055"/>
    <w:rsid w:val="24816262"/>
    <w:rsid w:val="248A5117"/>
    <w:rsid w:val="249B5576"/>
    <w:rsid w:val="249D521F"/>
    <w:rsid w:val="24BC54EC"/>
    <w:rsid w:val="24CF3471"/>
    <w:rsid w:val="24D14774"/>
    <w:rsid w:val="24D942F0"/>
    <w:rsid w:val="25090151"/>
    <w:rsid w:val="250A7DD1"/>
    <w:rsid w:val="2561056D"/>
    <w:rsid w:val="25771A63"/>
    <w:rsid w:val="257D111F"/>
    <w:rsid w:val="2590132F"/>
    <w:rsid w:val="259B6DE7"/>
    <w:rsid w:val="259D6446"/>
    <w:rsid w:val="25A073CB"/>
    <w:rsid w:val="25A5636F"/>
    <w:rsid w:val="25AE3087"/>
    <w:rsid w:val="25CB22B3"/>
    <w:rsid w:val="25CF4F62"/>
    <w:rsid w:val="25E40DB9"/>
    <w:rsid w:val="25E92311"/>
    <w:rsid w:val="25FD3EE1"/>
    <w:rsid w:val="26143B06"/>
    <w:rsid w:val="26384898"/>
    <w:rsid w:val="263C7249"/>
    <w:rsid w:val="263E1CA5"/>
    <w:rsid w:val="265149CB"/>
    <w:rsid w:val="265B2862"/>
    <w:rsid w:val="267F652E"/>
    <w:rsid w:val="26B91CE3"/>
    <w:rsid w:val="26CE576B"/>
    <w:rsid w:val="26D72D17"/>
    <w:rsid w:val="26DD6DD3"/>
    <w:rsid w:val="26F90021"/>
    <w:rsid w:val="27131E5B"/>
    <w:rsid w:val="272950BB"/>
    <w:rsid w:val="27305558"/>
    <w:rsid w:val="273622DD"/>
    <w:rsid w:val="273E668C"/>
    <w:rsid w:val="275B76A1"/>
    <w:rsid w:val="277A68D1"/>
    <w:rsid w:val="279010F0"/>
    <w:rsid w:val="27911C4F"/>
    <w:rsid w:val="279B048A"/>
    <w:rsid w:val="279F5261"/>
    <w:rsid w:val="27A5681B"/>
    <w:rsid w:val="27AC5CEC"/>
    <w:rsid w:val="27B603AD"/>
    <w:rsid w:val="27B62A7F"/>
    <w:rsid w:val="27BB114C"/>
    <w:rsid w:val="27C3139C"/>
    <w:rsid w:val="27E62E8F"/>
    <w:rsid w:val="27EC4921"/>
    <w:rsid w:val="282E045D"/>
    <w:rsid w:val="28310046"/>
    <w:rsid w:val="28696559"/>
    <w:rsid w:val="28844B85"/>
    <w:rsid w:val="28887BBF"/>
    <w:rsid w:val="28917E71"/>
    <w:rsid w:val="28983825"/>
    <w:rsid w:val="289A5B44"/>
    <w:rsid w:val="289E34DF"/>
    <w:rsid w:val="28AE59C9"/>
    <w:rsid w:val="28C52D70"/>
    <w:rsid w:val="28CB2D7B"/>
    <w:rsid w:val="28D07202"/>
    <w:rsid w:val="28E30421"/>
    <w:rsid w:val="28EC45F2"/>
    <w:rsid w:val="28F202E0"/>
    <w:rsid w:val="29410A11"/>
    <w:rsid w:val="29413615"/>
    <w:rsid w:val="29716EF1"/>
    <w:rsid w:val="297471D4"/>
    <w:rsid w:val="29937C51"/>
    <w:rsid w:val="299F1868"/>
    <w:rsid w:val="29AB2E7C"/>
    <w:rsid w:val="29C40D94"/>
    <w:rsid w:val="29C73F17"/>
    <w:rsid w:val="29D8216A"/>
    <w:rsid w:val="29F12B5D"/>
    <w:rsid w:val="2A0E5154"/>
    <w:rsid w:val="2A124A80"/>
    <w:rsid w:val="2A50295E"/>
    <w:rsid w:val="2A7A34FB"/>
    <w:rsid w:val="2A7E5C44"/>
    <w:rsid w:val="2A9071FF"/>
    <w:rsid w:val="2AC55FB0"/>
    <w:rsid w:val="2ACF7D27"/>
    <w:rsid w:val="2AD55635"/>
    <w:rsid w:val="2AFC6512"/>
    <w:rsid w:val="2AFE060C"/>
    <w:rsid w:val="2B000EDD"/>
    <w:rsid w:val="2B035C23"/>
    <w:rsid w:val="2B0E7AB2"/>
    <w:rsid w:val="2B1B11BE"/>
    <w:rsid w:val="2B1D7CF9"/>
    <w:rsid w:val="2B255B99"/>
    <w:rsid w:val="2B2960DD"/>
    <w:rsid w:val="2B4D6E9E"/>
    <w:rsid w:val="2B6A7A50"/>
    <w:rsid w:val="2B786611"/>
    <w:rsid w:val="2B893E81"/>
    <w:rsid w:val="2BBE6596"/>
    <w:rsid w:val="2BBF4052"/>
    <w:rsid w:val="2BC74CE2"/>
    <w:rsid w:val="2BC856B4"/>
    <w:rsid w:val="2C191269"/>
    <w:rsid w:val="2C2447C0"/>
    <w:rsid w:val="2C2512FF"/>
    <w:rsid w:val="2C34113D"/>
    <w:rsid w:val="2C594250"/>
    <w:rsid w:val="2C5F5117"/>
    <w:rsid w:val="2C7E7C57"/>
    <w:rsid w:val="2CB76767"/>
    <w:rsid w:val="2CDF761D"/>
    <w:rsid w:val="2CEA5762"/>
    <w:rsid w:val="2D005CE3"/>
    <w:rsid w:val="2D2C1E02"/>
    <w:rsid w:val="2D510EC7"/>
    <w:rsid w:val="2D675E81"/>
    <w:rsid w:val="2D6C2E14"/>
    <w:rsid w:val="2D836C2B"/>
    <w:rsid w:val="2DA9040E"/>
    <w:rsid w:val="2DC30420"/>
    <w:rsid w:val="2DFE2383"/>
    <w:rsid w:val="2E0252B1"/>
    <w:rsid w:val="2E026666"/>
    <w:rsid w:val="2E0F0995"/>
    <w:rsid w:val="2E3859E0"/>
    <w:rsid w:val="2E402DEC"/>
    <w:rsid w:val="2E5B4C9B"/>
    <w:rsid w:val="2E602091"/>
    <w:rsid w:val="2E65363D"/>
    <w:rsid w:val="2E736A42"/>
    <w:rsid w:val="2E7D5E52"/>
    <w:rsid w:val="2EBE65A5"/>
    <w:rsid w:val="2EBF4794"/>
    <w:rsid w:val="2ED04B1A"/>
    <w:rsid w:val="2ED2428A"/>
    <w:rsid w:val="2EDD6079"/>
    <w:rsid w:val="2EE065FF"/>
    <w:rsid w:val="2EFA1321"/>
    <w:rsid w:val="2F141ECB"/>
    <w:rsid w:val="2F2E2A75"/>
    <w:rsid w:val="2F31727D"/>
    <w:rsid w:val="2F3E7229"/>
    <w:rsid w:val="2F4D5A79"/>
    <w:rsid w:val="2F835584"/>
    <w:rsid w:val="2FB05DB2"/>
    <w:rsid w:val="2FB1304E"/>
    <w:rsid w:val="2FBF0084"/>
    <w:rsid w:val="2FDC6090"/>
    <w:rsid w:val="2FE96E3E"/>
    <w:rsid w:val="30154BB1"/>
    <w:rsid w:val="30272B0D"/>
    <w:rsid w:val="30651D38"/>
    <w:rsid w:val="306B0EF1"/>
    <w:rsid w:val="30766E97"/>
    <w:rsid w:val="30881A2C"/>
    <w:rsid w:val="30A345E3"/>
    <w:rsid w:val="30A9726C"/>
    <w:rsid w:val="30AB6F0C"/>
    <w:rsid w:val="30BD64CA"/>
    <w:rsid w:val="30CE1410"/>
    <w:rsid w:val="30DC0267"/>
    <w:rsid w:val="30E67B6E"/>
    <w:rsid w:val="311A02B8"/>
    <w:rsid w:val="31207ECD"/>
    <w:rsid w:val="3133079B"/>
    <w:rsid w:val="313655B5"/>
    <w:rsid w:val="314003DA"/>
    <w:rsid w:val="31432160"/>
    <w:rsid w:val="31456D72"/>
    <w:rsid w:val="314972B7"/>
    <w:rsid w:val="31857392"/>
    <w:rsid w:val="3198766B"/>
    <w:rsid w:val="31D73965"/>
    <w:rsid w:val="31EE25F8"/>
    <w:rsid w:val="32186458"/>
    <w:rsid w:val="32236BAB"/>
    <w:rsid w:val="322814D9"/>
    <w:rsid w:val="327132AF"/>
    <w:rsid w:val="328016EB"/>
    <w:rsid w:val="32855FEF"/>
    <w:rsid w:val="328827F7"/>
    <w:rsid w:val="328A29C6"/>
    <w:rsid w:val="32957AA8"/>
    <w:rsid w:val="32AB27DC"/>
    <w:rsid w:val="32AC50A3"/>
    <w:rsid w:val="32C91500"/>
    <w:rsid w:val="32C97752"/>
    <w:rsid w:val="330D71CD"/>
    <w:rsid w:val="33325EA9"/>
    <w:rsid w:val="333623F3"/>
    <w:rsid w:val="334B0336"/>
    <w:rsid w:val="3352197E"/>
    <w:rsid w:val="33671EC1"/>
    <w:rsid w:val="336A7566"/>
    <w:rsid w:val="33830490"/>
    <w:rsid w:val="33837A4F"/>
    <w:rsid w:val="338B3F41"/>
    <w:rsid w:val="338C2B95"/>
    <w:rsid w:val="338F3C93"/>
    <w:rsid w:val="33953C2E"/>
    <w:rsid w:val="339715FE"/>
    <w:rsid w:val="339C39B1"/>
    <w:rsid w:val="33C27766"/>
    <w:rsid w:val="33C53ADE"/>
    <w:rsid w:val="33EE2C76"/>
    <w:rsid w:val="341C738A"/>
    <w:rsid w:val="343F6B5B"/>
    <w:rsid w:val="344C6C9C"/>
    <w:rsid w:val="345E211C"/>
    <w:rsid w:val="346A6D13"/>
    <w:rsid w:val="346C0326"/>
    <w:rsid w:val="347646A4"/>
    <w:rsid w:val="348953EB"/>
    <w:rsid w:val="34961252"/>
    <w:rsid w:val="34A208E8"/>
    <w:rsid w:val="34A7112A"/>
    <w:rsid w:val="34DC6962"/>
    <w:rsid w:val="34E53A6E"/>
    <w:rsid w:val="34EA455F"/>
    <w:rsid w:val="34F97143"/>
    <w:rsid w:val="350C3926"/>
    <w:rsid w:val="3510429A"/>
    <w:rsid w:val="3537370C"/>
    <w:rsid w:val="354F2483"/>
    <w:rsid w:val="357877D6"/>
    <w:rsid w:val="35A1628C"/>
    <w:rsid w:val="35A74E3E"/>
    <w:rsid w:val="35AB6B9C"/>
    <w:rsid w:val="35C41CC4"/>
    <w:rsid w:val="35C80D0B"/>
    <w:rsid w:val="35C91817"/>
    <w:rsid w:val="35CB00C0"/>
    <w:rsid w:val="35D20537"/>
    <w:rsid w:val="35DB7404"/>
    <w:rsid w:val="35FD0EF9"/>
    <w:rsid w:val="36091134"/>
    <w:rsid w:val="360D4CA2"/>
    <w:rsid w:val="36140B1F"/>
    <w:rsid w:val="36162CAE"/>
    <w:rsid w:val="36203516"/>
    <w:rsid w:val="36540D09"/>
    <w:rsid w:val="366A3757"/>
    <w:rsid w:val="36797DDF"/>
    <w:rsid w:val="36887484"/>
    <w:rsid w:val="369A45E7"/>
    <w:rsid w:val="36A77DAA"/>
    <w:rsid w:val="36AA7FB9"/>
    <w:rsid w:val="36B45DB4"/>
    <w:rsid w:val="36CF347B"/>
    <w:rsid w:val="36D21E81"/>
    <w:rsid w:val="36E54D45"/>
    <w:rsid w:val="36E763F9"/>
    <w:rsid w:val="36F9434B"/>
    <w:rsid w:val="3702134C"/>
    <w:rsid w:val="370E4A16"/>
    <w:rsid w:val="37102D07"/>
    <w:rsid w:val="37103BA1"/>
    <w:rsid w:val="37270EEB"/>
    <w:rsid w:val="373F11B0"/>
    <w:rsid w:val="37406C32"/>
    <w:rsid w:val="374873CC"/>
    <w:rsid w:val="376129EA"/>
    <w:rsid w:val="37764F71"/>
    <w:rsid w:val="378A5C46"/>
    <w:rsid w:val="378D2A2D"/>
    <w:rsid w:val="379504F3"/>
    <w:rsid w:val="379A637D"/>
    <w:rsid w:val="379B7FD0"/>
    <w:rsid w:val="37B009CE"/>
    <w:rsid w:val="37B207B5"/>
    <w:rsid w:val="37C14E9C"/>
    <w:rsid w:val="37D3017F"/>
    <w:rsid w:val="37EA799E"/>
    <w:rsid w:val="37F863E1"/>
    <w:rsid w:val="3802688E"/>
    <w:rsid w:val="38103A87"/>
    <w:rsid w:val="383B170D"/>
    <w:rsid w:val="385B52F0"/>
    <w:rsid w:val="38775EE4"/>
    <w:rsid w:val="38810D2C"/>
    <w:rsid w:val="3885236D"/>
    <w:rsid w:val="389A7D0B"/>
    <w:rsid w:val="38CD066D"/>
    <w:rsid w:val="38DF361B"/>
    <w:rsid w:val="38ED03A5"/>
    <w:rsid w:val="39084909"/>
    <w:rsid w:val="39173171"/>
    <w:rsid w:val="3927286D"/>
    <w:rsid w:val="394C5B25"/>
    <w:rsid w:val="39534C88"/>
    <w:rsid w:val="395F203C"/>
    <w:rsid w:val="39633687"/>
    <w:rsid w:val="39692DBF"/>
    <w:rsid w:val="398268AC"/>
    <w:rsid w:val="39A05869"/>
    <w:rsid w:val="39BC4DC8"/>
    <w:rsid w:val="39BD3968"/>
    <w:rsid w:val="39D41C72"/>
    <w:rsid w:val="39E9692C"/>
    <w:rsid w:val="3A100FCE"/>
    <w:rsid w:val="3A340AC3"/>
    <w:rsid w:val="3A457117"/>
    <w:rsid w:val="3A4A561C"/>
    <w:rsid w:val="3A4F4D7F"/>
    <w:rsid w:val="3A6449F6"/>
    <w:rsid w:val="3A6E266D"/>
    <w:rsid w:val="3A815E0A"/>
    <w:rsid w:val="3A8D3E1B"/>
    <w:rsid w:val="3A974BD8"/>
    <w:rsid w:val="3A9F75B9"/>
    <w:rsid w:val="3AA82343"/>
    <w:rsid w:val="3AD2116E"/>
    <w:rsid w:val="3ADF03A2"/>
    <w:rsid w:val="3AEF063D"/>
    <w:rsid w:val="3AF947CF"/>
    <w:rsid w:val="3AFB1291"/>
    <w:rsid w:val="3AFD53D4"/>
    <w:rsid w:val="3B01551E"/>
    <w:rsid w:val="3B4B709A"/>
    <w:rsid w:val="3B595AEE"/>
    <w:rsid w:val="3B6B2BFC"/>
    <w:rsid w:val="3B7A3CDF"/>
    <w:rsid w:val="3B8E6228"/>
    <w:rsid w:val="3BD34132"/>
    <w:rsid w:val="3BDC0A37"/>
    <w:rsid w:val="3BFB7BFA"/>
    <w:rsid w:val="3C0B5A64"/>
    <w:rsid w:val="3C1A101E"/>
    <w:rsid w:val="3C3157BF"/>
    <w:rsid w:val="3C4126A7"/>
    <w:rsid w:val="3C4147FD"/>
    <w:rsid w:val="3C5A141B"/>
    <w:rsid w:val="3C6F0DBF"/>
    <w:rsid w:val="3C7C494B"/>
    <w:rsid w:val="3C7F0E81"/>
    <w:rsid w:val="3C801294"/>
    <w:rsid w:val="3C9568F7"/>
    <w:rsid w:val="3C9B379B"/>
    <w:rsid w:val="3CC44D40"/>
    <w:rsid w:val="3CC50F8A"/>
    <w:rsid w:val="3CF51C45"/>
    <w:rsid w:val="3CF8135F"/>
    <w:rsid w:val="3D0B4B30"/>
    <w:rsid w:val="3D212EDB"/>
    <w:rsid w:val="3D35363A"/>
    <w:rsid w:val="3D400A77"/>
    <w:rsid w:val="3D667A0D"/>
    <w:rsid w:val="3D6A0C22"/>
    <w:rsid w:val="3D6D1238"/>
    <w:rsid w:val="3D7233FF"/>
    <w:rsid w:val="3D734E8A"/>
    <w:rsid w:val="3D8418FA"/>
    <w:rsid w:val="3DA051BB"/>
    <w:rsid w:val="3DB755CD"/>
    <w:rsid w:val="3DD4654E"/>
    <w:rsid w:val="3E1B22F0"/>
    <w:rsid w:val="3E301A13"/>
    <w:rsid w:val="3E31527E"/>
    <w:rsid w:val="3E3C3425"/>
    <w:rsid w:val="3E573ACE"/>
    <w:rsid w:val="3E5A3954"/>
    <w:rsid w:val="3E65446C"/>
    <w:rsid w:val="3E79568B"/>
    <w:rsid w:val="3E9C5D1B"/>
    <w:rsid w:val="3E9E213D"/>
    <w:rsid w:val="3EA80F6D"/>
    <w:rsid w:val="3EBC460F"/>
    <w:rsid w:val="3EBF1A09"/>
    <w:rsid w:val="3ED17D38"/>
    <w:rsid w:val="3ED62C5C"/>
    <w:rsid w:val="3ED734A6"/>
    <w:rsid w:val="3EE05AC2"/>
    <w:rsid w:val="3EE63AC0"/>
    <w:rsid w:val="3EEA46C5"/>
    <w:rsid w:val="3F021C85"/>
    <w:rsid w:val="3F2435A5"/>
    <w:rsid w:val="3F3335EF"/>
    <w:rsid w:val="3F6A0496"/>
    <w:rsid w:val="3F743FC9"/>
    <w:rsid w:val="3FB22EEA"/>
    <w:rsid w:val="3FB47094"/>
    <w:rsid w:val="3FBA151A"/>
    <w:rsid w:val="3FCF4923"/>
    <w:rsid w:val="3FD1709E"/>
    <w:rsid w:val="3FD3226C"/>
    <w:rsid w:val="3FF5610C"/>
    <w:rsid w:val="3FF638FD"/>
    <w:rsid w:val="40046496"/>
    <w:rsid w:val="403B4D1E"/>
    <w:rsid w:val="403F72A5"/>
    <w:rsid w:val="40462B73"/>
    <w:rsid w:val="405772D9"/>
    <w:rsid w:val="405C4927"/>
    <w:rsid w:val="40632F94"/>
    <w:rsid w:val="40646B4E"/>
    <w:rsid w:val="40682937"/>
    <w:rsid w:val="407A7D21"/>
    <w:rsid w:val="407F2990"/>
    <w:rsid w:val="409D1B0D"/>
    <w:rsid w:val="40DC06F8"/>
    <w:rsid w:val="40EE65D6"/>
    <w:rsid w:val="40F24318"/>
    <w:rsid w:val="410B53D9"/>
    <w:rsid w:val="412F48FF"/>
    <w:rsid w:val="41406E31"/>
    <w:rsid w:val="4143359F"/>
    <w:rsid w:val="414E1930"/>
    <w:rsid w:val="41596145"/>
    <w:rsid w:val="417804AA"/>
    <w:rsid w:val="41840D11"/>
    <w:rsid w:val="41955928"/>
    <w:rsid w:val="41A337EA"/>
    <w:rsid w:val="41A63BF5"/>
    <w:rsid w:val="41B84D2B"/>
    <w:rsid w:val="41BB0BAE"/>
    <w:rsid w:val="41BE5467"/>
    <w:rsid w:val="41C060A1"/>
    <w:rsid w:val="41C23CEA"/>
    <w:rsid w:val="41E221A4"/>
    <w:rsid w:val="41EF2605"/>
    <w:rsid w:val="420F7415"/>
    <w:rsid w:val="421A0B83"/>
    <w:rsid w:val="422C0BA3"/>
    <w:rsid w:val="422E15F2"/>
    <w:rsid w:val="425E28E2"/>
    <w:rsid w:val="427B4921"/>
    <w:rsid w:val="42C03833"/>
    <w:rsid w:val="42D65C16"/>
    <w:rsid w:val="42D86687"/>
    <w:rsid w:val="4302227B"/>
    <w:rsid w:val="430E7572"/>
    <w:rsid w:val="434B5EF3"/>
    <w:rsid w:val="43522F1D"/>
    <w:rsid w:val="4371211D"/>
    <w:rsid w:val="43830F5B"/>
    <w:rsid w:val="43943464"/>
    <w:rsid w:val="43B43B06"/>
    <w:rsid w:val="43C51B9F"/>
    <w:rsid w:val="43CE2E1A"/>
    <w:rsid w:val="43CE7AB3"/>
    <w:rsid w:val="43E16C2A"/>
    <w:rsid w:val="43EC3868"/>
    <w:rsid w:val="43F65BFD"/>
    <w:rsid w:val="43FB613F"/>
    <w:rsid w:val="440305EA"/>
    <w:rsid w:val="44227F8D"/>
    <w:rsid w:val="442E1112"/>
    <w:rsid w:val="44340DC6"/>
    <w:rsid w:val="44384174"/>
    <w:rsid w:val="44395B7B"/>
    <w:rsid w:val="443D1D4E"/>
    <w:rsid w:val="4447607D"/>
    <w:rsid w:val="44753CFA"/>
    <w:rsid w:val="44763FA4"/>
    <w:rsid w:val="448A19B7"/>
    <w:rsid w:val="44BE78FA"/>
    <w:rsid w:val="44DC5602"/>
    <w:rsid w:val="44F639B0"/>
    <w:rsid w:val="44FA379B"/>
    <w:rsid w:val="45053FCB"/>
    <w:rsid w:val="45487F37"/>
    <w:rsid w:val="45570552"/>
    <w:rsid w:val="458F0387"/>
    <w:rsid w:val="45BE0291"/>
    <w:rsid w:val="45BE2A7C"/>
    <w:rsid w:val="45BF33F9"/>
    <w:rsid w:val="45C40BDA"/>
    <w:rsid w:val="45CF2E79"/>
    <w:rsid w:val="45D82325"/>
    <w:rsid w:val="45FA2C8D"/>
    <w:rsid w:val="46125401"/>
    <w:rsid w:val="4619280E"/>
    <w:rsid w:val="461D49D6"/>
    <w:rsid w:val="461E4DE5"/>
    <w:rsid w:val="46202199"/>
    <w:rsid w:val="462A2AA8"/>
    <w:rsid w:val="46321AC9"/>
    <w:rsid w:val="463B406B"/>
    <w:rsid w:val="464534A6"/>
    <w:rsid w:val="465F5501"/>
    <w:rsid w:val="466B293F"/>
    <w:rsid w:val="46791459"/>
    <w:rsid w:val="467E3F53"/>
    <w:rsid w:val="46964F27"/>
    <w:rsid w:val="46BC33FE"/>
    <w:rsid w:val="46CC3117"/>
    <w:rsid w:val="46D12E58"/>
    <w:rsid w:val="46D70238"/>
    <w:rsid w:val="46F42559"/>
    <w:rsid w:val="46F56910"/>
    <w:rsid w:val="47523D62"/>
    <w:rsid w:val="475C698F"/>
    <w:rsid w:val="4762569A"/>
    <w:rsid w:val="477E7934"/>
    <w:rsid w:val="47847862"/>
    <w:rsid w:val="479410AC"/>
    <w:rsid w:val="47B65AB2"/>
    <w:rsid w:val="47BC3E48"/>
    <w:rsid w:val="47C7611D"/>
    <w:rsid w:val="47C92554"/>
    <w:rsid w:val="47D73494"/>
    <w:rsid w:val="47DA0D00"/>
    <w:rsid w:val="48004C2D"/>
    <w:rsid w:val="48020130"/>
    <w:rsid w:val="481D4B40"/>
    <w:rsid w:val="48232E4A"/>
    <w:rsid w:val="48373640"/>
    <w:rsid w:val="483A0F8A"/>
    <w:rsid w:val="48627B03"/>
    <w:rsid w:val="4869465C"/>
    <w:rsid w:val="487970CD"/>
    <w:rsid w:val="489B28AD"/>
    <w:rsid w:val="48A62ACD"/>
    <w:rsid w:val="48A9730A"/>
    <w:rsid w:val="48BC16B6"/>
    <w:rsid w:val="48DA7C74"/>
    <w:rsid w:val="48E20AA3"/>
    <w:rsid w:val="48E271E3"/>
    <w:rsid w:val="48E674A9"/>
    <w:rsid w:val="48FB0348"/>
    <w:rsid w:val="490F25EC"/>
    <w:rsid w:val="491353AC"/>
    <w:rsid w:val="4922188C"/>
    <w:rsid w:val="492268B0"/>
    <w:rsid w:val="49255C52"/>
    <w:rsid w:val="49475EB4"/>
    <w:rsid w:val="4955555E"/>
    <w:rsid w:val="495E6B46"/>
    <w:rsid w:val="49636A72"/>
    <w:rsid w:val="49866412"/>
    <w:rsid w:val="498B1031"/>
    <w:rsid w:val="49BA174B"/>
    <w:rsid w:val="49C04C0E"/>
    <w:rsid w:val="49C20808"/>
    <w:rsid w:val="4A3D7A5A"/>
    <w:rsid w:val="4A3E3E9C"/>
    <w:rsid w:val="4A55356E"/>
    <w:rsid w:val="4A795B7E"/>
    <w:rsid w:val="4A85640E"/>
    <w:rsid w:val="4A916645"/>
    <w:rsid w:val="4AA5596D"/>
    <w:rsid w:val="4AB2016C"/>
    <w:rsid w:val="4AB555F6"/>
    <w:rsid w:val="4AB773A9"/>
    <w:rsid w:val="4ACD51FF"/>
    <w:rsid w:val="4ACE0C47"/>
    <w:rsid w:val="4AD66A58"/>
    <w:rsid w:val="4AE95308"/>
    <w:rsid w:val="4B3F1AD2"/>
    <w:rsid w:val="4B537B37"/>
    <w:rsid w:val="4B6C26CB"/>
    <w:rsid w:val="4B835B73"/>
    <w:rsid w:val="4B857EB7"/>
    <w:rsid w:val="4B8E6103"/>
    <w:rsid w:val="4BB72E37"/>
    <w:rsid w:val="4BB86F47"/>
    <w:rsid w:val="4BC27029"/>
    <w:rsid w:val="4BD034A7"/>
    <w:rsid w:val="4BDB2578"/>
    <w:rsid w:val="4BDC7009"/>
    <w:rsid w:val="4BE40D01"/>
    <w:rsid w:val="4C0243A6"/>
    <w:rsid w:val="4C0262DF"/>
    <w:rsid w:val="4C095A4C"/>
    <w:rsid w:val="4C5D62A3"/>
    <w:rsid w:val="4C675DE6"/>
    <w:rsid w:val="4C855396"/>
    <w:rsid w:val="4C8A062B"/>
    <w:rsid w:val="4C9149E5"/>
    <w:rsid w:val="4CA23096"/>
    <w:rsid w:val="4CA30804"/>
    <w:rsid w:val="4CB8016E"/>
    <w:rsid w:val="4CC4617F"/>
    <w:rsid w:val="4CCE6466"/>
    <w:rsid w:val="4CD945DE"/>
    <w:rsid w:val="4CDF47AB"/>
    <w:rsid w:val="4CEE0089"/>
    <w:rsid w:val="4CF32576"/>
    <w:rsid w:val="4D2F3630"/>
    <w:rsid w:val="4D5C55DE"/>
    <w:rsid w:val="4DA1013C"/>
    <w:rsid w:val="4DAC1D64"/>
    <w:rsid w:val="4DAE274D"/>
    <w:rsid w:val="4DAF1600"/>
    <w:rsid w:val="4DB20386"/>
    <w:rsid w:val="4DB8448E"/>
    <w:rsid w:val="4DE073B3"/>
    <w:rsid w:val="4DE51ADA"/>
    <w:rsid w:val="4DE72335"/>
    <w:rsid w:val="4DE80860"/>
    <w:rsid w:val="4DEA0290"/>
    <w:rsid w:val="4E231F9F"/>
    <w:rsid w:val="4E355844"/>
    <w:rsid w:val="4E37780E"/>
    <w:rsid w:val="4E481B7F"/>
    <w:rsid w:val="4E656129"/>
    <w:rsid w:val="4E8D742E"/>
    <w:rsid w:val="4EA90BA8"/>
    <w:rsid w:val="4EAD34A6"/>
    <w:rsid w:val="4ECF3EEA"/>
    <w:rsid w:val="4EFD480A"/>
    <w:rsid w:val="4F0947D8"/>
    <w:rsid w:val="4F1756CF"/>
    <w:rsid w:val="4F3333AC"/>
    <w:rsid w:val="4F50412D"/>
    <w:rsid w:val="4F793960"/>
    <w:rsid w:val="4F801100"/>
    <w:rsid w:val="4F90367A"/>
    <w:rsid w:val="4F946E78"/>
    <w:rsid w:val="4FA230B5"/>
    <w:rsid w:val="4FAD1493"/>
    <w:rsid w:val="4FB86072"/>
    <w:rsid w:val="4FC328A8"/>
    <w:rsid w:val="4FC43269"/>
    <w:rsid w:val="4FCE4A6D"/>
    <w:rsid w:val="4FD3445D"/>
    <w:rsid w:val="4FD43CC3"/>
    <w:rsid w:val="4FD461EB"/>
    <w:rsid w:val="4FE0641D"/>
    <w:rsid w:val="4FF053B2"/>
    <w:rsid w:val="50250749"/>
    <w:rsid w:val="5026702D"/>
    <w:rsid w:val="50342C17"/>
    <w:rsid w:val="50737E37"/>
    <w:rsid w:val="507A3C54"/>
    <w:rsid w:val="50835C26"/>
    <w:rsid w:val="5088682A"/>
    <w:rsid w:val="50A42BCD"/>
    <w:rsid w:val="50B92D51"/>
    <w:rsid w:val="50BA683A"/>
    <w:rsid w:val="50C11611"/>
    <w:rsid w:val="50C50E29"/>
    <w:rsid w:val="50CD37FC"/>
    <w:rsid w:val="50DE2293"/>
    <w:rsid w:val="5100482F"/>
    <w:rsid w:val="510936E3"/>
    <w:rsid w:val="511846EA"/>
    <w:rsid w:val="51256341"/>
    <w:rsid w:val="512C2F2E"/>
    <w:rsid w:val="51334745"/>
    <w:rsid w:val="51442461"/>
    <w:rsid w:val="516139A3"/>
    <w:rsid w:val="517D7C2E"/>
    <w:rsid w:val="518C2F3F"/>
    <w:rsid w:val="519531C9"/>
    <w:rsid w:val="51960CEF"/>
    <w:rsid w:val="51AC22C1"/>
    <w:rsid w:val="51C72E25"/>
    <w:rsid w:val="520774F7"/>
    <w:rsid w:val="520E31AE"/>
    <w:rsid w:val="52214A5D"/>
    <w:rsid w:val="52481D3D"/>
    <w:rsid w:val="525210BA"/>
    <w:rsid w:val="5268268C"/>
    <w:rsid w:val="528C228E"/>
    <w:rsid w:val="528C45CC"/>
    <w:rsid w:val="52923265"/>
    <w:rsid w:val="52946FDD"/>
    <w:rsid w:val="52953194"/>
    <w:rsid w:val="52DF515E"/>
    <w:rsid w:val="530D52D0"/>
    <w:rsid w:val="530F33D6"/>
    <w:rsid w:val="531B7E68"/>
    <w:rsid w:val="53235275"/>
    <w:rsid w:val="533A5BFF"/>
    <w:rsid w:val="533C039D"/>
    <w:rsid w:val="53400F13"/>
    <w:rsid w:val="53400FA2"/>
    <w:rsid w:val="534327B1"/>
    <w:rsid w:val="536A2CB2"/>
    <w:rsid w:val="53733096"/>
    <w:rsid w:val="53835D2C"/>
    <w:rsid w:val="53861D73"/>
    <w:rsid w:val="53932FAA"/>
    <w:rsid w:val="53A022C0"/>
    <w:rsid w:val="53A07C03"/>
    <w:rsid w:val="53AA2830"/>
    <w:rsid w:val="53AF7378"/>
    <w:rsid w:val="53B40835"/>
    <w:rsid w:val="53BE4267"/>
    <w:rsid w:val="53C71C72"/>
    <w:rsid w:val="53CC40FD"/>
    <w:rsid w:val="53D17DBD"/>
    <w:rsid w:val="53DF697E"/>
    <w:rsid w:val="53EA0E7E"/>
    <w:rsid w:val="53EB143A"/>
    <w:rsid w:val="53EE2543"/>
    <w:rsid w:val="53FD0BB2"/>
    <w:rsid w:val="53FF0DCE"/>
    <w:rsid w:val="540F1989"/>
    <w:rsid w:val="541969E6"/>
    <w:rsid w:val="5420279E"/>
    <w:rsid w:val="54322F51"/>
    <w:rsid w:val="5435497A"/>
    <w:rsid w:val="5443314E"/>
    <w:rsid w:val="54492049"/>
    <w:rsid w:val="545239D0"/>
    <w:rsid w:val="545952F2"/>
    <w:rsid w:val="5480192E"/>
    <w:rsid w:val="54820F2F"/>
    <w:rsid w:val="549175FB"/>
    <w:rsid w:val="54AD4386"/>
    <w:rsid w:val="54B7788A"/>
    <w:rsid w:val="55151B5D"/>
    <w:rsid w:val="551556A5"/>
    <w:rsid w:val="55163126"/>
    <w:rsid w:val="5525606C"/>
    <w:rsid w:val="554561F4"/>
    <w:rsid w:val="554D2A45"/>
    <w:rsid w:val="5560481F"/>
    <w:rsid w:val="55751E3D"/>
    <w:rsid w:val="55774444"/>
    <w:rsid w:val="55823975"/>
    <w:rsid w:val="558A161C"/>
    <w:rsid w:val="55A03EEB"/>
    <w:rsid w:val="55A57512"/>
    <w:rsid w:val="55A64F94"/>
    <w:rsid w:val="55A80497"/>
    <w:rsid w:val="55AD491E"/>
    <w:rsid w:val="55AE459E"/>
    <w:rsid w:val="55B4129D"/>
    <w:rsid w:val="55D532B1"/>
    <w:rsid w:val="55F76859"/>
    <w:rsid w:val="56010E2D"/>
    <w:rsid w:val="5623455D"/>
    <w:rsid w:val="563D3E2F"/>
    <w:rsid w:val="564A186E"/>
    <w:rsid w:val="565C6522"/>
    <w:rsid w:val="565C6B28"/>
    <w:rsid w:val="566156C7"/>
    <w:rsid w:val="5671329A"/>
    <w:rsid w:val="56A02C2D"/>
    <w:rsid w:val="56A236A3"/>
    <w:rsid w:val="56AE218F"/>
    <w:rsid w:val="56BD5F28"/>
    <w:rsid w:val="56C872E2"/>
    <w:rsid w:val="56CB06C9"/>
    <w:rsid w:val="56DB758F"/>
    <w:rsid w:val="56E27849"/>
    <w:rsid w:val="57082352"/>
    <w:rsid w:val="570A29A8"/>
    <w:rsid w:val="57304A9B"/>
    <w:rsid w:val="5731251C"/>
    <w:rsid w:val="578F28B6"/>
    <w:rsid w:val="57BD51B5"/>
    <w:rsid w:val="57CF6D09"/>
    <w:rsid w:val="57D45A7C"/>
    <w:rsid w:val="57E675F5"/>
    <w:rsid w:val="57F24B59"/>
    <w:rsid w:val="580852E5"/>
    <w:rsid w:val="580F7066"/>
    <w:rsid w:val="582B03E3"/>
    <w:rsid w:val="5830463D"/>
    <w:rsid w:val="584239F5"/>
    <w:rsid w:val="58480BFD"/>
    <w:rsid w:val="585675AE"/>
    <w:rsid w:val="588B70D4"/>
    <w:rsid w:val="589341A4"/>
    <w:rsid w:val="58982D68"/>
    <w:rsid w:val="58A502F2"/>
    <w:rsid w:val="58AF2823"/>
    <w:rsid w:val="58B55EFF"/>
    <w:rsid w:val="58DD1344"/>
    <w:rsid w:val="58DF11CE"/>
    <w:rsid w:val="58EE2472"/>
    <w:rsid w:val="58F133F6"/>
    <w:rsid w:val="59161438"/>
    <w:rsid w:val="59183DBA"/>
    <w:rsid w:val="592228D5"/>
    <w:rsid w:val="59396B30"/>
    <w:rsid w:val="594A0CAC"/>
    <w:rsid w:val="594D4389"/>
    <w:rsid w:val="59522AF9"/>
    <w:rsid w:val="59561490"/>
    <w:rsid w:val="596B4DCD"/>
    <w:rsid w:val="596F4E16"/>
    <w:rsid w:val="59AC3230"/>
    <w:rsid w:val="59B44408"/>
    <w:rsid w:val="59D40485"/>
    <w:rsid w:val="59D93E6F"/>
    <w:rsid w:val="59E56370"/>
    <w:rsid w:val="59F81A2B"/>
    <w:rsid w:val="5A0031AA"/>
    <w:rsid w:val="5A092BEC"/>
    <w:rsid w:val="5A0D723C"/>
    <w:rsid w:val="5A1A79E1"/>
    <w:rsid w:val="5A2169CA"/>
    <w:rsid w:val="5A250E62"/>
    <w:rsid w:val="5A2D764F"/>
    <w:rsid w:val="5A3A490E"/>
    <w:rsid w:val="5A4958D6"/>
    <w:rsid w:val="5A567846"/>
    <w:rsid w:val="5A6048D2"/>
    <w:rsid w:val="5A640B0E"/>
    <w:rsid w:val="5A692FE3"/>
    <w:rsid w:val="5A7B0943"/>
    <w:rsid w:val="5A862133"/>
    <w:rsid w:val="5AA22211"/>
    <w:rsid w:val="5AA8066B"/>
    <w:rsid w:val="5ABD2A6D"/>
    <w:rsid w:val="5B2618E2"/>
    <w:rsid w:val="5B355BAF"/>
    <w:rsid w:val="5B465534"/>
    <w:rsid w:val="5B5A5DEF"/>
    <w:rsid w:val="5B5B3AD4"/>
    <w:rsid w:val="5B6553FD"/>
    <w:rsid w:val="5B77791D"/>
    <w:rsid w:val="5B792E20"/>
    <w:rsid w:val="5B7973AF"/>
    <w:rsid w:val="5B96372B"/>
    <w:rsid w:val="5B9938B6"/>
    <w:rsid w:val="5BCF5E68"/>
    <w:rsid w:val="5BDC703C"/>
    <w:rsid w:val="5BEE2DDF"/>
    <w:rsid w:val="5BF65C6D"/>
    <w:rsid w:val="5BFB5888"/>
    <w:rsid w:val="5C563552"/>
    <w:rsid w:val="5C6D6526"/>
    <w:rsid w:val="5C725C29"/>
    <w:rsid w:val="5C806824"/>
    <w:rsid w:val="5C8400C2"/>
    <w:rsid w:val="5C853E3A"/>
    <w:rsid w:val="5C9D6B22"/>
    <w:rsid w:val="5C9E1318"/>
    <w:rsid w:val="5CB00EB7"/>
    <w:rsid w:val="5CB937AD"/>
    <w:rsid w:val="5CD34356"/>
    <w:rsid w:val="5CDA23D8"/>
    <w:rsid w:val="5CDF5B2E"/>
    <w:rsid w:val="5CEE5E83"/>
    <w:rsid w:val="5D0E355C"/>
    <w:rsid w:val="5D1A0A26"/>
    <w:rsid w:val="5D1C479E"/>
    <w:rsid w:val="5D2378DB"/>
    <w:rsid w:val="5D2466DF"/>
    <w:rsid w:val="5D3B1C21"/>
    <w:rsid w:val="5D425EE7"/>
    <w:rsid w:val="5D453410"/>
    <w:rsid w:val="5D62577B"/>
    <w:rsid w:val="5D9B3D9F"/>
    <w:rsid w:val="5DA34287"/>
    <w:rsid w:val="5DBA1C09"/>
    <w:rsid w:val="5DCA41FA"/>
    <w:rsid w:val="5DD52C7F"/>
    <w:rsid w:val="5DD76917"/>
    <w:rsid w:val="5DE16437"/>
    <w:rsid w:val="5DF76AE4"/>
    <w:rsid w:val="5DFA0A8C"/>
    <w:rsid w:val="5E0E4A77"/>
    <w:rsid w:val="5E1B6804"/>
    <w:rsid w:val="5E343AB1"/>
    <w:rsid w:val="5E5C4A70"/>
    <w:rsid w:val="5E6F6B50"/>
    <w:rsid w:val="5E8169BB"/>
    <w:rsid w:val="5E96232F"/>
    <w:rsid w:val="5E996241"/>
    <w:rsid w:val="5EA964DB"/>
    <w:rsid w:val="5ECB647C"/>
    <w:rsid w:val="5ECD3218"/>
    <w:rsid w:val="5ED37DF4"/>
    <w:rsid w:val="5EDB472C"/>
    <w:rsid w:val="5EDD1075"/>
    <w:rsid w:val="5EE62ABD"/>
    <w:rsid w:val="5EE906B0"/>
    <w:rsid w:val="5F2931A3"/>
    <w:rsid w:val="5F3A7FC8"/>
    <w:rsid w:val="5F41229A"/>
    <w:rsid w:val="5F4C4F7E"/>
    <w:rsid w:val="5F5A7B25"/>
    <w:rsid w:val="5F6C401A"/>
    <w:rsid w:val="5F6D12E1"/>
    <w:rsid w:val="5F8D3FBA"/>
    <w:rsid w:val="5F9920D6"/>
    <w:rsid w:val="5FA479F8"/>
    <w:rsid w:val="5FA56809"/>
    <w:rsid w:val="5FBC603E"/>
    <w:rsid w:val="5FC324AB"/>
    <w:rsid w:val="5FCC24AC"/>
    <w:rsid w:val="5FD96EE4"/>
    <w:rsid w:val="5FED0E51"/>
    <w:rsid w:val="5FFE1F39"/>
    <w:rsid w:val="602C6657"/>
    <w:rsid w:val="60552F46"/>
    <w:rsid w:val="60566219"/>
    <w:rsid w:val="60780545"/>
    <w:rsid w:val="607A2E81"/>
    <w:rsid w:val="607B1C59"/>
    <w:rsid w:val="608F7910"/>
    <w:rsid w:val="609679C8"/>
    <w:rsid w:val="609E1C27"/>
    <w:rsid w:val="609F3113"/>
    <w:rsid w:val="60A62A9D"/>
    <w:rsid w:val="60C45904"/>
    <w:rsid w:val="60C65206"/>
    <w:rsid w:val="60CC150B"/>
    <w:rsid w:val="60F52D6A"/>
    <w:rsid w:val="6119618D"/>
    <w:rsid w:val="615C1FBC"/>
    <w:rsid w:val="616D5404"/>
    <w:rsid w:val="61720E31"/>
    <w:rsid w:val="61776447"/>
    <w:rsid w:val="617D2B01"/>
    <w:rsid w:val="618F0CB7"/>
    <w:rsid w:val="619D624C"/>
    <w:rsid w:val="61A03FBA"/>
    <w:rsid w:val="61A15272"/>
    <w:rsid w:val="61B73F5C"/>
    <w:rsid w:val="61BC02FE"/>
    <w:rsid w:val="61D513C0"/>
    <w:rsid w:val="61DE18A1"/>
    <w:rsid w:val="61F20541"/>
    <w:rsid w:val="61F950AE"/>
    <w:rsid w:val="62287742"/>
    <w:rsid w:val="622C03B9"/>
    <w:rsid w:val="623954AB"/>
    <w:rsid w:val="62447725"/>
    <w:rsid w:val="62545FF1"/>
    <w:rsid w:val="62700E0F"/>
    <w:rsid w:val="627D250A"/>
    <w:rsid w:val="62810D49"/>
    <w:rsid w:val="62852118"/>
    <w:rsid w:val="62A4582D"/>
    <w:rsid w:val="62BF2ADF"/>
    <w:rsid w:val="63057105"/>
    <w:rsid w:val="63204905"/>
    <w:rsid w:val="632131B2"/>
    <w:rsid w:val="632D5167"/>
    <w:rsid w:val="634F24A8"/>
    <w:rsid w:val="636A6558"/>
    <w:rsid w:val="63746024"/>
    <w:rsid w:val="63A9658E"/>
    <w:rsid w:val="63B94AF2"/>
    <w:rsid w:val="63DA0A3C"/>
    <w:rsid w:val="63EF382B"/>
    <w:rsid w:val="63F55D49"/>
    <w:rsid w:val="63FC2C34"/>
    <w:rsid w:val="640D2B27"/>
    <w:rsid w:val="645D5138"/>
    <w:rsid w:val="64713DD8"/>
    <w:rsid w:val="64835D61"/>
    <w:rsid w:val="649D01E5"/>
    <w:rsid w:val="64C319A4"/>
    <w:rsid w:val="64D900DF"/>
    <w:rsid w:val="64FC085C"/>
    <w:rsid w:val="6504252C"/>
    <w:rsid w:val="650F6824"/>
    <w:rsid w:val="651F2C77"/>
    <w:rsid w:val="6520271E"/>
    <w:rsid w:val="6523680F"/>
    <w:rsid w:val="65293FAD"/>
    <w:rsid w:val="652D0651"/>
    <w:rsid w:val="65313701"/>
    <w:rsid w:val="65402FF4"/>
    <w:rsid w:val="65472B37"/>
    <w:rsid w:val="65562818"/>
    <w:rsid w:val="656E29F6"/>
    <w:rsid w:val="65832EF9"/>
    <w:rsid w:val="65907AD8"/>
    <w:rsid w:val="65923EB0"/>
    <w:rsid w:val="659375C8"/>
    <w:rsid w:val="65AB6FD8"/>
    <w:rsid w:val="65AF2EDE"/>
    <w:rsid w:val="65AF3460"/>
    <w:rsid w:val="65DA33AA"/>
    <w:rsid w:val="65E23AA0"/>
    <w:rsid w:val="662A28F3"/>
    <w:rsid w:val="66417024"/>
    <w:rsid w:val="6643403A"/>
    <w:rsid w:val="66466542"/>
    <w:rsid w:val="664A1A2C"/>
    <w:rsid w:val="66682C0E"/>
    <w:rsid w:val="667A42E4"/>
    <w:rsid w:val="667A63AC"/>
    <w:rsid w:val="668479D2"/>
    <w:rsid w:val="66BC082E"/>
    <w:rsid w:val="66C94B92"/>
    <w:rsid w:val="66DE4873"/>
    <w:rsid w:val="66E224CF"/>
    <w:rsid w:val="66EB31E7"/>
    <w:rsid w:val="66F874C8"/>
    <w:rsid w:val="670E27BB"/>
    <w:rsid w:val="672136C2"/>
    <w:rsid w:val="673213DD"/>
    <w:rsid w:val="674A015A"/>
    <w:rsid w:val="67550FD9"/>
    <w:rsid w:val="67693AB6"/>
    <w:rsid w:val="678533E6"/>
    <w:rsid w:val="67882CE3"/>
    <w:rsid w:val="679B62E6"/>
    <w:rsid w:val="67A24F14"/>
    <w:rsid w:val="67B06AC9"/>
    <w:rsid w:val="67B64299"/>
    <w:rsid w:val="67C76C2D"/>
    <w:rsid w:val="67CE2B39"/>
    <w:rsid w:val="67D61EEB"/>
    <w:rsid w:val="67D81B6B"/>
    <w:rsid w:val="67F52A1A"/>
    <w:rsid w:val="67F72090"/>
    <w:rsid w:val="6813679E"/>
    <w:rsid w:val="681C6DDC"/>
    <w:rsid w:val="681E586F"/>
    <w:rsid w:val="68434A9E"/>
    <w:rsid w:val="684C53AD"/>
    <w:rsid w:val="68541290"/>
    <w:rsid w:val="685E30C9"/>
    <w:rsid w:val="68626C52"/>
    <w:rsid w:val="6874526D"/>
    <w:rsid w:val="689B5EB5"/>
    <w:rsid w:val="68AB4C5D"/>
    <w:rsid w:val="68C76541"/>
    <w:rsid w:val="68DA49B3"/>
    <w:rsid w:val="68E54377"/>
    <w:rsid w:val="69124CA8"/>
    <w:rsid w:val="69216C21"/>
    <w:rsid w:val="69467F49"/>
    <w:rsid w:val="694B337E"/>
    <w:rsid w:val="695C466B"/>
    <w:rsid w:val="695F06ED"/>
    <w:rsid w:val="698B163B"/>
    <w:rsid w:val="69943146"/>
    <w:rsid w:val="69CB581E"/>
    <w:rsid w:val="69D5334B"/>
    <w:rsid w:val="69E035C7"/>
    <w:rsid w:val="6A0D6889"/>
    <w:rsid w:val="6A2729DF"/>
    <w:rsid w:val="6A5936DC"/>
    <w:rsid w:val="6A5F36CD"/>
    <w:rsid w:val="6A633A0D"/>
    <w:rsid w:val="6A67569D"/>
    <w:rsid w:val="6A7E25F5"/>
    <w:rsid w:val="6A8F4802"/>
    <w:rsid w:val="6AA07FE4"/>
    <w:rsid w:val="6AD137D5"/>
    <w:rsid w:val="6AEB3A02"/>
    <w:rsid w:val="6B1E546E"/>
    <w:rsid w:val="6B3C2C54"/>
    <w:rsid w:val="6B4D0219"/>
    <w:rsid w:val="6B517D09"/>
    <w:rsid w:val="6B677619"/>
    <w:rsid w:val="6B953B90"/>
    <w:rsid w:val="6BA20565"/>
    <w:rsid w:val="6BA73AAA"/>
    <w:rsid w:val="6BB0602D"/>
    <w:rsid w:val="6BB34661"/>
    <w:rsid w:val="6BC56001"/>
    <w:rsid w:val="6BCA24AD"/>
    <w:rsid w:val="6BE27372"/>
    <w:rsid w:val="6BEF5524"/>
    <w:rsid w:val="6BF34310"/>
    <w:rsid w:val="6BFB1A23"/>
    <w:rsid w:val="6C07486C"/>
    <w:rsid w:val="6C2C67D6"/>
    <w:rsid w:val="6C5850C7"/>
    <w:rsid w:val="6C5B01C3"/>
    <w:rsid w:val="6C63278A"/>
    <w:rsid w:val="6C8B53A2"/>
    <w:rsid w:val="6CAC5CC8"/>
    <w:rsid w:val="6CBE1074"/>
    <w:rsid w:val="6CC00B07"/>
    <w:rsid w:val="6CC125C3"/>
    <w:rsid w:val="6CCC4204"/>
    <w:rsid w:val="6CDA5ADC"/>
    <w:rsid w:val="6CE11D8C"/>
    <w:rsid w:val="6CED606E"/>
    <w:rsid w:val="6CF5417B"/>
    <w:rsid w:val="6D55031D"/>
    <w:rsid w:val="6D7C27D9"/>
    <w:rsid w:val="6D981C1F"/>
    <w:rsid w:val="6DAD677E"/>
    <w:rsid w:val="6DAF1AE7"/>
    <w:rsid w:val="6DD134BB"/>
    <w:rsid w:val="6DD8201C"/>
    <w:rsid w:val="6DEC5AC7"/>
    <w:rsid w:val="6E0B0D16"/>
    <w:rsid w:val="6E245261"/>
    <w:rsid w:val="6E2C2368"/>
    <w:rsid w:val="6E3269D7"/>
    <w:rsid w:val="6E47697D"/>
    <w:rsid w:val="6E656C79"/>
    <w:rsid w:val="6E737441"/>
    <w:rsid w:val="6E7F693B"/>
    <w:rsid w:val="6E8D72AA"/>
    <w:rsid w:val="6E8F73D7"/>
    <w:rsid w:val="6E9353DB"/>
    <w:rsid w:val="6E9B568B"/>
    <w:rsid w:val="6E9C0B29"/>
    <w:rsid w:val="6EA42846"/>
    <w:rsid w:val="6EB611AF"/>
    <w:rsid w:val="6EFC60D0"/>
    <w:rsid w:val="6F0532E4"/>
    <w:rsid w:val="6F4E0CB0"/>
    <w:rsid w:val="6F7F7AD8"/>
    <w:rsid w:val="6F9C52CB"/>
    <w:rsid w:val="6FA73213"/>
    <w:rsid w:val="6FAC7C04"/>
    <w:rsid w:val="6FCA7EBD"/>
    <w:rsid w:val="6FDE1F16"/>
    <w:rsid w:val="6FE91A27"/>
    <w:rsid w:val="6FEC6252"/>
    <w:rsid w:val="6FF2259D"/>
    <w:rsid w:val="6FFB1846"/>
    <w:rsid w:val="700851FC"/>
    <w:rsid w:val="701A35EE"/>
    <w:rsid w:val="7030429F"/>
    <w:rsid w:val="70311519"/>
    <w:rsid w:val="704113E8"/>
    <w:rsid w:val="708A38EF"/>
    <w:rsid w:val="70A7019E"/>
    <w:rsid w:val="70AB6EFE"/>
    <w:rsid w:val="70AD7537"/>
    <w:rsid w:val="70C66990"/>
    <w:rsid w:val="70C72248"/>
    <w:rsid w:val="70CC212F"/>
    <w:rsid w:val="70D073B6"/>
    <w:rsid w:val="70D33A71"/>
    <w:rsid w:val="70EB02B8"/>
    <w:rsid w:val="70FA674D"/>
    <w:rsid w:val="71076500"/>
    <w:rsid w:val="710D19B6"/>
    <w:rsid w:val="71386CCF"/>
    <w:rsid w:val="7150636D"/>
    <w:rsid w:val="715E4F2E"/>
    <w:rsid w:val="71610589"/>
    <w:rsid w:val="71614610"/>
    <w:rsid w:val="71692D83"/>
    <w:rsid w:val="717E19C2"/>
    <w:rsid w:val="7191735E"/>
    <w:rsid w:val="719E393D"/>
    <w:rsid w:val="71A11F8A"/>
    <w:rsid w:val="71A60646"/>
    <w:rsid w:val="71A677DA"/>
    <w:rsid w:val="71B53199"/>
    <w:rsid w:val="72011EEF"/>
    <w:rsid w:val="721B1B84"/>
    <w:rsid w:val="722C1BCF"/>
    <w:rsid w:val="7232276A"/>
    <w:rsid w:val="7235664F"/>
    <w:rsid w:val="72457E9C"/>
    <w:rsid w:val="725B409E"/>
    <w:rsid w:val="72664CBB"/>
    <w:rsid w:val="72A9286A"/>
    <w:rsid w:val="72BD3ED6"/>
    <w:rsid w:val="72F85B63"/>
    <w:rsid w:val="73123FD7"/>
    <w:rsid w:val="7329331A"/>
    <w:rsid w:val="734C65B1"/>
    <w:rsid w:val="735018BD"/>
    <w:rsid w:val="735A251C"/>
    <w:rsid w:val="73785000"/>
    <w:rsid w:val="737C0F91"/>
    <w:rsid w:val="73815F72"/>
    <w:rsid w:val="738746D6"/>
    <w:rsid w:val="73AC25E6"/>
    <w:rsid w:val="73BE3A62"/>
    <w:rsid w:val="73C00D01"/>
    <w:rsid w:val="73C33A2E"/>
    <w:rsid w:val="73C80282"/>
    <w:rsid w:val="73DA692B"/>
    <w:rsid w:val="73DF50F4"/>
    <w:rsid w:val="73EE04C2"/>
    <w:rsid w:val="73F13C82"/>
    <w:rsid w:val="73F3598C"/>
    <w:rsid w:val="73FB76AB"/>
    <w:rsid w:val="73FC5CF8"/>
    <w:rsid w:val="742873A2"/>
    <w:rsid w:val="74894EF3"/>
    <w:rsid w:val="74A96251"/>
    <w:rsid w:val="74C84C15"/>
    <w:rsid w:val="74D516B9"/>
    <w:rsid w:val="74F57E3F"/>
    <w:rsid w:val="74F73ECA"/>
    <w:rsid w:val="751B4C2F"/>
    <w:rsid w:val="7544396E"/>
    <w:rsid w:val="75452A37"/>
    <w:rsid w:val="75656275"/>
    <w:rsid w:val="757302BE"/>
    <w:rsid w:val="758375D3"/>
    <w:rsid w:val="75B15BB1"/>
    <w:rsid w:val="75C03C40"/>
    <w:rsid w:val="75C5140B"/>
    <w:rsid w:val="75CD54D4"/>
    <w:rsid w:val="75D91695"/>
    <w:rsid w:val="75FA1E92"/>
    <w:rsid w:val="75FA729D"/>
    <w:rsid w:val="76124539"/>
    <w:rsid w:val="76173D3C"/>
    <w:rsid w:val="761D171A"/>
    <w:rsid w:val="763F450F"/>
    <w:rsid w:val="76415493"/>
    <w:rsid w:val="76500D63"/>
    <w:rsid w:val="766308F1"/>
    <w:rsid w:val="76AE4262"/>
    <w:rsid w:val="76BD7A77"/>
    <w:rsid w:val="76C137E3"/>
    <w:rsid w:val="76D77B85"/>
    <w:rsid w:val="76DA690B"/>
    <w:rsid w:val="770551D1"/>
    <w:rsid w:val="770B4B5C"/>
    <w:rsid w:val="771C429E"/>
    <w:rsid w:val="7734249D"/>
    <w:rsid w:val="77357F1F"/>
    <w:rsid w:val="775A26DD"/>
    <w:rsid w:val="776E4227"/>
    <w:rsid w:val="77A360E6"/>
    <w:rsid w:val="77FA69E3"/>
    <w:rsid w:val="78023DEF"/>
    <w:rsid w:val="781F7E65"/>
    <w:rsid w:val="783242C4"/>
    <w:rsid w:val="78640DC3"/>
    <w:rsid w:val="786F2EE3"/>
    <w:rsid w:val="7879089F"/>
    <w:rsid w:val="789B1E6A"/>
    <w:rsid w:val="789D7871"/>
    <w:rsid w:val="78B673FD"/>
    <w:rsid w:val="78C87C67"/>
    <w:rsid w:val="78D457C4"/>
    <w:rsid w:val="78E24696"/>
    <w:rsid w:val="79404F19"/>
    <w:rsid w:val="79481F08"/>
    <w:rsid w:val="797643E8"/>
    <w:rsid w:val="798431CB"/>
    <w:rsid w:val="79875270"/>
    <w:rsid w:val="798B088A"/>
    <w:rsid w:val="798D1378"/>
    <w:rsid w:val="79C1634F"/>
    <w:rsid w:val="79CF0EE8"/>
    <w:rsid w:val="79D112D3"/>
    <w:rsid w:val="79DC7338"/>
    <w:rsid w:val="79E764FA"/>
    <w:rsid w:val="79E81839"/>
    <w:rsid w:val="79F60DA7"/>
    <w:rsid w:val="7A066163"/>
    <w:rsid w:val="7A1E50DA"/>
    <w:rsid w:val="7A340F22"/>
    <w:rsid w:val="7A372429"/>
    <w:rsid w:val="7A401D4D"/>
    <w:rsid w:val="7A7C4677"/>
    <w:rsid w:val="7A9A6032"/>
    <w:rsid w:val="7AD02C89"/>
    <w:rsid w:val="7AFC60D6"/>
    <w:rsid w:val="7B0A53EC"/>
    <w:rsid w:val="7B1072F5"/>
    <w:rsid w:val="7B116B6D"/>
    <w:rsid w:val="7B1E0809"/>
    <w:rsid w:val="7B377C1F"/>
    <w:rsid w:val="7B3A1A33"/>
    <w:rsid w:val="7B3A7AC9"/>
    <w:rsid w:val="7B447E06"/>
    <w:rsid w:val="7B810197"/>
    <w:rsid w:val="7B89434D"/>
    <w:rsid w:val="7B8E7BC4"/>
    <w:rsid w:val="7B990153"/>
    <w:rsid w:val="7B9D6B59"/>
    <w:rsid w:val="7BE44D4F"/>
    <w:rsid w:val="7C045E5E"/>
    <w:rsid w:val="7C055284"/>
    <w:rsid w:val="7C1E3C37"/>
    <w:rsid w:val="7C2535BA"/>
    <w:rsid w:val="7C2D4CD4"/>
    <w:rsid w:val="7C316B6F"/>
    <w:rsid w:val="7C337937"/>
    <w:rsid w:val="7C370855"/>
    <w:rsid w:val="7C960A3E"/>
    <w:rsid w:val="7CA30BA4"/>
    <w:rsid w:val="7CE34C72"/>
    <w:rsid w:val="7D025527"/>
    <w:rsid w:val="7D0945B7"/>
    <w:rsid w:val="7D133D5F"/>
    <w:rsid w:val="7D172435"/>
    <w:rsid w:val="7D2C636B"/>
    <w:rsid w:val="7D4B6BB7"/>
    <w:rsid w:val="7D4E22FA"/>
    <w:rsid w:val="7D515947"/>
    <w:rsid w:val="7D6237BD"/>
    <w:rsid w:val="7D6C6800"/>
    <w:rsid w:val="7D85661B"/>
    <w:rsid w:val="7D965A4F"/>
    <w:rsid w:val="7DAE01AA"/>
    <w:rsid w:val="7DB12C73"/>
    <w:rsid w:val="7DC00425"/>
    <w:rsid w:val="7DC477E3"/>
    <w:rsid w:val="7DD16AF9"/>
    <w:rsid w:val="7DEC0A04"/>
    <w:rsid w:val="7DEC56D6"/>
    <w:rsid w:val="7DEE1521"/>
    <w:rsid w:val="7DF54524"/>
    <w:rsid w:val="7E21597E"/>
    <w:rsid w:val="7E2C04E7"/>
    <w:rsid w:val="7E31353B"/>
    <w:rsid w:val="7E3D0132"/>
    <w:rsid w:val="7E805998"/>
    <w:rsid w:val="7EA65BD8"/>
    <w:rsid w:val="7EC42148"/>
    <w:rsid w:val="7ECF5BE8"/>
    <w:rsid w:val="7ED33CEE"/>
    <w:rsid w:val="7ED77550"/>
    <w:rsid w:val="7EE62781"/>
    <w:rsid w:val="7EF669F4"/>
    <w:rsid w:val="7F0215EE"/>
    <w:rsid w:val="7F0326EE"/>
    <w:rsid w:val="7F143C8D"/>
    <w:rsid w:val="7F3D15CE"/>
    <w:rsid w:val="7F802AE4"/>
    <w:rsid w:val="7F812CD3"/>
    <w:rsid w:val="7F997A92"/>
    <w:rsid w:val="7FC137AD"/>
    <w:rsid w:val="7FE33A85"/>
    <w:rsid w:val="7FF5216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3,4,5"/>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Times New Roman"/>
      <w:kern w:val="2"/>
      <w:sz w:val="21"/>
      <w:szCs w:val="22"/>
      <w:lang w:val="en-US" w:eastAsia="zh-CN" w:bidi="ar-SA"/>
    </w:rPr>
  </w:style>
  <w:style w:type="paragraph" w:styleId="4">
    <w:name w:val="heading 1"/>
    <w:basedOn w:val="1"/>
    <w:next w:val="1"/>
    <w:link w:val="55"/>
    <w:qFormat/>
    <w:uiPriority w:val="9"/>
    <w:pPr>
      <w:keepNext/>
      <w:keepLines/>
      <w:adjustRightInd w:val="0"/>
      <w:spacing w:before="340" w:after="330" w:line="578" w:lineRule="atLeast"/>
      <w:ind w:firstLine="288"/>
      <w:jc w:val="left"/>
      <w:textAlignment w:val="baseline"/>
      <w:outlineLvl w:val="0"/>
    </w:pPr>
    <w:rPr>
      <w:b/>
      <w:bCs/>
      <w:kern w:val="44"/>
      <w:sz w:val="44"/>
      <w:szCs w:val="44"/>
    </w:rPr>
  </w:style>
  <w:style w:type="paragraph" w:styleId="5">
    <w:name w:val="heading 2"/>
    <w:basedOn w:val="1"/>
    <w:next w:val="1"/>
    <w:link w:val="54"/>
    <w:qFormat/>
    <w:uiPriority w:val="0"/>
    <w:pPr>
      <w:keepNext/>
      <w:keepLines/>
      <w:adjustRightInd w:val="0"/>
      <w:spacing w:before="260" w:after="260" w:line="360" w:lineRule="auto"/>
      <w:jc w:val="left"/>
      <w:textAlignment w:val="baseline"/>
      <w:outlineLvl w:val="1"/>
    </w:pPr>
    <w:rPr>
      <w:rFonts w:ascii="Arial" w:hAnsi="Arial" w:eastAsia="宋体"/>
      <w:b/>
      <w:bCs/>
      <w:kern w:val="0"/>
      <w:sz w:val="24"/>
      <w:szCs w:val="32"/>
    </w:rPr>
  </w:style>
  <w:style w:type="paragraph" w:styleId="6">
    <w:name w:val="heading 3"/>
    <w:basedOn w:val="1"/>
    <w:next w:val="1"/>
    <w:link w:val="56"/>
    <w:qFormat/>
    <w:uiPriority w:val="0"/>
    <w:pPr>
      <w:keepNext/>
      <w:keepLines/>
      <w:adjustRightInd w:val="0"/>
      <w:spacing w:before="260" w:after="260" w:line="416" w:lineRule="atLeast"/>
      <w:jc w:val="left"/>
      <w:textAlignment w:val="baseline"/>
      <w:outlineLvl w:val="2"/>
    </w:pPr>
    <w:rPr>
      <w:b/>
      <w:bCs/>
      <w:kern w:val="0"/>
      <w:sz w:val="32"/>
      <w:szCs w:val="32"/>
    </w:rPr>
  </w:style>
  <w:style w:type="paragraph" w:styleId="7">
    <w:name w:val="heading 4"/>
    <w:basedOn w:val="1"/>
    <w:next w:val="1"/>
    <w:link w:val="57"/>
    <w:qFormat/>
    <w:uiPriority w:val="0"/>
    <w:pPr>
      <w:keepNext/>
      <w:keepLines/>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58"/>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59"/>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10">
    <w:name w:val="heading 7"/>
    <w:basedOn w:val="1"/>
    <w:next w:val="1"/>
    <w:link w:val="60"/>
    <w:qFormat/>
    <w:uiPriority w:val="0"/>
    <w:pPr>
      <w:keepNext/>
      <w:keepLines/>
      <w:adjustRightInd w:val="0"/>
      <w:spacing w:before="240" w:after="64" w:line="320" w:lineRule="atLeast"/>
      <w:jc w:val="left"/>
      <w:textAlignment w:val="baseline"/>
      <w:outlineLvl w:val="6"/>
    </w:pPr>
    <w:rPr>
      <w:b/>
      <w:bCs/>
      <w:kern w:val="0"/>
      <w:sz w:val="24"/>
    </w:rPr>
  </w:style>
  <w:style w:type="paragraph" w:styleId="11">
    <w:name w:val="heading 8"/>
    <w:basedOn w:val="1"/>
    <w:next w:val="1"/>
    <w:link w:val="61"/>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2">
    <w:name w:val="heading 9"/>
    <w:basedOn w:val="1"/>
    <w:next w:val="1"/>
    <w:link w:val="62"/>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6">
    <w:name w:val="Default Paragraph Font"/>
    <w:unhideWhenUsed/>
    <w:qFormat/>
    <w:uiPriority w:val="1"/>
  </w:style>
  <w:style w:type="table" w:default="1" w:styleId="44">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66"/>
    <w:unhideWhenUsed/>
    <w:qFormat/>
    <w:uiPriority w:val="0"/>
    <w:pPr>
      <w:spacing w:before="100" w:beforeAutospacing="1" w:after="100" w:afterAutospacing="1"/>
      <w:ind w:left="220"/>
    </w:pPr>
    <w:rPr>
      <w:sz w:val="32"/>
      <w:szCs w:val="32"/>
    </w:rPr>
  </w:style>
  <w:style w:type="paragraph" w:styleId="3">
    <w:name w:val="Body Text First Indent"/>
    <w:basedOn w:val="2"/>
    <w:unhideWhenUsed/>
    <w:qFormat/>
    <w:uiPriority w:val="99"/>
    <w:pPr>
      <w:ind w:firstLine="420" w:firstLineChars="100"/>
    </w:pPr>
    <w:rPr>
      <w:szCs w:val="22"/>
    </w:rPr>
  </w:style>
  <w:style w:type="paragraph" w:styleId="13">
    <w:name w:val="List 3"/>
    <w:basedOn w:val="1"/>
    <w:qFormat/>
    <w:uiPriority w:val="0"/>
    <w:pPr>
      <w:ind w:left="100" w:leftChars="400" w:hanging="200" w:hangingChars="200"/>
    </w:pPr>
  </w:style>
  <w:style w:type="paragraph" w:styleId="14">
    <w:name w:val="Normal Indent"/>
    <w:basedOn w:val="1"/>
    <w:unhideWhenUsed/>
    <w:qFormat/>
    <w:uiPriority w:val="0"/>
    <w:pPr>
      <w:ind w:firstLine="420" w:firstLineChars="200"/>
    </w:pPr>
    <w:rPr>
      <w:rFonts w:ascii="Calibri" w:hAnsi="Calibri"/>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index 5"/>
    <w:basedOn w:val="1"/>
    <w:next w:val="1"/>
    <w:semiHidden/>
    <w:qFormat/>
    <w:uiPriority w:val="0"/>
    <w:pPr>
      <w:ind w:left="800" w:leftChars="800"/>
    </w:pPr>
  </w:style>
  <w:style w:type="paragraph" w:styleId="17">
    <w:name w:val="Document Map"/>
    <w:basedOn w:val="1"/>
    <w:link w:val="63"/>
    <w:qFormat/>
    <w:uiPriority w:val="99"/>
    <w:rPr>
      <w:rFonts w:ascii="宋体" w:eastAsia="宋体"/>
      <w:sz w:val="18"/>
      <w:szCs w:val="18"/>
    </w:rPr>
  </w:style>
  <w:style w:type="paragraph" w:styleId="18">
    <w:name w:val="toa heading"/>
    <w:basedOn w:val="1"/>
    <w:next w:val="1"/>
    <w:qFormat/>
    <w:uiPriority w:val="0"/>
    <w:pPr>
      <w:spacing w:before="120"/>
    </w:pPr>
    <w:rPr>
      <w:rFonts w:ascii="Cambria" w:hAnsi="Cambria" w:eastAsia="宋体"/>
      <w:sz w:val="24"/>
      <w:szCs w:val="24"/>
    </w:rPr>
  </w:style>
  <w:style w:type="paragraph" w:styleId="19">
    <w:name w:val="annotation text"/>
    <w:basedOn w:val="1"/>
    <w:link w:val="64"/>
    <w:qFormat/>
    <w:uiPriority w:val="0"/>
    <w:pPr>
      <w:jc w:val="left"/>
    </w:pPr>
    <w:rPr>
      <w:rFonts w:ascii="Times New Roman" w:hAnsi="Times New Roman" w:eastAsia="宋体"/>
      <w:szCs w:val="24"/>
    </w:rPr>
  </w:style>
  <w:style w:type="paragraph" w:styleId="20">
    <w:name w:val="Body Text 3"/>
    <w:basedOn w:val="1"/>
    <w:link w:val="65"/>
    <w:qFormat/>
    <w:uiPriority w:val="0"/>
    <w:pPr>
      <w:spacing w:after="120"/>
    </w:pPr>
    <w:rPr>
      <w:sz w:val="16"/>
      <w:szCs w:val="16"/>
    </w:rPr>
  </w:style>
  <w:style w:type="paragraph" w:styleId="21">
    <w:name w:val="Body Text Indent"/>
    <w:basedOn w:val="1"/>
    <w:link w:val="67"/>
    <w:qFormat/>
    <w:uiPriority w:val="0"/>
    <w:pPr>
      <w:spacing w:line="500" w:lineRule="exact"/>
      <w:ind w:left="1588" w:leftChars="832" w:firstLine="433" w:firstLineChars="196"/>
    </w:pPr>
    <w:rPr>
      <w:rFonts w:ascii="Times New Roman" w:hAnsi="Times New Roman" w:eastAsia="宋体"/>
      <w:sz w:val="24"/>
      <w:szCs w:val="24"/>
    </w:rPr>
  </w:style>
  <w:style w:type="paragraph" w:styleId="22">
    <w:name w:val="List 2"/>
    <w:basedOn w:val="1"/>
    <w:qFormat/>
    <w:uiPriority w:val="0"/>
    <w:pPr>
      <w:ind w:left="100" w:leftChars="200" w:hanging="200" w:hangingChars="200"/>
    </w:pPr>
  </w:style>
  <w:style w:type="paragraph" w:styleId="23">
    <w:name w:val="Block Text"/>
    <w:basedOn w:val="24"/>
    <w:next w:val="24"/>
    <w:unhideWhenUsed/>
    <w:qFormat/>
    <w:uiPriority w:val="99"/>
    <w:pPr>
      <w:spacing w:after="120"/>
      <w:ind w:left="1440" w:leftChars="700" w:right="1440" w:rightChars="700"/>
    </w:pPr>
    <w:rPr>
      <w:rFonts w:ascii="等线" w:hAnsi="等线" w:eastAsia="等线"/>
      <w:szCs w:val="22"/>
    </w:rPr>
  </w:style>
  <w:style w:type="paragraph" w:customStyle="1" w:styleId="24">
    <w:name w:val="正文_2"/>
    <w:basedOn w:val="25"/>
    <w:qFormat/>
    <w:uiPriority w:val="0"/>
    <w:rPr>
      <w:rFonts w:ascii="Times New Roman" w:hAnsi="Times New Roman"/>
      <w:szCs w:val="24"/>
    </w:rPr>
  </w:style>
  <w:style w:type="paragraph" w:customStyle="1" w:styleId="25">
    <w:name w:val="正文_3"/>
    <w:basedOn w:val="26"/>
    <w:qFormat/>
    <w:uiPriority w:val="0"/>
    <w:pPr>
      <w:widowControl w:val="0"/>
      <w:jc w:val="both"/>
    </w:pPr>
    <w:rPr>
      <w:rFonts w:ascii="Calibri" w:hAnsi="Calibri" w:eastAsia="宋体" w:cs="Times New Roman"/>
      <w:lang w:val="en-US" w:eastAsia="zh-CN" w:bidi="ar-SA"/>
    </w:rPr>
  </w:style>
  <w:style w:type="paragraph" w:customStyle="1" w:styleId="26">
    <w:name w:val="正文_4"/>
    <w:next w:val="2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
    <w:name w:val="首行缩进"/>
    <w:basedOn w:val="26"/>
    <w:qFormat/>
    <w:uiPriority w:val="0"/>
    <w:pPr>
      <w:ind w:firstLine="480" w:firstLineChars="200"/>
    </w:pPr>
    <w:rPr>
      <w:lang w:val="zh-CN"/>
    </w:rPr>
  </w:style>
  <w:style w:type="paragraph" w:styleId="28">
    <w:name w:val="toc 3"/>
    <w:basedOn w:val="1"/>
    <w:next w:val="1"/>
    <w:qFormat/>
    <w:uiPriority w:val="39"/>
    <w:pPr>
      <w:ind w:left="840" w:leftChars="400"/>
    </w:pPr>
  </w:style>
  <w:style w:type="paragraph" w:styleId="29">
    <w:name w:val="Plain Text"/>
    <w:basedOn w:val="1"/>
    <w:link w:val="68"/>
    <w:qFormat/>
    <w:uiPriority w:val="99"/>
    <w:rPr>
      <w:rFonts w:ascii="宋体" w:hAnsi="Courier New" w:eastAsia="宋体"/>
      <w:szCs w:val="21"/>
    </w:rPr>
  </w:style>
  <w:style w:type="paragraph" w:styleId="30">
    <w:name w:val="Date"/>
    <w:basedOn w:val="1"/>
    <w:next w:val="1"/>
    <w:link w:val="69"/>
    <w:qFormat/>
    <w:uiPriority w:val="0"/>
    <w:pPr>
      <w:ind w:left="100" w:leftChars="2500"/>
    </w:pPr>
  </w:style>
  <w:style w:type="paragraph" w:styleId="31">
    <w:name w:val="Body Text Indent 2"/>
    <w:basedOn w:val="1"/>
    <w:link w:val="70"/>
    <w:qFormat/>
    <w:uiPriority w:val="0"/>
    <w:pPr>
      <w:spacing w:after="120" w:line="480" w:lineRule="auto"/>
      <w:ind w:left="420" w:leftChars="200"/>
    </w:pPr>
  </w:style>
  <w:style w:type="paragraph" w:styleId="32">
    <w:name w:val="Balloon Text"/>
    <w:basedOn w:val="1"/>
    <w:link w:val="71"/>
    <w:qFormat/>
    <w:uiPriority w:val="0"/>
    <w:rPr>
      <w:sz w:val="18"/>
      <w:szCs w:val="18"/>
    </w:rPr>
  </w:style>
  <w:style w:type="paragraph" w:styleId="33">
    <w:name w:val="footer"/>
    <w:basedOn w:val="1"/>
    <w:link w:val="72"/>
    <w:qFormat/>
    <w:uiPriority w:val="99"/>
    <w:pPr>
      <w:tabs>
        <w:tab w:val="center" w:pos="4153"/>
        <w:tab w:val="right" w:pos="8306"/>
      </w:tabs>
      <w:snapToGrid w:val="0"/>
      <w:jc w:val="left"/>
    </w:pPr>
    <w:rPr>
      <w:rFonts w:ascii="Times New Roman" w:hAnsi="Times New Roman" w:eastAsia="宋体"/>
      <w:sz w:val="18"/>
      <w:szCs w:val="18"/>
    </w:rPr>
  </w:style>
  <w:style w:type="paragraph" w:styleId="34">
    <w:name w:val="header"/>
    <w:basedOn w:val="1"/>
    <w:link w:val="73"/>
    <w:qFormat/>
    <w:uiPriority w:val="0"/>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tabs>
        <w:tab w:val="right" w:leader="dot" w:pos="8302"/>
      </w:tabs>
    </w:pPr>
  </w:style>
  <w:style w:type="paragraph" w:styleId="36">
    <w:name w:val="List"/>
    <w:basedOn w:val="1"/>
    <w:qFormat/>
    <w:uiPriority w:val="0"/>
    <w:pPr>
      <w:ind w:left="200" w:hanging="200" w:hangingChars="200"/>
    </w:pPr>
  </w:style>
  <w:style w:type="paragraph" w:styleId="37">
    <w:name w:val="footnote text"/>
    <w:basedOn w:val="1"/>
    <w:qFormat/>
    <w:uiPriority w:val="0"/>
    <w:pPr>
      <w:tabs>
        <w:tab w:val="left" w:pos="502"/>
      </w:tabs>
      <w:snapToGrid w:val="0"/>
      <w:jc w:val="left"/>
    </w:pPr>
    <w:rPr>
      <w:sz w:val="18"/>
      <w:szCs w:val="18"/>
    </w:rPr>
  </w:style>
  <w:style w:type="paragraph" w:styleId="38">
    <w:name w:val="Body Text Indent 3"/>
    <w:basedOn w:val="1"/>
    <w:link w:val="74"/>
    <w:qFormat/>
    <w:uiPriority w:val="0"/>
    <w:pPr>
      <w:tabs>
        <w:tab w:val="left" w:pos="1134"/>
        <w:tab w:val="left" w:pos="5481"/>
        <w:tab w:val="left" w:pos="5859"/>
      </w:tabs>
      <w:spacing w:line="500" w:lineRule="exact"/>
      <w:ind w:firstLine="8275" w:firstLineChars="1200"/>
    </w:pPr>
    <w:rPr>
      <w:rFonts w:eastAsia="黑体"/>
      <w:b/>
      <w:bCs/>
      <w:sz w:val="72"/>
    </w:rPr>
  </w:style>
  <w:style w:type="paragraph" w:styleId="39">
    <w:name w:val="toc 2"/>
    <w:basedOn w:val="1"/>
    <w:next w:val="1"/>
    <w:qFormat/>
    <w:uiPriority w:val="39"/>
    <w:pPr>
      <w:ind w:left="420" w:leftChars="200"/>
    </w:pPr>
  </w:style>
  <w:style w:type="paragraph" w:styleId="40">
    <w:name w:val="Normal (Web)"/>
    <w:basedOn w:val="1"/>
    <w:qFormat/>
    <w:uiPriority w:val="99"/>
    <w:pPr>
      <w:spacing w:beforeAutospacing="1" w:afterAutospacing="1"/>
      <w:jc w:val="left"/>
    </w:pPr>
    <w:rPr>
      <w:kern w:val="0"/>
      <w:sz w:val="24"/>
    </w:rPr>
  </w:style>
  <w:style w:type="paragraph" w:styleId="41">
    <w:name w:val="Title"/>
    <w:basedOn w:val="1"/>
    <w:next w:val="1"/>
    <w:link w:val="75"/>
    <w:qFormat/>
    <w:uiPriority w:val="0"/>
    <w:pPr>
      <w:spacing w:before="240" w:after="60"/>
      <w:jc w:val="center"/>
      <w:outlineLvl w:val="0"/>
    </w:pPr>
    <w:rPr>
      <w:rFonts w:ascii="Cambria" w:hAnsi="Cambria" w:eastAsia="宋体" w:cs="Times New Roman"/>
      <w:b/>
      <w:bCs/>
      <w:sz w:val="32"/>
      <w:szCs w:val="32"/>
    </w:rPr>
  </w:style>
  <w:style w:type="paragraph" w:styleId="42">
    <w:name w:val="annotation subject"/>
    <w:basedOn w:val="19"/>
    <w:next w:val="19"/>
    <w:link w:val="76"/>
    <w:qFormat/>
    <w:uiPriority w:val="0"/>
    <w:rPr>
      <w:b/>
      <w:bCs/>
    </w:rPr>
  </w:style>
  <w:style w:type="paragraph" w:styleId="43">
    <w:name w:val="Body Text First Indent 2"/>
    <w:basedOn w:val="21"/>
    <w:qFormat/>
    <w:uiPriority w:val="0"/>
    <w:pPr>
      <w:ind w:left="0" w:leftChars="0" w:firstLine="420" w:firstLineChars="200"/>
    </w:pPr>
    <w:rPr>
      <w:rFonts w:ascii="宋体" w:hAnsi="宋体"/>
      <w:sz w:val="28"/>
    </w:rPr>
  </w:style>
  <w:style w:type="table" w:styleId="45">
    <w:name w:val="Table Grid"/>
    <w:basedOn w:val="4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rPr>
  </w:style>
  <w:style w:type="character" w:styleId="48">
    <w:name w:val="page number"/>
    <w:qFormat/>
    <w:uiPriority w:val="0"/>
  </w:style>
  <w:style w:type="character" w:styleId="49">
    <w:name w:val="FollowedHyperlink"/>
    <w:unhideWhenUsed/>
    <w:qFormat/>
    <w:uiPriority w:val="99"/>
    <w:rPr>
      <w:color w:val="800080"/>
      <w:u w:val="single"/>
    </w:rPr>
  </w:style>
  <w:style w:type="character" w:styleId="50">
    <w:name w:val="Hyperlink"/>
    <w:qFormat/>
    <w:uiPriority w:val="0"/>
    <w:rPr>
      <w:color w:val="0000FF"/>
      <w:u w:val="single"/>
    </w:rPr>
  </w:style>
  <w:style w:type="character" w:styleId="51">
    <w:name w:val="annotation reference"/>
    <w:qFormat/>
    <w:uiPriority w:val="0"/>
    <w:rPr>
      <w:sz w:val="21"/>
      <w:szCs w:val="21"/>
    </w:rPr>
  </w:style>
  <w:style w:type="character" w:styleId="52">
    <w:name w:val="footnote reference"/>
    <w:basedOn w:val="46"/>
    <w:qFormat/>
    <w:uiPriority w:val="0"/>
    <w:rPr>
      <w:rFonts w:ascii="Calibri" w:hAnsi="Calibri" w:eastAsia="宋体" w:cs="Times New Roman"/>
      <w:vertAlign w:val="superscript"/>
    </w:rPr>
  </w:style>
  <w:style w:type="character" w:styleId="53">
    <w:name w:val="HTML Sample"/>
    <w:qFormat/>
    <w:uiPriority w:val="0"/>
    <w:rPr>
      <w:rFonts w:ascii="Courier New" w:hAnsi="Courier New"/>
    </w:rPr>
  </w:style>
  <w:style w:type="character" w:customStyle="1" w:styleId="54">
    <w:name w:val="标题 2 字符"/>
    <w:link w:val="5"/>
    <w:qFormat/>
    <w:uiPriority w:val="0"/>
    <w:rPr>
      <w:rFonts w:ascii="Arial" w:hAnsi="Arial"/>
      <w:b/>
      <w:bCs/>
      <w:sz w:val="24"/>
      <w:szCs w:val="32"/>
    </w:rPr>
  </w:style>
  <w:style w:type="character" w:customStyle="1" w:styleId="55">
    <w:name w:val="标题 1 字符"/>
    <w:link w:val="4"/>
    <w:qFormat/>
    <w:uiPriority w:val="9"/>
    <w:rPr>
      <w:rFonts w:ascii="等线" w:hAnsi="等线" w:eastAsia="等线"/>
      <w:b/>
      <w:bCs/>
      <w:kern w:val="44"/>
      <w:sz w:val="44"/>
      <w:szCs w:val="44"/>
    </w:rPr>
  </w:style>
  <w:style w:type="character" w:customStyle="1" w:styleId="56">
    <w:name w:val="标题 3 字符"/>
    <w:link w:val="6"/>
    <w:qFormat/>
    <w:uiPriority w:val="0"/>
    <w:rPr>
      <w:rFonts w:ascii="等线" w:hAnsi="等线" w:eastAsia="等线"/>
      <w:b/>
      <w:bCs/>
      <w:sz w:val="32"/>
      <w:szCs w:val="32"/>
    </w:rPr>
  </w:style>
  <w:style w:type="character" w:customStyle="1" w:styleId="57">
    <w:name w:val="标题 4 字符"/>
    <w:link w:val="7"/>
    <w:qFormat/>
    <w:uiPriority w:val="0"/>
    <w:rPr>
      <w:rFonts w:ascii="Arial" w:hAnsi="Arial" w:eastAsia="黑体"/>
      <w:b/>
      <w:bCs/>
      <w:sz w:val="28"/>
      <w:szCs w:val="28"/>
    </w:rPr>
  </w:style>
  <w:style w:type="character" w:customStyle="1" w:styleId="58">
    <w:name w:val="标题 5 字符"/>
    <w:link w:val="8"/>
    <w:qFormat/>
    <w:uiPriority w:val="0"/>
    <w:rPr>
      <w:rFonts w:ascii="等线" w:hAnsi="等线" w:eastAsia="等线"/>
      <w:b/>
      <w:bCs/>
      <w:sz w:val="28"/>
      <w:szCs w:val="28"/>
    </w:rPr>
  </w:style>
  <w:style w:type="character" w:customStyle="1" w:styleId="59">
    <w:name w:val="标题 6 字符"/>
    <w:link w:val="9"/>
    <w:qFormat/>
    <w:uiPriority w:val="0"/>
    <w:rPr>
      <w:rFonts w:ascii="Arial" w:hAnsi="Arial" w:eastAsia="黑体"/>
      <w:b/>
      <w:bCs/>
      <w:sz w:val="24"/>
      <w:szCs w:val="22"/>
    </w:rPr>
  </w:style>
  <w:style w:type="character" w:customStyle="1" w:styleId="60">
    <w:name w:val="标题 7 字符"/>
    <w:link w:val="10"/>
    <w:qFormat/>
    <w:uiPriority w:val="0"/>
    <w:rPr>
      <w:rFonts w:ascii="等线" w:hAnsi="等线" w:eastAsia="等线"/>
      <w:b/>
      <w:bCs/>
      <w:sz w:val="24"/>
      <w:szCs w:val="22"/>
    </w:rPr>
  </w:style>
  <w:style w:type="character" w:customStyle="1" w:styleId="61">
    <w:name w:val="标题 8 字符"/>
    <w:link w:val="11"/>
    <w:qFormat/>
    <w:uiPriority w:val="0"/>
    <w:rPr>
      <w:rFonts w:ascii="Arial" w:hAnsi="Arial" w:eastAsia="黑体"/>
      <w:sz w:val="24"/>
      <w:szCs w:val="22"/>
    </w:rPr>
  </w:style>
  <w:style w:type="character" w:customStyle="1" w:styleId="62">
    <w:name w:val="标题 9 字符"/>
    <w:link w:val="12"/>
    <w:qFormat/>
    <w:uiPriority w:val="0"/>
    <w:rPr>
      <w:rFonts w:ascii="Arial" w:hAnsi="Arial" w:eastAsia="黑体"/>
      <w:sz w:val="21"/>
      <w:szCs w:val="21"/>
    </w:rPr>
  </w:style>
  <w:style w:type="character" w:customStyle="1" w:styleId="63">
    <w:name w:val="文档结构图 字符"/>
    <w:link w:val="17"/>
    <w:qFormat/>
    <w:uiPriority w:val="99"/>
    <w:rPr>
      <w:rFonts w:ascii="宋体" w:hAnsi="等线"/>
      <w:kern w:val="2"/>
      <w:sz w:val="18"/>
      <w:szCs w:val="18"/>
    </w:rPr>
  </w:style>
  <w:style w:type="character" w:customStyle="1" w:styleId="64">
    <w:name w:val="批注文字 字符"/>
    <w:link w:val="19"/>
    <w:qFormat/>
    <w:uiPriority w:val="0"/>
    <w:rPr>
      <w:kern w:val="2"/>
      <w:sz w:val="21"/>
      <w:szCs w:val="24"/>
    </w:rPr>
  </w:style>
  <w:style w:type="character" w:customStyle="1" w:styleId="65">
    <w:name w:val="正文文本 3 字符"/>
    <w:link w:val="20"/>
    <w:qFormat/>
    <w:uiPriority w:val="0"/>
    <w:rPr>
      <w:rFonts w:ascii="等线" w:hAnsi="等线" w:eastAsia="等线"/>
      <w:kern w:val="2"/>
      <w:sz w:val="16"/>
      <w:szCs w:val="16"/>
    </w:rPr>
  </w:style>
  <w:style w:type="character" w:customStyle="1" w:styleId="66">
    <w:name w:val="正文文本 字符"/>
    <w:link w:val="2"/>
    <w:qFormat/>
    <w:uiPriority w:val="0"/>
    <w:rPr>
      <w:rFonts w:ascii="等线" w:hAnsi="等线" w:eastAsia="等线"/>
      <w:kern w:val="2"/>
      <w:sz w:val="32"/>
      <w:szCs w:val="32"/>
    </w:rPr>
  </w:style>
  <w:style w:type="character" w:customStyle="1" w:styleId="67">
    <w:name w:val="正文文本缩进 字符"/>
    <w:link w:val="21"/>
    <w:qFormat/>
    <w:uiPriority w:val="0"/>
    <w:rPr>
      <w:kern w:val="2"/>
      <w:sz w:val="24"/>
      <w:szCs w:val="24"/>
    </w:rPr>
  </w:style>
  <w:style w:type="character" w:customStyle="1" w:styleId="68">
    <w:name w:val="纯文本 字符"/>
    <w:link w:val="29"/>
    <w:qFormat/>
    <w:uiPriority w:val="99"/>
    <w:rPr>
      <w:rFonts w:ascii="宋体" w:hAnsi="Courier New"/>
      <w:kern w:val="2"/>
      <w:sz w:val="21"/>
      <w:szCs w:val="21"/>
    </w:rPr>
  </w:style>
  <w:style w:type="character" w:customStyle="1" w:styleId="69">
    <w:name w:val="日期 字符"/>
    <w:link w:val="30"/>
    <w:qFormat/>
    <w:uiPriority w:val="0"/>
    <w:rPr>
      <w:rFonts w:ascii="等线" w:hAnsi="等线" w:eastAsia="等线"/>
      <w:kern w:val="2"/>
      <w:sz w:val="21"/>
      <w:szCs w:val="22"/>
    </w:rPr>
  </w:style>
  <w:style w:type="character" w:customStyle="1" w:styleId="70">
    <w:name w:val="正文文本缩进 2 字符"/>
    <w:link w:val="31"/>
    <w:qFormat/>
    <w:uiPriority w:val="0"/>
    <w:rPr>
      <w:rFonts w:ascii="等线" w:hAnsi="等线" w:eastAsia="等线"/>
      <w:kern w:val="2"/>
      <w:sz w:val="21"/>
      <w:szCs w:val="22"/>
    </w:rPr>
  </w:style>
  <w:style w:type="character" w:customStyle="1" w:styleId="71">
    <w:name w:val="批注框文本 字符"/>
    <w:link w:val="32"/>
    <w:qFormat/>
    <w:uiPriority w:val="99"/>
    <w:rPr>
      <w:rFonts w:ascii="等线" w:hAnsi="等线" w:eastAsia="等线"/>
      <w:kern w:val="2"/>
      <w:sz w:val="18"/>
      <w:szCs w:val="18"/>
    </w:rPr>
  </w:style>
  <w:style w:type="character" w:customStyle="1" w:styleId="72">
    <w:name w:val="页脚 字符"/>
    <w:link w:val="33"/>
    <w:qFormat/>
    <w:uiPriority w:val="99"/>
    <w:rPr>
      <w:kern w:val="2"/>
      <w:sz w:val="18"/>
      <w:szCs w:val="18"/>
    </w:rPr>
  </w:style>
  <w:style w:type="character" w:customStyle="1" w:styleId="73">
    <w:name w:val="页眉 字符"/>
    <w:link w:val="34"/>
    <w:qFormat/>
    <w:uiPriority w:val="0"/>
    <w:rPr>
      <w:rFonts w:ascii="等线" w:hAnsi="等线" w:eastAsia="等线"/>
      <w:kern w:val="2"/>
      <w:sz w:val="18"/>
      <w:szCs w:val="18"/>
    </w:rPr>
  </w:style>
  <w:style w:type="character" w:customStyle="1" w:styleId="74">
    <w:name w:val="正文文本缩进 3 字符"/>
    <w:link w:val="38"/>
    <w:qFormat/>
    <w:uiPriority w:val="0"/>
    <w:rPr>
      <w:rFonts w:ascii="等线" w:hAnsi="等线" w:eastAsia="黑体"/>
      <w:b/>
      <w:bCs/>
      <w:kern w:val="2"/>
      <w:sz w:val="72"/>
      <w:szCs w:val="22"/>
    </w:rPr>
  </w:style>
  <w:style w:type="character" w:customStyle="1" w:styleId="75">
    <w:name w:val="标题 字符"/>
    <w:link w:val="41"/>
    <w:qFormat/>
    <w:uiPriority w:val="0"/>
    <w:rPr>
      <w:rFonts w:ascii="Cambria" w:hAnsi="Cambria" w:cs="Times New Roman"/>
      <w:b/>
      <w:bCs/>
      <w:kern w:val="2"/>
      <w:sz w:val="32"/>
      <w:szCs w:val="32"/>
    </w:rPr>
  </w:style>
  <w:style w:type="character" w:customStyle="1" w:styleId="76">
    <w:name w:val="批注主题 字符"/>
    <w:link w:val="42"/>
    <w:qFormat/>
    <w:uiPriority w:val="0"/>
    <w:rPr>
      <w:kern w:val="2"/>
      <w:sz w:val="21"/>
      <w:szCs w:val="24"/>
    </w:rPr>
  </w:style>
  <w:style w:type="paragraph" w:customStyle="1" w:styleId="77">
    <w:name w:val="正文文本_0"/>
    <w:basedOn w:val="24"/>
    <w:link w:val="78"/>
    <w:qFormat/>
    <w:uiPriority w:val="0"/>
    <w:pPr>
      <w:spacing w:after="120"/>
    </w:pPr>
    <w:rPr>
      <w:kern w:val="0"/>
      <w:sz w:val="20"/>
    </w:rPr>
  </w:style>
  <w:style w:type="character" w:customStyle="1" w:styleId="78">
    <w:name w:val="正文文本 Char1_0"/>
    <w:link w:val="77"/>
    <w:qFormat/>
    <w:uiPriority w:val="0"/>
    <w:rPr>
      <w:szCs w:val="24"/>
    </w:rPr>
  </w:style>
  <w:style w:type="paragraph" w:customStyle="1" w:styleId="79">
    <w:name w:val="正文_1"/>
    <w:basedOn w:val="24"/>
    <w:next w:val="80"/>
    <w:qFormat/>
    <w:uiPriority w:val="0"/>
    <w:pPr>
      <w:widowControl w:val="0"/>
      <w:jc w:val="both"/>
    </w:pPr>
    <w:rPr>
      <w:rFonts w:ascii="Calibri" w:hAnsi="Calibri"/>
      <w:kern w:val="2"/>
      <w:sz w:val="21"/>
      <w:szCs w:val="22"/>
      <w:lang w:val="en-US" w:eastAsia="zh-CN" w:bidi="ar-SA"/>
    </w:rPr>
  </w:style>
  <w:style w:type="paragraph" w:customStyle="1" w:styleId="80">
    <w:name w:val="正"/>
    <w:basedOn w:val="79"/>
    <w:qFormat/>
    <w:uiPriority w:val="0"/>
    <w:pPr>
      <w:ind w:firstLine="525"/>
    </w:pPr>
    <w:rPr>
      <w:spacing w:val="20"/>
      <w:szCs w:val="20"/>
    </w:rPr>
  </w:style>
  <w:style w:type="paragraph" w:customStyle="1" w:styleId="81">
    <w:name w:val="无间隔1"/>
    <w:basedOn w:val="1"/>
    <w:qFormat/>
    <w:uiPriority w:val="1"/>
  </w:style>
  <w:style w:type="paragraph" w:customStyle="1" w:styleId="82">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83">
    <w:name w:val="正文_0"/>
    <w:next w:val="84"/>
    <w:qFormat/>
    <w:uiPriority w:val="0"/>
    <w:pPr>
      <w:widowControl w:val="0"/>
      <w:jc w:val="both"/>
    </w:pPr>
    <w:rPr>
      <w:rFonts w:ascii="Calibri" w:hAnsi="Calibri" w:eastAsia="宋体" w:cs="Times New Roman"/>
      <w:kern w:val="2"/>
      <w:sz w:val="21"/>
      <w:szCs w:val="22"/>
      <w:lang w:val="en-US" w:eastAsia="zh-CN" w:bidi="ar-SA"/>
    </w:rPr>
  </w:style>
  <w:style w:type="paragraph" w:customStyle="1" w:styleId="84">
    <w:name w:val="页脚_0"/>
    <w:basedOn w:val="83"/>
    <w:unhideWhenUsed/>
    <w:qFormat/>
    <w:uiPriority w:val="99"/>
    <w:pPr>
      <w:tabs>
        <w:tab w:val="center" w:pos="4153"/>
        <w:tab w:val="right" w:pos="8306"/>
      </w:tabs>
      <w:snapToGrid w:val="0"/>
      <w:jc w:val="left"/>
    </w:pPr>
    <w:rPr>
      <w:sz w:val="18"/>
      <w:szCs w:val="18"/>
    </w:rPr>
  </w:style>
  <w:style w:type="paragraph" w:customStyle="1" w:styleId="85">
    <w:name w:val="正文1"/>
    <w:qFormat/>
    <w:uiPriority w:val="0"/>
    <w:pPr>
      <w:widowControl w:val="0"/>
      <w:jc w:val="both"/>
    </w:pPr>
    <w:rPr>
      <w:rFonts w:ascii="Times New Roman" w:hAnsi="Times New Roman" w:eastAsia="Times New Roman" w:cs="Times New Roman"/>
      <w:lang w:val="en-US" w:eastAsia="zh-CN" w:bidi="ar-SA"/>
    </w:rPr>
  </w:style>
  <w:style w:type="paragraph" w:customStyle="1" w:styleId="86">
    <w:name w:val="正文_1_0"/>
    <w:basedOn w:val="87"/>
    <w:next w:val="90"/>
    <w:qFormat/>
    <w:uiPriority w:val="0"/>
    <w:pPr>
      <w:widowControl w:val="0"/>
      <w:jc w:val="both"/>
    </w:pPr>
    <w:rPr>
      <w:rFonts w:ascii="Calibri" w:hAnsi="Calibri" w:eastAsia="宋体" w:cs="Times New Roman"/>
      <w:lang w:val="en-US" w:eastAsia="zh-CN" w:bidi="ar-SA"/>
    </w:rPr>
  </w:style>
  <w:style w:type="paragraph" w:customStyle="1" w:styleId="87">
    <w:name w:val="正文_2_0"/>
    <w:basedOn w:val="88"/>
    <w:qFormat/>
    <w:uiPriority w:val="0"/>
    <w:pPr>
      <w:widowControl w:val="0"/>
      <w:jc w:val="both"/>
    </w:pPr>
    <w:rPr>
      <w:rFonts w:ascii="Calibri" w:hAnsi="Calibri" w:eastAsia="宋体" w:cs="Times New Roman"/>
      <w:lang w:val="en-US" w:eastAsia="zh-CN" w:bidi="ar-SA"/>
    </w:rPr>
  </w:style>
  <w:style w:type="paragraph" w:customStyle="1" w:styleId="88">
    <w:name w:val="正文_2_1"/>
    <w:next w:val="89"/>
    <w:qFormat/>
    <w:uiPriority w:val="0"/>
    <w:pPr>
      <w:widowControl w:val="0"/>
      <w:jc w:val="both"/>
    </w:pPr>
    <w:rPr>
      <w:rFonts w:ascii="Calibri" w:hAnsi="Calibri" w:eastAsia="宋体" w:cs="Times New Roman"/>
      <w:kern w:val="2"/>
      <w:sz w:val="21"/>
      <w:szCs w:val="22"/>
      <w:lang w:val="en-US" w:eastAsia="zh-CN" w:bidi="ar-SA"/>
    </w:rPr>
  </w:style>
  <w:style w:type="paragraph" w:customStyle="1" w:styleId="89">
    <w:name w:val="正文文本_2_1"/>
    <w:basedOn w:val="88"/>
    <w:qFormat/>
    <w:uiPriority w:val="99"/>
    <w:pPr>
      <w:spacing w:after="120"/>
    </w:pPr>
  </w:style>
  <w:style w:type="paragraph" w:customStyle="1" w:styleId="90">
    <w:name w:val="正文首行缩进1"/>
    <w:basedOn w:val="91"/>
    <w:unhideWhenUsed/>
    <w:qFormat/>
    <w:uiPriority w:val="99"/>
    <w:pPr>
      <w:ind w:firstLine="420" w:firstLineChars="100"/>
    </w:pPr>
    <w:rPr>
      <w:szCs w:val="22"/>
    </w:rPr>
  </w:style>
  <w:style w:type="paragraph" w:customStyle="1" w:styleId="91">
    <w:name w:val="正文文本_0_0"/>
    <w:basedOn w:val="92"/>
    <w:link w:val="94"/>
    <w:qFormat/>
    <w:uiPriority w:val="0"/>
    <w:pPr>
      <w:spacing w:after="120"/>
    </w:pPr>
    <w:rPr>
      <w:kern w:val="0"/>
      <w:sz w:val="20"/>
    </w:rPr>
  </w:style>
  <w:style w:type="paragraph" w:customStyle="1" w:styleId="92">
    <w:name w:val="正文_12_0"/>
    <w:basedOn w:val="93"/>
    <w:qFormat/>
    <w:uiPriority w:val="0"/>
    <w:rPr>
      <w:rFonts w:cs="Calibri"/>
      <w:szCs w:val="21"/>
    </w:rPr>
  </w:style>
  <w:style w:type="paragraph" w:customStyle="1" w:styleId="93">
    <w:name w:val="正文_13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94">
    <w:name w:val="正文文本 Char1_0_0"/>
    <w:link w:val="91"/>
    <w:qFormat/>
    <w:uiPriority w:val="0"/>
    <w:rPr>
      <w:szCs w:val="24"/>
    </w:rPr>
  </w:style>
  <w:style w:type="paragraph" w:customStyle="1" w:styleId="95">
    <w:name w:val="Body Text First Indent 21_0"/>
    <w:basedOn w:val="96"/>
    <w:next w:val="98"/>
    <w:qFormat/>
    <w:uiPriority w:val="0"/>
    <w:pPr>
      <w:ind w:firstLine="420"/>
    </w:pPr>
    <w:rPr>
      <w:rFonts w:eastAsia="宋体"/>
      <w:szCs w:val="22"/>
    </w:rPr>
  </w:style>
  <w:style w:type="paragraph" w:customStyle="1" w:styleId="96">
    <w:name w:val="Body Text Indent1_0"/>
    <w:basedOn w:val="97"/>
    <w:next w:val="98"/>
    <w:qFormat/>
    <w:uiPriority w:val="0"/>
    <w:pPr>
      <w:spacing w:line="500" w:lineRule="exact"/>
      <w:ind w:left="1588" w:leftChars="832" w:firstLine="433" w:firstLineChars="196"/>
    </w:pPr>
    <w:rPr>
      <w:sz w:val="24"/>
    </w:rPr>
  </w:style>
  <w:style w:type="paragraph" w:customStyle="1" w:styleId="97">
    <w:name w:val="Normal_0_0"/>
    <w:qFormat/>
    <w:uiPriority w:val="0"/>
    <w:pPr>
      <w:widowControl w:val="0"/>
      <w:jc w:val="both"/>
    </w:pPr>
    <w:rPr>
      <w:rFonts w:ascii="Calibri" w:hAnsi="Calibri" w:eastAsia="Times New Roman" w:cs="Times New Roman"/>
      <w:lang w:val="en-US" w:eastAsia="zh-CN" w:bidi="ar-SA"/>
    </w:rPr>
  </w:style>
  <w:style w:type="paragraph" w:customStyle="1" w:styleId="98">
    <w:name w:val="Normal_1_0"/>
    <w:qFormat/>
    <w:uiPriority w:val="0"/>
    <w:rPr>
      <w:rFonts w:ascii="黑体" w:hAnsi="黑体" w:eastAsia="黑体" w:cs="Times New Roman"/>
      <w:b/>
      <w:sz w:val="32"/>
      <w:szCs w:val="24"/>
      <w:lang w:val="en-US" w:eastAsia="zh-CN" w:bidi="ar-SA"/>
    </w:rPr>
  </w:style>
  <w:style w:type="paragraph" w:customStyle="1" w:styleId="99">
    <w:name w:val="Body Text First Indent"/>
    <w:basedOn w:val="91"/>
    <w:unhideWhenUsed/>
    <w:qFormat/>
    <w:uiPriority w:val="99"/>
    <w:pPr>
      <w:ind w:firstLine="420" w:firstLineChars="100"/>
    </w:pPr>
    <w:rPr>
      <w:rFonts w:ascii="Calibri" w:hAnsi="Calibri"/>
      <w:szCs w:val="22"/>
    </w:rPr>
  </w:style>
  <w:style w:type="paragraph" w:customStyle="1" w:styleId="100">
    <w:name w:val="正文_1_1"/>
    <w:basedOn w:val="101"/>
    <w:qFormat/>
    <w:uiPriority w:val="0"/>
    <w:pPr>
      <w:widowControl w:val="0"/>
      <w:jc w:val="both"/>
    </w:pPr>
    <w:rPr>
      <w:rFonts w:ascii="Calibri" w:hAnsi="Calibri" w:eastAsia="宋体" w:cs="Times New Roman"/>
      <w:lang w:val="en-US" w:eastAsia="zh-CN" w:bidi="ar-SA"/>
    </w:rPr>
  </w:style>
  <w:style w:type="paragraph" w:customStyle="1" w:styleId="101">
    <w:name w:val="正文_2_0_0"/>
    <w:basedOn w:val="87"/>
    <w:next w:val="102"/>
    <w:qFormat/>
    <w:uiPriority w:val="0"/>
    <w:pPr>
      <w:widowControl w:val="0"/>
      <w:jc w:val="both"/>
    </w:pPr>
    <w:rPr>
      <w:rFonts w:ascii="Calibri" w:hAnsi="Calibri" w:eastAsia="宋体" w:cs="Times New Roman"/>
      <w:szCs w:val="24"/>
      <w:lang w:val="en-US" w:eastAsia="zh-CN" w:bidi="ar-SA"/>
    </w:rPr>
  </w:style>
  <w:style w:type="paragraph" w:customStyle="1" w:styleId="102">
    <w:name w:val="Default_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103">
    <w:name w:val="正文_1_1_0"/>
    <w:qFormat/>
    <w:uiPriority w:val="0"/>
    <w:pPr>
      <w:widowControl w:val="0"/>
      <w:jc w:val="both"/>
    </w:pPr>
    <w:rPr>
      <w:rFonts w:ascii="Calibri" w:hAnsi="Calibri" w:eastAsia="宋体" w:cs="Times New Roman"/>
      <w:lang w:val="en-US" w:eastAsia="zh-CN" w:bidi="ar-SA"/>
    </w:rPr>
  </w:style>
  <w:style w:type="paragraph" w:customStyle="1" w:styleId="104">
    <w:name w:val="正文_0_3"/>
    <w:qFormat/>
    <w:uiPriority w:val="0"/>
    <w:pPr>
      <w:widowControl w:val="0"/>
      <w:jc w:val="both"/>
    </w:pPr>
    <w:rPr>
      <w:rFonts w:ascii="Calibri" w:hAnsi="Calibri" w:eastAsia="宋体" w:cs="Times New Roman"/>
      <w:lang w:val="en-US" w:eastAsia="zh-CN" w:bidi="ar-SA"/>
    </w:rPr>
  </w:style>
  <w:style w:type="paragraph" w:customStyle="1" w:styleId="105">
    <w:name w:val="Normal_26"/>
    <w:qFormat/>
    <w:uiPriority w:val="0"/>
    <w:rPr>
      <w:rFonts w:ascii="Times New Roman" w:hAnsi="Times New Roman" w:eastAsia="Times New Roman" w:cs="Times New Roman"/>
      <w:sz w:val="24"/>
      <w:szCs w:val="24"/>
      <w:lang w:val="en-US" w:eastAsia="zh-CN" w:bidi="ar-SA"/>
    </w:rPr>
  </w:style>
  <w:style w:type="paragraph" w:customStyle="1" w:styleId="106">
    <w:name w:val="Normal_0"/>
    <w:next w:val="1"/>
    <w:qFormat/>
    <w:uiPriority w:val="0"/>
    <w:rPr>
      <w:rFonts w:ascii="黑体" w:hAnsi="黑体" w:eastAsia="黑体" w:cs="Times New Roman"/>
      <w:b/>
      <w:sz w:val="32"/>
      <w:szCs w:val="24"/>
      <w:lang w:val="en-US" w:eastAsia="zh-CN" w:bidi="ar-SA"/>
    </w:rPr>
  </w:style>
  <w:style w:type="paragraph" w:customStyle="1" w:styleId="107">
    <w:name w:val="Normal_1"/>
    <w:qFormat/>
    <w:uiPriority w:val="0"/>
    <w:rPr>
      <w:rFonts w:ascii="黑体" w:hAnsi="黑体" w:eastAsia="黑体" w:cs="Times New Roman"/>
      <w:b/>
      <w:sz w:val="32"/>
      <w:szCs w:val="24"/>
      <w:lang w:val="en-US" w:eastAsia="zh-CN" w:bidi="ar-SA"/>
    </w:rPr>
  </w:style>
  <w:style w:type="paragraph" w:customStyle="1" w:styleId="10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正文文本缩进_1"/>
    <w:basedOn w:val="110"/>
    <w:link w:val="114"/>
    <w:qFormat/>
    <w:uiPriority w:val="0"/>
    <w:pPr>
      <w:spacing w:line="500" w:lineRule="exact"/>
      <w:ind w:left="1588" w:leftChars="832" w:firstLine="433" w:firstLineChars="196"/>
    </w:pPr>
    <w:rPr>
      <w:kern w:val="0"/>
      <w:sz w:val="24"/>
    </w:rPr>
  </w:style>
  <w:style w:type="paragraph" w:customStyle="1" w:styleId="110">
    <w:name w:val="正文_8"/>
    <w:basedOn w:val="111"/>
    <w:qFormat/>
    <w:uiPriority w:val="0"/>
    <w:pPr>
      <w:widowControl w:val="0"/>
      <w:jc w:val="both"/>
    </w:pPr>
    <w:rPr>
      <w:kern w:val="2"/>
      <w:sz w:val="21"/>
      <w:szCs w:val="24"/>
      <w:lang w:val="en-US" w:eastAsia="zh-CN" w:bidi="ar-SA"/>
    </w:rPr>
  </w:style>
  <w:style w:type="paragraph" w:customStyle="1" w:styleId="111">
    <w:name w:val="正文_4_0"/>
    <w:basedOn w:val="112"/>
    <w:qFormat/>
    <w:uiPriority w:val="0"/>
    <w:pPr>
      <w:widowControl w:val="0"/>
      <w:jc w:val="both"/>
    </w:pPr>
    <w:rPr>
      <w:rFonts w:ascii="Calibri" w:hAnsi="Calibri"/>
      <w:kern w:val="2"/>
      <w:sz w:val="21"/>
      <w:szCs w:val="24"/>
      <w:lang w:val="en-US" w:eastAsia="zh-CN" w:bidi="ar-SA"/>
    </w:rPr>
  </w:style>
  <w:style w:type="paragraph" w:customStyle="1" w:styleId="112">
    <w:name w:val="正文_3_0_0"/>
    <w:basedOn w:val="113"/>
    <w:qFormat/>
    <w:uiPriority w:val="0"/>
    <w:pPr>
      <w:widowControl w:val="0"/>
      <w:jc w:val="both"/>
    </w:pPr>
    <w:rPr>
      <w:kern w:val="2"/>
      <w:sz w:val="21"/>
      <w:szCs w:val="24"/>
      <w:lang w:val="en-US" w:eastAsia="zh-CN" w:bidi="ar-SA"/>
    </w:rPr>
  </w:style>
  <w:style w:type="paragraph" w:customStyle="1" w:styleId="113">
    <w:name w:val="正文_3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14">
    <w:name w:val="正文文本缩进 Char_1"/>
    <w:link w:val="109"/>
    <w:qFormat/>
    <w:uiPriority w:val="0"/>
    <w:rPr>
      <w:sz w:val="24"/>
      <w:szCs w:val="24"/>
    </w:rPr>
  </w:style>
  <w:style w:type="paragraph" w:customStyle="1" w:styleId="115">
    <w:name w:val="Normal_2"/>
    <w:qFormat/>
    <w:uiPriority w:val="0"/>
    <w:rPr>
      <w:rFonts w:ascii="黑体" w:hAnsi="黑体" w:eastAsia="黑体" w:cs="Times New Roman"/>
      <w:b/>
      <w:sz w:val="32"/>
      <w:szCs w:val="24"/>
      <w:lang w:val="en-US" w:eastAsia="zh-CN" w:bidi="ar-SA"/>
    </w:rPr>
  </w:style>
  <w:style w:type="paragraph" w:customStyle="1" w:styleId="116">
    <w:name w:val="Normal_3"/>
    <w:qFormat/>
    <w:uiPriority w:val="0"/>
    <w:rPr>
      <w:rFonts w:ascii="黑体" w:hAnsi="黑体" w:eastAsia="黑体" w:cs="Times New Roman"/>
      <w:b/>
      <w:sz w:val="32"/>
      <w:szCs w:val="24"/>
      <w:lang w:val="en-US" w:eastAsia="zh-CN" w:bidi="ar-SA"/>
    </w:rPr>
  </w:style>
  <w:style w:type="paragraph" w:customStyle="1" w:styleId="117">
    <w:name w:val="正文_0_1"/>
    <w:basedOn w:val="2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Normal_4"/>
    <w:qFormat/>
    <w:uiPriority w:val="0"/>
    <w:rPr>
      <w:rFonts w:ascii="黑体" w:hAnsi="黑体" w:eastAsia="黑体" w:cs="Times New Roman"/>
      <w:b/>
      <w:sz w:val="32"/>
      <w:szCs w:val="24"/>
      <w:lang w:val="en-US" w:eastAsia="zh-CN" w:bidi="ar-SA"/>
    </w:rPr>
  </w:style>
  <w:style w:type="paragraph" w:customStyle="1" w:styleId="119">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标题 3_0_0"/>
    <w:basedOn w:val="121"/>
    <w:next w:val="122"/>
    <w:link w:val="123"/>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21">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22">
    <w:name w:val="正文_0_0_0"/>
    <w:qFormat/>
    <w:uiPriority w:val="0"/>
    <w:pPr>
      <w:widowControl w:val="0"/>
      <w:jc w:val="both"/>
    </w:pPr>
    <w:rPr>
      <w:rFonts w:ascii="Calibri" w:hAnsi="Calibri" w:eastAsia="宋体" w:cs="Times New Roman"/>
      <w:kern w:val="2"/>
      <w:sz w:val="28"/>
      <w:szCs w:val="22"/>
      <w:lang w:val="en-US" w:eastAsia="zh-CN" w:bidi="ar-SA"/>
    </w:rPr>
  </w:style>
  <w:style w:type="character" w:customStyle="1" w:styleId="123">
    <w:name w:val="标题 3 Char_0_0"/>
    <w:link w:val="120"/>
    <w:qFormat/>
    <w:uiPriority w:val="0"/>
    <w:rPr>
      <w:rFonts w:ascii="宋体" w:hAnsi="宋体"/>
      <w:b/>
      <w:sz w:val="28"/>
      <w:szCs w:val="28"/>
    </w:rPr>
  </w:style>
  <w:style w:type="paragraph" w:customStyle="1" w:styleId="124">
    <w:name w:val="Normal_5"/>
    <w:qFormat/>
    <w:uiPriority w:val="0"/>
    <w:rPr>
      <w:rFonts w:ascii="黑体" w:hAnsi="黑体" w:eastAsia="黑体" w:cs="Times New Roman"/>
      <w:b/>
      <w:sz w:val="32"/>
      <w:szCs w:val="24"/>
      <w:lang w:val="en-US" w:eastAsia="zh-CN" w:bidi="ar-SA"/>
    </w:rPr>
  </w:style>
  <w:style w:type="paragraph" w:customStyle="1" w:styleId="125">
    <w:name w:val="Normal_6"/>
    <w:qFormat/>
    <w:uiPriority w:val="0"/>
    <w:rPr>
      <w:rFonts w:ascii="黑体" w:hAnsi="黑体" w:eastAsia="黑体" w:cs="Times New Roman"/>
      <w:b/>
      <w:sz w:val="32"/>
      <w:szCs w:val="24"/>
      <w:lang w:val="en-US" w:eastAsia="zh-CN" w:bidi="ar-SA"/>
    </w:rPr>
  </w:style>
  <w:style w:type="paragraph" w:customStyle="1" w:styleId="126">
    <w:name w:val="Normal_7"/>
    <w:qFormat/>
    <w:uiPriority w:val="0"/>
    <w:rPr>
      <w:rFonts w:ascii="黑体" w:hAnsi="黑体" w:eastAsia="黑体" w:cs="Times New Roman"/>
      <w:b/>
      <w:sz w:val="32"/>
      <w:szCs w:val="24"/>
      <w:lang w:val="en-US" w:eastAsia="zh-CN" w:bidi="ar-SA"/>
    </w:rPr>
  </w:style>
  <w:style w:type="paragraph" w:customStyle="1" w:styleId="127">
    <w:name w:val="正文_4_1"/>
    <w:next w:val="2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8">
    <w:name w:val="正文文本缩进_0_0"/>
    <w:basedOn w:val="127"/>
    <w:link w:val="129"/>
    <w:qFormat/>
    <w:uiPriority w:val="0"/>
    <w:pPr>
      <w:spacing w:line="500" w:lineRule="exact"/>
      <w:ind w:left="1588" w:leftChars="832" w:firstLine="433" w:firstLineChars="196"/>
    </w:pPr>
    <w:rPr>
      <w:kern w:val="0"/>
      <w:sz w:val="24"/>
    </w:rPr>
  </w:style>
  <w:style w:type="character" w:customStyle="1" w:styleId="129">
    <w:name w:val="正文文本缩进 Char_0_0"/>
    <w:link w:val="128"/>
    <w:qFormat/>
    <w:uiPriority w:val="0"/>
    <w:rPr>
      <w:sz w:val="24"/>
      <w:szCs w:val="24"/>
    </w:rPr>
  </w:style>
  <w:style w:type="paragraph" w:customStyle="1" w:styleId="130">
    <w:name w:val="Normal_8"/>
    <w:qFormat/>
    <w:uiPriority w:val="0"/>
    <w:rPr>
      <w:rFonts w:ascii="黑体" w:hAnsi="黑体" w:eastAsia="黑体" w:cs="Times New Roman"/>
      <w:b/>
      <w:sz w:val="32"/>
      <w:szCs w:val="24"/>
      <w:lang w:val="en-US" w:eastAsia="zh-CN" w:bidi="ar-SA"/>
    </w:rPr>
  </w:style>
  <w:style w:type="paragraph" w:customStyle="1" w:styleId="131">
    <w:name w:val="正文_5_0"/>
    <w:next w:val="13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正文缩进_0_0_0"/>
    <w:basedOn w:val="131"/>
    <w:unhideWhenUsed/>
    <w:qFormat/>
    <w:uiPriority w:val="0"/>
    <w:pPr>
      <w:ind w:firstLine="420" w:firstLineChars="200"/>
    </w:pPr>
    <w:rPr>
      <w:rFonts w:ascii="Calibri" w:hAnsi="Calibri"/>
    </w:rPr>
  </w:style>
  <w:style w:type="paragraph" w:customStyle="1" w:styleId="133">
    <w:name w:val="标题 3_0_0_0"/>
    <w:basedOn w:val="134"/>
    <w:next w:val="134"/>
    <w:link w:val="135"/>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34">
    <w:name w:val="正文_0_0_1"/>
    <w:qFormat/>
    <w:uiPriority w:val="0"/>
    <w:pPr>
      <w:widowControl w:val="0"/>
      <w:jc w:val="both"/>
    </w:pPr>
    <w:rPr>
      <w:rFonts w:ascii="Calibri" w:hAnsi="Calibri" w:eastAsia="宋体" w:cs="Times New Roman"/>
      <w:kern w:val="2"/>
      <w:sz w:val="28"/>
      <w:szCs w:val="22"/>
      <w:lang w:val="en-US" w:eastAsia="zh-CN" w:bidi="ar-SA"/>
    </w:rPr>
  </w:style>
  <w:style w:type="character" w:customStyle="1" w:styleId="135">
    <w:name w:val="标题 3 Char_0_0_0"/>
    <w:link w:val="133"/>
    <w:qFormat/>
    <w:uiPriority w:val="0"/>
    <w:rPr>
      <w:rFonts w:ascii="宋体" w:hAnsi="宋体"/>
      <w:b/>
      <w:sz w:val="28"/>
      <w:szCs w:val="28"/>
    </w:rPr>
  </w:style>
  <w:style w:type="paragraph" w:customStyle="1" w:styleId="136">
    <w:name w:val="Normal_9"/>
    <w:qFormat/>
    <w:uiPriority w:val="0"/>
    <w:rPr>
      <w:rFonts w:ascii="黑体" w:hAnsi="黑体" w:eastAsia="黑体" w:cs="Times New Roman"/>
      <w:b/>
      <w:sz w:val="32"/>
      <w:szCs w:val="24"/>
      <w:lang w:val="en-US" w:eastAsia="zh-CN" w:bidi="ar-SA"/>
    </w:rPr>
  </w:style>
  <w:style w:type="paragraph" w:customStyle="1" w:styleId="137">
    <w:name w:val="正文_0_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8">
    <w:name w:val="正文_2_0_0_0"/>
    <w:basedOn w:val="101"/>
    <w:next w:val="13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引文目录标题_0_0_0"/>
    <w:basedOn w:val="111"/>
    <w:next w:val="111"/>
    <w:qFormat/>
    <w:uiPriority w:val="0"/>
    <w:pPr>
      <w:spacing w:before="120"/>
    </w:pPr>
    <w:rPr>
      <w:rFonts w:ascii="Cambria" w:hAnsi="Cambria"/>
      <w:sz w:val="28"/>
    </w:rPr>
  </w:style>
  <w:style w:type="paragraph" w:customStyle="1" w:styleId="140">
    <w:name w:val="正文文本_2_0"/>
    <w:basedOn w:val="87"/>
    <w:qFormat/>
    <w:uiPriority w:val="0"/>
    <w:pPr>
      <w:spacing w:after="120"/>
    </w:pPr>
  </w:style>
  <w:style w:type="paragraph" w:customStyle="1" w:styleId="141">
    <w:name w:val="正文_5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2">
    <w:name w:val="Normal_10_0"/>
    <w:qFormat/>
    <w:uiPriority w:val="0"/>
    <w:rPr>
      <w:rFonts w:ascii="黑体" w:hAnsi="黑体" w:eastAsia="黑体" w:cs="Times New Roman"/>
      <w:b/>
      <w:sz w:val="32"/>
      <w:szCs w:val="24"/>
      <w:lang w:val="en-US" w:eastAsia="zh-CN" w:bidi="ar-SA"/>
    </w:rPr>
  </w:style>
  <w:style w:type="paragraph" w:customStyle="1" w:styleId="143">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4">
    <w:name w:val="Normal_10"/>
    <w:qFormat/>
    <w:uiPriority w:val="0"/>
    <w:rPr>
      <w:rFonts w:ascii="黑体" w:hAnsi="黑体" w:eastAsia="黑体" w:cs="Times New Roman"/>
      <w:b/>
      <w:sz w:val="32"/>
      <w:szCs w:val="24"/>
      <w:lang w:val="en-US" w:eastAsia="zh-CN" w:bidi="ar-SA"/>
    </w:rPr>
  </w:style>
  <w:style w:type="paragraph" w:customStyle="1" w:styleId="145">
    <w:name w:val="正文_7"/>
    <w:next w:val="14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
    <w:name w:val="样式 黑色 首行缩进:  0.85 厘米 行距: 固定值 20 磅_1"/>
    <w:basedOn w:val="145"/>
    <w:qFormat/>
    <w:uiPriority w:val="0"/>
    <w:pPr>
      <w:spacing w:line="400" w:lineRule="exact"/>
      <w:ind w:firstLine="480"/>
    </w:pPr>
    <w:rPr>
      <w:rFonts w:ascii="宋体" w:hAnsi="宋体" w:cs="宋体"/>
      <w:color w:val="000000"/>
      <w:sz w:val="24"/>
    </w:rPr>
  </w:style>
  <w:style w:type="paragraph" w:customStyle="1" w:styleId="147">
    <w:name w:val="Normal_11"/>
    <w:qFormat/>
    <w:uiPriority w:val="0"/>
    <w:rPr>
      <w:rFonts w:ascii="黑体" w:hAnsi="黑体" w:eastAsia="黑体" w:cs="Times New Roman"/>
      <w:b/>
      <w:sz w:val="32"/>
      <w:szCs w:val="24"/>
      <w:lang w:val="en-US" w:eastAsia="zh-CN" w:bidi="ar-SA"/>
    </w:rPr>
  </w:style>
  <w:style w:type="paragraph" w:customStyle="1" w:styleId="148">
    <w:name w:val="Normal_12"/>
    <w:qFormat/>
    <w:uiPriority w:val="0"/>
    <w:rPr>
      <w:rFonts w:ascii="黑体" w:hAnsi="黑体" w:eastAsia="黑体" w:cs="Times New Roman"/>
      <w:b/>
      <w:sz w:val="32"/>
      <w:szCs w:val="24"/>
      <w:lang w:val="en-US" w:eastAsia="zh-CN" w:bidi="ar-SA"/>
    </w:rPr>
  </w:style>
  <w:style w:type="paragraph" w:customStyle="1" w:styleId="149">
    <w:name w:val="日期_0"/>
    <w:basedOn w:val="110"/>
    <w:next w:val="110"/>
    <w:qFormat/>
    <w:uiPriority w:val="0"/>
    <w:pPr>
      <w:ind w:left="100" w:leftChars="2500"/>
    </w:pPr>
    <w:rPr>
      <w:kern w:val="0"/>
      <w:sz w:val="20"/>
    </w:rPr>
  </w:style>
  <w:style w:type="paragraph" w:customStyle="1" w:styleId="150">
    <w:name w:val="Normal_13"/>
    <w:qFormat/>
    <w:uiPriority w:val="0"/>
    <w:rPr>
      <w:rFonts w:ascii="黑体" w:hAnsi="黑体" w:eastAsia="黑体" w:cs="Times New Roman"/>
      <w:b/>
      <w:sz w:val="32"/>
      <w:szCs w:val="24"/>
      <w:lang w:val="en-US" w:eastAsia="zh-CN" w:bidi="ar-SA"/>
    </w:rPr>
  </w:style>
  <w:style w:type="paragraph" w:customStyle="1" w:styleId="15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2">
    <w:name w:val="正文文本缩进_1_0"/>
    <w:basedOn w:val="151"/>
    <w:link w:val="153"/>
    <w:qFormat/>
    <w:uiPriority w:val="0"/>
    <w:pPr>
      <w:spacing w:line="500" w:lineRule="exact"/>
      <w:ind w:left="1588" w:leftChars="832" w:firstLine="433" w:firstLineChars="196"/>
    </w:pPr>
    <w:rPr>
      <w:kern w:val="0"/>
      <w:sz w:val="24"/>
    </w:rPr>
  </w:style>
  <w:style w:type="character" w:customStyle="1" w:styleId="153">
    <w:name w:val="正文文本缩进 Char_1_0"/>
    <w:link w:val="152"/>
    <w:qFormat/>
    <w:uiPriority w:val="0"/>
    <w:rPr>
      <w:sz w:val="24"/>
      <w:szCs w:val="24"/>
    </w:rPr>
  </w:style>
  <w:style w:type="paragraph" w:customStyle="1" w:styleId="154">
    <w:name w:val="Normal_14"/>
    <w:qFormat/>
    <w:uiPriority w:val="0"/>
    <w:rPr>
      <w:rFonts w:ascii="黑体" w:hAnsi="黑体" w:eastAsia="黑体" w:cs="Times New Roman"/>
      <w:b/>
      <w:sz w:val="32"/>
      <w:szCs w:val="24"/>
      <w:lang w:val="en-US" w:eastAsia="zh-CN" w:bidi="ar-SA"/>
    </w:rPr>
  </w:style>
  <w:style w:type="paragraph" w:customStyle="1" w:styleId="155">
    <w:name w:val="正文文本缩进_2"/>
    <w:basedOn w:val="156"/>
    <w:link w:val="157"/>
    <w:qFormat/>
    <w:uiPriority w:val="0"/>
    <w:pPr>
      <w:spacing w:line="500" w:lineRule="exact"/>
      <w:ind w:left="1588" w:leftChars="832" w:firstLine="433" w:firstLineChars="196"/>
    </w:pPr>
    <w:rPr>
      <w:kern w:val="0"/>
      <w:sz w:val="24"/>
    </w:rPr>
  </w:style>
  <w:style w:type="paragraph" w:customStyle="1" w:styleId="156">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正文文本缩进 Char_2"/>
    <w:link w:val="155"/>
    <w:qFormat/>
    <w:uiPriority w:val="0"/>
    <w:rPr>
      <w:sz w:val="24"/>
      <w:szCs w:val="24"/>
    </w:rPr>
  </w:style>
  <w:style w:type="paragraph" w:customStyle="1" w:styleId="158">
    <w:name w:val="Normal_15"/>
    <w:qFormat/>
    <w:uiPriority w:val="0"/>
    <w:rPr>
      <w:rFonts w:ascii="黑体" w:hAnsi="黑体" w:eastAsia="黑体" w:cs="Times New Roman"/>
      <w:b/>
      <w:sz w:val="32"/>
      <w:szCs w:val="24"/>
      <w:lang w:val="en-US" w:eastAsia="zh-CN" w:bidi="ar-SA"/>
    </w:rPr>
  </w:style>
  <w:style w:type="paragraph" w:customStyle="1" w:styleId="159">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0">
    <w:name w:val="Normal_16"/>
    <w:qFormat/>
    <w:uiPriority w:val="0"/>
    <w:rPr>
      <w:rFonts w:ascii="黑体" w:hAnsi="黑体" w:eastAsia="黑体" w:cs="Times New Roman"/>
      <w:b/>
      <w:sz w:val="32"/>
      <w:szCs w:val="24"/>
      <w:lang w:val="en-US" w:eastAsia="zh-CN" w:bidi="ar-SA"/>
    </w:rPr>
  </w:style>
  <w:style w:type="paragraph" w:customStyle="1" w:styleId="161">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2">
    <w:name w:val="Normal_17"/>
    <w:qFormat/>
    <w:uiPriority w:val="0"/>
    <w:rPr>
      <w:rFonts w:ascii="黑体" w:hAnsi="黑体" w:eastAsia="黑体" w:cs="Times New Roman"/>
      <w:b/>
      <w:sz w:val="32"/>
      <w:szCs w:val="24"/>
      <w:lang w:val="en-US" w:eastAsia="zh-CN" w:bidi="ar-SA"/>
    </w:rPr>
  </w:style>
  <w:style w:type="paragraph" w:customStyle="1" w:styleId="16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正文文本缩进_3"/>
    <w:basedOn w:val="163"/>
    <w:link w:val="165"/>
    <w:qFormat/>
    <w:uiPriority w:val="0"/>
    <w:pPr>
      <w:spacing w:line="500" w:lineRule="exact"/>
      <w:ind w:left="1588" w:leftChars="832" w:firstLine="433" w:firstLineChars="196"/>
    </w:pPr>
    <w:rPr>
      <w:kern w:val="0"/>
      <w:sz w:val="24"/>
    </w:rPr>
  </w:style>
  <w:style w:type="character" w:customStyle="1" w:styleId="165">
    <w:name w:val="正文文本缩进 Char_3"/>
    <w:link w:val="164"/>
    <w:qFormat/>
    <w:uiPriority w:val="0"/>
    <w:rPr>
      <w:sz w:val="24"/>
      <w:szCs w:val="24"/>
    </w:rPr>
  </w:style>
  <w:style w:type="paragraph" w:customStyle="1" w:styleId="166">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7">
    <w:name w:val="Normal_19"/>
    <w:qFormat/>
    <w:uiPriority w:val="0"/>
    <w:rPr>
      <w:rFonts w:ascii="黑体" w:hAnsi="黑体" w:eastAsia="黑体" w:cs="Times New Roman"/>
      <w:b/>
      <w:sz w:val="32"/>
      <w:szCs w:val="24"/>
      <w:lang w:val="en-US" w:eastAsia="zh-CN" w:bidi="ar-SA"/>
    </w:rPr>
  </w:style>
  <w:style w:type="paragraph" w:customStyle="1" w:styleId="168">
    <w:name w:val="Normal_20"/>
    <w:qFormat/>
    <w:uiPriority w:val="0"/>
    <w:rPr>
      <w:rFonts w:ascii="黑体" w:hAnsi="黑体" w:eastAsia="黑体" w:cs="Times New Roman"/>
      <w:b/>
      <w:sz w:val="32"/>
      <w:szCs w:val="24"/>
      <w:lang w:val="en-US" w:eastAsia="zh-CN" w:bidi="ar-SA"/>
    </w:rPr>
  </w:style>
  <w:style w:type="paragraph" w:customStyle="1" w:styleId="169">
    <w:name w:val="正文_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0">
    <w:name w:val="正文文本缩进_4"/>
    <w:basedOn w:val="169"/>
    <w:link w:val="171"/>
    <w:qFormat/>
    <w:uiPriority w:val="0"/>
    <w:pPr>
      <w:spacing w:line="500" w:lineRule="exact"/>
      <w:ind w:left="1588" w:leftChars="832" w:firstLine="433" w:firstLineChars="196"/>
    </w:pPr>
    <w:rPr>
      <w:kern w:val="0"/>
      <w:sz w:val="24"/>
    </w:rPr>
  </w:style>
  <w:style w:type="character" w:customStyle="1" w:styleId="171">
    <w:name w:val="正文文本缩进 Char_4"/>
    <w:link w:val="170"/>
    <w:qFormat/>
    <w:uiPriority w:val="0"/>
    <w:rPr>
      <w:sz w:val="24"/>
      <w:szCs w:val="24"/>
    </w:rPr>
  </w:style>
  <w:style w:type="paragraph" w:customStyle="1" w:styleId="172">
    <w:name w:val="题注_0"/>
    <w:basedOn w:val="169"/>
    <w:next w:val="159"/>
    <w:qFormat/>
    <w:uiPriority w:val="0"/>
    <w:pPr>
      <w:spacing w:before="152" w:after="160"/>
    </w:pPr>
    <w:rPr>
      <w:rFonts w:ascii="Arial" w:hAnsi="Arial" w:eastAsia="黑体" w:cs="Arial"/>
      <w:sz w:val="20"/>
      <w:szCs w:val="20"/>
    </w:rPr>
  </w:style>
  <w:style w:type="paragraph" w:customStyle="1" w:styleId="173">
    <w:name w:val="Normal_21"/>
    <w:qFormat/>
    <w:uiPriority w:val="0"/>
    <w:rPr>
      <w:rFonts w:ascii="黑体" w:hAnsi="黑体" w:eastAsia="黑体" w:cs="Times New Roman"/>
      <w:b/>
      <w:sz w:val="32"/>
      <w:szCs w:val="24"/>
      <w:lang w:val="en-US" w:eastAsia="zh-CN" w:bidi="ar-SA"/>
    </w:rPr>
  </w:style>
  <w:style w:type="paragraph" w:customStyle="1" w:styleId="174">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5">
    <w:name w:val="Normal_22"/>
    <w:qFormat/>
    <w:uiPriority w:val="0"/>
    <w:rPr>
      <w:rFonts w:ascii="黑体" w:hAnsi="黑体" w:eastAsia="黑体" w:cs="Times New Roman"/>
      <w:b/>
      <w:sz w:val="32"/>
      <w:szCs w:val="24"/>
      <w:lang w:val="en-US" w:eastAsia="zh-CN" w:bidi="ar-SA"/>
    </w:rPr>
  </w:style>
  <w:style w:type="paragraph" w:customStyle="1" w:styleId="176">
    <w:name w:val="正文_1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7">
    <w:name w:val="Normal_23"/>
    <w:qFormat/>
    <w:uiPriority w:val="0"/>
    <w:rPr>
      <w:rFonts w:ascii="黑体" w:hAnsi="黑体" w:eastAsia="黑体" w:cs="Times New Roman"/>
      <w:b/>
      <w:sz w:val="32"/>
      <w:szCs w:val="24"/>
      <w:lang w:val="en-US" w:eastAsia="zh-CN" w:bidi="ar-SA"/>
    </w:rPr>
  </w:style>
  <w:style w:type="paragraph" w:customStyle="1" w:styleId="178">
    <w:name w:val="正文_1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9">
    <w:name w:val="Normal_24"/>
    <w:qFormat/>
    <w:uiPriority w:val="0"/>
    <w:rPr>
      <w:rFonts w:ascii="黑体" w:hAnsi="黑体" w:eastAsia="黑体" w:cs="Times New Roman"/>
      <w:b/>
      <w:sz w:val="32"/>
      <w:szCs w:val="24"/>
      <w:lang w:val="en-US" w:eastAsia="zh-CN" w:bidi="ar-SA"/>
    </w:rPr>
  </w:style>
  <w:style w:type="paragraph" w:customStyle="1" w:styleId="180">
    <w:name w:val="Normal_25"/>
    <w:qFormat/>
    <w:uiPriority w:val="0"/>
    <w:rPr>
      <w:rFonts w:ascii="黑体" w:hAnsi="黑体" w:eastAsia="黑体" w:cs="Times New Roman"/>
      <w:b/>
      <w:sz w:val="32"/>
      <w:szCs w:val="24"/>
      <w:lang w:val="en-US" w:eastAsia="zh-CN" w:bidi="ar-SA"/>
    </w:rPr>
  </w:style>
  <w:style w:type="paragraph" w:customStyle="1" w:styleId="181">
    <w:name w:val="正文_1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2">
    <w:name w:val="正文文本缩进_5"/>
    <w:basedOn w:val="181"/>
    <w:link w:val="183"/>
    <w:qFormat/>
    <w:uiPriority w:val="0"/>
    <w:pPr>
      <w:spacing w:line="500" w:lineRule="exact"/>
      <w:ind w:left="1588" w:leftChars="832" w:firstLine="433" w:firstLineChars="196"/>
    </w:pPr>
    <w:rPr>
      <w:kern w:val="0"/>
      <w:sz w:val="24"/>
    </w:rPr>
  </w:style>
  <w:style w:type="character" w:customStyle="1" w:styleId="183">
    <w:name w:val="正文文本缩进 Char_5"/>
    <w:link w:val="182"/>
    <w:qFormat/>
    <w:uiPriority w:val="0"/>
    <w:rPr>
      <w:sz w:val="24"/>
      <w:szCs w:val="24"/>
    </w:rPr>
  </w:style>
  <w:style w:type="paragraph" w:customStyle="1" w:styleId="184">
    <w:name w:val="Table Paragraph"/>
    <w:basedOn w:val="1"/>
    <w:qFormat/>
    <w:uiPriority w:val="1"/>
  </w:style>
  <w:style w:type="paragraph" w:styleId="185">
    <w:name w:val="List Paragraph"/>
    <w:basedOn w:val="1"/>
    <w:link w:val="186"/>
    <w:qFormat/>
    <w:uiPriority w:val="34"/>
    <w:pPr>
      <w:ind w:firstLine="420" w:firstLineChars="200"/>
    </w:pPr>
    <w:rPr>
      <w:rFonts w:ascii="Calibri" w:hAnsi="Calibri" w:eastAsia="宋体"/>
    </w:rPr>
  </w:style>
  <w:style w:type="character" w:customStyle="1" w:styleId="186">
    <w:name w:val="列出段落 字符"/>
    <w:link w:val="185"/>
    <w:qFormat/>
    <w:uiPriority w:val="34"/>
    <w:rPr>
      <w:rFonts w:ascii="Calibri" w:hAnsi="Calibri"/>
      <w:kern w:val="2"/>
      <w:sz w:val="21"/>
      <w:szCs w:val="22"/>
    </w:rPr>
  </w:style>
  <w:style w:type="paragraph" w:customStyle="1" w:styleId="187">
    <w:name w:val="标题 3_0"/>
    <w:basedOn w:val="188"/>
    <w:next w:val="188"/>
    <w:link w:val="189"/>
    <w:qFormat/>
    <w:uiPriority w:val="0"/>
    <w:pPr>
      <w:autoSpaceDE w:val="0"/>
      <w:autoSpaceDN w:val="0"/>
      <w:adjustRightInd w:val="0"/>
      <w:spacing w:line="500" w:lineRule="exact"/>
      <w:jc w:val="center"/>
      <w:outlineLvl w:val="2"/>
    </w:pPr>
    <w:rPr>
      <w:rFonts w:ascii="宋体" w:hAnsi="宋体"/>
      <w:b/>
      <w:szCs w:val="28"/>
    </w:rPr>
  </w:style>
  <w:style w:type="paragraph" w:customStyle="1" w:styleId="188">
    <w:name w:val="正文_0_0"/>
    <w:qFormat/>
    <w:uiPriority w:val="0"/>
    <w:pPr>
      <w:widowControl w:val="0"/>
      <w:jc w:val="both"/>
    </w:pPr>
    <w:rPr>
      <w:rFonts w:ascii="Calibri" w:hAnsi="Calibri" w:eastAsia="宋体" w:cs="Times New Roman"/>
      <w:kern w:val="2"/>
      <w:sz w:val="28"/>
      <w:szCs w:val="22"/>
      <w:lang w:val="en-US" w:eastAsia="zh-CN" w:bidi="ar-SA"/>
    </w:rPr>
  </w:style>
  <w:style w:type="character" w:customStyle="1" w:styleId="189">
    <w:name w:val="标题 3 Char_0"/>
    <w:link w:val="187"/>
    <w:qFormat/>
    <w:uiPriority w:val="0"/>
    <w:rPr>
      <w:rFonts w:ascii="宋体" w:hAnsi="宋体"/>
      <w:b/>
      <w:kern w:val="2"/>
      <w:sz w:val="28"/>
      <w:szCs w:val="28"/>
    </w:rPr>
  </w:style>
  <w:style w:type="paragraph" w:customStyle="1" w:styleId="190">
    <w:name w:val="正文文本缩进_0"/>
    <w:basedOn w:val="24"/>
    <w:link w:val="191"/>
    <w:qFormat/>
    <w:uiPriority w:val="0"/>
    <w:pPr>
      <w:spacing w:line="500" w:lineRule="exact"/>
      <w:ind w:left="1588" w:leftChars="832" w:firstLine="433" w:firstLineChars="196"/>
    </w:pPr>
    <w:rPr>
      <w:kern w:val="0"/>
      <w:sz w:val="24"/>
    </w:rPr>
  </w:style>
  <w:style w:type="character" w:customStyle="1" w:styleId="191">
    <w:name w:val="正文文本缩进 Char_0"/>
    <w:link w:val="190"/>
    <w:qFormat/>
    <w:uiPriority w:val="0"/>
    <w:rPr>
      <w:sz w:val="24"/>
      <w:szCs w:val="24"/>
    </w:rPr>
  </w:style>
  <w:style w:type="paragraph" w:customStyle="1" w:styleId="192">
    <w:name w:val="_Style 122"/>
    <w:basedOn w:val="4"/>
    <w:next w:val="1"/>
    <w:qFormat/>
    <w:uiPriority w:val="39"/>
    <w:pPr>
      <w:widowControl/>
      <w:adjustRightInd/>
      <w:spacing w:before="480" w:after="0" w:line="276" w:lineRule="auto"/>
      <w:ind w:firstLine="0"/>
      <w:textAlignment w:val="auto"/>
      <w:outlineLvl w:val="9"/>
    </w:pPr>
    <w:rPr>
      <w:rFonts w:ascii="Cambria" w:hAnsi="Cambria" w:eastAsia="宋体"/>
      <w:color w:val="365F91"/>
      <w:kern w:val="0"/>
      <w:sz w:val="28"/>
      <w:szCs w:val="28"/>
    </w:rPr>
  </w:style>
  <w:style w:type="paragraph" w:customStyle="1" w:styleId="193">
    <w:name w:val="题注_0_0"/>
    <w:basedOn w:val="181"/>
    <w:next w:val="181"/>
    <w:qFormat/>
    <w:uiPriority w:val="0"/>
    <w:pPr>
      <w:spacing w:before="152" w:after="160"/>
    </w:pPr>
    <w:rPr>
      <w:rFonts w:ascii="Arial" w:hAnsi="Arial" w:eastAsia="黑体"/>
      <w:sz w:val="20"/>
      <w:szCs w:val="20"/>
    </w:rPr>
  </w:style>
  <w:style w:type="paragraph" w:customStyle="1" w:styleId="194">
    <w:name w:val="样式1"/>
    <w:basedOn w:val="1"/>
    <w:qFormat/>
    <w:uiPriority w:val="0"/>
    <w:pPr>
      <w:tabs>
        <w:tab w:val="left" w:pos="1110"/>
      </w:tabs>
      <w:adjustRightInd w:val="0"/>
      <w:textAlignment w:val="baseline"/>
    </w:pPr>
    <w:rPr>
      <w:rFonts w:ascii="宋体" w:hAnsi="宋体"/>
      <w:kern w:val="0"/>
      <w:szCs w:val="21"/>
    </w:rPr>
  </w:style>
  <w:style w:type="paragraph" w:customStyle="1" w:styleId="195">
    <w:name w:val="Char"/>
    <w:basedOn w:val="1"/>
    <w:qFormat/>
    <w:uiPriority w:val="0"/>
    <w:pPr>
      <w:tabs>
        <w:tab w:val="left" w:pos="360"/>
      </w:tabs>
      <w:spacing w:line="360" w:lineRule="auto"/>
      <w:ind w:firstLine="480" w:firstLineChars="200"/>
    </w:pPr>
    <w:rPr>
      <w:rFonts w:ascii="楷体_GB2312" w:eastAsia="楷体_GB2312"/>
      <w:sz w:val="24"/>
    </w:rPr>
  </w:style>
  <w:style w:type="paragraph" w:customStyle="1" w:styleId="196">
    <w:name w:val="列出段落_0"/>
    <w:basedOn w:val="24"/>
    <w:qFormat/>
    <w:uiPriority w:val="34"/>
    <w:pPr>
      <w:ind w:firstLine="420" w:firstLineChars="200"/>
    </w:pPr>
    <w:rPr>
      <w:rFonts w:ascii="Calibri" w:hAnsi="Calibri" w:eastAsia="等线"/>
      <w:szCs w:val="22"/>
    </w:rPr>
  </w:style>
  <w:style w:type="paragraph" w:styleId="197">
    <w:name w:val="No Spacing"/>
    <w:qFormat/>
    <w:uiPriority w:val="1"/>
    <w:pPr>
      <w:widowControl w:val="0"/>
      <w:jc w:val="center"/>
    </w:pPr>
    <w:rPr>
      <w:rFonts w:ascii="Times New Roman" w:hAnsi="Times New Roman" w:eastAsia="黑体" w:cs="Times New Roman"/>
      <w:kern w:val="2"/>
      <w:sz w:val="30"/>
      <w:szCs w:val="24"/>
      <w:lang w:val="en-US" w:eastAsia="zh-CN" w:bidi="ar-SA"/>
    </w:rPr>
  </w:style>
  <w:style w:type="paragraph" w:customStyle="1" w:styleId="198">
    <w:name w:val="默认段落字体 Para Char Char Char Char Char Char Char Char Char Char Char Char Char Char Char Char"/>
    <w:basedOn w:val="1"/>
    <w:qFormat/>
    <w:uiPriority w:val="0"/>
    <w:rPr>
      <w:rFonts w:ascii="Tahoma" w:hAnsi="Tahoma"/>
      <w:sz w:val="24"/>
      <w:szCs w:val="20"/>
    </w:rPr>
  </w:style>
  <w:style w:type="paragraph" w:customStyle="1" w:styleId="199">
    <w:name w:val="样式 标题 2 + 宋体 五号 非加粗 黑色"/>
    <w:basedOn w:val="5"/>
    <w:qFormat/>
    <w:uiPriority w:val="0"/>
    <w:rPr>
      <w:rFonts w:ascii="宋体" w:hAnsi="宋体"/>
      <w:b w:val="0"/>
      <w:bCs w:val="0"/>
      <w:color w:val="000000"/>
      <w:sz w:val="21"/>
    </w:rPr>
  </w:style>
  <w:style w:type="paragraph" w:customStyle="1" w:styleId="200">
    <w:name w:val="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201">
    <w:name w:val="Char Char Char"/>
    <w:basedOn w:val="1"/>
    <w:qFormat/>
    <w:uiPriority w:val="0"/>
    <w:pPr>
      <w:widowControl/>
      <w:spacing w:after="160" w:line="240" w:lineRule="exact"/>
      <w:jc w:val="left"/>
    </w:pPr>
  </w:style>
  <w:style w:type="paragraph" w:customStyle="1" w:styleId="202">
    <w:name w:val="Char Char Char Char Char Char"/>
    <w:basedOn w:val="17"/>
    <w:qFormat/>
    <w:uiPriority w:val="0"/>
    <w:pPr>
      <w:shd w:val="clear" w:color="auto" w:fill="000080"/>
    </w:pPr>
    <w:rPr>
      <w:rFonts w:ascii="Tahoma" w:hAnsi="Tahoma" w:eastAsia="等线"/>
      <w:sz w:val="24"/>
      <w:szCs w:val="22"/>
    </w:rPr>
  </w:style>
  <w:style w:type="paragraph" w:customStyle="1" w:styleId="203">
    <w:name w:val="正文11"/>
    <w:qFormat/>
    <w:uiPriority w:val="0"/>
    <w:pPr>
      <w:widowControl w:val="0"/>
      <w:jc w:val="both"/>
    </w:pPr>
    <w:rPr>
      <w:rFonts w:ascii="Calibri" w:hAnsi="Calibri" w:eastAsia="宋体" w:cs="Times New Roman"/>
      <w:lang w:val="en-US" w:eastAsia="zh-CN" w:bidi="ar-SA"/>
    </w:rPr>
  </w:style>
  <w:style w:type="paragraph" w:customStyle="1" w:styleId="20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5">
    <w:name w:val="Char1"/>
    <w:basedOn w:val="1"/>
    <w:qFormat/>
    <w:uiPriority w:val="0"/>
    <w:pPr>
      <w:tabs>
        <w:tab w:val="left" w:pos="432"/>
      </w:tabs>
      <w:spacing w:beforeLines="50" w:afterLines="50"/>
      <w:ind w:left="432" w:hanging="432"/>
    </w:pPr>
  </w:style>
  <w:style w:type="paragraph" w:customStyle="1" w:styleId="206">
    <w:name w:val="Normal_18"/>
    <w:qFormat/>
    <w:uiPriority w:val="0"/>
    <w:rPr>
      <w:rFonts w:ascii="黑体" w:hAnsi="黑体" w:eastAsia="黑体" w:cs="Times New Roman"/>
      <w:b/>
      <w:sz w:val="32"/>
      <w:szCs w:val="24"/>
      <w:lang w:val="en-US" w:eastAsia="zh-CN" w:bidi="ar-SA"/>
    </w:rPr>
  </w:style>
  <w:style w:type="paragraph" w:customStyle="1" w:styleId="207">
    <w:name w:val="样式 标题 4 + 段前: 5 磅 段后: 5 磅 行距: 单倍行距"/>
    <w:basedOn w:val="7"/>
    <w:qFormat/>
    <w:uiPriority w:val="0"/>
    <w:pPr>
      <w:spacing w:before="100" w:after="100" w:line="240" w:lineRule="auto"/>
    </w:pPr>
    <w:rPr>
      <w:rFonts w:cs="宋体"/>
      <w:szCs w:val="20"/>
    </w:rPr>
  </w:style>
  <w:style w:type="paragraph" w:customStyle="1" w:styleId="208">
    <w:name w:val="附件正文"/>
    <w:basedOn w:val="1"/>
    <w:qFormat/>
    <w:uiPriority w:val="0"/>
    <w:pPr>
      <w:snapToGrid w:val="0"/>
      <w:spacing w:line="500" w:lineRule="exact"/>
      <w:ind w:firstLine="540" w:firstLineChars="225"/>
    </w:pPr>
    <w:rPr>
      <w:kern w:val="0"/>
      <w:sz w:val="24"/>
    </w:rPr>
  </w:style>
  <w:style w:type="character" w:customStyle="1" w:styleId="209">
    <w:name w:val="批注文字 Char1"/>
    <w:semiHidden/>
    <w:qFormat/>
    <w:uiPriority w:val="0"/>
    <w:rPr>
      <w:rFonts w:ascii="Times New Roman" w:hAnsi="Times New Roman"/>
      <w:kern w:val="2"/>
      <w:sz w:val="21"/>
      <w:szCs w:val="24"/>
    </w:rPr>
  </w:style>
  <w:style w:type="character" w:customStyle="1" w:styleId="210">
    <w:name w:val="批注文字 Char"/>
    <w:qFormat/>
    <w:uiPriority w:val="0"/>
    <w:rPr>
      <w:rFonts w:eastAsia="宋体"/>
      <w:kern w:val="2"/>
      <w:sz w:val="21"/>
      <w:szCs w:val="24"/>
      <w:lang w:val="en-US" w:eastAsia="zh-CN" w:bidi="ar-SA"/>
    </w:rPr>
  </w:style>
  <w:style w:type="character" w:customStyle="1" w:styleId="211">
    <w:name w:val="Char Char6"/>
    <w:qFormat/>
    <w:uiPriority w:val="0"/>
    <w:rPr>
      <w:rFonts w:eastAsia="宋体"/>
      <w:kern w:val="2"/>
      <w:sz w:val="21"/>
      <w:szCs w:val="24"/>
      <w:lang w:val="en-US" w:eastAsia="zh-CN" w:bidi="ar-SA"/>
    </w:rPr>
  </w:style>
  <w:style w:type="character" w:customStyle="1" w:styleId="212">
    <w:name w:val="Char Char3"/>
    <w:qFormat/>
    <w:uiPriority w:val="0"/>
    <w:rPr>
      <w:rFonts w:eastAsia="宋体"/>
      <w:kern w:val="2"/>
      <w:sz w:val="21"/>
      <w:szCs w:val="24"/>
      <w:lang w:val="en-US" w:eastAsia="zh-CN" w:bidi="ar-SA"/>
    </w:rPr>
  </w:style>
  <w:style w:type="character" w:customStyle="1" w:styleId="213">
    <w:name w:val="超链接_0"/>
    <w:qFormat/>
    <w:uiPriority w:val="99"/>
    <w:rPr>
      <w:rFonts w:ascii="Calibri" w:hAnsi="Calibri" w:eastAsia="Times New Roman"/>
      <w:color w:val="0000FF"/>
      <w:u w:val="single"/>
    </w:rPr>
  </w:style>
  <w:style w:type="paragraph" w:customStyle="1" w:styleId="214">
    <w:name w:val="_Style 9"/>
    <w:basedOn w:val="1"/>
    <w:next w:val="185"/>
    <w:qFormat/>
    <w:uiPriority w:val="34"/>
    <w:pPr>
      <w:ind w:firstLine="420" w:firstLineChars="200"/>
    </w:pPr>
    <w:rPr>
      <w:rFonts w:ascii="Calibri" w:hAnsi="Calibri" w:eastAsia="宋体"/>
    </w:rPr>
  </w:style>
  <w:style w:type="paragraph" w:customStyle="1" w:styleId="215">
    <w:name w:val="_Style 22"/>
    <w:basedOn w:val="1"/>
    <w:next w:val="185"/>
    <w:qFormat/>
    <w:uiPriority w:val="0"/>
    <w:pPr>
      <w:ind w:firstLine="420" w:firstLineChars="200"/>
    </w:pPr>
    <w:rPr>
      <w:rFonts w:ascii="Calibri" w:hAnsi="Calibri" w:eastAsia="宋体"/>
      <w:szCs w:val="21"/>
    </w:rPr>
  </w:style>
  <w:style w:type="paragraph" w:customStyle="1" w:styleId="216">
    <w:name w:val="_Style 13"/>
    <w:basedOn w:val="1"/>
    <w:next w:val="185"/>
    <w:link w:val="217"/>
    <w:qFormat/>
    <w:uiPriority w:val="34"/>
    <w:pPr>
      <w:ind w:firstLine="420" w:firstLineChars="200"/>
    </w:pPr>
    <w:rPr>
      <w:rFonts w:ascii="Calibri" w:hAnsi="Calibri" w:eastAsia="宋体"/>
    </w:rPr>
  </w:style>
  <w:style w:type="character" w:customStyle="1" w:styleId="217">
    <w:name w:val="列表段落 字符"/>
    <w:link w:val="216"/>
    <w:qFormat/>
    <w:locked/>
    <w:uiPriority w:val="34"/>
    <w:rPr>
      <w:rFonts w:ascii="Calibri" w:hAnsi="Calibri"/>
      <w:kern w:val="2"/>
      <w:sz w:val="21"/>
      <w:szCs w:val="22"/>
    </w:rPr>
  </w:style>
  <w:style w:type="paragraph" w:customStyle="1" w:styleId="218">
    <w:name w:val="Default"/>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styleId="219">
    <w:name w:val="Intense Quote"/>
    <w:basedOn w:val="1"/>
    <w:next w:val="1"/>
    <w:link w:val="220"/>
    <w:qFormat/>
    <w:uiPriority w:val="30"/>
    <w:pPr>
      <w:pBdr>
        <w:bottom w:val="single" w:color="4F81BD" w:sz="4" w:space="4"/>
      </w:pBdr>
      <w:spacing w:before="200" w:after="280"/>
      <w:ind w:left="936" w:right="936"/>
    </w:pPr>
    <w:rPr>
      <w:rFonts w:ascii="Calibri" w:hAnsi="Calibri" w:eastAsia="宋体" w:cs="Times New Roman"/>
      <w:b/>
      <w:bCs/>
      <w:i/>
      <w:iCs/>
      <w:color w:val="4F81BD"/>
    </w:rPr>
  </w:style>
  <w:style w:type="character" w:customStyle="1" w:styleId="220">
    <w:name w:val="明显引用 字符"/>
    <w:link w:val="219"/>
    <w:qFormat/>
    <w:uiPriority w:val="30"/>
    <w:rPr>
      <w:rFonts w:ascii="Calibri" w:hAnsi="Calibri" w:eastAsia="宋体" w:cs="Times New Roman"/>
      <w:b/>
      <w:bCs/>
      <w:i/>
      <w:iCs/>
      <w:color w:val="4F81BD"/>
      <w:kern w:val="2"/>
      <w:sz w:val="21"/>
      <w:szCs w:val="22"/>
    </w:rPr>
  </w:style>
  <w:style w:type="table" w:customStyle="1" w:styleId="221">
    <w:name w:val="网格型1"/>
    <w:basedOn w:val="44"/>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22">
    <w:name w:val="font41"/>
    <w:qFormat/>
    <w:uiPriority w:val="0"/>
    <w:rPr>
      <w:rFonts w:ascii="MS Sans Serif" w:hAnsi="MS Sans Serif" w:eastAsia="MS Sans Serif" w:cs="MS Sans Serif"/>
      <w:color w:val="000000"/>
      <w:sz w:val="20"/>
      <w:szCs w:val="20"/>
      <w:u w:val="none"/>
    </w:rPr>
  </w:style>
  <w:style w:type="character" w:customStyle="1" w:styleId="223">
    <w:name w:val="font31"/>
    <w:qFormat/>
    <w:uiPriority w:val="0"/>
    <w:rPr>
      <w:rFonts w:ascii="宋体" w:hAnsi="宋体" w:eastAsia="宋体" w:cs="宋体"/>
      <w:color w:val="000000"/>
      <w:sz w:val="20"/>
      <w:szCs w:val="20"/>
      <w:u w:val="none"/>
    </w:rPr>
  </w:style>
  <w:style w:type="paragraph" w:customStyle="1" w:styleId="224">
    <w:name w:val="xl63"/>
    <w:basedOn w:val="1"/>
    <w:qFormat/>
    <w:uiPriority w:val="0"/>
    <w:pPr>
      <w:widowControl/>
      <w:pBdr>
        <w:top w:val="single" w:color="000000" w:sz="8" w:space="0"/>
        <w:left w:val="single" w:color="000000" w:sz="8" w:space="0"/>
        <w:bottom w:val="single" w:color="000000" w:sz="8" w:space="0"/>
        <w:right w:val="single" w:color="auto"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25">
    <w:name w:val="xl64"/>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26">
    <w:name w:val="xl65"/>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27">
    <w:name w:val="xl6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FF0000"/>
      <w:kern w:val="0"/>
      <w:sz w:val="24"/>
      <w:szCs w:val="24"/>
    </w:rPr>
  </w:style>
  <w:style w:type="paragraph" w:customStyle="1" w:styleId="228">
    <w:name w:val="xl67"/>
    <w:basedOn w:val="1"/>
    <w:qFormat/>
    <w:uiPriority w:val="0"/>
    <w:pPr>
      <w:widowControl/>
      <w:pBdr>
        <w:left w:val="single" w:color="000000" w:sz="8" w:space="0"/>
        <w:bottom w:val="single" w:color="000000" w:sz="8" w:space="0"/>
        <w:right w:val="single" w:color="auto" w:sz="8"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29">
    <w:name w:val="xl68"/>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30">
    <w:name w:val="xl69"/>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eastAsia="宋体" w:cs="宋体"/>
      <w:color w:val="000000"/>
      <w:kern w:val="0"/>
      <w:sz w:val="24"/>
      <w:szCs w:val="24"/>
    </w:rPr>
  </w:style>
  <w:style w:type="character" w:customStyle="1" w:styleId="231">
    <w:name w:val="font11"/>
    <w:qFormat/>
    <w:uiPriority w:val="0"/>
    <w:rPr>
      <w:rFonts w:hint="eastAsia" w:ascii="仿宋" w:hAnsi="仿宋" w:eastAsia="仿宋" w:cs="仿宋"/>
      <w:b/>
      <w:bCs/>
      <w:color w:val="000000"/>
      <w:sz w:val="22"/>
      <w:szCs w:val="22"/>
      <w:u w:val="none"/>
    </w:rPr>
  </w:style>
  <w:style w:type="character" w:customStyle="1" w:styleId="232">
    <w:name w:val="font21"/>
    <w:qFormat/>
    <w:uiPriority w:val="0"/>
    <w:rPr>
      <w:rFonts w:hint="eastAsia" w:ascii="仿宋" w:hAnsi="仿宋" w:eastAsia="仿宋" w:cs="仿宋"/>
      <w:b/>
      <w:bCs/>
      <w:color w:val="000000"/>
      <w:sz w:val="20"/>
      <w:szCs w:val="20"/>
      <w:u w:val="none"/>
    </w:rPr>
  </w:style>
  <w:style w:type="paragraph" w:customStyle="1" w:styleId="233">
    <w:name w:val="Char2"/>
    <w:basedOn w:val="1"/>
    <w:qFormat/>
    <w:uiPriority w:val="0"/>
    <w:rPr>
      <w:rFonts w:ascii="Tahoma" w:hAnsi="Tahoma" w:eastAsia="宋体"/>
      <w:sz w:val="24"/>
      <w:szCs w:val="20"/>
    </w:rPr>
  </w:style>
  <w:style w:type="paragraph" w:customStyle="1" w:styleId="234">
    <w:name w:val="正文（首行缩进2字符）"/>
    <w:basedOn w:val="1"/>
    <w:qFormat/>
    <w:uiPriority w:val="0"/>
    <w:pPr>
      <w:ind w:firstLine="420" w:firstLineChars="200"/>
    </w:pPr>
    <w:rPr>
      <w:rFonts w:ascii="Times New Roman" w:hAnsi="Times New Roman" w:eastAsia="宋体"/>
      <w:szCs w:val="21"/>
    </w:rPr>
  </w:style>
  <w:style w:type="paragraph" w:customStyle="1" w:styleId="235">
    <w:name w:val="正文文本缩进_0_2"/>
    <w:basedOn w:val="151"/>
    <w:qFormat/>
    <w:uiPriority w:val="0"/>
    <w:pPr>
      <w:spacing w:line="500" w:lineRule="exact"/>
      <w:ind w:left="1588" w:leftChars="832" w:firstLine="433" w:firstLineChars="196"/>
    </w:pPr>
    <w:rPr>
      <w:kern w:val="0"/>
      <w:sz w:val="24"/>
    </w:rPr>
  </w:style>
  <w:style w:type="paragraph" w:customStyle="1" w:styleId="236">
    <w:name w:val="正文2"/>
    <w:next w:val="237"/>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7">
    <w:name w:val="正文缩进1"/>
    <w:basedOn w:val="236"/>
    <w:unhideWhenUsed/>
    <w:qFormat/>
    <w:uiPriority w:val="0"/>
    <w:pPr>
      <w:ind w:firstLine="420" w:firstLineChars="200"/>
    </w:pPr>
  </w:style>
  <w:style w:type="paragraph" w:customStyle="1" w:styleId="238">
    <w:name w:val="正文文本首行缩进1"/>
    <w:basedOn w:val="1"/>
    <w:unhideWhenUsed/>
    <w:qFormat/>
    <w:uiPriority w:val="99"/>
    <w:pPr>
      <w:spacing w:after="120"/>
      <w:ind w:firstLine="420" w:firstLineChars="100"/>
    </w:pPr>
    <w:rPr>
      <w:rFonts w:ascii="Calibri" w:hAnsi="Calibri" w:eastAsia="宋体" w:cs="Calibri"/>
    </w:rPr>
  </w:style>
  <w:style w:type="paragraph" w:customStyle="1" w:styleId="239">
    <w:name w:val="正文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0">
    <w:name w:val="正文_4_0_0"/>
    <w:basedOn w:val="127"/>
    <w:qFormat/>
    <w:uiPriority w:val="0"/>
  </w:style>
  <w:style w:type="paragraph" w:customStyle="1" w:styleId="241">
    <w:name w:val="正文_0_1_0"/>
    <w:basedOn w:val="242"/>
    <w:qFormat/>
    <w:uiPriority w:val="0"/>
  </w:style>
  <w:style w:type="paragraph" w:customStyle="1" w:styleId="242">
    <w:name w:val="正文_3_2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3">
    <w:name w:val="正文31"/>
    <w:next w:val="244"/>
    <w:qFormat/>
    <w:uiPriority w:val="0"/>
    <w:rPr>
      <w:rFonts w:ascii="Times New Roman" w:hAnsi="Times New Roman" w:eastAsia="Times New Roman" w:cs="Times New Roman"/>
      <w:sz w:val="24"/>
      <w:szCs w:val="24"/>
      <w:lang w:val="en-US" w:eastAsia="zh-CN" w:bidi="ar-SA"/>
    </w:rPr>
  </w:style>
  <w:style w:type="paragraph" w:customStyle="1" w:styleId="244">
    <w:name w:val="正文缩进21"/>
    <w:basedOn w:val="243"/>
    <w:unhideWhenUsed/>
    <w:qFormat/>
    <w:uiPriority w:val="0"/>
    <w:pPr>
      <w:ind w:firstLine="420" w:firstLineChars="200"/>
    </w:pPr>
    <w:rPr>
      <w:rFonts w:ascii="Calibri" w:hAnsi="Calibri"/>
      <w:szCs w:val="22"/>
    </w:rPr>
  </w:style>
  <w:style w:type="paragraph" w:customStyle="1" w:styleId="245">
    <w:name w:val="正文缩进2"/>
    <w:basedOn w:val="239"/>
    <w:unhideWhenUsed/>
    <w:qFormat/>
    <w:uiPriority w:val="0"/>
    <w:pPr>
      <w:ind w:firstLine="420" w:firstLineChars="200"/>
    </w:pPr>
    <w:rPr>
      <w:rFonts w:ascii="Calibri" w:hAnsi="Calibri"/>
      <w:szCs w:val="22"/>
    </w:rPr>
  </w:style>
  <w:style w:type="paragraph" w:customStyle="1" w:styleId="246">
    <w:name w:val="正文_1_0_0"/>
    <w:basedOn w:val="100"/>
    <w:qFormat/>
    <w:uiPriority w:val="0"/>
  </w:style>
  <w:style w:type="paragraph" w:customStyle="1" w:styleId="247">
    <w:name w:val="正文_1_0_0_0"/>
    <w:basedOn w:val="138"/>
    <w:next w:val="10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8">
    <w:name w:val="正文_4_0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9">
    <w:name w:val="标题 5（有编号）（绿盟科技）"/>
    <w:basedOn w:val="1"/>
    <w:next w:val="250"/>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250">
    <w:name w:val="正文（绿盟科技）"/>
    <w:qFormat/>
    <w:uiPriority w:val="0"/>
    <w:pPr>
      <w:spacing w:line="300" w:lineRule="auto"/>
    </w:pPr>
    <w:rPr>
      <w:rFonts w:ascii="Arial" w:hAnsi="Arial" w:eastAsia="宋体" w:cs="黑体"/>
      <w:sz w:val="21"/>
      <w:szCs w:val="21"/>
      <w:lang w:val="en-US" w:eastAsia="zh-CN" w:bidi="ar-SA"/>
    </w:rPr>
  </w:style>
  <w:style w:type="character" w:customStyle="1" w:styleId="251">
    <w:name w:val="font61"/>
    <w:basedOn w:val="46"/>
    <w:uiPriority w:val="0"/>
    <w:rPr>
      <w:rFonts w:hint="eastAsia" w:ascii="宋体" w:hAnsi="宋体" w:eastAsia="宋体" w:cs="宋体"/>
      <w:color w:val="000000"/>
      <w:sz w:val="18"/>
      <w:szCs w:val="18"/>
      <w:u w:val="none"/>
    </w:rPr>
  </w:style>
  <w:style w:type="paragraph" w:customStyle="1" w:styleId="252">
    <w:name w:val="索引 11"/>
    <w:basedOn w:val="1"/>
    <w:next w:val="1"/>
    <w:qFormat/>
    <w:uiPriority w:val="0"/>
    <w:pPr>
      <w:spacing w:line="360" w:lineRule="auto"/>
    </w:pPr>
    <w:rPr>
      <w:rFonts w:ascii="仿宋_GB2312" w:eastAsia="仿宋_GB2312"/>
      <w:sz w:val="24"/>
      <w:szCs w:val="20"/>
    </w:rPr>
  </w:style>
  <w:style w:type="paragraph" w:customStyle="1" w:styleId="253">
    <w:name w:val="纯文本1"/>
    <w:basedOn w:val="1"/>
    <w:qFormat/>
    <w:uiPriority w:val="0"/>
    <w:rPr>
      <w:rFonts w:ascii="宋体" w:hAnsi="Courier New"/>
      <w:kern w:val="0"/>
      <w:sz w:val="20"/>
      <w:szCs w:val="20"/>
    </w:rPr>
  </w:style>
  <w:style w:type="paragraph" w:customStyle="1" w:styleId="254">
    <w:name w:val="页眉1"/>
    <w:basedOn w:val="1"/>
    <w:qFormat/>
    <w:uiPriority w:val="99"/>
    <w:pPr>
      <w:pBdr>
        <w:bottom w:val="single" w:color="000000" w:sz="6" w:space="1"/>
      </w:pBdr>
      <w:tabs>
        <w:tab w:val="center" w:pos="4153"/>
        <w:tab w:val="right" w:pos="8306"/>
      </w:tabs>
      <w:jc w:val="center"/>
    </w:pPr>
    <w:rPr>
      <w:sz w:val="18"/>
      <w:szCs w:val="18"/>
    </w:rPr>
  </w:style>
  <w:style w:type="paragraph" w:customStyle="1" w:styleId="255">
    <w:name w:val="Footer"/>
    <w:basedOn w:val="1"/>
    <w:qFormat/>
    <w:uiPriority w:val="99"/>
    <w:pPr>
      <w:tabs>
        <w:tab w:val="center" w:pos="4153"/>
        <w:tab w:val="right" w:pos="8306"/>
      </w:tabs>
      <w:jc w:val="left"/>
    </w:pPr>
    <w:rPr>
      <w:rFonts w:ascii="Times New Roman" w:hAnsi="Times New Roman"/>
      <w:sz w:val="18"/>
      <w:szCs w:val="20"/>
    </w:rPr>
  </w:style>
  <w:style w:type="paragraph" w:customStyle="1" w:styleId="256">
    <w:name w:val="Table Text"/>
    <w:basedOn w:val="1"/>
    <w:semiHidden/>
    <w:qFormat/>
    <w:uiPriority w:val="0"/>
    <w:rPr>
      <w:rFonts w:ascii="仿宋" w:hAnsi="仿宋" w:eastAsia="仿宋" w:cs="仿宋"/>
      <w:sz w:val="24"/>
      <w:szCs w:val="24"/>
      <w:lang w:val="en-US" w:eastAsia="en-US" w:bidi="ar-SA"/>
    </w:rPr>
  </w:style>
  <w:style w:type="table" w:customStyle="1" w:styleId="257">
    <w:name w:val="Table Normal"/>
    <w:unhideWhenUsed/>
    <w:qFormat/>
    <w:uiPriority w:val="2"/>
    <w:rPr>
      <w:lang w:val="en-US" w:eastAsia="zh-CN" w:bidi="ar-SA"/>
    </w:rPr>
    <w:tblPr>
      <w:tblCellMar>
        <w:top w:w="0" w:type="dxa"/>
        <w:left w:w="0" w:type="dxa"/>
        <w:bottom w:w="0" w:type="dxa"/>
        <w:right w:w="0" w:type="dxa"/>
      </w:tblCellMar>
    </w:tblPr>
  </w:style>
  <w:style w:type="paragraph" w:customStyle="1" w:styleId="258">
    <w:name w:val="Normal_18_0"/>
    <w:qFormat/>
    <w:uiPriority w:val="0"/>
    <w:pPr>
      <w:widowControl w:val="0"/>
      <w:jc w:val="both"/>
    </w:pPr>
    <w:rPr>
      <w:rFonts w:ascii="Calibri" w:hAnsi="Calibri" w:eastAsia="宋体" w:cs="Times New Roman"/>
      <w:kern w:val="2"/>
      <w:sz w:val="21"/>
      <w:szCs w:val="22"/>
      <w:lang w:bidi="ar-SA"/>
    </w:rPr>
  </w:style>
  <w:style w:type="paragraph" w:customStyle="1" w:styleId="259">
    <w:name w:val="BodyTextIndent"/>
    <w:basedOn w:val="1"/>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character" w:customStyle="1" w:styleId="260">
    <w:name w:val="NormalCharacter"/>
    <w:link w:val="261"/>
    <w:qFormat/>
    <w:uiPriority w:val="0"/>
  </w:style>
  <w:style w:type="paragraph" w:customStyle="1" w:styleId="261">
    <w:name w:val="UserStyle_5"/>
    <w:basedOn w:val="1"/>
    <w:link w:val="260"/>
    <w:qFormat/>
    <w:uiPriority w:val="0"/>
    <w:pPr>
      <w:widowControl/>
      <w:spacing w:after="160" w:line="240" w:lineRule="exact"/>
      <w:jc w:val="left"/>
      <w:textAlignment w:val="baseline"/>
    </w:pPr>
  </w:style>
  <w:style w:type="paragraph" w:customStyle="1" w:styleId="262">
    <w:name w:val="UserStyle_33"/>
    <w:qFormat/>
    <w:uiPriority w:val="0"/>
    <w:pPr>
      <w:widowControl/>
      <w:textAlignment w:val="baseline"/>
    </w:pPr>
    <w:rPr>
      <w:rFonts w:ascii="黑体" w:hAnsi="黑体" w:eastAsia="黑体" w:cs="Times New Roman"/>
      <w:b/>
      <w:sz w:val="32"/>
      <w:szCs w:val="24"/>
      <w:lang w:val="en-US" w:bidi="ar-SA"/>
    </w:rPr>
  </w:style>
  <w:style w:type="paragraph" w:customStyle="1" w:styleId="263">
    <w:name w:val="UserStyle_34"/>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264">
    <w:name w:val="UserStyle_37"/>
    <w:qFormat/>
    <w:uiPriority w:val="0"/>
    <w:pPr>
      <w:widowControl/>
      <w:textAlignment w:val="baseline"/>
    </w:pPr>
    <w:rPr>
      <w:rFonts w:ascii="黑体" w:hAnsi="黑体" w:eastAsia="黑体" w:cs="Times New Roman"/>
      <w:b/>
      <w:sz w:val="32"/>
      <w:szCs w:val="24"/>
      <w:lang w:val="en-US" w:bidi="ar-SA"/>
    </w:rPr>
  </w:style>
  <w:style w:type="paragraph" w:customStyle="1" w:styleId="265">
    <w:name w:val="UserStyle_63"/>
    <w:qFormat/>
    <w:uiPriority w:val="0"/>
    <w:pPr>
      <w:widowControl/>
      <w:textAlignment w:val="baseline"/>
    </w:pPr>
    <w:rPr>
      <w:rFonts w:ascii="黑体" w:hAnsi="黑体" w:eastAsia="黑体" w:cs="Times New Roman"/>
      <w:b/>
      <w:sz w:val="32"/>
      <w:szCs w:val="24"/>
      <w:lang w:val="en-US" w:bidi="ar-SA"/>
    </w:rPr>
  </w:style>
  <w:style w:type="paragraph" w:customStyle="1" w:styleId="266">
    <w:name w:val="UserStyle_66"/>
    <w:basedOn w:val="267"/>
    <w:qFormat/>
    <w:uiPriority w:val="0"/>
    <w:pPr>
      <w:jc w:val="both"/>
      <w:textAlignment w:val="baseline"/>
    </w:pPr>
    <w:rPr>
      <w:rFonts w:ascii="Calibri" w:hAnsi="Calibri" w:eastAsia="宋体"/>
      <w:kern w:val="2"/>
      <w:sz w:val="21"/>
      <w:szCs w:val="22"/>
      <w:lang w:val="en-US" w:eastAsia="zh-CN" w:bidi="ar-SA"/>
    </w:rPr>
  </w:style>
  <w:style w:type="paragraph" w:customStyle="1" w:styleId="267">
    <w:name w:val="UserStyle_67"/>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268">
    <w:name w:val="UserStyle_122"/>
    <w:basedOn w:val="267"/>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269">
    <w:name w:val="UserStyle_124"/>
    <w:basedOn w:val="270"/>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270">
    <w:name w:val="UserStyle_123"/>
    <w:basedOn w:val="267"/>
    <w:next w:val="269"/>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271">
    <w:name w:val="UserStyle_10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272">
    <w:name w:val="UserStyle_74"/>
    <w:qFormat/>
    <w:uiPriority w:val="0"/>
    <w:pPr>
      <w:widowControl/>
      <w:textAlignment w:val="baseline"/>
    </w:pPr>
    <w:rPr>
      <w:rFonts w:ascii="黑体" w:hAnsi="黑体" w:eastAsia="黑体" w:cs="Times New Roman"/>
      <w:b/>
      <w:sz w:val="32"/>
      <w:szCs w:val="24"/>
      <w:lang w:val="en-US" w:bidi="ar-SA"/>
    </w:rPr>
  </w:style>
  <w:style w:type="paragraph" w:customStyle="1" w:styleId="273">
    <w:name w:val="UserStyle_40"/>
    <w:qFormat/>
    <w:uiPriority w:val="0"/>
    <w:pPr>
      <w:widowControl/>
      <w:textAlignment w:val="baseline"/>
    </w:pPr>
    <w:rPr>
      <w:rFonts w:ascii="黑体" w:hAnsi="黑体" w:eastAsia="黑体" w:cs="Times New Roman"/>
      <w:b/>
      <w:sz w:val="32"/>
      <w:szCs w:val="24"/>
      <w:lang w:val="en-US" w:bidi="ar-SA"/>
    </w:rPr>
  </w:style>
  <w:style w:type="paragraph" w:customStyle="1" w:styleId="274">
    <w:name w:val="Body Text First Indent 21"/>
    <w:basedOn w:val="275"/>
    <w:qFormat/>
    <w:uiPriority w:val="0"/>
    <w:pPr>
      <w:ind w:firstLine="420" w:firstLineChars="200"/>
    </w:pPr>
  </w:style>
  <w:style w:type="paragraph" w:customStyle="1" w:styleId="275">
    <w:name w:val="Body Text Indent1"/>
    <w:basedOn w:val="1"/>
    <w:qFormat/>
    <w:uiPriority w:val="0"/>
    <w:pPr>
      <w:spacing w:after="120" w:afterLines="0"/>
      <w:ind w:left="420" w:leftChars="200"/>
    </w:pPr>
    <w:rPr>
      <w:rFonts w:cs="Times New Roman"/>
      <w:szCs w:val="24"/>
    </w:rPr>
  </w:style>
  <w:style w:type="paragraph" w:customStyle="1" w:styleId="276">
    <w:name w:val="UserStyle_56"/>
    <w:basedOn w:val="277"/>
    <w:qFormat/>
    <w:uiPriority w:val="0"/>
    <w:pPr>
      <w:spacing w:after="120"/>
      <w:jc w:val="both"/>
      <w:textAlignment w:val="baseline"/>
    </w:pPr>
    <w:rPr>
      <w:kern w:val="0"/>
      <w:sz w:val="20"/>
      <w:szCs w:val="24"/>
      <w:lang w:val="en-US" w:eastAsia="zh-CN" w:bidi="ar-SA"/>
    </w:rPr>
  </w:style>
  <w:style w:type="paragraph" w:customStyle="1" w:styleId="277">
    <w:name w:val="UserStyle_53"/>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278">
    <w:name w:val="UserStyle_76"/>
    <w:basedOn w:val="279"/>
    <w:next w:val="279"/>
    <w:qFormat/>
    <w:uiPriority w:val="0"/>
    <w:pPr>
      <w:ind w:left="100" w:leftChars="2500"/>
      <w:jc w:val="both"/>
      <w:textAlignment w:val="baseline"/>
    </w:pPr>
    <w:rPr>
      <w:kern w:val="0"/>
      <w:sz w:val="20"/>
      <w:szCs w:val="24"/>
      <w:lang w:val="en-US" w:eastAsia="zh-CN" w:bidi="ar-SA"/>
    </w:rPr>
  </w:style>
  <w:style w:type="paragraph" w:customStyle="1" w:styleId="279">
    <w:name w:val="UserStyle_77"/>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280">
    <w:name w:val="UserStyle_42"/>
    <w:basedOn w:val="281"/>
    <w:next w:val="281"/>
    <w:qFormat/>
    <w:uiPriority w:val="0"/>
    <w:pPr>
      <w:spacing w:line="500" w:lineRule="exact"/>
      <w:jc w:val="center"/>
      <w:textAlignment w:val="baseline"/>
    </w:pPr>
    <w:rPr>
      <w:rFonts w:ascii="宋体" w:hAnsi="宋体"/>
      <w:b/>
      <w:kern w:val="0"/>
      <w:sz w:val="28"/>
      <w:szCs w:val="28"/>
      <w:lang w:bidi="ar-SA"/>
    </w:rPr>
  </w:style>
  <w:style w:type="paragraph" w:customStyle="1" w:styleId="281">
    <w:name w:val="UserStyle_43"/>
    <w:qFormat/>
    <w:uiPriority w:val="0"/>
    <w:pPr>
      <w:jc w:val="both"/>
      <w:textAlignment w:val="baseline"/>
    </w:pPr>
    <w:rPr>
      <w:rFonts w:ascii="Calibri" w:hAnsi="Calibri" w:eastAsia="宋体" w:cs="Times New Roman"/>
      <w:kern w:val="2"/>
      <w:sz w:val="28"/>
      <w:szCs w:val="22"/>
      <w:lang w:val="en-US" w:eastAsia="zh-CN" w:bidi="ar-SA"/>
    </w:rPr>
  </w:style>
  <w:style w:type="paragraph" w:customStyle="1" w:styleId="282">
    <w:name w:val="UserStyle_81"/>
    <w:qFormat/>
    <w:uiPriority w:val="0"/>
    <w:pPr>
      <w:widowControl/>
      <w:textAlignment w:val="baseline"/>
    </w:pPr>
    <w:rPr>
      <w:rFonts w:ascii="黑体" w:hAnsi="黑体" w:eastAsia="黑体" w:cs="Times New Roman"/>
      <w:b/>
      <w:sz w:val="32"/>
      <w:szCs w:val="24"/>
      <w:lang w:val="en-US" w:bidi="ar-SA"/>
    </w:rPr>
  </w:style>
  <w:style w:type="paragraph" w:customStyle="1" w:styleId="283">
    <w:name w:val="UserStyle_83"/>
    <w:basedOn w:val="284"/>
    <w:qFormat/>
    <w:uiPriority w:val="0"/>
    <w:pPr>
      <w:spacing w:after="120"/>
      <w:jc w:val="both"/>
      <w:textAlignment w:val="baseline"/>
    </w:pPr>
    <w:rPr>
      <w:kern w:val="0"/>
      <w:sz w:val="20"/>
      <w:szCs w:val="24"/>
      <w:lang w:val="en-US" w:eastAsia="zh-CN" w:bidi="ar-SA"/>
    </w:rPr>
  </w:style>
  <w:style w:type="paragraph" w:customStyle="1" w:styleId="284">
    <w:name w:val="UserStyle_82"/>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285">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286">
    <w:name w:val="UserStyle_89"/>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287">
    <w:name w:val="UserStyle_95"/>
    <w:qFormat/>
    <w:uiPriority w:val="0"/>
    <w:pPr>
      <w:widowControl/>
      <w:textAlignment w:val="baseline"/>
    </w:pPr>
    <w:rPr>
      <w:rFonts w:ascii="黑体" w:hAnsi="黑体" w:eastAsia="黑体" w:cs="Times New Roman"/>
      <w:b/>
      <w:sz w:val="32"/>
      <w:szCs w:val="24"/>
      <w:lang w:val="en-US" w:bidi="ar-SA"/>
    </w:rPr>
  </w:style>
  <w:style w:type="paragraph" w:customStyle="1" w:styleId="288">
    <w:name w:val="UserStyle_61"/>
    <w:qFormat/>
    <w:uiPriority w:val="0"/>
    <w:pPr>
      <w:jc w:val="both"/>
      <w:textAlignment w:val="baseline"/>
    </w:pPr>
    <w:rPr>
      <w:rFonts w:ascii="Calibri" w:hAnsi="Calibri" w:eastAsia="宋体" w:cs="Times New Roman"/>
      <w:kern w:val="2"/>
      <w:sz w:val="28"/>
      <w:szCs w:val="22"/>
      <w:lang w:val="en-US" w:eastAsia="zh-CN" w:bidi="ar-SA"/>
    </w:rPr>
  </w:style>
  <w:style w:type="paragraph" w:customStyle="1" w:styleId="289">
    <w:name w:val="UserStyle_93"/>
    <w:qFormat/>
    <w:uiPriority w:val="0"/>
    <w:pPr>
      <w:widowControl/>
      <w:textAlignment w:val="baseline"/>
    </w:pPr>
    <w:rPr>
      <w:rFonts w:ascii="黑体" w:hAnsi="黑体" w:eastAsia="黑体" w:cs="Times New Roman"/>
      <w:b/>
      <w:sz w:val="32"/>
      <w:szCs w:val="24"/>
      <w:lang w:val="en-US" w:bidi="ar-SA"/>
    </w:rPr>
  </w:style>
  <w:style w:type="paragraph" w:customStyle="1" w:styleId="290">
    <w:name w:val="UserStyle_114"/>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291">
    <w:name w:val="Text"/>
    <w:basedOn w:val="1"/>
    <w:qFormat/>
    <w:uiPriority w:val="99"/>
    <w:pPr>
      <w:widowControl/>
      <w:spacing w:before="120" w:after="240"/>
      <w:outlineLvl w:val="1"/>
    </w:pPr>
    <w:rPr>
      <w:rFonts w:ascii="Arial" w:hAnsi="Arial"/>
      <w:kern w:val="28"/>
      <w:sz w:val="20"/>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2.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61</Pages>
  <Words>9937</Words>
  <Characters>11373</Characters>
  <Lines>267</Lines>
  <Paragraphs>75</Paragraphs>
  <TotalTime>0</TotalTime>
  <ScaleCrop>false</ScaleCrop>
  <LinksUpToDate>false</LinksUpToDate>
  <CharactersWithSpaces>11602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2023-04-10T09:00:00Z</dcterms:created>
  <dc:creator>Administrator</dc:creator>
  <cp:lastModifiedBy>杨鸯鸯</cp:lastModifiedBy>
  <cp:lastPrinted>2025-04-01T02:31:00Z</cp:lastPrinted>
  <dcterms:modified xsi:type="dcterms:W3CDTF">2025-04-01T10:12:05Z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68F7C4E470654DDDB2D8450C76A46A77_13</vt:lpwstr>
  </property>
  <property fmtid="{D5CDD505-2E9C-101B-9397-08002B2CF9AE}" pid="4" name="commondata">
    <vt:lpwstr>eyJoZGlkIjoiOGU5NWFkOTdlMDFiMDQ4NzhhYmJlZTYxMjY2YmQzYWYifQ==</vt:lpwstr>
  </property>
  <property fmtid="{D5CDD505-2E9C-101B-9397-08002B2CF9AE}" pid="5" name="KSOTemplateDocerSaveRecord">
    <vt:lpwstr>eyJoZGlkIjoiODVlMTRlN2MxYjNmZGRhYzVlMWVmZWE4MGFlMjZmYWMiLCJ1c2VySWQiOiIyNzUxMjk0OTAifQ==</vt:lpwstr>
  </property>
</Properties>
</file>